
<file path=[Content_Types].xml><?xml version="1.0" encoding="utf-8"?>
<Types xmlns="http://schemas.openxmlformats.org/package/2006/content-types">
  <Default Extension="emf" ContentType="image/x-emf"/>
  <Default Extension="jpg" ContentType="image/pn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3.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6ABBCE" w14:textId="231C0512" w:rsidR="005061A0" w:rsidRDefault="00B94EEB" w:rsidP="00847AE9">
      <w:pPr>
        <w:spacing w:after="0"/>
        <w:jc w:val="both"/>
        <w:rPr>
          <w:rFonts w:asciiTheme="majorHAnsi" w:hAnsiTheme="majorHAnsi"/>
          <w:color w:val="0F4761" w:themeColor="accent1" w:themeShade="BF"/>
          <w:sz w:val="32"/>
          <w:szCs w:val="32"/>
        </w:rPr>
        <w:sectPr w:rsidR="005061A0" w:rsidSect="00D93EA6">
          <w:footerReference w:type="default" r:id="rId8"/>
          <w:pgSz w:w="12240" w:h="15840"/>
          <w:pgMar w:top="1440" w:right="1440" w:bottom="1440" w:left="1440" w:header="720" w:footer="720" w:gutter="0"/>
          <w:pgNumType w:fmt="lowerRoman" w:start="1"/>
          <w:cols w:space="720"/>
          <w:docGrid w:linePitch="360"/>
        </w:sectPr>
      </w:pPr>
      <w:r>
        <w:rPr>
          <w:noProof/>
        </w:rPr>
        <w:drawing>
          <wp:anchor distT="0" distB="0" distL="114300" distR="114300" simplePos="0" relativeHeight="251659264" behindDoc="0" locked="0" layoutInCell="1" allowOverlap="1" wp14:anchorId="04FB50A5" wp14:editId="323ABFC8">
            <wp:simplePos x="0" y="0"/>
            <wp:positionH relativeFrom="page">
              <wp:posOffset>0</wp:posOffset>
            </wp:positionH>
            <wp:positionV relativeFrom="page">
              <wp:posOffset>0</wp:posOffset>
            </wp:positionV>
            <wp:extent cx="7772400" cy="10094976"/>
            <wp:effectExtent l="0" t="0" r="0" b="1905"/>
            <wp:wrapNone/>
            <wp:docPr id="17094416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441648" name="Picture 1709441648"/>
                    <pic:cNvPicPr/>
                  </pic:nvPicPr>
                  <pic:blipFill>
                    <a:blip r:embed="rId9">
                      <a:extLst>
                        <a:ext uri="{28A0092B-C50C-407E-A947-70E740481C1C}">
                          <a14:useLocalDpi xmlns:a14="http://schemas.microsoft.com/office/drawing/2010/main" val="0"/>
                        </a:ext>
                      </a:extLst>
                    </a:blip>
                    <a:stretch>
                      <a:fillRect/>
                    </a:stretch>
                  </pic:blipFill>
                  <pic:spPr>
                    <a:xfrm>
                      <a:off x="0" y="0"/>
                      <a:ext cx="7772400" cy="10094976"/>
                    </a:xfrm>
                    <a:prstGeom prst="rect">
                      <a:avLst/>
                    </a:prstGeom>
                  </pic:spPr>
                </pic:pic>
              </a:graphicData>
            </a:graphic>
            <wp14:sizeRelH relativeFrom="page">
              <wp14:pctWidth>0</wp14:pctWidth>
            </wp14:sizeRelH>
            <wp14:sizeRelV relativeFrom="page">
              <wp14:pctHeight>0</wp14:pctHeight>
            </wp14:sizeRelV>
          </wp:anchor>
        </w:drawing>
      </w:r>
    </w:p>
    <w:p w14:paraId="210A737E" w14:textId="2C2B0DD4" w:rsidR="00AD7D5B" w:rsidRDefault="00B70F0F" w:rsidP="00847AE9">
      <w:pPr>
        <w:spacing w:after="0"/>
        <w:jc w:val="both"/>
        <w:rPr>
          <w:rFonts w:asciiTheme="majorHAnsi" w:hAnsiTheme="majorHAnsi"/>
          <w:color w:val="0F4761" w:themeColor="accent1" w:themeShade="BF"/>
          <w:sz w:val="32"/>
          <w:szCs w:val="32"/>
        </w:rPr>
      </w:pPr>
      <w:r>
        <w:rPr>
          <w:rFonts w:asciiTheme="majorHAnsi" w:hAnsiTheme="majorHAnsi"/>
          <w:color w:val="0F4761" w:themeColor="accent1" w:themeShade="BF"/>
          <w:sz w:val="32"/>
          <w:szCs w:val="32"/>
        </w:rPr>
        <w:lastRenderedPageBreak/>
        <w:t>Georgia Power Company’s 2025 Integrate</w:t>
      </w:r>
      <w:r w:rsidR="008A2791">
        <w:rPr>
          <w:rFonts w:asciiTheme="majorHAnsi" w:hAnsiTheme="majorHAnsi"/>
          <w:color w:val="0F4761" w:themeColor="accent1" w:themeShade="BF"/>
          <w:sz w:val="32"/>
          <w:szCs w:val="32"/>
        </w:rPr>
        <w:t>d</w:t>
      </w:r>
      <w:r>
        <w:rPr>
          <w:rFonts w:asciiTheme="majorHAnsi" w:hAnsiTheme="majorHAnsi"/>
          <w:color w:val="0F4761" w:themeColor="accent1" w:themeShade="BF"/>
          <w:sz w:val="32"/>
          <w:szCs w:val="32"/>
        </w:rPr>
        <w:t xml:space="preserve"> Resource Plan</w:t>
      </w:r>
    </w:p>
    <w:p w14:paraId="50440720" w14:textId="2D041564" w:rsidR="00516262" w:rsidRDefault="00B560F3" w:rsidP="00847AE9">
      <w:pPr>
        <w:jc w:val="both"/>
        <w:rPr>
          <w:rFonts w:asciiTheme="majorHAnsi" w:hAnsiTheme="majorHAnsi"/>
          <w:color w:val="0F4761" w:themeColor="accent1" w:themeShade="BF"/>
          <w:sz w:val="32"/>
          <w:szCs w:val="32"/>
        </w:rPr>
      </w:pPr>
      <w:r>
        <w:rPr>
          <w:rFonts w:asciiTheme="majorHAnsi" w:hAnsiTheme="majorHAnsi"/>
          <w:color w:val="0F4761" w:themeColor="accent1" w:themeShade="BF"/>
          <w:sz w:val="32"/>
          <w:szCs w:val="32"/>
        </w:rPr>
        <w:t xml:space="preserve">Docket No. </w:t>
      </w:r>
      <w:r w:rsidR="00033496">
        <w:rPr>
          <w:rFonts w:asciiTheme="majorHAnsi" w:hAnsiTheme="majorHAnsi"/>
          <w:color w:val="0F4761" w:themeColor="accent1" w:themeShade="BF"/>
          <w:sz w:val="32"/>
          <w:szCs w:val="32"/>
        </w:rPr>
        <w:t>56002</w:t>
      </w:r>
    </w:p>
    <w:p w14:paraId="5468E68D" w14:textId="77777777" w:rsidR="008C1703" w:rsidRDefault="008C1703" w:rsidP="008C1703">
      <w:pPr>
        <w:pStyle w:val="ListParagraph"/>
        <w:numPr>
          <w:ilvl w:val="0"/>
          <w:numId w:val="1"/>
        </w:numPr>
        <w:jc w:val="both"/>
      </w:pPr>
      <w:r>
        <w:t>Application for Certification of Capacity from Plant Scherer Unit 3</w:t>
      </w:r>
    </w:p>
    <w:p w14:paraId="5DBA273B" w14:textId="1E87B3D3" w:rsidR="008C1703" w:rsidRDefault="008C1703" w:rsidP="008C1703">
      <w:pPr>
        <w:pStyle w:val="ListParagraph"/>
        <w:numPr>
          <w:ilvl w:val="0"/>
          <w:numId w:val="1"/>
        </w:numPr>
        <w:jc w:val="both"/>
      </w:pPr>
      <w:r>
        <w:t xml:space="preserve">Application </w:t>
      </w:r>
      <w:r w:rsidR="00396F33">
        <w:t>to Amend the Certificate</w:t>
      </w:r>
      <w:r>
        <w:t xml:space="preserve"> of Capacity from Plant McIntosh Units 10-11 and 1A-8A</w:t>
      </w:r>
    </w:p>
    <w:p w14:paraId="4D8FCD3E" w14:textId="77777777" w:rsidR="00D65EAA" w:rsidRDefault="00D65EAA" w:rsidP="00847AE9">
      <w:pPr>
        <w:jc w:val="both"/>
      </w:pPr>
    </w:p>
    <w:p w14:paraId="1256EE00" w14:textId="19E42506" w:rsidR="00D65EAA" w:rsidRDefault="00D65EAA" w:rsidP="00847AE9">
      <w:pPr>
        <w:jc w:val="both"/>
        <w:rPr>
          <w:b/>
          <w:bCs/>
        </w:rPr>
      </w:pPr>
      <w:r>
        <w:rPr>
          <w:b/>
          <w:bCs/>
        </w:rPr>
        <w:t>Applicant name, address, and principal place of business</w:t>
      </w:r>
      <w:r w:rsidR="00E162E1">
        <w:rPr>
          <w:b/>
          <w:bCs/>
        </w:rPr>
        <w:t>:</w:t>
      </w:r>
    </w:p>
    <w:p w14:paraId="59CD3F47" w14:textId="0EB19ADA" w:rsidR="00D65EAA" w:rsidRDefault="00E162E1" w:rsidP="00847AE9">
      <w:pPr>
        <w:spacing w:after="0"/>
        <w:ind w:left="720"/>
        <w:jc w:val="both"/>
      </w:pPr>
      <w:r>
        <w:t>Georgia Power Company</w:t>
      </w:r>
    </w:p>
    <w:p w14:paraId="44FBC52F" w14:textId="4BA3BF0F" w:rsidR="00E162E1" w:rsidRDefault="00E162E1" w:rsidP="00847AE9">
      <w:pPr>
        <w:spacing w:after="0"/>
        <w:ind w:left="720"/>
        <w:jc w:val="both"/>
      </w:pPr>
      <w:r>
        <w:t>241 Ralph McGill Blvd NE</w:t>
      </w:r>
    </w:p>
    <w:p w14:paraId="7465657E" w14:textId="5AE48AA0" w:rsidR="00E162E1" w:rsidRDefault="00E162E1" w:rsidP="00847AE9">
      <w:pPr>
        <w:ind w:left="720"/>
        <w:jc w:val="both"/>
      </w:pPr>
      <w:r>
        <w:t>Atlanta, GA 30308</w:t>
      </w:r>
    </w:p>
    <w:p w14:paraId="7DC3848D" w14:textId="1AB2C154" w:rsidR="00E162E1" w:rsidRDefault="00172173" w:rsidP="00847AE9">
      <w:pPr>
        <w:jc w:val="both"/>
        <w:rPr>
          <w:b/>
          <w:bCs/>
        </w:rPr>
      </w:pPr>
      <w:r>
        <w:rPr>
          <w:b/>
          <w:bCs/>
        </w:rPr>
        <w:t>Authorized person to receive notices or communications with respect to application:</w:t>
      </w:r>
    </w:p>
    <w:p w14:paraId="2464D50C" w14:textId="4BCCA16D" w:rsidR="00172173" w:rsidRDefault="00172173" w:rsidP="00847AE9">
      <w:pPr>
        <w:spacing w:after="0"/>
        <w:ind w:left="720"/>
        <w:jc w:val="both"/>
      </w:pPr>
      <w:r>
        <w:t>Cheryl Johnson</w:t>
      </w:r>
    </w:p>
    <w:p w14:paraId="019A7AF2" w14:textId="12C43618" w:rsidR="00172173" w:rsidRDefault="00172173" w:rsidP="00847AE9">
      <w:pPr>
        <w:spacing w:after="0"/>
        <w:ind w:left="720"/>
        <w:jc w:val="both"/>
      </w:pPr>
      <w:r>
        <w:t>Regulatory Affairs, BIN 10230</w:t>
      </w:r>
    </w:p>
    <w:p w14:paraId="3D3CF173" w14:textId="3168E129" w:rsidR="00172173" w:rsidRDefault="00172173" w:rsidP="00847AE9">
      <w:pPr>
        <w:spacing w:after="0"/>
        <w:ind w:left="720"/>
        <w:jc w:val="both"/>
      </w:pPr>
      <w:r>
        <w:t>Georgia Power Company</w:t>
      </w:r>
    </w:p>
    <w:p w14:paraId="5B588B8B" w14:textId="7FC4FAB2" w:rsidR="00172173" w:rsidRDefault="00172173" w:rsidP="00847AE9">
      <w:pPr>
        <w:spacing w:after="0"/>
        <w:ind w:left="720"/>
        <w:jc w:val="both"/>
      </w:pPr>
      <w:r>
        <w:t>241 Ralph McGill Blvd NE</w:t>
      </w:r>
    </w:p>
    <w:p w14:paraId="220EC8BD" w14:textId="3E8AE7D6" w:rsidR="00172173" w:rsidRDefault="00172173" w:rsidP="00847AE9">
      <w:pPr>
        <w:spacing w:after="0"/>
        <w:ind w:left="720"/>
        <w:jc w:val="both"/>
      </w:pPr>
      <w:r>
        <w:t>Atlanta, GA 30308</w:t>
      </w:r>
    </w:p>
    <w:p w14:paraId="23BA9D48" w14:textId="607D6C75" w:rsidR="00172173" w:rsidRDefault="00172173" w:rsidP="00847AE9">
      <w:pPr>
        <w:spacing w:after="0"/>
        <w:ind w:left="720"/>
        <w:jc w:val="both"/>
      </w:pPr>
      <w:r>
        <w:t>Phone: 404-506-6837</w:t>
      </w:r>
    </w:p>
    <w:p w14:paraId="6BFE6CED" w14:textId="315F2DB9" w:rsidR="00172173" w:rsidRDefault="00172173" w:rsidP="00847AE9">
      <w:pPr>
        <w:ind w:left="720"/>
        <w:jc w:val="both"/>
      </w:pPr>
      <w:r>
        <w:t xml:space="preserve">Email: </w:t>
      </w:r>
      <w:hyperlink r:id="rId10" w:history="1">
        <w:r w:rsidRPr="00E86BBB">
          <w:rPr>
            <w:rStyle w:val="Hyperlink"/>
          </w:rPr>
          <w:t>cljohnso@southernco.com</w:t>
        </w:r>
      </w:hyperlink>
    </w:p>
    <w:p w14:paraId="7276DF33" w14:textId="169840F8" w:rsidR="00172173" w:rsidRDefault="00F4505C" w:rsidP="00847AE9">
      <w:pPr>
        <w:jc w:val="both"/>
        <w:rPr>
          <w:b/>
          <w:bCs/>
        </w:rPr>
      </w:pPr>
      <w:r>
        <w:rPr>
          <w:b/>
          <w:bCs/>
        </w:rPr>
        <w:t>Location for public inspection:</w:t>
      </w:r>
    </w:p>
    <w:p w14:paraId="4AF19804" w14:textId="34931377" w:rsidR="00F4505C" w:rsidRDefault="00F4505C" w:rsidP="00847AE9">
      <w:pPr>
        <w:spacing w:after="0"/>
        <w:ind w:left="720"/>
        <w:jc w:val="both"/>
      </w:pPr>
      <w:r>
        <w:t>Georgia Power Company</w:t>
      </w:r>
    </w:p>
    <w:p w14:paraId="0CAD2258" w14:textId="74907399" w:rsidR="00F4505C" w:rsidRDefault="00F4505C" w:rsidP="00847AE9">
      <w:pPr>
        <w:spacing w:after="0"/>
        <w:ind w:left="720"/>
        <w:jc w:val="both"/>
      </w:pPr>
      <w:r>
        <w:t>241 Ralph McGill Blvd NE</w:t>
      </w:r>
    </w:p>
    <w:p w14:paraId="42E85E14" w14:textId="5311C9F4" w:rsidR="008B585C" w:rsidRDefault="00F4505C" w:rsidP="00847AE9">
      <w:pPr>
        <w:ind w:left="720"/>
        <w:jc w:val="both"/>
      </w:pPr>
      <w:r>
        <w:t>Atlanta, GA 30308</w:t>
      </w:r>
    </w:p>
    <w:p w14:paraId="35023EE0" w14:textId="77777777" w:rsidR="004F4916" w:rsidRDefault="004F4916">
      <w:r>
        <w:br w:type="page"/>
      </w:r>
    </w:p>
    <w:p w14:paraId="7A3717AC" w14:textId="77777777" w:rsidR="008F5F92" w:rsidRDefault="008F5F92" w:rsidP="00847AE9">
      <w:pPr>
        <w:jc w:val="both"/>
      </w:pPr>
    </w:p>
    <w:p w14:paraId="01B267B9" w14:textId="77777777" w:rsidR="008F5F92" w:rsidRDefault="008F5F92" w:rsidP="00847AE9">
      <w:pPr>
        <w:jc w:val="both"/>
      </w:pPr>
    </w:p>
    <w:p w14:paraId="5D77C0B0" w14:textId="77777777" w:rsidR="008F5F92" w:rsidRDefault="008F5F92" w:rsidP="00847AE9">
      <w:pPr>
        <w:jc w:val="both"/>
      </w:pPr>
    </w:p>
    <w:p w14:paraId="56781B08" w14:textId="77777777" w:rsidR="008F5F92" w:rsidRDefault="008F5F92" w:rsidP="00847AE9">
      <w:pPr>
        <w:jc w:val="both"/>
      </w:pPr>
    </w:p>
    <w:p w14:paraId="3E58913E" w14:textId="77777777" w:rsidR="008F5F92" w:rsidRDefault="008F5F92" w:rsidP="00847AE9">
      <w:pPr>
        <w:jc w:val="both"/>
      </w:pPr>
    </w:p>
    <w:p w14:paraId="41AA27BB" w14:textId="77777777" w:rsidR="008F5F92" w:rsidRDefault="008F5F92" w:rsidP="00847AE9">
      <w:pPr>
        <w:jc w:val="both"/>
      </w:pPr>
    </w:p>
    <w:p w14:paraId="52D144F6" w14:textId="77777777" w:rsidR="008F5F92" w:rsidRDefault="008F5F92" w:rsidP="00847AE9">
      <w:pPr>
        <w:jc w:val="both"/>
      </w:pPr>
    </w:p>
    <w:p w14:paraId="1E01AB3D" w14:textId="77777777" w:rsidR="008F5F92" w:rsidRDefault="008F5F92" w:rsidP="00847AE9">
      <w:pPr>
        <w:jc w:val="both"/>
      </w:pPr>
    </w:p>
    <w:p w14:paraId="13B42D0A" w14:textId="77777777" w:rsidR="008F5F92" w:rsidRDefault="008F5F92" w:rsidP="00847AE9">
      <w:pPr>
        <w:jc w:val="both"/>
      </w:pPr>
    </w:p>
    <w:p w14:paraId="1CE04FCF" w14:textId="77777777" w:rsidR="008F5F92" w:rsidRDefault="008F5F92" w:rsidP="00847AE9">
      <w:pPr>
        <w:jc w:val="both"/>
      </w:pPr>
    </w:p>
    <w:p w14:paraId="32A0C84B" w14:textId="77777777" w:rsidR="008F5F92" w:rsidRDefault="008F5F92" w:rsidP="00847AE9">
      <w:pPr>
        <w:jc w:val="both"/>
      </w:pPr>
    </w:p>
    <w:p w14:paraId="6C7D80B6" w14:textId="48F3A8AD" w:rsidR="008B585C" w:rsidRDefault="008F5F92" w:rsidP="008F5F92">
      <w:pPr>
        <w:jc w:val="center"/>
      </w:pPr>
      <w:r>
        <w:t>[This page is intentionally left blank.]</w:t>
      </w:r>
      <w:r w:rsidR="008B585C">
        <w:br w:type="page"/>
      </w:r>
    </w:p>
    <w:sdt>
      <w:sdtPr>
        <w:rPr>
          <w:rFonts w:asciiTheme="minorHAnsi" w:eastAsiaTheme="minorEastAsia" w:hAnsiTheme="minorHAnsi" w:cstheme="minorBidi"/>
          <w:color w:val="auto"/>
          <w:kern w:val="2"/>
          <w:sz w:val="22"/>
          <w:szCs w:val="22"/>
          <w14:ligatures w14:val="standardContextual"/>
        </w:rPr>
        <w:id w:val="490606715"/>
        <w:docPartObj>
          <w:docPartGallery w:val="Table of Contents"/>
          <w:docPartUnique/>
        </w:docPartObj>
      </w:sdtPr>
      <w:sdtEndPr>
        <w:rPr>
          <w:b/>
          <w:bCs/>
          <w:noProof/>
        </w:rPr>
      </w:sdtEndPr>
      <w:sdtContent>
        <w:p w14:paraId="7AA2968D" w14:textId="227F7458" w:rsidR="00614E18" w:rsidRDefault="00614E18" w:rsidP="00847AE9">
          <w:pPr>
            <w:pStyle w:val="TOCHeading"/>
            <w:jc w:val="both"/>
          </w:pPr>
          <w:r>
            <w:t>Table of Contents</w:t>
          </w:r>
        </w:p>
        <w:p w14:paraId="24CD7CC8" w14:textId="35C6F40D" w:rsidR="007E0237" w:rsidRDefault="008C1703">
          <w:pPr>
            <w:pStyle w:val="TOC1"/>
            <w:tabs>
              <w:tab w:val="right" w:leader="dot" w:pos="9350"/>
            </w:tabs>
            <w:rPr>
              <w:rFonts w:eastAsiaTheme="minorEastAsia"/>
              <w:noProof/>
              <w:sz w:val="24"/>
              <w:szCs w:val="24"/>
            </w:rPr>
          </w:pPr>
          <w:r>
            <w:fldChar w:fldCharType="begin"/>
          </w:r>
          <w:r>
            <w:instrText xml:space="preserve"> TOC \o "1-2" \h \z \u </w:instrText>
          </w:r>
          <w:r>
            <w:fldChar w:fldCharType="separate"/>
          </w:r>
          <w:hyperlink w:anchor="_Toc189122731" w:history="1">
            <w:r w:rsidR="007E0237" w:rsidRPr="00EE3C7D">
              <w:rPr>
                <w:rStyle w:val="Hyperlink"/>
                <w:noProof/>
              </w:rPr>
              <w:t>Executive Summary</w:t>
            </w:r>
            <w:r w:rsidR="007E0237">
              <w:rPr>
                <w:noProof/>
                <w:webHidden/>
              </w:rPr>
              <w:tab/>
            </w:r>
            <w:r w:rsidR="007E0237">
              <w:rPr>
                <w:noProof/>
                <w:webHidden/>
              </w:rPr>
              <w:fldChar w:fldCharType="begin"/>
            </w:r>
            <w:r w:rsidR="007E0237">
              <w:rPr>
                <w:noProof/>
                <w:webHidden/>
              </w:rPr>
              <w:instrText xml:space="preserve"> PAGEREF _Toc189122731 \h </w:instrText>
            </w:r>
            <w:r w:rsidR="007E0237">
              <w:rPr>
                <w:noProof/>
                <w:webHidden/>
              </w:rPr>
            </w:r>
            <w:r w:rsidR="007E0237">
              <w:rPr>
                <w:noProof/>
                <w:webHidden/>
              </w:rPr>
              <w:fldChar w:fldCharType="separate"/>
            </w:r>
            <w:r w:rsidR="007E0237">
              <w:rPr>
                <w:noProof/>
                <w:webHidden/>
              </w:rPr>
              <w:t>1</w:t>
            </w:r>
            <w:r w:rsidR="007E0237">
              <w:rPr>
                <w:noProof/>
                <w:webHidden/>
              </w:rPr>
              <w:fldChar w:fldCharType="end"/>
            </w:r>
          </w:hyperlink>
        </w:p>
        <w:p w14:paraId="7A38CB29" w14:textId="4D6BB24F" w:rsidR="007E0237" w:rsidRDefault="007E0237">
          <w:pPr>
            <w:pStyle w:val="TOC2"/>
            <w:tabs>
              <w:tab w:val="right" w:leader="dot" w:pos="9350"/>
            </w:tabs>
            <w:rPr>
              <w:rFonts w:eastAsiaTheme="minorEastAsia"/>
              <w:noProof/>
              <w:sz w:val="24"/>
              <w:szCs w:val="24"/>
            </w:rPr>
          </w:pPr>
          <w:hyperlink w:anchor="_Toc189122732" w:history="1">
            <w:r w:rsidRPr="00EE3C7D">
              <w:rPr>
                <w:rStyle w:val="Hyperlink"/>
                <w:noProof/>
              </w:rPr>
              <w:t>Continued Load Growth</w:t>
            </w:r>
            <w:r>
              <w:rPr>
                <w:noProof/>
                <w:webHidden/>
              </w:rPr>
              <w:tab/>
            </w:r>
            <w:r>
              <w:rPr>
                <w:noProof/>
                <w:webHidden/>
              </w:rPr>
              <w:fldChar w:fldCharType="begin"/>
            </w:r>
            <w:r>
              <w:rPr>
                <w:noProof/>
                <w:webHidden/>
              </w:rPr>
              <w:instrText xml:space="preserve"> PAGEREF _Toc189122732 \h </w:instrText>
            </w:r>
            <w:r>
              <w:rPr>
                <w:noProof/>
                <w:webHidden/>
              </w:rPr>
            </w:r>
            <w:r>
              <w:rPr>
                <w:noProof/>
                <w:webHidden/>
              </w:rPr>
              <w:fldChar w:fldCharType="separate"/>
            </w:r>
            <w:r>
              <w:rPr>
                <w:noProof/>
                <w:webHidden/>
              </w:rPr>
              <w:t>1</w:t>
            </w:r>
            <w:r>
              <w:rPr>
                <w:noProof/>
                <w:webHidden/>
              </w:rPr>
              <w:fldChar w:fldCharType="end"/>
            </w:r>
          </w:hyperlink>
        </w:p>
        <w:p w14:paraId="6FD6E12C" w14:textId="3CDC760F" w:rsidR="007E0237" w:rsidRDefault="007E0237">
          <w:pPr>
            <w:pStyle w:val="TOC2"/>
            <w:tabs>
              <w:tab w:val="right" w:leader="dot" w:pos="9350"/>
            </w:tabs>
            <w:rPr>
              <w:rFonts w:eastAsiaTheme="minorEastAsia"/>
              <w:noProof/>
              <w:sz w:val="24"/>
              <w:szCs w:val="24"/>
            </w:rPr>
          </w:pPr>
          <w:hyperlink w:anchor="_Toc189122733" w:history="1">
            <w:r w:rsidRPr="00EE3C7D">
              <w:rPr>
                <w:rStyle w:val="Hyperlink"/>
                <w:noProof/>
              </w:rPr>
              <w:t>Demand-Side Strategy</w:t>
            </w:r>
            <w:r>
              <w:rPr>
                <w:noProof/>
                <w:webHidden/>
              </w:rPr>
              <w:tab/>
            </w:r>
            <w:r>
              <w:rPr>
                <w:noProof/>
                <w:webHidden/>
              </w:rPr>
              <w:fldChar w:fldCharType="begin"/>
            </w:r>
            <w:r>
              <w:rPr>
                <w:noProof/>
                <w:webHidden/>
              </w:rPr>
              <w:instrText xml:space="preserve"> PAGEREF _Toc189122733 \h </w:instrText>
            </w:r>
            <w:r>
              <w:rPr>
                <w:noProof/>
                <w:webHidden/>
              </w:rPr>
            </w:r>
            <w:r>
              <w:rPr>
                <w:noProof/>
                <w:webHidden/>
              </w:rPr>
              <w:fldChar w:fldCharType="separate"/>
            </w:r>
            <w:r>
              <w:rPr>
                <w:noProof/>
                <w:webHidden/>
              </w:rPr>
              <w:t>1</w:t>
            </w:r>
            <w:r>
              <w:rPr>
                <w:noProof/>
                <w:webHidden/>
              </w:rPr>
              <w:fldChar w:fldCharType="end"/>
            </w:r>
          </w:hyperlink>
        </w:p>
        <w:p w14:paraId="218949CD" w14:textId="0D842714" w:rsidR="007E0237" w:rsidRDefault="007E0237">
          <w:pPr>
            <w:pStyle w:val="TOC2"/>
            <w:tabs>
              <w:tab w:val="right" w:leader="dot" w:pos="9350"/>
            </w:tabs>
            <w:rPr>
              <w:rFonts w:eastAsiaTheme="minorEastAsia"/>
              <w:noProof/>
              <w:sz w:val="24"/>
              <w:szCs w:val="24"/>
            </w:rPr>
          </w:pPr>
          <w:hyperlink w:anchor="_Toc189122734" w:history="1">
            <w:r w:rsidRPr="00EE3C7D">
              <w:rPr>
                <w:rStyle w:val="Hyperlink"/>
                <w:noProof/>
              </w:rPr>
              <w:t>Supply-Side Extensions and Upgrades</w:t>
            </w:r>
            <w:r>
              <w:rPr>
                <w:noProof/>
                <w:webHidden/>
              </w:rPr>
              <w:tab/>
            </w:r>
            <w:r>
              <w:rPr>
                <w:noProof/>
                <w:webHidden/>
              </w:rPr>
              <w:fldChar w:fldCharType="begin"/>
            </w:r>
            <w:r>
              <w:rPr>
                <w:noProof/>
                <w:webHidden/>
              </w:rPr>
              <w:instrText xml:space="preserve"> PAGEREF _Toc189122734 \h </w:instrText>
            </w:r>
            <w:r>
              <w:rPr>
                <w:noProof/>
                <w:webHidden/>
              </w:rPr>
            </w:r>
            <w:r>
              <w:rPr>
                <w:noProof/>
                <w:webHidden/>
              </w:rPr>
              <w:fldChar w:fldCharType="separate"/>
            </w:r>
            <w:r>
              <w:rPr>
                <w:noProof/>
                <w:webHidden/>
              </w:rPr>
              <w:t>2</w:t>
            </w:r>
            <w:r>
              <w:rPr>
                <w:noProof/>
                <w:webHidden/>
              </w:rPr>
              <w:fldChar w:fldCharType="end"/>
            </w:r>
          </w:hyperlink>
        </w:p>
        <w:p w14:paraId="2AE0F7D8" w14:textId="39BF1379" w:rsidR="007E0237" w:rsidRDefault="007E0237">
          <w:pPr>
            <w:pStyle w:val="TOC2"/>
            <w:tabs>
              <w:tab w:val="right" w:leader="dot" w:pos="9350"/>
            </w:tabs>
            <w:rPr>
              <w:rFonts w:eastAsiaTheme="minorEastAsia"/>
              <w:noProof/>
              <w:sz w:val="24"/>
              <w:szCs w:val="24"/>
            </w:rPr>
          </w:pPr>
          <w:hyperlink w:anchor="_Toc189122735" w:history="1">
            <w:r w:rsidRPr="00EE3C7D">
              <w:rPr>
                <w:rStyle w:val="Hyperlink"/>
                <w:noProof/>
              </w:rPr>
              <w:t>Strategic Transmission Planning</w:t>
            </w:r>
            <w:r>
              <w:rPr>
                <w:noProof/>
                <w:webHidden/>
              </w:rPr>
              <w:tab/>
            </w:r>
            <w:r>
              <w:rPr>
                <w:noProof/>
                <w:webHidden/>
              </w:rPr>
              <w:fldChar w:fldCharType="begin"/>
            </w:r>
            <w:r>
              <w:rPr>
                <w:noProof/>
                <w:webHidden/>
              </w:rPr>
              <w:instrText xml:space="preserve"> PAGEREF _Toc189122735 \h </w:instrText>
            </w:r>
            <w:r>
              <w:rPr>
                <w:noProof/>
                <w:webHidden/>
              </w:rPr>
            </w:r>
            <w:r>
              <w:rPr>
                <w:noProof/>
                <w:webHidden/>
              </w:rPr>
              <w:fldChar w:fldCharType="separate"/>
            </w:r>
            <w:r>
              <w:rPr>
                <w:noProof/>
                <w:webHidden/>
              </w:rPr>
              <w:t>3</w:t>
            </w:r>
            <w:r>
              <w:rPr>
                <w:noProof/>
                <w:webHidden/>
              </w:rPr>
              <w:fldChar w:fldCharType="end"/>
            </w:r>
          </w:hyperlink>
        </w:p>
        <w:p w14:paraId="1390E00E" w14:textId="5B21A641" w:rsidR="007E0237" w:rsidRDefault="007E0237">
          <w:pPr>
            <w:pStyle w:val="TOC2"/>
            <w:tabs>
              <w:tab w:val="right" w:leader="dot" w:pos="9350"/>
            </w:tabs>
            <w:rPr>
              <w:rFonts w:eastAsiaTheme="minorEastAsia"/>
              <w:noProof/>
              <w:sz w:val="24"/>
              <w:szCs w:val="24"/>
            </w:rPr>
          </w:pPr>
          <w:hyperlink w:anchor="_Toc189122736" w:history="1">
            <w:r w:rsidRPr="00EE3C7D">
              <w:rPr>
                <w:rStyle w:val="Hyperlink"/>
                <w:noProof/>
              </w:rPr>
              <w:t>Enhanced Renewable and Resiliency Programs</w:t>
            </w:r>
            <w:r>
              <w:rPr>
                <w:noProof/>
                <w:webHidden/>
              </w:rPr>
              <w:tab/>
            </w:r>
            <w:r>
              <w:rPr>
                <w:noProof/>
                <w:webHidden/>
              </w:rPr>
              <w:fldChar w:fldCharType="begin"/>
            </w:r>
            <w:r>
              <w:rPr>
                <w:noProof/>
                <w:webHidden/>
              </w:rPr>
              <w:instrText xml:space="preserve"> PAGEREF _Toc189122736 \h </w:instrText>
            </w:r>
            <w:r>
              <w:rPr>
                <w:noProof/>
                <w:webHidden/>
              </w:rPr>
            </w:r>
            <w:r>
              <w:rPr>
                <w:noProof/>
                <w:webHidden/>
              </w:rPr>
              <w:fldChar w:fldCharType="separate"/>
            </w:r>
            <w:r>
              <w:rPr>
                <w:noProof/>
                <w:webHidden/>
              </w:rPr>
              <w:t>3</w:t>
            </w:r>
            <w:r>
              <w:rPr>
                <w:noProof/>
                <w:webHidden/>
              </w:rPr>
              <w:fldChar w:fldCharType="end"/>
            </w:r>
          </w:hyperlink>
        </w:p>
        <w:p w14:paraId="37F0309C" w14:textId="081F0AE5" w:rsidR="007E0237" w:rsidRDefault="007E0237">
          <w:pPr>
            <w:pStyle w:val="TOC2"/>
            <w:tabs>
              <w:tab w:val="right" w:leader="dot" w:pos="9350"/>
            </w:tabs>
            <w:rPr>
              <w:rFonts w:eastAsiaTheme="minorEastAsia"/>
              <w:noProof/>
              <w:sz w:val="24"/>
              <w:szCs w:val="24"/>
            </w:rPr>
          </w:pPr>
          <w:hyperlink w:anchor="_Toc189122737" w:history="1">
            <w:r w:rsidRPr="00EE3C7D">
              <w:rPr>
                <w:rStyle w:val="Hyperlink"/>
                <w:noProof/>
              </w:rPr>
              <w:t>Conclusion</w:t>
            </w:r>
            <w:r>
              <w:rPr>
                <w:noProof/>
                <w:webHidden/>
              </w:rPr>
              <w:tab/>
            </w:r>
            <w:r>
              <w:rPr>
                <w:noProof/>
                <w:webHidden/>
              </w:rPr>
              <w:fldChar w:fldCharType="begin"/>
            </w:r>
            <w:r>
              <w:rPr>
                <w:noProof/>
                <w:webHidden/>
              </w:rPr>
              <w:instrText xml:space="preserve"> PAGEREF _Toc189122737 \h </w:instrText>
            </w:r>
            <w:r>
              <w:rPr>
                <w:noProof/>
                <w:webHidden/>
              </w:rPr>
            </w:r>
            <w:r>
              <w:rPr>
                <w:noProof/>
                <w:webHidden/>
              </w:rPr>
              <w:fldChar w:fldCharType="separate"/>
            </w:r>
            <w:r>
              <w:rPr>
                <w:noProof/>
                <w:webHidden/>
              </w:rPr>
              <w:t>4</w:t>
            </w:r>
            <w:r>
              <w:rPr>
                <w:noProof/>
                <w:webHidden/>
              </w:rPr>
              <w:fldChar w:fldCharType="end"/>
            </w:r>
          </w:hyperlink>
        </w:p>
        <w:p w14:paraId="14859B01" w14:textId="617BE4B0" w:rsidR="007E0237" w:rsidRDefault="007E0237">
          <w:pPr>
            <w:pStyle w:val="TOC1"/>
            <w:tabs>
              <w:tab w:val="right" w:leader="dot" w:pos="9350"/>
            </w:tabs>
            <w:rPr>
              <w:rFonts w:eastAsiaTheme="minorEastAsia"/>
              <w:noProof/>
              <w:sz w:val="24"/>
              <w:szCs w:val="24"/>
            </w:rPr>
          </w:pPr>
          <w:hyperlink w:anchor="_Toc189122738" w:history="1">
            <w:r w:rsidRPr="00EE3C7D">
              <w:rPr>
                <w:rStyle w:val="Hyperlink"/>
                <w:noProof/>
              </w:rPr>
              <w:t>Chapter 1. Company Overview</w:t>
            </w:r>
            <w:r>
              <w:rPr>
                <w:noProof/>
                <w:webHidden/>
              </w:rPr>
              <w:tab/>
            </w:r>
            <w:r>
              <w:rPr>
                <w:noProof/>
                <w:webHidden/>
              </w:rPr>
              <w:fldChar w:fldCharType="begin"/>
            </w:r>
            <w:r>
              <w:rPr>
                <w:noProof/>
                <w:webHidden/>
              </w:rPr>
              <w:instrText xml:space="preserve"> PAGEREF _Toc189122738 \h </w:instrText>
            </w:r>
            <w:r>
              <w:rPr>
                <w:noProof/>
                <w:webHidden/>
              </w:rPr>
            </w:r>
            <w:r>
              <w:rPr>
                <w:noProof/>
                <w:webHidden/>
              </w:rPr>
              <w:fldChar w:fldCharType="separate"/>
            </w:r>
            <w:r>
              <w:rPr>
                <w:noProof/>
                <w:webHidden/>
              </w:rPr>
              <w:t>7</w:t>
            </w:r>
            <w:r>
              <w:rPr>
                <w:noProof/>
                <w:webHidden/>
              </w:rPr>
              <w:fldChar w:fldCharType="end"/>
            </w:r>
          </w:hyperlink>
        </w:p>
        <w:p w14:paraId="64983008" w14:textId="3099B2E7" w:rsidR="007E0237" w:rsidRDefault="007E0237">
          <w:pPr>
            <w:pStyle w:val="TOC1"/>
            <w:tabs>
              <w:tab w:val="right" w:leader="dot" w:pos="9350"/>
            </w:tabs>
            <w:rPr>
              <w:rFonts w:eastAsiaTheme="minorEastAsia"/>
              <w:noProof/>
              <w:sz w:val="24"/>
              <w:szCs w:val="24"/>
            </w:rPr>
          </w:pPr>
          <w:hyperlink w:anchor="_Toc189122739" w:history="1">
            <w:r w:rsidRPr="00EE3C7D">
              <w:rPr>
                <w:rStyle w:val="Hyperlink"/>
                <w:noProof/>
              </w:rPr>
              <w:t>Chapter 2. Implementation of Prior IRPs</w:t>
            </w:r>
            <w:r>
              <w:rPr>
                <w:noProof/>
                <w:webHidden/>
              </w:rPr>
              <w:tab/>
            </w:r>
            <w:r>
              <w:rPr>
                <w:noProof/>
                <w:webHidden/>
              </w:rPr>
              <w:fldChar w:fldCharType="begin"/>
            </w:r>
            <w:r>
              <w:rPr>
                <w:noProof/>
                <w:webHidden/>
              </w:rPr>
              <w:instrText xml:space="preserve"> PAGEREF _Toc189122739 \h </w:instrText>
            </w:r>
            <w:r>
              <w:rPr>
                <w:noProof/>
                <w:webHidden/>
              </w:rPr>
            </w:r>
            <w:r>
              <w:rPr>
                <w:noProof/>
                <w:webHidden/>
              </w:rPr>
              <w:fldChar w:fldCharType="separate"/>
            </w:r>
            <w:r>
              <w:rPr>
                <w:noProof/>
                <w:webHidden/>
              </w:rPr>
              <w:t>11</w:t>
            </w:r>
            <w:r>
              <w:rPr>
                <w:noProof/>
                <w:webHidden/>
              </w:rPr>
              <w:fldChar w:fldCharType="end"/>
            </w:r>
          </w:hyperlink>
        </w:p>
        <w:p w14:paraId="3D77855D" w14:textId="526BEFC2" w:rsidR="007E0237" w:rsidRDefault="007E0237">
          <w:pPr>
            <w:pStyle w:val="TOC2"/>
            <w:tabs>
              <w:tab w:val="right" w:leader="dot" w:pos="9350"/>
            </w:tabs>
            <w:rPr>
              <w:rFonts w:eastAsiaTheme="minorEastAsia"/>
              <w:noProof/>
              <w:sz w:val="24"/>
              <w:szCs w:val="24"/>
            </w:rPr>
          </w:pPr>
          <w:hyperlink w:anchor="_Toc189122740" w:history="1">
            <w:r w:rsidRPr="00EE3C7D">
              <w:rPr>
                <w:rStyle w:val="Hyperlink"/>
                <w:noProof/>
              </w:rPr>
              <w:t>2.1 – 2023 IRP Update</w:t>
            </w:r>
            <w:r>
              <w:rPr>
                <w:noProof/>
                <w:webHidden/>
              </w:rPr>
              <w:tab/>
            </w:r>
            <w:r>
              <w:rPr>
                <w:noProof/>
                <w:webHidden/>
              </w:rPr>
              <w:fldChar w:fldCharType="begin"/>
            </w:r>
            <w:r>
              <w:rPr>
                <w:noProof/>
                <w:webHidden/>
              </w:rPr>
              <w:instrText xml:space="preserve"> PAGEREF _Toc189122740 \h </w:instrText>
            </w:r>
            <w:r>
              <w:rPr>
                <w:noProof/>
                <w:webHidden/>
              </w:rPr>
            </w:r>
            <w:r>
              <w:rPr>
                <w:noProof/>
                <w:webHidden/>
              </w:rPr>
              <w:fldChar w:fldCharType="separate"/>
            </w:r>
            <w:r>
              <w:rPr>
                <w:noProof/>
                <w:webHidden/>
              </w:rPr>
              <w:t>11</w:t>
            </w:r>
            <w:r>
              <w:rPr>
                <w:noProof/>
                <w:webHidden/>
              </w:rPr>
              <w:fldChar w:fldCharType="end"/>
            </w:r>
          </w:hyperlink>
        </w:p>
        <w:p w14:paraId="2D440E30" w14:textId="359E2320" w:rsidR="007E0237" w:rsidRDefault="007E0237">
          <w:pPr>
            <w:pStyle w:val="TOC2"/>
            <w:tabs>
              <w:tab w:val="right" w:leader="dot" w:pos="9350"/>
            </w:tabs>
            <w:rPr>
              <w:rFonts w:eastAsiaTheme="minorEastAsia"/>
              <w:noProof/>
              <w:sz w:val="24"/>
              <w:szCs w:val="24"/>
            </w:rPr>
          </w:pPr>
          <w:hyperlink w:anchor="_Toc189122741" w:history="1">
            <w:r w:rsidRPr="00EE3C7D">
              <w:rPr>
                <w:rStyle w:val="Hyperlink"/>
                <w:noProof/>
              </w:rPr>
              <w:t>2.2 – 2022 IRP</w:t>
            </w:r>
            <w:r>
              <w:rPr>
                <w:noProof/>
                <w:webHidden/>
              </w:rPr>
              <w:tab/>
            </w:r>
            <w:r>
              <w:rPr>
                <w:noProof/>
                <w:webHidden/>
              </w:rPr>
              <w:fldChar w:fldCharType="begin"/>
            </w:r>
            <w:r>
              <w:rPr>
                <w:noProof/>
                <w:webHidden/>
              </w:rPr>
              <w:instrText xml:space="preserve"> PAGEREF _Toc189122741 \h </w:instrText>
            </w:r>
            <w:r>
              <w:rPr>
                <w:noProof/>
                <w:webHidden/>
              </w:rPr>
            </w:r>
            <w:r>
              <w:rPr>
                <w:noProof/>
                <w:webHidden/>
              </w:rPr>
              <w:fldChar w:fldCharType="separate"/>
            </w:r>
            <w:r>
              <w:rPr>
                <w:noProof/>
                <w:webHidden/>
              </w:rPr>
              <w:t>12</w:t>
            </w:r>
            <w:r>
              <w:rPr>
                <w:noProof/>
                <w:webHidden/>
              </w:rPr>
              <w:fldChar w:fldCharType="end"/>
            </w:r>
          </w:hyperlink>
        </w:p>
        <w:p w14:paraId="26E11344" w14:textId="00F88989" w:rsidR="007E0237" w:rsidRDefault="007E0237">
          <w:pPr>
            <w:pStyle w:val="TOC1"/>
            <w:tabs>
              <w:tab w:val="right" w:leader="dot" w:pos="9350"/>
            </w:tabs>
            <w:rPr>
              <w:rFonts w:eastAsiaTheme="minorEastAsia"/>
              <w:noProof/>
              <w:sz w:val="24"/>
              <w:szCs w:val="24"/>
            </w:rPr>
          </w:pPr>
          <w:hyperlink w:anchor="_Toc189122742" w:history="1">
            <w:r w:rsidRPr="00EE3C7D">
              <w:rPr>
                <w:rStyle w:val="Hyperlink"/>
                <w:noProof/>
              </w:rPr>
              <w:t>Chapter 3. Integrated Resource Planning</w:t>
            </w:r>
            <w:r>
              <w:rPr>
                <w:noProof/>
                <w:webHidden/>
              </w:rPr>
              <w:tab/>
            </w:r>
            <w:r>
              <w:rPr>
                <w:noProof/>
                <w:webHidden/>
              </w:rPr>
              <w:fldChar w:fldCharType="begin"/>
            </w:r>
            <w:r>
              <w:rPr>
                <w:noProof/>
                <w:webHidden/>
              </w:rPr>
              <w:instrText xml:space="preserve"> PAGEREF _Toc189122742 \h </w:instrText>
            </w:r>
            <w:r>
              <w:rPr>
                <w:noProof/>
                <w:webHidden/>
              </w:rPr>
            </w:r>
            <w:r>
              <w:rPr>
                <w:noProof/>
                <w:webHidden/>
              </w:rPr>
              <w:fldChar w:fldCharType="separate"/>
            </w:r>
            <w:r>
              <w:rPr>
                <w:noProof/>
                <w:webHidden/>
              </w:rPr>
              <w:t>17</w:t>
            </w:r>
            <w:r>
              <w:rPr>
                <w:noProof/>
                <w:webHidden/>
              </w:rPr>
              <w:fldChar w:fldCharType="end"/>
            </w:r>
          </w:hyperlink>
        </w:p>
        <w:p w14:paraId="23ACEAA7" w14:textId="74AA4AA3" w:rsidR="007E0237" w:rsidRDefault="007E0237">
          <w:pPr>
            <w:pStyle w:val="TOC2"/>
            <w:tabs>
              <w:tab w:val="right" w:leader="dot" w:pos="9350"/>
            </w:tabs>
            <w:rPr>
              <w:rFonts w:eastAsiaTheme="minorEastAsia"/>
              <w:noProof/>
              <w:sz w:val="24"/>
              <w:szCs w:val="24"/>
            </w:rPr>
          </w:pPr>
          <w:hyperlink w:anchor="_Toc189122743" w:history="1">
            <w:r w:rsidRPr="00EE3C7D">
              <w:rPr>
                <w:rStyle w:val="Hyperlink"/>
                <w:noProof/>
              </w:rPr>
              <w:t>3.1 – IRP Process</w:t>
            </w:r>
            <w:r>
              <w:rPr>
                <w:noProof/>
                <w:webHidden/>
              </w:rPr>
              <w:tab/>
            </w:r>
            <w:r>
              <w:rPr>
                <w:noProof/>
                <w:webHidden/>
              </w:rPr>
              <w:fldChar w:fldCharType="begin"/>
            </w:r>
            <w:r>
              <w:rPr>
                <w:noProof/>
                <w:webHidden/>
              </w:rPr>
              <w:instrText xml:space="preserve"> PAGEREF _Toc189122743 \h </w:instrText>
            </w:r>
            <w:r>
              <w:rPr>
                <w:noProof/>
                <w:webHidden/>
              </w:rPr>
            </w:r>
            <w:r>
              <w:rPr>
                <w:noProof/>
                <w:webHidden/>
              </w:rPr>
              <w:fldChar w:fldCharType="separate"/>
            </w:r>
            <w:r>
              <w:rPr>
                <w:noProof/>
                <w:webHidden/>
              </w:rPr>
              <w:t>17</w:t>
            </w:r>
            <w:r>
              <w:rPr>
                <w:noProof/>
                <w:webHidden/>
              </w:rPr>
              <w:fldChar w:fldCharType="end"/>
            </w:r>
          </w:hyperlink>
        </w:p>
        <w:p w14:paraId="3BB2BF11" w14:textId="181F5969" w:rsidR="007E0237" w:rsidRDefault="007E0237">
          <w:pPr>
            <w:pStyle w:val="TOC2"/>
            <w:tabs>
              <w:tab w:val="right" w:leader="dot" w:pos="9350"/>
            </w:tabs>
            <w:rPr>
              <w:rFonts w:eastAsiaTheme="minorEastAsia"/>
              <w:noProof/>
              <w:sz w:val="24"/>
              <w:szCs w:val="24"/>
            </w:rPr>
          </w:pPr>
          <w:hyperlink w:anchor="_Toc189122744" w:history="1">
            <w:r w:rsidRPr="00EE3C7D">
              <w:rPr>
                <w:rStyle w:val="Hyperlink"/>
                <w:noProof/>
              </w:rPr>
              <w:t>3.2 – Scenario Development Overview</w:t>
            </w:r>
            <w:r>
              <w:rPr>
                <w:noProof/>
                <w:webHidden/>
              </w:rPr>
              <w:tab/>
            </w:r>
            <w:r>
              <w:rPr>
                <w:noProof/>
                <w:webHidden/>
              </w:rPr>
              <w:fldChar w:fldCharType="begin"/>
            </w:r>
            <w:r>
              <w:rPr>
                <w:noProof/>
                <w:webHidden/>
              </w:rPr>
              <w:instrText xml:space="preserve"> PAGEREF _Toc189122744 \h </w:instrText>
            </w:r>
            <w:r>
              <w:rPr>
                <w:noProof/>
                <w:webHidden/>
              </w:rPr>
            </w:r>
            <w:r>
              <w:rPr>
                <w:noProof/>
                <w:webHidden/>
              </w:rPr>
              <w:fldChar w:fldCharType="separate"/>
            </w:r>
            <w:r>
              <w:rPr>
                <w:noProof/>
                <w:webHidden/>
              </w:rPr>
              <w:t>18</w:t>
            </w:r>
            <w:r>
              <w:rPr>
                <w:noProof/>
                <w:webHidden/>
              </w:rPr>
              <w:fldChar w:fldCharType="end"/>
            </w:r>
          </w:hyperlink>
        </w:p>
        <w:p w14:paraId="5358C412" w14:textId="58F1E0F8" w:rsidR="007E0237" w:rsidRDefault="007E0237">
          <w:pPr>
            <w:pStyle w:val="TOC2"/>
            <w:tabs>
              <w:tab w:val="right" w:leader="dot" w:pos="9350"/>
            </w:tabs>
            <w:rPr>
              <w:rFonts w:eastAsiaTheme="minorEastAsia"/>
              <w:noProof/>
              <w:sz w:val="24"/>
              <w:szCs w:val="24"/>
            </w:rPr>
          </w:pPr>
          <w:hyperlink w:anchor="_Toc189122745" w:history="1">
            <w:r w:rsidRPr="00EE3C7D">
              <w:rPr>
                <w:rStyle w:val="Hyperlink"/>
                <w:noProof/>
              </w:rPr>
              <w:t>3.3 – B2025 Scenarios</w:t>
            </w:r>
            <w:r>
              <w:rPr>
                <w:noProof/>
                <w:webHidden/>
              </w:rPr>
              <w:tab/>
            </w:r>
            <w:r>
              <w:rPr>
                <w:noProof/>
                <w:webHidden/>
              </w:rPr>
              <w:fldChar w:fldCharType="begin"/>
            </w:r>
            <w:r>
              <w:rPr>
                <w:noProof/>
                <w:webHidden/>
              </w:rPr>
              <w:instrText xml:space="preserve"> PAGEREF _Toc189122745 \h </w:instrText>
            </w:r>
            <w:r>
              <w:rPr>
                <w:noProof/>
                <w:webHidden/>
              </w:rPr>
            </w:r>
            <w:r>
              <w:rPr>
                <w:noProof/>
                <w:webHidden/>
              </w:rPr>
              <w:fldChar w:fldCharType="separate"/>
            </w:r>
            <w:r>
              <w:rPr>
                <w:noProof/>
                <w:webHidden/>
              </w:rPr>
              <w:t>19</w:t>
            </w:r>
            <w:r>
              <w:rPr>
                <w:noProof/>
                <w:webHidden/>
              </w:rPr>
              <w:fldChar w:fldCharType="end"/>
            </w:r>
          </w:hyperlink>
        </w:p>
        <w:p w14:paraId="0F66B8AA" w14:textId="5F9F62BB" w:rsidR="007E0237" w:rsidRDefault="007E0237">
          <w:pPr>
            <w:pStyle w:val="TOC2"/>
            <w:tabs>
              <w:tab w:val="right" w:leader="dot" w:pos="9350"/>
            </w:tabs>
            <w:rPr>
              <w:rFonts w:eastAsiaTheme="minorEastAsia"/>
              <w:noProof/>
              <w:sz w:val="24"/>
              <w:szCs w:val="24"/>
            </w:rPr>
          </w:pPr>
          <w:hyperlink w:anchor="_Toc189122746" w:history="1">
            <w:r w:rsidRPr="00EE3C7D">
              <w:rPr>
                <w:rStyle w:val="Hyperlink"/>
                <w:noProof/>
              </w:rPr>
              <w:t>3.4 – Scenario Views</w:t>
            </w:r>
            <w:r>
              <w:rPr>
                <w:noProof/>
                <w:webHidden/>
              </w:rPr>
              <w:tab/>
            </w:r>
            <w:r>
              <w:rPr>
                <w:noProof/>
                <w:webHidden/>
              </w:rPr>
              <w:fldChar w:fldCharType="begin"/>
            </w:r>
            <w:r>
              <w:rPr>
                <w:noProof/>
                <w:webHidden/>
              </w:rPr>
              <w:instrText xml:space="preserve"> PAGEREF _Toc189122746 \h </w:instrText>
            </w:r>
            <w:r>
              <w:rPr>
                <w:noProof/>
                <w:webHidden/>
              </w:rPr>
            </w:r>
            <w:r>
              <w:rPr>
                <w:noProof/>
                <w:webHidden/>
              </w:rPr>
              <w:fldChar w:fldCharType="separate"/>
            </w:r>
            <w:r>
              <w:rPr>
                <w:noProof/>
                <w:webHidden/>
              </w:rPr>
              <w:t>20</w:t>
            </w:r>
            <w:r>
              <w:rPr>
                <w:noProof/>
                <w:webHidden/>
              </w:rPr>
              <w:fldChar w:fldCharType="end"/>
            </w:r>
          </w:hyperlink>
        </w:p>
        <w:p w14:paraId="72C7083A" w14:textId="1056AB18" w:rsidR="007E0237" w:rsidRDefault="007E0237">
          <w:pPr>
            <w:pStyle w:val="TOC2"/>
            <w:tabs>
              <w:tab w:val="right" w:leader="dot" w:pos="9350"/>
            </w:tabs>
            <w:rPr>
              <w:rFonts w:eastAsiaTheme="minorEastAsia"/>
              <w:noProof/>
              <w:sz w:val="24"/>
              <w:szCs w:val="24"/>
            </w:rPr>
          </w:pPr>
          <w:hyperlink w:anchor="_Toc189122747" w:history="1">
            <w:r w:rsidRPr="00EE3C7D">
              <w:rPr>
                <w:rStyle w:val="Hyperlink"/>
                <w:noProof/>
              </w:rPr>
              <w:t>3.5 – Conclusion</w:t>
            </w:r>
            <w:r>
              <w:rPr>
                <w:noProof/>
                <w:webHidden/>
              </w:rPr>
              <w:tab/>
            </w:r>
            <w:r>
              <w:rPr>
                <w:noProof/>
                <w:webHidden/>
              </w:rPr>
              <w:fldChar w:fldCharType="begin"/>
            </w:r>
            <w:r>
              <w:rPr>
                <w:noProof/>
                <w:webHidden/>
              </w:rPr>
              <w:instrText xml:space="preserve"> PAGEREF _Toc189122747 \h </w:instrText>
            </w:r>
            <w:r>
              <w:rPr>
                <w:noProof/>
                <w:webHidden/>
              </w:rPr>
            </w:r>
            <w:r>
              <w:rPr>
                <w:noProof/>
                <w:webHidden/>
              </w:rPr>
              <w:fldChar w:fldCharType="separate"/>
            </w:r>
            <w:r>
              <w:rPr>
                <w:noProof/>
                <w:webHidden/>
              </w:rPr>
              <w:t>30</w:t>
            </w:r>
            <w:r>
              <w:rPr>
                <w:noProof/>
                <w:webHidden/>
              </w:rPr>
              <w:fldChar w:fldCharType="end"/>
            </w:r>
          </w:hyperlink>
        </w:p>
        <w:p w14:paraId="58939B4B" w14:textId="3A1FA81A" w:rsidR="007E0237" w:rsidRDefault="007E0237">
          <w:pPr>
            <w:pStyle w:val="TOC1"/>
            <w:tabs>
              <w:tab w:val="right" w:leader="dot" w:pos="9350"/>
            </w:tabs>
            <w:rPr>
              <w:rFonts w:eastAsiaTheme="minorEastAsia"/>
              <w:noProof/>
              <w:sz w:val="24"/>
              <w:szCs w:val="24"/>
            </w:rPr>
          </w:pPr>
          <w:hyperlink w:anchor="_Toc189122748" w:history="1">
            <w:r w:rsidRPr="00EE3C7D">
              <w:rPr>
                <w:rStyle w:val="Hyperlink"/>
                <w:noProof/>
              </w:rPr>
              <w:t>Chapter 4. Economic Development</w:t>
            </w:r>
            <w:r>
              <w:rPr>
                <w:noProof/>
                <w:webHidden/>
              </w:rPr>
              <w:tab/>
            </w:r>
            <w:r>
              <w:rPr>
                <w:noProof/>
                <w:webHidden/>
              </w:rPr>
              <w:fldChar w:fldCharType="begin"/>
            </w:r>
            <w:r>
              <w:rPr>
                <w:noProof/>
                <w:webHidden/>
              </w:rPr>
              <w:instrText xml:space="preserve"> PAGEREF _Toc189122748 \h </w:instrText>
            </w:r>
            <w:r>
              <w:rPr>
                <w:noProof/>
                <w:webHidden/>
              </w:rPr>
            </w:r>
            <w:r>
              <w:rPr>
                <w:noProof/>
                <w:webHidden/>
              </w:rPr>
              <w:fldChar w:fldCharType="separate"/>
            </w:r>
            <w:r>
              <w:rPr>
                <w:noProof/>
                <w:webHidden/>
              </w:rPr>
              <w:t>31</w:t>
            </w:r>
            <w:r>
              <w:rPr>
                <w:noProof/>
                <w:webHidden/>
              </w:rPr>
              <w:fldChar w:fldCharType="end"/>
            </w:r>
          </w:hyperlink>
        </w:p>
        <w:p w14:paraId="31B980C3" w14:textId="3C29F011" w:rsidR="007E0237" w:rsidRDefault="007E0237">
          <w:pPr>
            <w:pStyle w:val="TOC1"/>
            <w:tabs>
              <w:tab w:val="right" w:leader="dot" w:pos="9350"/>
            </w:tabs>
            <w:rPr>
              <w:rFonts w:eastAsiaTheme="minorEastAsia"/>
              <w:noProof/>
              <w:sz w:val="24"/>
              <w:szCs w:val="24"/>
            </w:rPr>
          </w:pPr>
          <w:hyperlink w:anchor="_Toc189122749" w:history="1">
            <w:r w:rsidRPr="00EE3C7D">
              <w:rPr>
                <w:rStyle w:val="Hyperlink"/>
                <w:noProof/>
              </w:rPr>
              <w:t>Chapter 5. Load &amp; Energy Forecast</w:t>
            </w:r>
            <w:r>
              <w:rPr>
                <w:noProof/>
                <w:webHidden/>
              </w:rPr>
              <w:tab/>
            </w:r>
            <w:r>
              <w:rPr>
                <w:noProof/>
                <w:webHidden/>
              </w:rPr>
              <w:fldChar w:fldCharType="begin"/>
            </w:r>
            <w:r>
              <w:rPr>
                <w:noProof/>
                <w:webHidden/>
              </w:rPr>
              <w:instrText xml:space="preserve"> PAGEREF _Toc189122749 \h </w:instrText>
            </w:r>
            <w:r>
              <w:rPr>
                <w:noProof/>
                <w:webHidden/>
              </w:rPr>
            </w:r>
            <w:r>
              <w:rPr>
                <w:noProof/>
                <w:webHidden/>
              </w:rPr>
              <w:fldChar w:fldCharType="separate"/>
            </w:r>
            <w:r>
              <w:rPr>
                <w:noProof/>
                <w:webHidden/>
              </w:rPr>
              <w:t>35</w:t>
            </w:r>
            <w:r>
              <w:rPr>
                <w:noProof/>
                <w:webHidden/>
              </w:rPr>
              <w:fldChar w:fldCharType="end"/>
            </w:r>
          </w:hyperlink>
        </w:p>
        <w:p w14:paraId="348D7DA0" w14:textId="2BCDF9C6" w:rsidR="007E0237" w:rsidRDefault="007E0237">
          <w:pPr>
            <w:pStyle w:val="TOC1"/>
            <w:tabs>
              <w:tab w:val="right" w:leader="dot" w:pos="9350"/>
            </w:tabs>
            <w:rPr>
              <w:rFonts w:eastAsiaTheme="minorEastAsia"/>
              <w:noProof/>
              <w:sz w:val="24"/>
              <w:szCs w:val="24"/>
            </w:rPr>
          </w:pPr>
          <w:hyperlink w:anchor="_Toc189122750" w:history="1">
            <w:r w:rsidRPr="00EE3C7D">
              <w:rPr>
                <w:rStyle w:val="Hyperlink"/>
                <w:noProof/>
              </w:rPr>
              <w:t>Chapter 6. Reliability &amp; Resiliency Planning</w:t>
            </w:r>
            <w:r>
              <w:rPr>
                <w:noProof/>
                <w:webHidden/>
              </w:rPr>
              <w:tab/>
            </w:r>
            <w:r>
              <w:rPr>
                <w:noProof/>
                <w:webHidden/>
              </w:rPr>
              <w:fldChar w:fldCharType="begin"/>
            </w:r>
            <w:r>
              <w:rPr>
                <w:noProof/>
                <w:webHidden/>
              </w:rPr>
              <w:instrText xml:space="preserve"> PAGEREF _Toc189122750 \h </w:instrText>
            </w:r>
            <w:r>
              <w:rPr>
                <w:noProof/>
                <w:webHidden/>
              </w:rPr>
            </w:r>
            <w:r>
              <w:rPr>
                <w:noProof/>
                <w:webHidden/>
              </w:rPr>
              <w:fldChar w:fldCharType="separate"/>
            </w:r>
            <w:r>
              <w:rPr>
                <w:noProof/>
                <w:webHidden/>
              </w:rPr>
              <w:t>39</w:t>
            </w:r>
            <w:r>
              <w:rPr>
                <w:noProof/>
                <w:webHidden/>
              </w:rPr>
              <w:fldChar w:fldCharType="end"/>
            </w:r>
          </w:hyperlink>
        </w:p>
        <w:p w14:paraId="33193339" w14:textId="4C67981B" w:rsidR="007E0237" w:rsidRDefault="007E0237">
          <w:pPr>
            <w:pStyle w:val="TOC2"/>
            <w:tabs>
              <w:tab w:val="right" w:leader="dot" w:pos="9350"/>
            </w:tabs>
            <w:rPr>
              <w:rFonts w:eastAsiaTheme="minorEastAsia"/>
              <w:noProof/>
              <w:sz w:val="24"/>
              <w:szCs w:val="24"/>
            </w:rPr>
          </w:pPr>
          <w:hyperlink w:anchor="_Toc189122751" w:history="1">
            <w:r w:rsidRPr="00EE3C7D">
              <w:rPr>
                <w:rStyle w:val="Hyperlink"/>
                <w:noProof/>
              </w:rPr>
              <w:t>6.1 – Reserve Margin Study</w:t>
            </w:r>
            <w:r>
              <w:rPr>
                <w:noProof/>
                <w:webHidden/>
              </w:rPr>
              <w:tab/>
            </w:r>
            <w:r>
              <w:rPr>
                <w:noProof/>
                <w:webHidden/>
              </w:rPr>
              <w:fldChar w:fldCharType="begin"/>
            </w:r>
            <w:r>
              <w:rPr>
                <w:noProof/>
                <w:webHidden/>
              </w:rPr>
              <w:instrText xml:space="preserve"> PAGEREF _Toc189122751 \h </w:instrText>
            </w:r>
            <w:r>
              <w:rPr>
                <w:noProof/>
                <w:webHidden/>
              </w:rPr>
            </w:r>
            <w:r>
              <w:rPr>
                <w:noProof/>
                <w:webHidden/>
              </w:rPr>
              <w:fldChar w:fldCharType="separate"/>
            </w:r>
            <w:r>
              <w:rPr>
                <w:noProof/>
                <w:webHidden/>
              </w:rPr>
              <w:t>39</w:t>
            </w:r>
            <w:r>
              <w:rPr>
                <w:noProof/>
                <w:webHidden/>
              </w:rPr>
              <w:fldChar w:fldCharType="end"/>
            </w:r>
          </w:hyperlink>
        </w:p>
        <w:p w14:paraId="68CEF236" w14:textId="1BC160FD" w:rsidR="007E0237" w:rsidRDefault="007E0237">
          <w:pPr>
            <w:pStyle w:val="TOC2"/>
            <w:tabs>
              <w:tab w:val="right" w:leader="dot" w:pos="9350"/>
            </w:tabs>
            <w:rPr>
              <w:rFonts w:eastAsiaTheme="minorEastAsia"/>
              <w:noProof/>
              <w:sz w:val="24"/>
              <w:szCs w:val="24"/>
            </w:rPr>
          </w:pPr>
          <w:hyperlink w:anchor="_Toc189122752" w:history="1">
            <w:r w:rsidRPr="00EE3C7D">
              <w:rPr>
                <w:rStyle w:val="Hyperlink"/>
                <w:noProof/>
              </w:rPr>
              <w:t>6.2 – Reliability Planning Model</w:t>
            </w:r>
            <w:r>
              <w:rPr>
                <w:noProof/>
                <w:webHidden/>
              </w:rPr>
              <w:tab/>
            </w:r>
            <w:r>
              <w:rPr>
                <w:noProof/>
                <w:webHidden/>
              </w:rPr>
              <w:fldChar w:fldCharType="begin"/>
            </w:r>
            <w:r>
              <w:rPr>
                <w:noProof/>
                <w:webHidden/>
              </w:rPr>
              <w:instrText xml:space="preserve"> PAGEREF _Toc189122752 \h </w:instrText>
            </w:r>
            <w:r>
              <w:rPr>
                <w:noProof/>
                <w:webHidden/>
              </w:rPr>
            </w:r>
            <w:r>
              <w:rPr>
                <w:noProof/>
                <w:webHidden/>
              </w:rPr>
              <w:fldChar w:fldCharType="separate"/>
            </w:r>
            <w:r>
              <w:rPr>
                <w:noProof/>
                <w:webHidden/>
              </w:rPr>
              <w:t>41</w:t>
            </w:r>
            <w:r>
              <w:rPr>
                <w:noProof/>
                <w:webHidden/>
              </w:rPr>
              <w:fldChar w:fldCharType="end"/>
            </w:r>
          </w:hyperlink>
        </w:p>
        <w:p w14:paraId="662F0005" w14:textId="168F6364" w:rsidR="007E0237" w:rsidRDefault="007E0237">
          <w:pPr>
            <w:pStyle w:val="TOC2"/>
            <w:tabs>
              <w:tab w:val="right" w:leader="dot" w:pos="9350"/>
            </w:tabs>
            <w:rPr>
              <w:rFonts w:eastAsiaTheme="minorEastAsia"/>
              <w:noProof/>
              <w:sz w:val="24"/>
              <w:szCs w:val="24"/>
            </w:rPr>
          </w:pPr>
          <w:hyperlink w:anchor="_Toc189122753" w:history="1">
            <w:r w:rsidRPr="00EE3C7D">
              <w:rPr>
                <w:rStyle w:val="Hyperlink"/>
                <w:noProof/>
              </w:rPr>
              <w:t>6.3 – Capacity Equivalence</w:t>
            </w:r>
            <w:r>
              <w:rPr>
                <w:noProof/>
                <w:webHidden/>
              </w:rPr>
              <w:tab/>
            </w:r>
            <w:r>
              <w:rPr>
                <w:noProof/>
                <w:webHidden/>
              </w:rPr>
              <w:fldChar w:fldCharType="begin"/>
            </w:r>
            <w:r>
              <w:rPr>
                <w:noProof/>
                <w:webHidden/>
              </w:rPr>
              <w:instrText xml:space="preserve"> PAGEREF _Toc189122753 \h </w:instrText>
            </w:r>
            <w:r>
              <w:rPr>
                <w:noProof/>
                <w:webHidden/>
              </w:rPr>
            </w:r>
            <w:r>
              <w:rPr>
                <w:noProof/>
                <w:webHidden/>
              </w:rPr>
              <w:fldChar w:fldCharType="separate"/>
            </w:r>
            <w:r>
              <w:rPr>
                <w:noProof/>
                <w:webHidden/>
              </w:rPr>
              <w:t>41</w:t>
            </w:r>
            <w:r>
              <w:rPr>
                <w:noProof/>
                <w:webHidden/>
              </w:rPr>
              <w:fldChar w:fldCharType="end"/>
            </w:r>
          </w:hyperlink>
        </w:p>
        <w:p w14:paraId="3420AA11" w14:textId="3155FD7C" w:rsidR="007E0237" w:rsidRDefault="007E0237">
          <w:pPr>
            <w:pStyle w:val="TOC2"/>
            <w:tabs>
              <w:tab w:val="right" w:leader="dot" w:pos="9350"/>
            </w:tabs>
            <w:rPr>
              <w:rFonts w:eastAsiaTheme="minorEastAsia"/>
              <w:noProof/>
              <w:sz w:val="24"/>
              <w:szCs w:val="24"/>
            </w:rPr>
          </w:pPr>
          <w:hyperlink w:anchor="_Toc189122754" w:history="1">
            <w:r w:rsidRPr="00EE3C7D">
              <w:rPr>
                <w:rStyle w:val="Hyperlink"/>
                <w:noProof/>
              </w:rPr>
              <w:t>6.4 – Renewable Integration Study</w:t>
            </w:r>
            <w:r>
              <w:rPr>
                <w:noProof/>
                <w:webHidden/>
              </w:rPr>
              <w:tab/>
            </w:r>
            <w:r>
              <w:rPr>
                <w:noProof/>
                <w:webHidden/>
              </w:rPr>
              <w:fldChar w:fldCharType="begin"/>
            </w:r>
            <w:r>
              <w:rPr>
                <w:noProof/>
                <w:webHidden/>
              </w:rPr>
              <w:instrText xml:space="preserve"> PAGEREF _Toc189122754 \h </w:instrText>
            </w:r>
            <w:r>
              <w:rPr>
                <w:noProof/>
                <w:webHidden/>
              </w:rPr>
            </w:r>
            <w:r>
              <w:rPr>
                <w:noProof/>
                <w:webHidden/>
              </w:rPr>
              <w:fldChar w:fldCharType="separate"/>
            </w:r>
            <w:r>
              <w:rPr>
                <w:noProof/>
                <w:webHidden/>
              </w:rPr>
              <w:t>41</w:t>
            </w:r>
            <w:r>
              <w:rPr>
                <w:noProof/>
                <w:webHidden/>
              </w:rPr>
              <w:fldChar w:fldCharType="end"/>
            </w:r>
          </w:hyperlink>
        </w:p>
        <w:p w14:paraId="64291761" w14:textId="3BE7DEA4" w:rsidR="007E0237" w:rsidRDefault="007E0237">
          <w:pPr>
            <w:pStyle w:val="TOC1"/>
            <w:tabs>
              <w:tab w:val="right" w:leader="dot" w:pos="9350"/>
            </w:tabs>
            <w:rPr>
              <w:rFonts w:eastAsiaTheme="minorEastAsia"/>
              <w:noProof/>
              <w:sz w:val="24"/>
              <w:szCs w:val="24"/>
            </w:rPr>
          </w:pPr>
          <w:hyperlink w:anchor="_Toc189122755" w:history="1">
            <w:r w:rsidRPr="00EE3C7D">
              <w:rPr>
                <w:rStyle w:val="Hyperlink"/>
                <w:noProof/>
              </w:rPr>
              <w:t>Chapter 7. Demand-Side Strategy</w:t>
            </w:r>
            <w:r>
              <w:rPr>
                <w:noProof/>
                <w:webHidden/>
              </w:rPr>
              <w:tab/>
            </w:r>
            <w:r>
              <w:rPr>
                <w:noProof/>
                <w:webHidden/>
              </w:rPr>
              <w:fldChar w:fldCharType="begin"/>
            </w:r>
            <w:r>
              <w:rPr>
                <w:noProof/>
                <w:webHidden/>
              </w:rPr>
              <w:instrText xml:space="preserve"> PAGEREF _Toc189122755 \h </w:instrText>
            </w:r>
            <w:r>
              <w:rPr>
                <w:noProof/>
                <w:webHidden/>
              </w:rPr>
            </w:r>
            <w:r>
              <w:rPr>
                <w:noProof/>
                <w:webHidden/>
              </w:rPr>
              <w:fldChar w:fldCharType="separate"/>
            </w:r>
            <w:r>
              <w:rPr>
                <w:noProof/>
                <w:webHidden/>
              </w:rPr>
              <w:t>45</w:t>
            </w:r>
            <w:r>
              <w:rPr>
                <w:noProof/>
                <w:webHidden/>
              </w:rPr>
              <w:fldChar w:fldCharType="end"/>
            </w:r>
          </w:hyperlink>
        </w:p>
        <w:p w14:paraId="1772CFD7" w14:textId="2996D8E2" w:rsidR="007E0237" w:rsidRDefault="007E0237">
          <w:pPr>
            <w:pStyle w:val="TOC2"/>
            <w:tabs>
              <w:tab w:val="right" w:leader="dot" w:pos="9350"/>
            </w:tabs>
            <w:rPr>
              <w:rFonts w:eastAsiaTheme="minorEastAsia"/>
              <w:noProof/>
              <w:sz w:val="24"/>
              <w:szCs w:val="24"/>
            </w:rPr>
          </w:pPr>
          <w:hyperlink w:anchor="_Toc189122756" w:history="1">
            <w:r w:rsidRPr="00EE3C7D">
              <w:rPr>
                <w:rStyle w:val="Hyperlink"/>
                <w:noProof/>
              </w:rPr>
              <w:t>7.1 – Review of Significant Events Since the 2022 IRP and 2023 IRP Update</w:t>
            </w:r>
            <w:r>
              <w:rPr>
                <w:noProof/>
                <w:webHidden/>
              </w:rPr>
              <w:tab/>
            </w:r>
            <w:r>
              <w:rPr>
                <w:noProof/>
                <w:webHidden/>
              </w:rPr>
              <w:fldChar w:fldCharType="begin"/>
            </w:r>
            <w:r>
              <w:rPr>
                <w:noProof/>
                <w:webHidden/>
              </w:rPr>
              <w:instrText xml:space="preserve"> PAGEREF _Toc189122756 \h </w:instrText>
            </w:r>
            <w:r>
              <w:rPr>
                <w:noProof/>
                <w:webHidden/>
              </w:rPr>
            </w:r>
            <w:r>
              <w:rPr>
                <w:noProof/>
                <w:webHidden/>
              </w:rPr>
              <w:fldChar w:fldCharType="separate"/>
            </w:r>
            <w:r>
              <w:rPr>
                <w:noProof/>
                <w:webHidden/>
              </w:rPr>
              <w:t>45</w:t>
            </w:r>
            <w:r>
              <w:rPr>
                <w:noProof/>
                <w:webHidden/>
              </w:rPr>
              <w:fldChar w:fldCharType="end"/>
            </w:r>
          </w:hyperlink>
        </w:p>
        <w:p w14:paraId="2A9C184A" w14:textId="65FA0F09" w:rsidR="007E0237" w:rsidRDefault="007E0237">
          <w:pPr>
            <w:pStyle w:val="TOC2"/>
            <w:tabs>
              <w:tab w:val="right" w:leader="dot" w:pos="9350"/>
            </w:tabs>
            <w:rPr>
              <w:rFonts w:eastAsiaTheme="minorEastAsia"/>
              <w:noProof/>
              <w:sz w:val="24"/>
              <w:szCs w:val="24"/>
            </w:rPr>
          </w:pPr>
          <w:hyperlink w:anchor="_Toc189122757" w:history="1">
            <w:r w:rsidRPr="00EE3C7D">
              <w:rPr>
                <w:rStyle w:val="Hyperlink"/>
                <w:noProof/>
              </w:rPr>
              <w:t>7.2 – Discussion of Current and Proposed DSM Programs</w:t>
            </w:r>
            <w:r>
              <w:rPr>
                <w:noProof/>
                <w:webHidden/>
              </w:rPr>
              <w:tab/>
            </w:r>
            <w:r>
              <w:rPr>
                <w:noProof/>
                <w:webHidden/>
              </w:rPr>
              <w:fldChar w:fldCharType="begin"/>
            </w:r>
            <w:r>
              <w:rPr>
                <w:noProof/>
                <w:webHidden/>
              </w:rPr>
              <w:instrText xml:space="preserve"> PAGEREF _Toc189122757 \h </w:instrText>
            </w:r>
            <w:r>
              <w:rPr>
                <w:noProof/>
                <w:webHidden/>
              </w:rPr>
            </w:r>
            <w:r>
              <w:rPr>
                <w:noProof/>
                <w:webHidden/>
              </w:rPr>
              <w:fldChar w:fldCharType="separate"/>
            </w:r>
            <w:r>
              <w:rPr>
                <w:noProof/>
                <w:webHidden/>
              </w:rPr>
              <w:t>47</w:t>
            </w:r>
            <w:r>
              <w:rPr>
                <w:noProof/>
                <w:webHidden/>
              </w:rPr>
              <w:fldChar w:fldCharType="end"/>
            </w:r>
          </w:hyperlink>
        </w:p>
        <w:p w14:paraId="415C96AA" w14:textId="5BAE5C98" w:rsidR="007E0237" w:rsidRDefault="007E0237">
          <w:pPr>
            <w:pStyle w:val="TOC2"/>
            <w:tabs>
              <w:tab w:val="right" w:leader="dot" w:pos="9350"/>
            </w:tabs>
            <w:rPr>
              <w:rFonts w:eastAsiaTheme="minorEastAsia"/>
              <w:noProof/>
              <w:sz w:val="24"/>
              <w:szCs w:val="24"/>
            </w:rPr>
          </w:pPr>
          <w:hyperlink w:anchor="_Toc189122758" w:history="1">
            <w:r w:rsidRPr="00EE3C7D">
              <w:rPr>
                <w:rStyle w:val="Hyperlink"/>
                <w:noProof/>
              </w:rPr>
              <w:t>7.3 – DSM Resource Assessment and Initial Cost-Effectiveness Screening</w:t>
            </w:r>
            <w:r>
              <w:rPr>
                <w:noProof/>
                <w:webHidden/>
              </w:rPr>
              <w:tab/>
            </w:r>
            <w:r>
              <w:rPr>
                <w:noProof/>
                <w:webHidden/>
              </w:rPr>
              <w:fldChar w:fldCharType="begin"/>
            </w:r>
            <w:r>
              <w:rPr>
                <w:noProof/>
                <w:webHidden/>
              </w:rPr>
              <w:instrText xml:space="preserve"> PAGEREF _Toc189122758 \h </w:instrText>
            </w:r>
            <w:r>
              <w:rPr>
                <w:noProof/>
                <w:webHidden/>
              </w:rPr>
            </w:r>
            <w:r>
              <w:rPr>
                <w:noProof/>
                <w:webHidden/>
              </w:rPr>
              <w:fldChar w:fldCharType="separate"/>
            </w:r>
            <w:r>
              <w:rPr>
                <w:noProof/>
                <w:webHidden/>
              </w:rPr>
              <w:t>51</w:t>
            </w:r>
            <w:r>
              <w:rPr>
                <w:noProof/>
                <w:webHidden/>
              </w:rPr>
              <w:fldChar w:fldCharType="end"/>
            </w:r>
          </w:hyperlink>
        </w:p>
        <w:p w14:paraId="180CD20D" w14:textId="39E4A419" w:rsidR="007E0237" w:rsidRDefault="007E0237">
          <w:pPr>
            <w:pStyle w:val="TOC2"/>
            <w:tabs>
              <w:tab w:val="right" w:leader="dot" w:pos="9350"/>
            </w:tabs>
            <w:rPr>
              <w:rFonts w:eastAsiaTheme="minorEastAsia"/>
              <w:noProof/>
              <w:sz w:val="24"/>
              <w:szCs w:val="24"/>
            </w:rPr>
          </w:pPr>
          <w:hyperlink w:anchor="_Toc189122759" w:history="1">
            <w:r w:rsidRPr="00EE3C7D">
              <w:rPr>
                <w:rStyle w:val="Hyperlink"/>
                <w:noProof/>
              </w:rPr>
              <w:t>7.4 – Demand-Side Program Development</w:t>
            </w:r>
            <w:r>
              <w:rPr>
                <w:noProof/>
                <w:webHidden/>
              </w:rPr>
              <w:tab/>
            </w:r>
            <w:r>
              <w:rPr>
                <w:noProof/>
                <w:webHidden/>
              </w:rPr>
              <w:fldChar w:fldCharType="begin"/>
            </w:r>
            <w:r>
              <w:rPr>
                <w:noProof/>
                <w:webHidden/>
              </w:rPr>
              <w:instrText xml:space="preserve"> PAGEREF _Toc189122759 \h </w:instrText>
            </w:r>
            <w:r>
              <w:rPr>
                <w:noProof/>
                <w:webHidden/>
              </w:rPr>
            </w:r>
            <w:r>
              <w:rPr>
                <w:noProof/>
                <w:webHidden/>
              </w:rPr>
              <w:fldChar w:fldCharType="separate"/>
            </w:r>
            <w:r>
              <w:rPr>
                <w:noProof/>
                <w:webHidden/>
              </w:rPr>
              <w:t>54</w:t>
            </w:r>
            <w:r>
              <w:rPr>
                <w:noProof/>
                <w:webHidden/>
              </w:rPr>
              <w:fldChar w:fldCharType="end"/>
            </w:r>
          </w:hyperlink>
        </w:p>
        <w:p w14:paraId="3EE2EB7A" w14:textId="04B1324E" w:rsidR="007E0237" w:rsidRDefault="007E0237">
          <w:pPr>
            <w:pStyle w:val="TOC2"/>
            <w:tabs>
              <w:tab w:val="right" w:leader="dot" w:pos="9350"/>
            </w:tabs>
            <w:rPr>
              <w:rFonts w:eastAsiaTheme="minorEastAsia"/>
              <w:noProof/>
              <w:sz w:val="24"/>
              <w:szCs w:val="24"/>
            </w:rPr>
          </w:pPr>
          <w:hyperlink w:anchor="_Toc189122760" w:history="1">
            <w:r w:rsidRPr="00EE3C7D">
              <w:rPr>
                <w:rStyle w:val="Hyperlink"/>
                <w:noProof/>
              </w:rPr>
              <w:t>7.5 – Regulatory Treatment of DSM Program Costs and the Additional Sum</w:t>
            </w:r>
            <w:r>
              <w:rPr>
                <w:noProof/>
                <w:webHidden/>
              </w:rPr>
              <w:tab/>
            </w:r>
            <w:r>
              <w:rPr>
                <w:noProof/>
                <w:webHidden/>
              </w:rPr>
              <w:fldChar w:fldCharType="begin"/>
            </w:r>
            <w:r>
              <w:rPr>
                <w:noProof/>
                <w:webHidden/>
              </w:rPr>
              <w:instrText xml:space="preserve"> PAGEREF _Toc189122760 \h </w:instrText>
            </w:r>
            <w:r>
              <w:rPr>
                <w:noProof/>
                <w:webHidden/>
              </w:rPr>
            </w:r>
            <w:r>
              <w:rPr>
                <w:noProof/>
                <w:webHidden/>
              </w:rPr>
              <w:fldChar w:fldCharType="separate"/>
            </w:r>
            <w:r>
              <w:rPr>
                <w:noProof/>
                <w:webHidden/>
              </w:rPr>
              <w:t>55</w:t>
            </w:r>
            <w:r>
              <w:rPr>
                <w:noProof/>
                <w:webHidden/>
              </w:rPr>
              <w:fldChar w:fldCharType="end"/>
            </w:r>
          </w:hyperlink>
        </w:p>
        <w:p w14:paraId="22708E59" w14:textId="04FC812D" w:rsidR="007E0237" w:rsidRDefault="007E0237">
          <w:pPr>
            <w:pStyle w:val="TOC2"/>
            <w:tabs>
              <w:tab w:val="right" w:leader="dot" w:pos="9350"/>
            </w:tabs>
            <w:rPr>
              <w:rFonts w:eastAsiaTheme="minorEastAsia"/>
              <w:noProof/>
              <w:sz w:val="24"/>
              <w:szCs w:val="24"/>
            </w:rPr>
          </w:pPr>
          <w:hyperlink w:anchor="_Toc189122761" w:history="1">
            <w:r w:rsidRPr="00EE3C7D">
              <w:rPr>
                <w:rStyle w:val="Hyperlink"/>
                <w:noProof/>
              </w:rPr>
              <w:t>7.6 – Summary of DSM Cases</w:t>
            </w:r>
            <w:r>
              <w:rPr>
                <w:noProof/>
                <w:webHidden/>
              </w:rPr>
              <w:tab/>
            </w:r>
            <w:r>
              <w:rPr>
                <w:noProof/>
                <w:webHidden/>
              </w:rPr>
              <w:fldChar w:fldCharType="begin"/>
            </w:r>
            <w:r>
              <w:rPr>
                <w:noProof/>
                <w:webHidden/>
              </w:rPr>
              <w:instrText xml:space="preserve"> PAGEREF _Toc189122761 \h </w:instrText>
            </w:r>
            <w:r>
              <w:rPr>
                <w:noProof/>
                <w:webHidden/>
              </w:rPr>
            </w:r>
            <w:r>
              <w:rPr>
                <w:noProof/>
                <w:webHidden/>
              </w:rPr>
              <w:fldChar w:fldCharType="separate"/>
            </w:r>
            <w:r>
              <w:rPr>
                <w:noProof/>
                <w:webHidden/>
              </w:rPr>
              <w:t>56</w:t>
            </w:r>
            <w:r>
              <w:rPr>
                <w:noProof/>
                <w:webHidden/>
              </w:rPr>
              <w:fldChar w:fldCharType="end"/>
            </w:r>
          </w:hyperlink>
        </w:p>
        <w:p w14:paraId="5311BCCE" w14:textId="1F728580" w:rsidR="007E0237" w:rsidRDefault="007E0237">
          <w:pPr>
            <w:pStyle w:val="TOC2"/>
            <w:tabs>
              <w:tab w:val="right" w:leader="dot" w:pos="9350"/>
            </w:tabs>
            <w:rPr>
              <w:rFonts w:eastAsiaTheme="minorEastAsia"/>
              <w:noProof/>
              <w:sz w:val="24"/>
              <w:szCs w:val="24"/>
            </w:rPr>
          </w:pPr>
          <w:hyperlink w:anchor="_Toc189122762" w:history="1">
            <w:r w:rsidRPr="00EE3C7D">
              <w:rPr>
                <w:rStyle w:val="Hyperlink"/>
                <w:noProof/>
              </w:rPr>
              <w:t>7.7 – DSM Action Plan</w:t>
            </w:r>
            <w:r>
              <w:rPr>
                <w:noProof/>
                <w:webHidden/>
              </w:rPr>
              <w:tab/>
            </w:r>
            <w:r>
              <w:rPr>
                <w:noProof/>
                <w:webHidden/>
              </w:rPr>
              <w:fldChar w:fldCharType="begin"/>
            </w:r>
            <w:r>
              <w:rPr>
                <w:noProof/>
                <w:webHidden/>
              </w:rPr>
              <w:instrText xml:space="preserve"> PAGEREF _Toc189122762 \h </w:instrText>
            </w:r>
            <w:r>
              <w:rPr>
                <w:noProof/>
                <w:webHidden/>
              </w:rPr>
            </w:r>
            <w:r>
              <w:rPr>
                <w:noProof/>
                <w:webHidden/>
              </w:rPr>
              <w:fldChar w:fldCharType="separate"/>
            </w:r>
            <w:r>
              <w:rPr>
                <w:noProof/>
                <w:webHidden/>
              </w:rPr>
              <w:t>58</w:t>
            </w:r>
            <w:r>
              <w:rPr>
                <w:noProof/>
                <w:webHidden/>
              </w:rPr>
              <w:fldChar w:fldCharType="end"/>
            </w:r>
          </w:hyperlink>
        </w:p>
        <w:p w14:paraId="6A8507D2" w14:textId="479D8DE2" w:rsidR="007E0237" w:rsidRDefault="007E0237">
          <w:pPr>
            <w:pStyle w:val="TOC1"/>
            <w:tabs>
              <w:tab w:val="right" w:leader="dot" w:pos="9350"/>
            </w:tabs>
            <w:rPr>
              <w:rFonts w:eastAsiaTheme="minorEastAsia"/>
              <w:noProof/>
              <w:sz w:val="24"/>
              <w:szCs w:val="24"/>
            </w:rPr>
          </w:pPr>
          <w:hyperlink w:anchor="_Toc189122763" w:history="1">
            <w:r w:rsidRPr="00EE3C7D">
              <w:rPr>
                <w:rStyle w:val="Hyperlink"/>
                <w:noProof/>
              </w:rPr>
              <w:t>Chapter 8. Supply-Side Strategy</w:t>
            </w:r>
            <w:r>
              <w:rPr>
                <w:noProof/>
                <w:webHidden/>
              </w:rPr>
              <w:tab/>
            </w:r>
            <w:r>
              <w:rPr>
                <w:noProof/>
                <w:webHidden/>
              </w:rPr>
              <w:fldChar w:fldCharType="begin"/>
            </w:r>
            <w:r>
              <w:rPr>
                <w:noProof/>
                <w:webHidden/>
              </w:rPr>
              <w:instrText xml:space="preserve"> PAGEREF _Toc189122763 \h </w:instrText>
            </w:r>
            <w:r>
              <w:rPr>
                <w:noProof/>
                <w:webHidden/>
              </w:rPr>
            </w:r>
            <w:r>
              <w:rPr>
                <w:noProof/>
                <w:webHidden/>
              </w:rPr>
              <w:fldChar w:fldCharType="separate"/>
            </w:r>
            <w:r>
              <w:rPr>
                <w:noProof/>
                <w:webHidden/>
              </w:rPr>
              <w:t>59</w:t>
            </w:r>
            <w:r>
              <w:rPr>
                <w:noProof/>
                <w:webHidden/>
              </w:rPr>
              <w:fldChar w:fldCharType="end"/>
            </w:r>
          </w:hyperlink>
        </w:p>
        <w:p w14:paraId="0C89ED17" w14:textId="28FA95A6" w:rsidR="007E0237" w:rsidRDefault="007E0237">
          <w:pPr>
            <w:pStyle w:val="TOC2"/>
            <w:tabs>
              <w:tab w:val="right" w:leader="dot" w:pos="9350"/>
            </w:tabs>
            <w:rPr>
              <w:rFonts w:eastAsiaTheme="minorEastAsia"/>
              <w:noProof/>
              <w:sz w:val="24"/>
              <w:szCs w:val="24"/>
            </w:rPr>
          </w:pPr>
          <w:hyperlink w:anchor="_Toc189122764" w:history="1">
            <w:r w:rsidRPr="00EE3C7D">
              <w:rPr>
                <w:rStyle w:val="Hyperlink"/>
                <w:noProof/>
              </w:rPr>
              <w:t>8.1 – Capacity Needs</w:t>
            </w:r>
            <w:r>
              <w:rPr>
                <w:noProof/>
                <w:webHidden/>
              </w:rPr>
              <w:tab/>
            </w:r>
            <w:r>
              <w:rPr>
                <w:noProof/>
                <w:webHidden/>
              </w:rPr>
              <w:fldChar w:fldCharType="begin"/>
            </w:r>
            <w:r>
              <w:rPr>
                <w:noProof/>
                <w:webHidden/>
              </w:rPr>
              <w:instrText xml:space="preserve"> PAGEREF _Toc189122764 \h </w:instrText>
            </w:r>
            <w:r>
              <w:rPr>
                <w:noProof/>
                <w:webHidden/>
              </w:rPr>
            </w:r>
            <w:r>
              <w:rPr>
                <w:noProof/>
                <w:webHidden/>
              </w:rPr>
              <w:fldChar w:fldCharType="separate"/>
            </w:r>
            <w:r>
              <w:rPr>
                <w:noProof/>
                <w:webHidden/>
              </w:rPr>
              <w:t>60</w:t>
            </w:r>
            <w:r>
              <w:rPr>
                <w:noProof/>
                <w:webHidden/>
              </w:rPr>
              <w:fldChar w:fldCharType="end"/>
            </w:r>
          </w:hyperlink>
        </w:p>
        <w:p w14:paraId="2259511E" w14:textId="23E3AE05" w:rsidR="007E0237" w:rsidRDefault="007E0237">
          <w:pPr>
            <w:pStyle w:val="TOC2"/>
            <w:tabs>
              <w:tab w:val="right" w:leader="dot" w:pos="9350"/>
            </w:tabs>
            <w:rPr>
              <w:rFonts w:eastAsiaTheme="minorEastAsia"/>
              <w:noProof/>
              <w:sz w:val="24"/>
              <w:szCs w:val="24"/>
            </w:rPr>
          </w:pPr>
          <w:hyperlink w:anchor="_Toc189122765" w:history="1">
            <w:r w:rsidRPr="00EE3C7D">
              <w:rPr>
                <w:rStyle w:val="Hyperlink"/>
                <w:noProof/>
              </w:rPr>
              <w:t>8.2 – Unit Retirements</w:t>
            </w:r>
            <w:r>
              <w:rPr>
                <w:noProof/>
                <w:webHidden/>
              </w:rPr>
              <w:tab/>
            </w:r>
            <w:r>
              <w:rPr>
                <w:noProof/>
                <w:webHidden/>
              </w:rPr>
              <w:fldChar w:fldCharType="begin"/>
            </w:r>
            <w:r>
              <w:rPr>
                <w:noProof/>
                <w:webHidden/>
              </w:rPr>
              <w:instrText xml:space="preserve"> PAGEREF _Toc189122765 \h </w:instrText>
            </w:r>
            <w:r>
              <w:rPr>
                <w:noProof/>
                <w:webHidden/>
              </w:rPr>
            </w:r>
            <w:r>
              <w:rPr>
                <w:noProof/>
                <w:webHidden/>
              </w:rPr>
              <w:fldChar w:fldCharType="separate"/>
            </w:r>
            <w:r>
              <w:rPr>
                <w:noProof/>
                <w:webHidden/>
              </w:rPr>
              <w:t>62</w:t>
            </w:r>
            <w:r>
              <w:rPr>
                <w:noProof/>
                <w:webHidden/>
              </w:rPr>
              <w:fldChar w:fldCharType="end"/>
            </w:r>
          </w:hyperlink>
        </w:p>
        <w:p w14:paraId="5789A37E" w14:textId="3EE0636E" w:rsidR="007E0237" w:rsidRDefault="007E0237">
          <w:pPr>
            <w:pStyle w:val="TOC2"/>
            <w:tabs>
              <w:tab w:val="right" w:leader="dot" w:pos="9350"/>
            </w:tabs>
            <w:rPr>
              <w:rFonts w:eastAsiaTheme="minorEastAsia"/>
              <w:noProof/>
              <w:sz w:val="24"/>
              <w:szCs w:val="24"/>
            </w:rPr>
          </w:pPr>
          <w:hyperlink w:anchor="_Toc189122766" w:history="1">
            <w:r w:rsidRPr="00EE3C7D">
              <w:rPr>
                <w:rStyle w:val="Hyperlink"/>
                <w:noProof/>
              </w:rPr>
              <w:t>8.3 – Gas Unit Upgrades</w:t>
            </w:r>
            <w:r>
              <w:rPr>
                <w:noProof/>
                <w:webHidden/>
              </w:rPr>
              <w:tab/>
            </w:r>
            <w:r>
              <w:rPr>
                <w:noProof/>
                <w:webHidden/>
              </w:rPr>
              <w:fldChar w:fldCharType="begin"/>
            </w:r>
            <w:r>
              <w:rPr>
                <w:noProof/>
                <w:webHidden/>
              </w:rPr>
              <w:instrText xml:space="preserve"> PAGEREF _Toc189122766 \h </w:instrText>
            </w:r>
            <w:r>
              <w:rPr>
                <w:noProof/>
                <w:webHidden/>
              </w:rPr>
            </w:r>
            <w:r>
              <w:rPr>
                <w:noProof/>
                <w:webHidden/>
              </w:rPr>
              <w:fldChar w:fldCharType="separate"/>
            </w:r>
            <w:r>
              <w:rPr>
                <w:noProof/>
                <w:webHidden/>
              </w:rPr>
              <w:t>64</w:t>
            </w:r>
            <w:r>
              <w:rPr>
                <w:noProof/>
                <w:webHidden/>
              </w:rPr>
              <w:fldChar w:fldCharType="end"/>
            </w:r>
          </w:hyperlink>
        </w:p>
        <w:p w14:paraId="5652106F" w14:textId="5C66D6EF" w:rsidR="007E0237" w:rsidRDefault="007E0237">
          <w:pPr>
            <w:pStyle w:val="TOC2"/>
            <w:tabs>
              <w:tab w:val="right" w:leader="dot" w:pos="9350"/>
            </w:tabs>
            <w:rPr>
              <w:rFonts w:eastAsiaTheme="minorEastAsia"/>
              <w:noProof/>
              <w:sz w:val="24"/>
              <w:szCs w:val="24"/>
            </w:rPr>
          </w:pPr>
          <w:hyperlink w:anchor="_Toc189122767" w:history="1">
            <w:r w:rsidRPr="00EE3C7D">
              <w:rPr>
                <w:rStyle w:val="Hyperlink"/>
                <w:noProof/>
              </w:rPr>
              <w:t>8.4 – Nuclear Unit Upgrades</w:t>
            </w:r>
            <w:r>
              <w:rPr>
                <w:noProof/>
                <w:webHidden/>
              </w:rPr>
              <w:tab/>
            </w:r>
            <w:r>
              <w:rPr>
                <w:noProof/>
                <w:webHidden/>
              </w:rPr>
              <w:fldChar w:fldCharType="begin"/>
            </w:r>
            <w:r>
              <w:rPr>
                <w:noProof/>
                <w:webHidden/>
              </w:rPr>
              <w:instrText xml:space="preserve"> PAGEREF _Toc189122767 \h </w:instrText>
            </w:r>
            <w:r>
              <w:rPr>
                <w:noProof/>
                <w:webHidden/>
              </w:rPr>
            </w:r>
            <w:r>
              <w:rPr>
                <w:noProof/>
                <w:webHidden/>
              </w:rPr>
              <w:fldChar w:fldCharType="separate"/>
            </w:r>
            <w:r>
              <w:rPr>
                <w:noProof/>
                <w:webHidden/>
              </w:rPr>
              <w:t>65</w:t>
            </w:r>
            <w:r>
              <w:rPr>
                <w:noProof/>
                <w:webHidden/>
              </w:rPr>
              <w:fldChar w:fldCharType="end"/>
            </w:r>
          </w:hyperlink>
        </w:p>
        <w:p w14:paraId="254D4F3D" w14:textId="48AEE402" w:rsidR="007E0237" w:rsidRDefault="007E0237">
          <w:pPr>
            <w:pStyle w:val="TOC2"/>
            <w:tabs>
              <w:tab w:val="right" w:leader="dot" w:pos="9350"/>
            </w:tabs>
            <w:rPr>
              <w:rFonts w:eastAsiaTheme="minorEastAsia"/>
              <w:noProof/>
              <w:sz w:val="24"/>
              <w:szCs w:val="24"/>
            </w:rPr>
          </w:pPr>
          <w:hyperlink w:anchor="_Toc189122768" w:history="1">
            <w:r w:rsidRPr="00EE3C7D">
              <w:rPr>
                <w:rStyle w:val="Hyperlink"/>
                <w:noProof/>
              </w:rPr>
              <w:t>8.5 – Wholesale-to-Retail Offer</w:t>
            </w:r>
            <w:r>
              <w:rPr>
                <w:noProof/>
                <w:webHidden/>
              </w:rPr>
              <w:tab/>
            </w:r>
            <w:r>
              <w:rPr>
                <w:noProof/>
                <w:webHidden/>
              </w:rPr>
              <w:fldChar w:fldCharType="begin"/>
            </w:r>
            <w:r>
              <w:rPr>
                <w:noProof/>
                <w:webHidden/>
              </w:rPr>
              <w:instrText xml:space="preserve"> PAGEREF _Toc189122768 \h </w:instrText>
            </w:r>
            <w:r>
              <w:rPr>
                <w:noProof/>
                <w:webHidden/>
              </w:rPr>
            </w:r>
            <w:r>
              <w:rPr>
                <w:noProof/>
                <w:webHidden/>
              </w:rPr>
              <w:fldChar w:fldCharType="separate"/>
            </w:r>
            <w:r>
              <w:rPr>
                <w:noProof/>
                <w:webHidden/>
              </w:rPr>
              <w:t>66</w:t>
            </w:r>
            <w:r>
              <w:rPr>
                <w:noProof/>
                <w:webHidden/>
              </w:rPr>
              <w:fldChar w:fldCharType="end"/>
            </w:r>
          </w:hyperlink>
        </w:p>
        <w:p w14:paraId="21E593A1" w14:textId="1248DDEA" w:rsidR="007E0237" w:rsidRDefault="007E0237">
          <w:pPr>
            <w:pStyle w:val="TOC2"/>
            <w:tabs>
              <w:tab w:val="right" w:leader="dot" w:pos="9350"/>
            </w:tabs>
            <w:rPr>
              <w:rFonts w:eastAsiaTheme="minorEastAsia"/>
              <w:noProof/>
              <w:sz w:val="24"/>
              <w:szCs w:val="24"/>
            </w:rPr>
          </w:pPr>
          <w:hyperlink w:anchor="_Toc189122769" w:history="1">
            <w:r w:rsidRPr="00EE3C7D">
              <w:rPr>
                <w:rStyle w:val="Hyperlink"/>
                <w:noProof/>
              </w:rPr>
              <w:t>8.6 – Hydro Modernization</w:t>
            </w:r>
            <w:r>
              <w:rPr>
                <w:noProof/>
                <w:webHidden/>
              </w:rPr>
              <w:tab/>
            </w:r>
            <w:r>
              <w:rPr>
                <w:noProof/>
                <w:webHidden/>
              </w:rPr>
              <w:fldChar w:fldCharType="begin"/>
            </w:r>
            <w:r>
              <w:rPr>
                <w:noProof/>
                <w:webHidden/>
              </w:rPr>
              <w:instrText xml:space="preserve"> PAGEREF _Toc189122769 \h </w:instrText>
            </w:r>
            <w:r>
              <w:rPr>
                <w:noProof/>
                <w:webHidden/>
              </w:rPr>
            </w:r>
            <w:r>
              <w:rPr>
                <w:noProof/>
                <w:webHidden/>
              </w:rPr>
              <w:fldChar w:fldCharType="separate"/>
            </w:r>
            <w:r>
              <w:rPr>
                <w:noProof/>
                <w:webHidden/>
              </w:rPr>
              <w:t>67</w:t>
            </w:r>
            <w:r>
              <w:rPr>
                <w:noProof/>
                <w:webHidden/>
              </w:rPr>
              <w:fldChar w:fldCharType="end"/>
            </w:r>
          </w:hyperlink>
        </w:p>
        <w:p w14:paraId="7F5D515D" w14:textId="2CC4EA91" w:rsidR="007E0237" w:rsidRDefault="007E0237">
          <w:pPr>
            <w:pStyle w:val="TOC2"/>
            <w:tabs>
              <w:tab w:val="right" w:leader="dot" w:pos="9350"/>
            </w:tabs>
            <w:rPr>
              <w:rFonts w:eastAsiaTheme="minorEastAsia"/>
              <w:noProof/>
              <w:sz w:val="24"/>
              <w:szCs w:val="24"/>
            </w:rPr>
          </w:pPr>
          <w:hyperlink w:anchor="_Toc189122770" w:history="1">
            <w:r w:rsidRPr="00EE3C7D">
              <w:rPr>
                <w:rStyle w:val="Hyperlink"/>
                <w:noProof/>
              </w:rPr>
              <w:t>8.7 – Update on 80 MW Energy Storage Demonstration Projects</w:t>
            </w:r>
            <w:r>
              <w:rPr>
                <w:noProof/>
                <w:webHidden/>
              </w:rPr>
              <w:tab/>
            </w:r>
            <w:r>
              <w:rPr>
                <w:noProof/>
                <w:webHidden/>
              </w:rPr>
              <w:fldChar w:fldCharType="begin"/>
            </w:r>
            <w:r>
              <w:rPr>
                <w:noProof/>
                <w:webHidden/>
              </w:rPr>
              <w:instrText xml:space="preserve"> PAGEREF _Toc189122770 \h </w:instrText>
            </w:r>
            <w:r>
              <w:rPr>
                <w:noProof/>
                <w:webHidden/>
              </w:rPr>
            </w:r>
            <w:r>
              <w:rPr>
                <w:noProof/>
                <w:webHidden/>
              </w:rPr>
              <w:fldChar w:fldCharType="separate"/>
            </w:r>
            <w:r>
              <w:rPr>
                <w:noProof/>
                <w:webHidden/>
              </w:rPr>
              <w:t>70</w:t>
            </w:r>
            <w:r>
              <w:rPr>
                <w:noProof/>
                <w:webHidden/>
              </w:rPr>
              <w:fldChar w:fldCharType="end"/>
            </w:r>
          </w:hyperlink>
        </w:p>
        <w:p w14:paraId="3A0760BC" w14:textId="33337218" w:rsidR="007E0237" w:rsidRDefault="007E0237">
          <w:pPr>
            <w:pStyle w:val="TOC2"/>
            <w:tabs>
              <w:tab w:val="right" w:leader="dot" w:pos="9350"/>
            </w:tabs>
            <w:rPr>
              <w:rFonts w:eastAsiaTheme="minorEastAsia"/>
              <w:noProof/>
              <w:sz w:val="24"/>
              <w:szCs w:val="24"/>
            </w:rPr>
          </w:pPr>
          <w:hyperlink w:anchor="_Toc189122771" w:history="1">
            <w:r w:rsidRPr="00EE3C7D">
              <w:rPr>
                <w:rStyle w:val="Hyperlink"/>
                <w:noProof/>
              </w:rPr>
              <w:t>8.8 – Blackstart Units</w:t>
            </w:r>
            <w:r>
              <w:rPr>
                <w:noProof/>
                <w:webHidden/>
              </w:rPr>
              <w:tab/>
            </w:r>
            <w:r>
              <w:rPr>
                <w:noProof/>
                <w:webHidden/>
              </w:rPr>
              <w:fldChar w:fldCharType="begin"/>
            </w:r>
            <w:r>
              <w:rPr>
                <w:noProof/>
                <w:webHidden/>
              </w:rPr>
              <w:instrText xml:space="preserve"> PAGEREF _Toc189122771 \h </w:instrText>
            </w:r>
            <w:r>
              <w:rPr>
                <w:noProof/>
                <w:webHidden/>
              </w:rPr>
            </w:r>
            <w:r>
              <w:rPr>
                <w:noProof/>
                <w:webHidden/>
              </w:rPr>
              <w:fldChar w:fldCharType="separate"/>
            </w:r>
            <w:r>
              <w:rPr>
                <w:noProof/>
                <w:webHidden/>
              </w:rPr>
              <w:t>71</w:t>
            </w:r>
            <w:r>
              <w:rPr>
                <w:noProof/>
                <w:webHidden/>
              </w:rPr>
              <w:fldChar w:fldCharType="end"/>
            </w:r>
          </w:hyperlink>
        </w:p>
        <w:p w14:paraId="4816E131" w14:textId="65E8A113" w:rsidR="007E0237" w:rsidRDefault="007E0237">
          <w:pPr>
            <w:pStyle w:val="TOC2"/>
            <w:tabs>
              <w:tab w:val="right" w:leader="dot" w:pos="9350"/>
            </w:tabs>
            <w:rPr>
              <w:rFonts w:eastAsiaTheme="minorEastAsia"/>
              <w:noProof/>
              <w:sz w:val="24"/>
              <w:szCs w:val="24"/>
            </w:rPr>
          </w:pPr>
          <w:hyperlink w:anchor="_Toc189122772" w:history="1">
            <w:r w:rsidRPr="00EE3C7D">
              <w:rPr>
                <w:rStyle w:val="Hyperlink"/>
                <w:noProof/>
              </w:rPr>
              <w:t>8.9 – Resource Mix Study</w:t>
            </w:r>
            <w:r>
              <w:rPr>
                <w:noProof/>
                <w:webHidden/>
              </w:rPr>
              <w:tab/>
            </w:r>
            <w:r>
              <w:rPr>
                <w:noProof/>
                <w:webHidden/>
              </w:rPr>
              <w:fldChar w:fldCharType="begin"/>
            </w:r>
            <w:r>
              <w:rPr>
                <w:noProof/>
                <w:webHidden/>
              </w:rPr>
              <w:instrText xml:space="preserve"> PAGEREF _Toc189122772 \h </w:instrText>
            </w:r>
            <w:r>
              <w:rPr>
                <w:noProof/>
                <w:webHidden/>
              </w:rPr>
            </w:r>
            <w:r>
              <w:rPr>
                <w:noProof/>
                <w:webHidden/>
              </w:rPr>
              <w:fldChar w:fldCharType="separate"/>
            </w:r>
            <w:r>
              <w:rPr>
                <w:noProof/>
                <w:webHidden/>
              </w:rPr>
              <w:t>71</w:t>
            </w:r>
            <w:r>
              <w:rPr>
                <w:noProof/>
                <w:webHidden/>
              </w:rPr>
              <w:fldChar w:fldCharType="end"/>
            </w:r>
          </w:hyperlink>
        </w:p>
        <w:p w14:paraId="30C9E6EC" w14:textId="2BB6DAA1" w:rsidR="007E0237" w:rsidRDefault="007E0237">
          <w:pPr>
            <w:pStyle w:val="TOC2"/>
            <w:tabs>
              <w:tab w:val="right" w:leader="dot" w:pos="9350"/>
            </w:tabs>
            <w:rPr>
              <w:rFonts w:eastAsiaTheme="minorEastAsia"/>
              <w:noProof/>
              <w:sz w:val="24"/>
              <w:szCs w:val="24"/>
            </w:rPr>
          </w:pPr>
          <w:hyperlink w:anchor="_Toc189122773" w:history="1">
            <w:r w:rsidRPr="00EE3C7D">
              <w:rPr>
                <w:rStyle w:val="Hyperlink"/>
                <w:noProof/>
              </w:rPr>
              <w:t>8.10 – Capacity Procurement</w:t>
            </w:r>
            <w:r>
              <w:rPr>
                <w:noProof/>
                <w:webHidden/>
              </w:rPr>
              <w:tab/>
            </w:r>
            <w:r>
              <w:rPr>
                <w:noProof/>
                <w:webHidden/>
              </w:rPr>
              <w:fldChar w:fldCharType="begin"/>
            </w:r>
            <w:r>
              <w:rPr>
                <w:noProof/>
                <w:webHidden/>
              </w:rPr>
              <w:instrText xml:space="preserve"> PAGEREF _Toc189122773 \h </w:instrText>
            </w:r>
            <w:r>
              <w:rPr>
                <w:noProof/>
                <w:webHidden/>
              </w:rPr>
            </w:r>
            <w:r>
              <w:rPr>
                <w:noProof/>
                <w:webHidden/>
              </w:rPr>
              <w:fldChar w:fldCharType="separate"/>
            </w:r>
            <w:r>
              <w:rPr>
                <w:noProof/>
                <w:webHidden/>
              </w:rPr>
              <w:t>77</w:t>
            </w:r>
            <w:r>
              <w:rPr>
                <w:noProof/>
                <w:webHidden/>
              </w:rPr>
              <w:fldChar w:fldCharType="end"/>
            </w:r>
          </w:hyperlink>
        </w:p>
        <w:p w14:paraId="4CACC892" w14:textId="50AFA394" w:rsidR="007E0237" w:rsidRDefault="007E0237">
          <w:pPr>
            <w:pStyle w:val="TOC2"/>
            <w:tabs>
              <w:tab w:val="right" w:leader="dot" w:pos="9350"/>
            </w:tabs>
            <w:rPr>
              <w:rFonts w:eastAsiaTheme="minorEastAsia"/>
              <w:noProof/>
              <w:sz w:val="24"/>
              <w:szCs w:val="24"/>
            </w:rPr>
          </w:pPr>
          <w:hyperlink w:anchor="_Toc189122774" w:history="1">
            <w:r w:rsidRPr="00EE3C7D">
              <w:rPr>
                <w:rStyle w:val="Hyperlink"/>
                <w:noProof/>
              </w:rPr>
              <w:t>8.11 – Renewable Procurement</w:t>
            </w:r>
            <w:r>
              <w:rPr>
                <w:noProof/>
                <w:webHidden/>
              </w:rPr>
              <w:tab/>
            </w:r>
            <w:r>
              <w:rPr>
                <w:noProof/>
                <w:webHidden/>
              </w:rPr>
              <w:fldChar w:fldCharType="begin"/>
            </w:r>
            <w:r>
              <w:rPr>
                <w:noProof/>
                <w:webHidden/>
              </w:rPr>
              <w:instrText xml:space="preserve"> PAGEREF _Toc189122774 \h </w:instrText>
            </w:r>
            <w:r>
              <w:rPr>
                <w:noProof/>
                <w:webHidden/>
              </w:rPr>
            </w:r>
            <w:r>
              <w:rPr>
                <w:noProof/>
                <w:webHidden/>
              </w:rPr>
              <w:fldChar w:fldCharType="separate"/>
            </w:r>
            <w:r>
              <w:rPr>
                <w:noProof/>
                <w:webHidden/>
              </w:rPr>
              <w:t>77</w:t>
            </w:r>
            <w:r>
              <w:rPr>
                <w:noProof/>
                <w:webHidden/>
              </w:rPr>
              <w:fldChar w:fldCharType="end"/>
            </w:r>
          </w:hyperlink>
        </w:p>
        <w:p w14:paraId="1B9764E7" w14:textId="23507E5B" w:rsidR="007E0237" w:rsidRDefault="007E0237">
          <w:pPr>
            <w:pStyle w:val="TOC2"/>
            <w:tabs>
              <w:tab w:val="right" w:leader="dot" w:pos="9350"/>
            </w:tabs>
            <w:rPr>
              <w:rFonts w:eastAsiaTheme="minorEastAsia"/>
              <w:noProof/>
              <w:sz w:val="24"/>
              <w:szCs w:val="24"/>
            </w:rPr>
          </w:pPr>
          <w:hyperlink w:anchor="_Toc189122775" w:history="1">
            <w:r w:rsidRPr="00EE3C7D">
              <w:rPr>
                <w:rStyle w:val="Hyperlink"/>
                <w:noProof/>
              </w:rPr>
              <w:t>8.12 – Nuclear</w:t>
            </w:r>
            <w:r>
              <w:rPr>
                <w:noProof/>
                <w:webHidden/>
              </w:rPr>
              <w:tab/>
            </w:r>
            <w:r>
              <w:rPr>
                <w:noProof/>
                <w:webHidden/>
              </w:rPr>
              <w:fldChar w:fldCharType="begin"/>
            </w:r>
            <w:r>
              <w:rPr>
                <w:noProof/>
                <w:webHidden/>
              </w:rPr>
              <w:instrText xml:space="preserve"> PAGEREF _Toc189122775 \h </w:instrText>
            </w:r>
            <w:r>
              <w:rPr>
                <w:noProof/>
                <w:webHidden/>
              </w:rPr>
            </w:r>
            <w:r>
              <w:rPr>
                <w:noProof/>
                <w:webHidden/>
              </w:rPr>
              <w:fldChar w:fldCharType="separate"/>
            </w:r>
            <w:r>
              <w:rPr>
                <w:noProof/>
                <w:webHidden/>
              </w:rPr>
              <w:t>83</w:t>
            </w:r>
            <w:r>
              <w:rPr>
                <w:noProof/>
                <w:webHidden/>
              </w:rPr>
              <w:fldChar w:fldCharType="end"/>
            </w:r>
          </w:hyperlink>
        </w:p>
        <w:p w14:paraId="1A06BFEC" w14:textId="788C8A4C" w:rsidR="007E0237" w:rsidRDefault="007E0237">
          <w:pPr>
            <w:pStyle w:val="TOC1"/>
            <w:tabs>
              <w:tab w:val="right" w:leader="dot" w:pos="9350"/>
            </w:tabs>
            <w:rPr>
              <w:rFonts w:eastAsiaTheme="minorEastAsia"/>
              <w:noProof/>
              <w:sz w:val="24"/>
              <w:szCs w:val="24"/>
            </w:rPr>
          </w:pPr>
          <w:hyperlink w:anchor="_Toc189122776" w:history="1">
            <w:r w:rsidRPr="00EE3C7D">
              <w:rPr>
                <w:rStyle w:val="Hyperlink"/>
                <w:noProof/>
              </w:rPr>
              <w:t>Chapter 9. Environmental Compliance Strategy &amp; Climate Approach</w:t>
            </w:r>
            <w:r>
              <w:rPr>
                <w:noProof/>
                <w:webHidden/>
              </w:rPr>
              <w:tab/>
            </w:r>
            <w:r>
              <w:rPr>
                <w:noProof/>
                <w:webHidden/>
              </w:rPr>
              <w:fldChar w:fldCharType="begin"/>
            </w:r>
            <w:r>
              <w:rPr>
                <w:noProof/>
                <w:webHidden/>
              </w:rPr>
              <w:instrText xml:space="preserve"> PAGEREF _Toc189122776 \h </w:instrText>
            </w:r>
            <w:r>
              <w:rPr>
                <w:noProof/>
                <w:webHidden/>
              </w:rPr>
            </w:r>
            <w:r>
              <w:rPr>
                <w:noProof/>
                <w:webHidden/>
              </w:rPr>
              <w:fldChar w:fldCharType="separate"/>
            </w:r>
            <w:r>
              <w:rPr>
                <w:noProof/>
                <w:webHidden/>
              </w:rPr>
              <w:t>85</w:t>
            </w:r>
            <w:r>
              <w:rPr>
                <w:noProof/>
                <w:webHidden/>
              </w:rPr>
              <w:fldChar w:fldCharType="end"/>
            </w:r>
          </w:hyperlink>
        </w:p>
        <w:p w14:paraId="0FFD7796" w14:textId="006E2450" w:rsidR="007E0237" w:rsidRDefault="007E0237">
          <w:pPr>
            <w:pStyle w:val="TOC2"/>
            <w:tabs>
              <w:tab w:val="right" w:leader="dot" w:pos="9350"/>
            </w:tabs>
            <w:rPr>
              <w:rFonts w:eastAsiaTheme="minorEastAsia"/>
              <w:noProof/>
              <w:sz w:val="24"/>
              <w:szCs w:val="24"/>
            </w:rPr>
          </w:pPr>
          <w:hyperlink w:anchor="_Toc189122777" w:history="1">
            <w:r w:rsidRPr="00EE3C7D">
              <w:rPr>
                <w:rStyle w:val="Hyperlink"/>
                <w:noProof/>
              </w:rPr>
              <w:t>9.1 – Environmental Compliance Strategy</w:t>
            </w:r>
            <w:r>
              <w:rPr>
                <w:noProof/>
                <w:webHidden/>
              </w:rPr>
              <w:tab/>
            </w:r>
            <w:r>
              <w:rPr>
                <w:noProof/>
                <w:webHidden/>
              </w:rPr>
              <w:fldChar w:fldCharType="begin"/>
            </w:r>
            <w:r>
              <w:rPr>
                <w:noProof/>
                <w:webHidden/>
              </w:rPr>
              <w:instrText xml:space="preserve"> PAGEREF _Toc189122777 \h </w:instrText>
            </w:r>
            <w:r>
              <w:rPr>
                <w:noProof/>
                <w:webHidden/>
              </w:rPr>
            </w:r>
            <w:r>
              <w:rPr>
                <w:noProof/>
                <w:webHidden/>
              </w:rPr>
              <w:fldChar w:fldCharType="separate"/>
            </w:r>
            <w:r>
              <w:rPr>
                <w:noProof/>
                <w:webHidden/>
              </w:rPr>
              <w:t>85</w:t>
            </w:r>
            <w:r>
              <w:rPr>
                <w:noProof/>
                <w:webHidden/>
              </w:rPr>
              <w:fldChar w:fldCharType="end"/>
            </w:r>
          </w:hyperlink>
        </w:p>
        <w:p w14:paraId="09E16779" w14:textId="2E9935BC" w:rsidR="007E0237" w:rsidRDefault="007E0237">
          <w:pPr>
            <w:pStyle w:val="TOC2"/>
            <w:tabs>
              <w:tab w:val="right" w:leader="dot" w:pos="9350"/>
            </w:tabs>
            <w:rPr>
              <w:rFonts w:eastAsiaTheme="minorEastAsia"/>
              <w:noProof/>
              <w:sz w:val="24"/>
              <w:szCs w:val="24"/>
            </w:rPr>
          </w:pPr>
          <w:hyperlink w:anchor="_Toc189122778" w:history="1">
            <w:r w:rsidRPr="00EE3C7D">
              <w:rPr>
                <w:rStyle w:val="Hyperlink"/>
                <w:noProof/>
              </w:rPr>
              <w:t>9.2 – Environmental Compliance Cost Recovery</w:t>
            </w:r>
            <w:r>
              <w:rPr>
                <w:noProof/>
                <w:webHidden/>
              </w:rPr>
              <w:tab/>
            </w:r>
            <w:r>
              <w:rPr>
                <w:noProof/>
                <w:webHidden/>
              </w:rPr>
              <w:fldChar w:fldCharType="begin"/>
            </w:r>
            <w:r>
              <w:rPr>
                <w:noProof/>
                <w:webHidden/>
              </w:rPr>
              <w:instrText xml:space="preserve"> PAGEREF _Toc189122778 \h </w:instrText>
            </w:r>
            <w:r>
              <w:rPr>
                <w:noProof/>
                <w:webHidden/>
              </w:rPr>
            </w:r>
            <w:r>
              <w:rPr>
                <w:noProof/>
                <w:webHidden/>
              </w:rPr>
              <w:fldChar w:fldCharType="separate"/>
            </w:r>
            <w:r>
              <w:rPr>
                <w:noProof/>
                <w:webHidden/>
              </w:rPr>
              <w:t>88</w:t>
            </w:r>
            <w:r>
              <w:rPr>
                <w:noProof/>
                <w:webHidden/>
              </w:rPr>
              <w:fldChar w:fldCharType="end"/>
            </w:r>
          </w:hyperlink>
        </w:p>
        <w:p w14:paraId="274B465B" w14:textId="5F9E85F6" w:rsidR="007E0237" w:rsidRDefault="007E0237">
          <w:pPr>
            <w:pStyle w:val="TOC2"/>
            <w:tabs>
              <w:tab w:val="right" w:leader="dot" w:pos="9350"/>
            </w:tabs>
            <w:rPr>
              <w:rFonts w:eastAsiaTheme="minorEastAsia"/>
              <w:noProof/>
              <w:sz w:val="24"/>
              <w:szCs w:val="24"/>
            </w:rPr>
          </w:pPr>
          <w:hyperlink w:anchor="_Toc189122779" w:history="1">
            <w:r w:rsidRPr="00EE3C7D">
              <w:rPr>
                <w:rStyle w:val="Hyperlink"/>
                <w:noProof/>
              </w:rPr>
              <w:t>9.3 – Georgia Power’s Climate Approach &amp; Drivers</w:t>
            </w:r>
            <w:r>
              <w:rPr>
                <w:noProof/>
                <w:webHidden/>
              </w:rPr>
              <w:tab/>
            </w:r>
            <w:r>
              <w:rPr>
                <w:noProof/>
                <w:webHidden/>
              </w:rPr>
              <w:fldChar w:fldCharType="begin"/>
            </w:r>
            <w:r>
              <w:rPr>
                <w:noProof/>
                <w:webHidden/>
              </w:rPr>
              <w:instrText xml:space="preserve"> PAGEREF _Toc189122779 \h </w:instrText>
            </w:r>
            <w:r>
              <w:rPr>
                <w:noProof/>
                <w:webHidden/>
              </w:rPr>
            </w:r>
            <w:r>
              <w:rPr>
                <w:noProof/>
                <w:webHidden/>
              </w:rPr>
              <w:fldChar w:fldCharType="separate"/>
            </w:r>
            <w:r>
              <w:rPr>
                <w:noProof/>
                <w:webHidden/>
              </w:rPr>
              <w:t>88</w:t>
            </w:r>
            <w:r>
              <w:rPr>
                <w:noProof/>
                <w:webHidden/>
              </w:rPr>
              <w:fldChar w:fldCharType="end"/>
            </w:r>
          </w:hyperlink>
        </w:p>
        <w:p w14:paraId="0DD6C9C8" w14:textId="5EEB8835" w:rsidR="007E0237" w:rsidRDefault="007E0237">
          <w:pPr>
            <w:pStyle w:val="TOC2"/>
            <w:tabs>
              <w:tab w:val="right" w:leader="dot" w:pos="9350"/>
            </w:tabs>
            <w:rPr>
              <w:rFonts w:eastAsiaTheme="minorEastAsia"/>
              <w:noProof/>
              <w:sz w:val="24"/>
              <w:szCs w:val="24"/>
            </w:rPr>
          </w:pPr>
          <w:hyperlink w:anchor="_Toc189122780" w:history="1">
            <w:r w:rsidRPr="00EE3C7D">
              <w:rPr>
                <w:rStyle w:val="Hyperlink"/>
                <w:noProof/>
              </w:rPr>
              <w:t>9.4 – Georgia Power’s Path and Progress</w:t>
            </w:r>
            <w:r>
              <w:rPr>
                <w:noProof/>
                <w:webHidden/>
              </w:rPr>
              <w:tab/>
            </w:r>
            <w:r>
              <w:rPr>
                <w:noProof/>
                <w:webHidden/>
              </w:rPr>
              <w:fldChar w:fldCharType="begin"/>
            </w:r>
            <w:r>
              <w:rPr>
                <w:noProof/>
                <w:webHidden/>
              </w:rPr>
              <w:instrText xml:space="preserve"> PAGEREF _Toc189122780 \h </w:instrText>
            </w:r>
            <w:r>
              <w:rPr>
                <w:noProof/>
                <w:webHidden/>
              </w:rPr>
            </w:r>
            <w:r>
              <w:rPr>
                <w:noProof/>
                <w:webHidden/>
              </w:rPr>
              <w:fldChar w:fldCharType="separate"/>
            </w:r>
            <w:r>
              <w:rPr>
                <w:noProof/>
                <w:webHidden/>
              </w:rPr>
              <w:t>89</w:t>
            </w:r>
            <w:r>
              <w:rPr>
                <w:noProof/>
                <w:webHidden/>
              </w:rPr>
              <w:fldChar w:fldCharType="end"/>
            </w:r>
          </w:hyperlink>
        </w:p>
        <w:p w14:paraId="0407C464" w14:textId="3F7A5144" w:rsidR="007E0237" w:rsidRDefault="007E0237">
          <w:pPr>
            <w:pStyle w:val="TOC2"/>
            <w:tabs>
              <w:tab w:val="right" w:leader="dot" w:pos="9350"/>
            </w:tabs>
            <w:rPr>
              <w:rFonts w:eastAsiaTheme="minorEastAsia"/>
              <w:noProof/>
              <w:sz w:val="24"/>
              <w:szCs w:val="24"/>
            </w:rPr>
          </w:pPr>
          <w:hyperlink w:anchor="_Toc189122781" w:history="1">
            <w:r w:rsidRPr="00EE3C7D">
              <w:rPr>
                <w:rStyle w:val="Hyperlink"/>
                <w:noProof/>
              </w:rPr>
              <w:t>9.5 – Potential Net-Zero Technology Evaluations</w:t>
            </w:r>
            <w:r>
              <w:rPr>
                <w:noProof/>
                <w:webHidden/>
              </w:rPr>
              <w:tab/>
            </w:r>
            <w:r>
              <w:rPr>
                <w:noProof/>
                <w:webHidden/>
              </w:rPr>
              <w:fldChar w:fldCharType="begin"/>
            </w:r>
            <w:r>
              <w:rPr>
                <w:noProof/>
                <w:webHidden/>
              </w:rPr>
              <w:instrText xml:space="preserve"> PAGEREF _Toc189122781 \h </w:instrText>
            </w:r>
            <w:r>
              <w:rPr>
                <w:noProof/>
                <w:webHidden/>
              </w:rPr>
            </w:r>
            <w:r>
              <w:rPr>
                <w:noProof/>
                <w:webHidden/>
              </w:rPr>
              <w:fldChar w:fldCharType="separate"/>
            </w:r>
            <w:r>
              <w:rPr>
                <w:noProof/>
                <w:webHidden/>
              </w:rPr>
              <w:t>90</w:t>
            </w:r>
            <w:r>
              <w:rPr>
                <w:noProof/>
                <w:webHidden/>
              </w:rPr>
              <w:fldChar w:fldCharType="end"/>
            </w:r>
          </w:hyperlink>
        </w:p>
        <w:p w14:paraId="3905F5CA" w14:textId="389293B1" w:rsidR="007E0237" w:rsidRDefault="007E0237">
          <w:pPr>
            <w:pStyle w:val="TOC2"/>
            <w:tabs>
              <w:tab w:val="right" w:leader="dot" w:pos="9350"/>
            </w:tabs>
            <w:rPr>
              <w:rFonts w:eastAsiaTheme="minorEastAsia"/>
              <w:noProof/>
              <w:sz w:val="24"/>
              <w:szCs w:val="24"/>
            </w:rPr>
          </w:pPr>
          <w:hyperlink w:anchor="_Toc189122782" w:history="1">
            <w:r w:rsidRPr="00EE3C7D">
              <w:rPr>
                <w:rStyle w:val="Hyperlink"/>
                <w:noProof/>
              </w:rPr>
              <w:t>9.6 – Customer Decarbonization Solutions</w:t>
            </w:r>
            <w:r>
              <w:rPr>
                <w:noProof/>
                <w:webHidden/>
              </w:rPr>
              <w:tab/>
            </w:r>
            <w:r>
              <w:rPr>
                <w:noProof/>
                <w:webHidden/>
              </w:rPr>
              <w:fldChar w:fldCharType="begin"/>
            </w:r>
            <w:r>
              <w:rPr>
                <w:noProof/>
                <w:webHidden/>
              </w:rPr>
              <w:instrText xml:space="preserve"> PAGEREF _Toc189122782 \h </w:instrText>
            </w:r>
            <w:r>
              <w:rPr>
                <w:noProof/>
                <w:webHidden/>
              </w:rPr>
            </w:r>
            <w:r>
              <w:rPr>
                <w:noProof/>
                <w:webHidden/>
              </w:rPr>
              <w:fldChar w:fldCharType="separate"/>
            </w:r>
            <w:r>
              <w:rPr>
                <w:noProof/>
                <w:webHidden/>
              </w:rPr>
              <w:t>91</w:t>
            </w:r>
            <w:r>
              <w:rPr>
                <w:noProof/>
                <w:webHidden/>
              </w:rPr>
              <w:fldChar w:fldCharType="end"/>
            </w:r>
          </w:hyperlink>
        </w:p>
        <w:p w14:paraId="34B30878" w14:textId="030A136C" w:rsidR="007E0237" w:rsidRDefault="007E0237">
          <w:pPr>
            <w:pStyle w:val="TOC1"/>
            <w:tabs>
              <w:tab w:val="right" w:leader="dot" w:pos="9350"/>
            </w:tabs>
            <w:rPr>
              <w:rFonts w:eastAsiaTheme="minorEastAsia"/>
              <w:noProof/>
              <w:sz w:val="24"/>
              <w:szCs w:val="24"/>
            </w:rPr>
          </w:pPr>
          <w:hyperlink w:anchor="_Toc189122783" w:history="1">
            <w:r w:rsidRPr="00EE3C7D">
              <w:rPr>
                <w:rStyle w:val="Hyperlink"/>
                <w:noProof/>
              </w:rPr>
              <w:t>Chapter 10. Renewable &amp; Resiliency Customer Programs</w:t>
            </w:r>
            <w:r>
              <w:rPr>
                <w:noProof/>
                <w:webHidden/>
              </w:rPr>
              <w:tab/>
            </w:r>
            <w:r>
              <w:rPr>
                <w:noProof/>
                <w:webHidden/>
              </w:rPr>
              <w:fldChar w:fldCharType="begin"/>
            </w:r>
            <w:r>
              <w:rPr>
                <w:noProof/>
                <w:webHidden/>
              </w:rPr>
              <w:instrText xml:space="preserve"> PAGEREF _Toc189122783 \h </w:instrText>
            </w:r>
            <w:r>
              <w:rPr>
                <w:noProof/>
                <w:webHidden/>
              </w:rPr>
            </w:r>
            <w:r>
              <w:rPr>
                <w:noProof/>
                <w:webHidden/>
              </w:rPr>
              <w:fldChar w:fldCharType="separate"/>
            </w:r>
            <w:r>
              <w:rPr>
                <w:noProof/>
                <w:webHidden/>
              </w:rPr>
              <w:t>93</w:t>
            </w:r>
            <w:r>
              <w:rPr>
                <w:noProof/>
                <w:webHidden/>
              </w:rPr>
              <w:fldChar w:fldCharType="end"/>
            </w:r>
          </w:hyperlink>
        </w:p>
        <w:p w14:paraId="5358C560" w14:textId="68A70124" w:rsidR="007E0237" w:rsidRDefault="007E0237">
          <w:pPr>
            <w:pStyle w:val="TOC2"/>
            <w:tabs>
              <w:tab w:val="right" w:leader="dot" w:pos="9350"/>
            </w:tabs>
            <w:rPr>
              <w:rFonts w:eastAsiaTheme="minorEastAsia"/>
              <w:noProof/>
              <w:sz w:val="24"/>
              <w:szCs w:val="24"/>
            </w:rPr>
          </w:pPr>
          <w:hyperlink w:anchor="_Toc189122784" w:history="1">
            <w:r w:rsidRPr="00EE3C7D">
              <w:rPr>
                <w:rStyle w:val="Hyperlink"/>
                <w:noProof/>
              </w:rPr>
              <w:t>10.1 – Renewable and Carbon Free Energy Subscription Programs</w:t>
            </w:r>
            <w:r>
              <w:rPr>
                <w:noProof/>
                <w:webHidden/>
              </w:rPr>
              <w:tab/>
            </w:r>
            <w:r>
              <w:rPr>
                <w:noProof/>
                <w:webHidden/>
              </w:rPr>
              <w:fldChar w:fldCharType="begin"/>
            </w:r>
            <w:r>
              <w:rPr>
                <w:noProof/>
                <w:webHidden/>
              </w:rPr>
              <w:instrText xml:space="preserve"> PAGEREF _Toc189122784 \h </w:instrText>
            </w:r>
            <w:r>
              <w:rPr>
                <w:noProof/>
                <w:webHidden/>
              </w:rPr>
            </w:r>
            <w:r>
              <w:rPr>
                <w:noProof/>
                <w:webHidden/>
              </w:rPr>
              <w:fldChar w:fldCharType="separate"/>
            </w:r>
            <w:r>
              <w:rPr>
                <w:noProof/>
                <w:webHidden/>
              </w:rPr>
              <w:t>94</w:t>
            </w:r>
            <w:r>
              <w:rPr>
                <w:noProof/>
                <w:webHidden/>
              </w:rPr>
              <w:fldChar w:fldCharType="end"/>
            </w:r>
          </w:hyperlink>
        </w:p>
        <w:p w14:paraId="0F98CF4A" w14:textId="54EBA261" w:rsidR="007E0237" w:rsidRDefault="007E0237">
          <w:pPr>
            <w:pStyle w:val="TOC2"/>
            <w:tabs>
              <w:tab w:val="right" w:leader="dot" w:pos="9350"/>
            </w:tabs>
            <w:rPr>
              <w:rFonts w:eastAsiaTheme="minorEastAsia"/>
              <w:noProof/>
              <w:sz w:val="24"/>
              <w:szCs w:val="24"/>
            </w:rPr>
          </w:pPr>
          <w:hyperlink w:anchor="_Toc189122785" w:history="1">
            <w:r w:rsidRPr="00EE3C7D">
              <w:rPr>
                <w:rStyle w:val="Hyperlink"/>
                <w:noProof/>
              </w:rPr>
              <w:t>10.2 – Customer-Sited Generation Programs</w:t>
            </w:r>
            <w:r>
              <w:rPr>
                <w:noProof/>
                <w:webHidden/>
              </w:rPr>
              <w:tab/>
            </w:r>
            <w:r>
              <w:rPr>
                <w:noProof/>
                <w:webHidden/>
              </w:rPr>
              <w:fldChar w:fldCharType="begin"/>
            </w:r>
            <w:r>
              <w:rPr>
                <w:noProof/>
                <w:webHidden/>
              </w:rPr>
              <w:instrText xml:space="preserve"> PAGEREF _Toc189122785 \h </w:instrText>
            </w:r>
            <w:r>
              <w:rPr>
                <w:noProof/>
                <w:webHidden/>
              </w:rPr>
            </w:r>
            <w:r>
              <w:rPr>
                <w:noProof/>
                <w:webHidden/>
              </w:rPr>
              <w:fldChar w:fldCharType="separate"/>
            </w:r>
            <w:r>
              <w:rPr>
                <w:noProof/>
                <w:webHidden/>
              </w:rPr>
              <w:t>99</w:t>
            </w:r>
            <w:r>
              <w:rPr>
                <w:noProof/>
                <w:webHidden/>
              </w:rPr>
              <w:fldChar w:fldCharType="end"/>
            </w:r>
          </w:hyperlink>
        </w:p>
        <w:p w14:paraId="7455146F" w14:textId="0AF86F9C" w:rsidR="007E0237" w:rsidRDefault="007E0237">
          <w:pPr>
            <w:pStyle w:val="TOC2"/>
            <w:tabs>
              <w:tab w:val="right" w:leader="dot" w:pos="9350"/>
            </w:tabs>
            <w:rPr>
              <w:rFonts w:eastAsiaTheme="minorEastAsia"/>
              <w:noProof/>
              <w:sz w:val="24"/>
              <w:szCs w:val="24"/>
            </w:rPr>
          </w:pPr>
          <w:hyperlink w:anchor="_Toc189122786" w:history="1">
            <w:r w:rsidRPr="00EE3C7D">
              <w:rPr>
                <w:rStyle w:val="Hyperlink"/>
                <w:noProof/>
              </w:rPr>
              <w:t>10.3 – Distributed Energy Resources and Resilience</w:t>
            </w:r>
            <w:r>
              <w:rPr>
                <w:noProof/>
                <w:webHidden/>
              </w:rPr>
              <w:tab/>
            </w:r>
            <w:r>
              <w:rPr>
                <w:noProof/>
                <w:webHidden/>
              </w:rPr>
              <w:fldChar w:fldCharType="begin"/>
            </w:r>
            <w:r>
              <w:rPr>
                <w:noProof/>
                <w:webHidden/>
              </w:rPr>
              <w:instrText xml:space="preserve"> PAGEREF _Toc189122786 \h </w:instrText>
            </w:r>
            <w:r>
              <w:rPr>
                <w:noProof/>
                <w:webHidden/>
              </w:rPr>
            </w:r>
            <w:r>
              <w:rPr>
                <w:noProof/>
                <w:webHidden/>
              </w:rPr>
              <w:fldChar w:fldCharType="separate"/>
            </w:r>
            <w:r>
              <w:rPr>
                <w:noProof/>
                <w:webHidden/>
              </w:rPr>
              <w:t>106</w:t>
            </w:r>
            <w:r>
              <w:rPr>
                <w:noProof/>
                <w:webHidden/>
              </w:rPr>
              <w:fldChar w:fldCharType="end"/>
            </w:r>
          </w:hyperlink>
        </w:p>
        <w:p w14:paraId="7EFDDC42" w14:textId="43AB73C3" w:rsidR="007E0237" w:rsidRDefault="007E0237">
          <w:pPr>
            <w:pStyle w:val="TOC2"/>
            <w:tabs>
              <w:tab w:val="right" w:leader="dot" w:pos="9350"/>
            </w:tabs>
            <w:rPr>
              <w:rFonts w:eastAsiaTheme="minorEastAsia"/>
              <w:noProof/>
              <w:sz w:val="24"/>
              <w:szCs w:val="24"/>
            </w:rPr>
          </w:pPr>
          <w:hyperlink w:anchor="_Toc189122787" w:history="1">
            <w:r w:rsidRPr="00EE3C7D">
              <w:rPr>
                <w:rStyle w:val="Hyperlink"/>
                <w:noProof/>
              </w:rPr>
              <w:t>10.4 – Integration with DERMS</w:t>
            </w:r>
            <w:r>
              <w:rPr>
                <w:noProof/>
                <w:webHidden/>
              </w:rPr>
              <w:tab/>
            </w:r>
            <w:r>
              <w:rPr>
                <w:noProof/>
                <w:webHidden/>
              </w:rPr>
              <w:fldChar w:fldCharType="begin"/>
            </w:r>
            <w:r>
              <w:rPr>
                <w:noProof/>
                <w:webHidden/>
              </w:rPr>
              <w:instrText xml:space="preserve"> PAGEREF _Toc189122787 \h </w:instrText>
            </w:r>
            <w:r>
              <w:rPr>
                <w:noProof/>
                <w:webHidden/>
              </w:rPr>
            </w:r>
            <w:r>
              <w:rPr>
                <w:noProof/>
                <w:webHidden/>
              </w:rPr>
              <w:fldChar w:fldCharType="separate"/>
            </w:r>
            <w:r>
              <w:rPr>
                <w:noProof/>
                <w:webHidden/>
              </w:rPr>
              <w:t>109</w:t>
            </w:r>
            <w:r>
              <w:rPr>
                <w:noProof/>
                <w:webHidden/>
              </w:rPr>
              <w:fldChar w:fldCharType="end"/>
            </w:r>
          </w:hyperlink>
        </w:p>
        <w:p w14:paraId="6BF7CC94" w14:textId="16D72332" w:rsidR="007E0237" w:rsidRDefault="007E0237">
          <w:pPr>
            <w:pStyle w:val="TOC2"/>
            <w:tabs>
              <w:tab w:val="right" w:leader="dot" w:pos="9350"/>
            </w:tabs>
            <w:rPr>
              <w:rFonts w:eastAsiaTheme="minorEastAsia"/>
              <w:noProof/>
              <w:sz w:val="24"/>
              <w:szCs w:val="24"/>
            </w:rPr>
          </w:pPr>
          <w:hyperlink w:anchor="_Toc189122788" w:history="1">
            <w:r w:rsidRPr="00EE3C7D">
              <w:rPr>
                <w:rStyle w:val="Hyperlink"/>
                <w:noProof/>
              </w:rPr>
              <w:t>10.5 – Additional Customer Need Driven Options</w:t>
            </w:r>
            <w:r>
              <w:rPr>
                <w:noProof/>
                <w:webHidden/>
              </w:rPr>
              <w:tab/>
            </w:r>
            <w:r>
              <w:rPr>
                <w:noProof/>
                <w:webHidden/>
              </w:rPr>
              <w:fldChar w:fldCharType="begin"/>
            </w:r>
            <w:r>
              <w:rPr>
                <w:noProof/>
                <w:webHidden/>
              </w:rPr>
              <w:instrText xml:space="preserve"> PAGEREF _Toc189122788 \h </w:instrText>
            </w:r>
            <w:r>
              <w:rPr>
                <w:noProof/>
                <w:webHidden/>
              </w:rPr>
            </w:r>
            <w:r>
              <w:rPr>
                <w:noProof/>
                <w:webHidden/>
              </w:rPr>
              <w:fldChar w:fldCharType="separate"/>
            </w:r>
            <w:r>
              <w:rPr>
                <w:noProof/>
                <w:webHidden/>
              </w:rPr>
              <w:t>110</w:t>
            </w:r>
            <w:r>
              <w:rPr>
                <w:noProof/>
                <w:webHidden/>
              </w:rPr>
              <w:fldChar w:fldCharType="end"/>
            </w:r>
          </w:hyperlink>
        </w:p>
        <w:p w14:paraId="1C704CAB" w14:textId="484C061D" w:rsidR="007E0237" w:rsidRDefault="007E0237">
          <w:pPr>
            <w:pStyle w:val="TOC1"/>
            <w:tabs>
              <w:tab w:val="right" w:leader="dot" w:pos="9350"/>
            </w:tabs>
            <w:rPr>
              <w:rFonts w:eastAsiaTheme="minorEastAsia"/>
              <w:noProof/>
              <w:sz w:val="24"/>
              <w:szCs w:val="24"/>
            </w:rPr>
          </w:pPr>
          <w:hyperlink w:anchor="_Toc189122789" w:history="1">
            <w:r w:rsidRPr="00EE3C7D">
              <w:rPr>
                <w:rStyle w:val="Hyperlink"/>
                <w:noProof/>
              </w:rPr>
              <w:t>Chapter 11. Transmission</w:t>
            </w:r>
            <w:r>
              <w:rPr>
                <w:noProof/>
                <w:webHidden/>
              </w:rPr>
              <w:tab/>
            </w:r>
            <w:r>
              <w:rPr>
                <w:noProof/>
                <w:webHidden/>
              </w:rPr>
              <w:fldChar w:fldCharType="begin"/>
            </w:r>
            <w:r>
              <w:rPr>
                <w:noProof/>
                <w:webHidden/>
              </w:rPr>
              <w:instrText xml:space="preserve"> PAGEREF _Toc189122789 \h </w:instrText>
            </w:r>
            <w:r>
              <w:rPr>
                <w:noProof/>
                <w:webHidden/>
              </w:rPr>
            </w:r>
            <w:r>
              <w:rPr>
                <w:noProof/>
                <w:webHidden/>
              </w:rPr>
              <w:fldChar w:fldCharType="separate"/>
            </w:r>
            <w:r>
              <w:rPr>
                <w:noProof/>
                <w:webHidden/>
              </w:rPr>
              <w:t>111</w:t>
            </w:r>
            <w:r>
              <w:rPr>
                <w:noProof/>
                <w:webHidden/>
              </w:rPr>
              <w:fldChar w:fldCharType="end"/>
            </w:r>
          </w:hyperlink>
        </w:p>
        <w:p w14:paraId="1B39FC30" w14:textId="0425E18D" w:rsidR="007E0237" w:rsidRDefault="007E0237">
          <w:pPr>
            <w:pStyle w:val="TOC2"/>
            <w:tabs>
              <w:tab w:val="right" w:leader="dot" w:pos="9350"/>
            </w:tabs>
            <w:rPr>
              <w:rFonts w:eastAsiaTheme="minorEastAsia"/>
              <w:noProof/>
              <w:sz w:val="24"/>
              <w:szCs w:val="24"/>
            </w:rPr>
          </w:pPr>
          <w:hyperlink w:anchor="_Toc189122790" w:history="1">
            <w:r w:rsidRPr="00EE3C7D">
              <w:rPr>
                <w:rStyle w:val="Hyperlink"/>
                <w:noProof/>
              </w:rPr>
              <w:t>11.1 – Transmission Planning Principles</w:t>
            </w:r>
            <w:r>
              <w:rPr>
                <w:noProof/>
                <w:webHidden/>
              </w:rPr>
              <w:tab/>
            </w:r>
            <w:r>
              <w:rPr>
                <w:noProof/>
                <w:webHidden/>
              </w:rPr>
              <w:fldChar w:fldCharType="begin"/>
            </w:r>
            <w:r>
              <w:rPr>
                <w:noProof/>
                <w:webHidden/>
              </w:rPr>
              <w:instrText xml:space="preserve"> PAGEREF _Toc189122790 \h </w:instrText>
            </w:r>
            <w:r>
              <w:rPr>
                <w:noProof/>
                <w:webHidden/>
              </w:rPr>
            </w:r>
            <w:r>
              <w:rPr>
                <w:noProof/>
                <w:webHidden/>
              </w:rPr>
              <w:fldChar w:fldCharType="separate"/>
            </w:r>
            <w:r>
              <w:rPr>
                <w:noProof/>
                <w:webHidden/>
              </w:rPr>
              <w:t>111</w:t>
            </w:r>
            <w:r>
              <w:rPr>
                <w:noProof/>
                <w:webHidden/>
              </w:rPr>
              <w:fldChar w:fldCharType="end"/>
            </w:r>
          </w:hyperlink>
        </w:p>
        <w:p w14:paraId="1A8C7C88" w14:textId="45FFEADB" w:rsidR="007E0237" w:rsidRDefault="007E0237">
          <w:pPr>
            <w:pStyle w:val="TOC2"/>
            <w:tabs>
              <w:tab w:val="right" w:leader="dot" w:pos="9350"/>
            </w:tabs>
            <w:rPr>
              <w:rFonts w:eastAsiaTheme="minorEastAsia"/>
              <w:noProof/>
              <w:sz w:val="24"/>
              <w:szCs w:val="24"/>
            </w:rPr>
          </w:pPr>
          <w:hyperlink w:anchor="_Toc189122791" w:history="1">
            <w:r w:rsidRPr="00EE3C7D">
              <w:rPr>
                <w:rStyle w:val="Hyperlink"/>
                <w:noProof/>
              </w:rPr>
              <w:t>11.2 – Ten-Year Transmission Plan</w:t>
            </w:r>
            <w:r>
              <w:rPr>
                <w:noProof/>
                <w:webHidden/>
              </w:rPr>
              <w:tab/>
            </w:r>
            <w:r>
              <w:rPr>
                <w:noProof/>
                <w:webHidden/>
              </w:rPr>
              <w:fldChar w:fldCharType="begin"/>
            </w:r>
            <w:r>
              <w:rPr>
                <w:noProof/>
                <w:webHidden/>
              </w:rPr>
              <w:instrText xml:space="preserve"> PAGEREF _Toc189122791 \h </w:instrText>
            </w:r>
            <w:r>
              <w:rPr>
                <w:noProof/>
                <w:webHidden/>
              </w:rPr>
            </w:r>
            <w:r>
              <w:rPr>
                <w:noProof/>
                <w:webHidden/>
              </w:rPr>
              <w:fldChar w:fldCharType="separate"/>
            </w:r>
            <w:r>
              <w:rPr>
                <w:noProof/>
                <w:webHidden/>
              </w:rPr>
              <w:t>112</w:t>
            </w:r>
            <w:r>
              <w:rPr>
                <w:noProof/>
                <w:webHidden/>
              </w:rPr>
              <w:fldChar w:fldCharType="end"/>
            </w:r>
          </w:hyperlink>
        </w:p>
        <w:p w14:paraId="1A921EA3" w14:textId="6405FA1B" w:rsidR="007E0237" w:rsidRDefault="007E0237">
          <w:pPr>
            <w:pStyle w:val="TOC2"/>
            <w:tabs>
              <w:tab w:val="right" w:leader="dot" w:pos="9350"/>
            </w:tabs>
            <w:rPr>
              <w:rFonts w:eastAsiaTheme="minorEastAsia"/>
              <w:noProof/>
              <w:sz w:val="24"/>
              <w:szCs w:val="24"/>
            </w:rPr>
          </w:pPr>
          <w:hyperlink w:anchor="_Toc189122792" w:history="1">
            <w:r w:rsidRPr="00EE3C7D">
              <w:rPr>
                <w:rStyle w:val="Hyperlink"/>
                <w:noProof/>
              </w:rPr>
              <w:t>11.3 – Strategic Transmission</w:t>
            </w:r>
            <w:r>
              <w:rPr>
                <w:noProof/>
                <w:webHidden/>
              </w:rPr>
              <w:tab/>
            </w:r>
            <w:r>
              <w:rPr>
                <w:noProof/>
                <w:webHidden/>
              </w:rPr>
              <w:fldChar w:fldCharType="begin"/>
            </w:r>
            <w:r>
              <w:rPr>
                <w:noProof/>
                <w:webHidden/>
              </w:rPr>
              <w:instrText xml:space="preserve"> PAGEREF _Toc189122792 \h </w:instrText>
            </w:r>
            <w:r>
              <w:rPr>
                <w:noProof/>
                <w:webHidden/>
              </w:rPr>
            </w:r>
            <w:r>
              <w:rPr>
                <w:noProof/>
                <w:webHidden/>
              </w:rPr>
              <w:fldChar w:fldCharType="separate"/>
            </w:r>
            <w:r>
              <w:rPr>
                <w:noProof/>
                <w:webHidden/>
              </w:rPr>
              <w:t>112</w:t>
            </w:r>
            <w:r>
              <w:rPr>
                <w:noProof/>
                <w:webHidden/>
              </w:rPr>
              <w:fldChar w:fldCharType="end"/>
            </w:r>
          </w:hyperlink>
        </w:p>
        <w:p w14:paraId="72AE13A7" w14:textId="4DE049DE" w:rsidR="007E0237" w:rsidRDefault="007E0237">
          <w:pPr>
            <w:pStyle w:val="TOC2"/>
            <w:tabs>
              <w:tab w:val="right" w:leader="dot" w:pos="9350"/>
            </w:tabs>
            <w:rPr>
              <w:rFonts w:eastAsiaTheme="minorEastAsia"/>
              <w:noProof/>
              <w:sz w:val="24"/>
              <w:szCs w:val="24"/>
            </w:rPr>
          </w:pPr>
          <w:hyperlink w:anchor="_Toc189122793" w:history="1">
            <w:r w:rsidRPr="00EE3C7D">
              <w:rPr>
                <w:rStyle w:val="Hyperlink"/>
                <w:noProof/>
              </w:rPr>
              <w:t>11.4 – Innovative Solutions</w:t>
            </w:r>
            <w:r>
              <w:rPr>
                <w:noProof/>
                <w:webHidden/>
              </w:rPr>
              <w:tab/>
            </w:r>
            <w:r>
              <w:rPr>
                <w:noProof/>
                <w:webHidden/>
              </w:rPr>
              <w:fldChar w:fldCharType="begin"/>
            </w:r>
            <w:r>
              <w:rPr>
                <w:noProof/>
                <w:webHidden/>
              </w:rPr>
              <w:instrText xml:space="preserve"> PAGEREF _Toc189122793 \h </w:instrText>
            </w:r>
            <w:r>
              <w:rPr>
                <w:noProof/>
                <w:webHidden/>
              </w:rPr>
            </w:r>
            <w:r>
              <w:rPr>
                <w:noProof/>
                <w:webHidden/>
              </w:rPr>
              <w:fldChar w:fldCharType="separate"/>
            </w:r>
            <w:r>
              <w:rPr>
                <w:noProof/>
                <w:webHidden/>
              </w:rPr>
              <w:t>114</w:t>
            </w:r>
            <w:r>
              <w:rPr>
                <w:noProof/>
                <w:webHidden/>
              </w:rPr>
              <w:fldChar w:fldCharType="end"/>
            </w:r>
          </w:hyperlink>
        </w:p>
        <w:p w14:paraId="1B34CF9A" w14:textId="68A17425" w:rsidR="007E0237" w:rsidRDefault="007E0237">
          <w:pPr>
            <w:pStyle w:val="TOC2"/>
            <w:tabs>
              <w:tab w:val="right" w:leader="dot" w:pos="9350"/>
            </w:tabs>
            <w:rPr>
              <w:rFonts w:eastAsiaTheme="minorEastAsia"/>
              <w:noProof/>
              <w:sz w:val="24"/>
              <w:szCs w:val="24"/>
            </w:rPr>
          </w:pPr>
          <w:hyperlink w:anchor="_Toc189122794" w:history="1">
            <w:r w:rsidRPr="00EE3C7D">
              <w:rPr>
                <w:rStyle w:val="Hyperlink"/>
                <w:noProof/>
              </w:rPr>
              <w:t>11.5 – Federal and State Funding Opportunities</w:t>
            </w:r>
            <w:r>
              <w:rPr>
                <w:noProof/>
                <w:webHidden/>
              </w:rPr>
              <w:tab/>
            </w:r>
            <w:r>
              <w:rPr>
                <w:noProof/>
                <w:webHidden/>
              </w:rPr>
              <w:fldChar w:fldCharType="begin"/>
            </w:r>
            <w:r>
              <w:rPr>
                <w:noProof/>
                <w:webHidden/>
              </w:rPr>
              <w:instrText xml:space="preserve"> PAGEREF _Toc189122794 \h </w:instrText>
            </w:r>
            <w:r>
              <w:rPr>
                <w:noProof/>
                <w:webHidden/>
              </w:rPr>
            </w:r>
            <w:r>
              <w:rPr>
                <w:noProof/>
                <w:webHidden/>
              </w:rPr>
              <w:fldChar w:fldCharType="separate"/>
            </w:r>
            <w:r>
              <w:rPr>
                <w:noProof/>
                <w:webHidden/>
              </w:rPr>
              <w:t>115</w:t>
            </w:r>
            <w:r>
              <w:rPr>
                <w:noProof/>
                <w:webHidden/>
              </w:rPr>
              <w:fldChar w:fldCharType="end"/>
            </w:r>
          </w:hyperlink>
        </w:p>
        <w:p w14:paraId="540D0A01" w14:textId="14F2A702" w:rsidR="007E0237" w:rsidRDefault="007E0237">
          <w:pPr>
            <w:pStyle w:val="TOC1"/>
            <w:tabs>
              <w:tab w:val="right" w:leader="dot" w:pos="9350"/>
            </w:tabs>
            <w:rPr>
              <w:rFonts w:eastAsiaTheme="minorEastAsia"/>
              <w:noProof/>
              <w:sz w:val="24"/>
              <w:szCs w:val="24"/>
            </w:rPr>
          </w:pPr>
          <w:hyperlink w:anchor="_Toc189122795" w:history="1">
            <w:r w:rsidRPr="00EE3C7D">
              <w:rPr>
                <w:rStyle w:val="Hyperlink"/>
                <w:noProof/>
              </w:rPr>
              <w:t>Conclusion &amp; Action Plan</w:t>
            </w:r>
            <w:r>
              <w:rPr>
                <w:noProof/>
                <w:webHidden/>
              </w:rPr>
              <w:tab/>
            </w:r>
            <w:r>
              <w:rPr>
                <w:noProof/>
                <w:webHidden/>
              </w:rPr>
              <w:fldChar w:fldCharType="begin"/>
            </w:r>
            <w:r>
              <w:rPr>
                <w:noProof/>
                <w:webHidden/>
              </w:rPr>
              <w:instrText xml:space="preserve"> PAGEREF _Toc189122795 \h </w:instrText>
            </w:r>
            <w:r>
              <w:rPr>
                <w:noProof/>
                <w:webHidden/>
              </w:rPr>
            </w:r>
            <w:r>
              <w:rPr>
                <w:noProof/>
                <w:webHidden/>
              </w:rPr>
              <w:fldChar w:fldCharType="separate"/>
            </w:r>
            <w:r>
              <w:rPr>
                <w:noProof/>
                <w:webHidden/>
              </w:rPr>
              <w:t>117</w:t>
            </w:r>
            <w:r>
              <w:rPr>
                <w:noProof/>
                <w:webHidden/>
              </w:rPr>
              <w:fldChar w:fldCharType="end"/>
            </w:r>
          </w:hyperlink>
        </w:p>
        <w:p w14:paraId="1345B802" w14:textId="3270228B" w:rsidR="007E0237" w:rsidRDefault="007E0237">
          <w:pPr>
            <w:pStyle w:val="TOC1"/>
            <w:tabs>
              <w:tab w:val="right" w:leader="dot" w:pos="9350"/>
            </w:tabs>
            <w:rPr>
              <w:rFonts w:eastAsiaTheme="minorEastAsia"/>
              <w:noProof/>
              <w:sz w:val="24"/>
              <w:szCs w:val="24"/>
            </w:rPr>
          </w:pPr>
          <w:hyperlink w:anchor="_Toc189122796" w:history="1">
            <w:r w:rsidRPr="00EE3C7D">
              <w:rPr>
                <w:rStyle w:val="Hyperlink"/>
                <w:noProof/>
              </w:rPr>
              <w:t>Attachment A – Application for Certification of Capacity from Plant Scherer Unit 3</w:t>
            </w:r>
            <w:r>
              <w:rPr>
                <w:noProof/>
                <w:webHidden/>
              </w:rPr>
              <w:tab/>
            </w:r>
            <w:r>
              <w:rPr>
                <w:noProof/>
                <w:webHidden/>
              </w:rPr>
              <w:fldChar w:fldCharType="begin"/>
            </w:r>
            <w:r>
              <w:rPr>
                <w:noProof/>
                <w:webHidden/>
              </w:rPr>
              <w:instrText xml:space="preserve"> PAGEREF _Toc189122796 \h </w:instrText>
            </w:r>
            <w:r>
              <w:rPr>
                <w:noProof/>
                <w:webHidden/>
              </w:rPr>
            </w:r>
            <w:r>
              <w:rPr>
                <w:noProof/>
                <w:webHidden/>
              </w:rPr>
              <w:fldChar w:fldCharType="separate"/>
            </w:r>
            <w:r>
              <w:rPr>
                <w:noProof/>
                <w:webHidden/>
              </w:rPr>
              <w:t>119</w:t>
            </w:r>
            <w:r>
              <w:rPr>
                <w:noProof/>
                <w:webHidden/>
              </w:rPr>
              <w:fldChar w:fldCharType="end"/>
            </w:r>
          </w:hyperlink>
        </w:p>
        <w:p w14:paraId="74B0F0ED" w14:textId="4E521E91" w:rsidR="007E0237" w:rsidRDefault="007E0237">
          <w:pPr>
            <w:pStyle w:val="TOC1"/>
            <w:tabs>
              <w:tab w:val="right" w:leader="dot" w:pos="9350"/>
            </w:tabs>
            <w:rPr>
              <w:rFonts w:eastAsiaTheme="minorEastAsia"/>
              <w:noProof/>
              <w:sz w:val="24"/>
              <w:szCs w:val="24"/>
            </w:rPr>
          </w:pPr>
          <w:hyperlink w:anchor="_Toc189122797" w:history="1">
            <w:r w:rsidRPr="00EE3C7D">
              <w:rPr>
                <w:rStyle w:val="Hyperlink"/>
                <w:noProof/>
              </w:rPr>
              <w:t>Attachment B – Application to Amend the Certificate of Capacity for Plant McIntosh Units 10-11 and 1A-8A</w:t>
            </w:r>
            <w:r>
              <w:rPr>
                <w:noProof/>
                <w:webHidden/>
              </w:rPr>
              <w:tab/>
            </w:r>
            <w:r>
              <w:rPr>
                <w:noProof/>
                <w:webHidden/>
              </w:rPr>
              <w:fldChar w:fldCharType="begin"/>
            </w:r>
            <w:r>
              <w:rPr>
                <w:noProof/>
                <w:webHidden/>
              </w:rPr>
              <w:instrText xml:space="preserve"> PAGEREF _Toc189122797 \h </w:instrText>
            </w:r>
            <w:r>
              <w:rPr>
                <w:noProof/>
                <w:webHidden/>
              </w:rPr>
            </w:r>
            <w:r>
              <w:rPr>
                <w:noProof/>
                <w:webHidden/>
              </w:rPr>
              <w:fldChar w:fldCharType="separate"/>
            </w:r>
            <w:r>
              <w:rPr>
                <w:noProof/>
                <w:webHidden/>
              </w:rPr>
              <w:t>123</w:t>
            </w:r>
            <w:r>
              <w:rPr>
                <w:noProof/>
                <w:webHidden/>
              </w:rPr>
              <w:fldChar w:fldCharType="end"/>
            </w:r>
          </w:hyperlink>
        </w:p>
        <w:p w14:paraId="4317A9E3" w14:textId="71728652" w:rsidR="007E0237" w:rsidRDefault="007E0237">
          <w:pPr>
            <w:pStyle w:val="TOC1"/>
            <w:tabs>
              <w:tab w:val="right" w:leader="dot" w:pos="9350"/>
            </w:tabs>
            <w:rPr>
              <w:rFonts w:eastAsiaTheme="minorEastAsia"/>
              <w:noProof/>
              <w:sz w:val="24"/>
              <w:szCs w:val="24"/>
            </w:rPr>
          </w:pPr>
          <w:hyperlink w:anchor="_Toc189122798" w:history="1">
            <w:r w:rsidRPr="00EE3C7D">
              <w:rPr>
                <w:rStyle w:val="Hyperlink"/>
                <w:noProof/>
              </w:rPr>
              <w:t>Attachment C – Planned and Committed Resources</w:t>
            </w:r>
            <w:r>
              <w:rPr>
                <w:noProof/>
                <w:webHidden/>
              </w:rPr>
              <w:tab/>
            </w:r>
            <w:r>
              <w:rPr>
                <w:noProof/>
                <w:webHidden/>
              </w:rPr>
              <w:fldChar w:fldCharType="begin"/>
            </w:r>
            <w:r>
              <w:rPr>
                <w:noProof/>
                <w:webHidden/>
              </w:rPr>
              <w:instrText xml:space="preserve"> PAGEREF _Toc189122798 \h </w:instrText>
            </w:r>
            <w:r>
              <w:rPr>
                <w:noProof/>
                <w:webHidden/>
              </w:rPr>
            </w:r>
            <w:r>
              <w:rPr>
                <w:noProof/>
                <w:webHidden/>
              </w:rPr>
              <w:fldChar w:fldCharType="separate"/>
            </w:r>
            <w:r>
              <w:rPr>
                <w:noProof/>
                <w:webHidden/>
              </w:rPr>
              <w:t>125</w:t>
            </w:r>
            <w:r>
              <w:rPr>
                <w:noProof/>
                <w:webHidden/>
              </w:rPr>
              <w:fldChar w:fldCharType="end"/>
            </w:r>
          </w:hyperlink>
        </w:p>
        <w:p w14:paraId="7DDD319E" w14:textId="40691750" w:rsidR="007E0237" w:rsidRDefault="007E0237">
          <w:pPr>
            <w:pStyle w:val="TOC2"/>
            <w:tabs>
              <w:tab w:val="right" w:leader="dot" w:pos="9350"/>
            </w:tabs>
            <w:rPr>
              <w:rFonts w:eastAsiaTheme="minorEastAsia"/>
              <w:noProof/>
              <w:sz w:val="24"/>
              <w:szCs w:val="24"/>
            </w:rPr>
          </w:pPr>
          <w:hyperlink w:anchor="_Toc189122799" w:history="1">
            <w:r w:rsidRPr="00EE3C7D">
              <w:rPr>
                <w:rStyle w:val="Hyperlink"/>
                <w:noProof/>
              </w:rPr>
              <w:t>C.1 – Company-Owned Resources – Conventional</w:t>
            </w:r>
            <w:r>
              <w:rPr>
                <w:noProof/>
                <w:webHidden/>
              </w:rPr>
              <w:tab/>
            </w:r>
            <w:r>
              <w:rPr>
                <w:noProof/>
                <w:webHidden/>
              </w:rPr>
              <w:fldChar w:fldCharType="begin"/>
            </w:r>
            <w:r>
              <w:rPr>
                <w:noProof/>
                <w:webHidden/>
              </w:rPr>
              <w:instrText xml:space="preserve"> PAGEREF _Toc189122799 \h </w:instrText>
            </w:r>
            <w:r>
              <w:rPr>
                <w:noProof/>
                <w:webHidden/>
              </w:rPr>
            </w:r>
            <w:r>
              <w:rPr>
                <w:noProof/>
                <w:webHidden/>
              </w:rPr>
              <w:fldChar w:fldCharType="separate"/>
            </w:r>
            <w:r>
              <w:rPr>
                <w:noProof/>
                <w:webHidden/>
              </w:rPr>
              <w:t>125</w:t>
            </w:r>
            <w:r>
              <w:rPr>
                <w:noProof/>
                <w:webHidden/>
              </w:rPr>
              <w:fldChar w:fldCharType="end"/>
            </w:r>
          </w:hyperlink>
        </w:p>
        <w:p w14:paraId="29C57788" w14:textId="4CB53F46" w:rsidR="007E0237" w:rsidRDefault="007E0237">
          <w:pPr>
            <w:pStyle w:val="TOC2"/>
            <w:tabs>
              <w:tab w:val="right" w:leader="dot" w:pos="9350"/>
            </w:tabs>
            <w:rPr>
              <w:rFonts w:eastAsiaTheme="minorEastAsia"/>
              <w:noProof/>
              <w:sz w:val="24"/>
              <w:szCs w:val="24"/>
            </w:rPr>
          </w:pPr>
          <w:hyperlink w:anchor="_Toc189122800" w:history="1">
            <w:r w:rsidRPr="00EE3C7D">
              <w:rPr>
                <w:rStyle w:val="Hyperlink"/>
                <w:noProof/>
              </w:rPr>
              <w:t>C.2 – Company-Owned Resources – Hydroelectric</w:t>
            </w:r>
            <w:r>
              <w:rPr>
                <w:noProof/>
                <w:webHidden/>
              </w:rPr>
              <w:tab/>
            </w:r>
            <w:r>
              <w:rPr>
                <w:noProof/>
                <w:webHidden/>
              </w:rPr>
              <w:fldChar w:fldCharType="begin"/>
            </w:r>
            <w:r>
              <w:rPr>
                <w:noProof/>
                <w:webHidden/>
              </w:rPr>
              <w:instrText xml:space="preserve"> PAGEREF _Toc189122800 \h </w:instrText>
            </w:r>
            <w:r>
              <w:rPr>
                <w:noProof/>
                <w:webHidden/>
              </w:rPr>
            </w:r>
            <w:r>
              <w:rPr>
                <w:noProof/>
                <w:webHidden/>
              </w:rPr>
              <w:fldChar w:fldCharType="separate"/>
            </w:r>
            <w:r>
              <w:rPr>
                <w:noProof/>
                <w:webHidden/>
              </w:rPr>
              <w:t>127</w:t>
            </w:r>
            <w:r>
              <w:rPr>
                <w:noProof/>
                <w:webHidden/>
              </w:rPr>
              <w:fldChar w:fldCharType="end"/>
            </w:r>
          </w:hyperlink>
        </w:p>
        <w:p w14:paraId="17875D12" w14:textId="7508300D" w:rsidR="007E0237" w:rsidRDefault="007E0237">
          <w:pPr>
            <w:pStyle w:val="TOC2"/>
            <w:tabs>
              <w:tab w:val="right" w:leader="dot" w:pos="9350"/>
            </w:tabs>
            <w:rPr>
              <w:rFonts w:eastAsiaTheme="minorEastAsia"/>
              <w:noProof/>
              <w:sz w:val="24"/>
              <w:szCs w:val="24"/>
            </w:rPr>
          </w:pPr>
          <w:hyperlink w:anchor="_Toc189122801" w:history="1">
            <w:r w:rsidRPr="00EE3C7D">
              <w:rPr>
                <w:rStyle w:val="Hyperlink"/>
                <w:noProof/>
              </w:rPr>
              <w:t>C.3 – Company-Owned Resources – Renewables and Storage</w:t>
            </w:r>
            <w:r>
              <w:rPr>
                <w:noProof/>
                <w:webHidden/>
              </w:rPr>
              <w:tab/>
            </w:r>
            <w:r>
              <w:rPr>
                <w:noProof/>
                <w:webHidden/>
              </w:rPr>
              <w:fldChar w:fldCharType="begin"/>
            </w:r>
            <w:r>
              <w:rPr>
                <w:noProof/>
                <w:webHidden/>
              </w:rPr>
              <w:instrText xml:space="preserve"> PAGEREF _Toc189122801 \h </w:instrText>
            </w:r>
            <w:r>
              <w:rPr>
                <w:noProof/>
                <w:webHidden/>
              </w:rPr>
            </w:r>
            <w:r>
              <w:rPr>
                <w:noProof/>
                <w:webHidden/>
              </w:rPr>
              <w:fldChar w:fldCharType="separate"/>
            </w:r>
            <w:r>
              <w:rPr>
                <w:noProof/>
                <w:webHidden/>
              </w:rPr>
              <w:t>128</w:t>
            </w:r>
            <w:r>
              <w:rPr>
                <w:noProof/>
                <w:webHidden/>
              </w:rPr>
              <w:fldChar w:fldCharType="end"/>
            </w:r>
          </w:hyperlink>
        </w:p>
        <w:p w14:paraId="3F0A4C03" w14:textId="094250AC" w:rsidR="007E0237" w:rsidRDefault="007E0237">
          <w:pPr>
            <w:pStyle w:val="TOC2"/>
            <w:tabs>
              <w:tab w:val="right" w:leader="dot" w:pos="9350"/>
            </w:tabs>
            <w:rPr>
              <w:rFonts w:eastAsiaTheme="minorEastAsia"/>
              <w:noProof/>
              <w:sz w:val="24"/>
              <w:szCs w:val="24"/>
            </w:rPr>
          </w:pPr>
          <w:hyperlink w:anchor="_Toc189122802" w:history="1">
            <w:r w:rsidRPr="00EE3C7D">
              <w:rPr>
                <w:rStyle w:val="Hyperlink"/>
                <w:noProof/>
              </w:rPr>
              <w:t>C.4 – Power Purchase Agreements – Conventional</w:t>
            </w:r>
            <w:r>
              <w:rPr>
                <w:noProof/>
                <w:webHidden/>
              </w:rPr>
              <w:tab/>
            </w:r>
            <w:r>
              <w:rPr>
                <w:noProof/>
                <w:webHidden/>
              </w:rPr>
              <w:fldChar w:fldCharType="begin"/>
            </w:r>
            <w:r>
              <w:rPr>
                <w:noProof/>
                <w:webHidden/>
              </w:rPr>
              <w:instrText xml:space="preserve"> PAGEREF _Toc189122802 \h </w:instrText>
            </w:r>
            <w:r>
              <w:rPr>
                <w:noProof/>
                <w:webHidden/>
              </w:rPr>
            </w:r>
            <w:r>
              <w:rPr>
                <w:noProof/>
                <w:webHidden/>
              </w:rPr>
              <w:fldChar w:fldCharType="separate"/>
            </w:r>
            <w:r>
              <w:rPr>
                <w:noProof/>
                <w:webHidden/>
              </w:rPr>
              <w:t>129</w:t>
            </w:r>
            <w:r>
              <w:rPr>
                <w:noProof/>
                <w:webHidden/>
              </w:rPr>
              <w:fldChar w:fldCharType="end"/>
            </w:r>
          </w:hyperlink>
        </w:p>
        <w:p w14:paraId="0912EC14" w14:textId="5FB9A237" w:rsidR="007E0237" w:rsidRDefault="007E0237">
          <w:pPr>
            <w:pStyle w:val="TOC2"/>
            <w:tabs>
              <w:tab w:val="right" w:leader="dot" w:pos="9350"/>
            </w:tabs>
            <w:rPr>
              <w:rFonts w:eastAsiaTheme="minorEastAsia"/>
              <w:noProof/>
              <w:sz w:val="24"/>
              <w:szCs w:val="24"/>
            </w:rPr>
          </w:pPr>
          <w:hyperlink w:anchor="_Toc189122803" w:history="1">
            <w:r w:rsidRPr="00EE3C7D">
              <w:rPr>
                <w:rStyle w:val="Hyperlink"/>
                <w:noProof/>
              </w:rPr>
              <w:t>C.5 – Power Purchase Agreements – Renewables and Storage</w:t>
            </w:r>
            <w:r>
              <w:rPr>
                <w:noProof/>
                <w:webHidden/>
              </w:rPr>
              <w:tab/>
            </w:r>
            <w:r>
              <w:rPr>
                <w:noProof/>
                <w:webHidden/>
              </w:rPr>
              <w:fldChar w:fldCharType="begin"/>
            </w:r>
            <w:r>
              <w:rPr>
                <w:noProof/>
                <w:webHidden/>
              </w:rPr>
              <w:instrText xml:space="preserve"> PAGEREF _Toc189122803 \h </w:instrText>
            </w:r>
            <w:r>
              <w:rPr>
                <w:noProof/>
                <w:webHidden/>
              </w:rPr>
            </w:r>
            <w:r>
              <w:rPr>
                <w:noProof/>
                <w:webHidden/>
              </w:rPr>
              <w:fldChar w:fldCharType="separate"/>
            </w:r>
            <w:r>
              <w:rPr>
                <w:noProof/>
                <w:webHidden/>
              </w:rPr>
              <w:t>130</w:t>
            </w:r>
            <w:r>
              <w:rPr>
                <w:noProof/>
                <w:webHidden/>
              </w:rPr>
              <w:fldChar w:fldCharType="end"/>
            </w:r>
          </w:hyperlink>
        </w:p>
        <w:p w14:paraId="35F77EB4" w14:textId="19EE49BB" w:rsidR="007E0237" w:rsidRDefault="007E0237">
          <w:pPr>
            <w:pStyle w:val="TOC2"/>
            <w:tabs>
              <w:tab w:val="right" w:leader="dot" w:pos="9350"/>
            </w:tabs>
            <w:rPr>
              <w:rFonts w:eastAsiaTheme="minorEastAsia"/>
              <w:noProof/>
              <w:sz w:val="24"/>
              <w:szCs w:val="24"/>
            </w:rPr>
          </w:pPr>
          <w:hyperlink w:anchor="_Toc189122804" w:history="1">
            <w:r w:rsidRPr="00EE3C7D">
              <w:rPr>
                <w:rStyle w:val="Hyperlink"/>
                <w:noProof/>
              </w:rPr>
              <w:t>C.6 – Demand-Side Options</w:t>
            </w:r>
            <w:r>
              <w:rPr>
                <w:noProof/>
                <w:webHidden/>
              </w:rPr>
              <w:tab/>
            </w:r>
            <w:r>
              <w:rPr>
                <w:noProof/>
                <w:webHidden/>
              </w:rPr>
              <w:fldChar w:fldCharType="begin"/>
            </w:r>
            <w:r>
              <w:rPr>
                <w:noProof/>
                <w:webHidden/>
              </w:rPr>
              <w:instrText xml:space="preserve"> PAGEREF _Toc189122804 \h </w:instrText>
            </w:r>
            <w:r>
              <w:rPr>
                <w:noProof/>
                <w:webHidden/>
              </w:rPr>
            </w:r>
            <w:r>
              <w:rPr>
                <w:noProof/>
                <w:webHidden/>
              </w:rPr>
              <w:fldChar w:fldCharType="separate"/>
            </w:r>
            <w:r>
              <w:rPr>
                <w:noProof/>
                <w:webHidden/>
              </w:rPr>
              <w:t>134</w:t>
            </w:r>
            <w:r>
              <w:rPr>
                <w:noProof/>
                <w:webHidden/>
              </w:rPr>
              <w:fldChar w:fldCharType="end"/>
            </w:r>
          </w:hyperlink>
        </w:p>
        <w:p w14:paraId="72C48525" w14:textId="5F42CD90" w:rsidR="007E0237" w:rsidRDefault="007E0237">
          <w:pPr>
            <w:pStyle w:val="TOC1"/>
            <w:tabs>
              <w:tab w:val="right" w:leader="dot" w:pos="9350"/>
            </w:tabs>
            <w:rPr>
              <w:rFonts w:eastAsiaTheme="minorEastAsia"/>
              <w:noProof/>
              <w:sz w:val="24"/>
              <w:szCs w:val="24"/>
            </w:rPr>
          </w:pPr>
          <w:hyperlink w:anchor="_Toc189122805" w:history="1">
            <w:r w:rsidRPr="00EE3C7D">
              <w:rPr>
                <w:rStyle w:val="Hyperlink"/>
                <w:noProof/>
              </w:rPr>
              <w:t>Attachment D – Retirements Since 2007</w:t>
            </w:r>
            <w:r>
              <w:rPr>
                <w:noProof/>
                <w:webHidden/>
              </w:rPr>
              <w:tab/>
            </w:r>
            <w:r>
              <w:rPr>
                <w:noProof/>
                <w:webHidden/>
              </w:rPr>
              <w:fldChar w:fldCharType="begin"/>
            </w:r>
            <w:r>
              <w:rPr>
                <w:noProof/>
                <w:webHidden/>
              </w:rPr>
              <w:instrText xml:space="preserve"> PAGEREF _Toc189122805 \h </w:instrText>
            </w:r>
            <w:r>
              <w:rPr>
                <w:noProof/>
                <w:webHidden/>
              </w:rPr>
            </w:r>
            <w:r>
              <w:rPr>
                <w:noProof/>
                <w:webHidden/>
              </w:rPr>
              <w:fldChar w:fldCharType="separate"/>
            </w:r>
            <w:r>
              <w:rPr>
                <w:noProof/>
                <w:webHidden/>
              </w:rPr>
              <w:t>135</w:t>
            </w:r>
            <w:r>
              <w:rPr>
                <w:noProof/>
                <w:webHidden/>
              </w:rPr>
              <w:fldChar w:fldCharType="end"/>
            </w:r>
          </w:hyperlink>
        </w:p>
        <w:p w14:paraId="7834E0C3" w14:textId="3D5C08A1" w:rsidR="007E0237" w:rsidRDefault="007E0237">
          <w:pPr>
            <w:pStyle w:val="TOC1"/>
            <w:tabs>
              <w:tab w:val="right" w:leader="dot" w:pos="9350"/>
            </w:tabs>
            <w:rPr>
              <w:rFonts w:eastAsiaTheme="minorEastAsia"/>
              <w:noProof/>
              <w:sz w:val="24"/>
              <w:szCs w:val="24"/>
            </w:rPr>
          </w:pPr>
          <w:hyperlink w:anchor="_Toc189122806" w:history="1">
            <w:r w:rsidRPr="00EE3C7D">
              <w:rPr>
                <w:rStyle w:val="Hyperlink"/>
                <w:noProof/>
              </w:rPr>
              <w:t>Attachment E – Major Models Used in the IRP</w:t>
            </w:r>
            <w:r>
              <w:rPr>
                <w:noProof/>
                <w:webHidden/>
              </w:rPr>
              <w:tab/>
            </w:r>
            <w:r>
              <w:rPr>
                <w:noProof/>
                <w:webHidden/>
              </w:rPr>
              <w:fldChar w:fldCharType="begin"/>
            </w:r>
            <w:r>
              <w:rPr>
                <w:noProof/>
                <w:webHidden/>
              </w:rPr>
              <w:instrText xml:space="preserve"> PAGEREF _Toc189122806 \h </w:instrText>
            </w:r>
            <w:r>
              <w:rPr>
                <w:noProof/>
                <w:webHidden/>
              </w:rPr>
            </w:r>
            <w:r>
              <w:rPr>
                <w:noProof/>
                <w:webHidden/>
              </w:rPr>
              <w:fldChar w:fldCharType="separate"/>
            </w:r>
            <w:r>
              <w:rPr>
                <w:noProof/>
                <w:webHidden/>
              </w:rPr>
              <w:t>137</w:t>
            </w:r>
            <w:r>
              <w:rPr>
                <w:noProof/>
                <w:webHidden/>
              </w:rPr>
              <w:fldChar w:fldCharType="end"/>
            </w:r>
          </w:hyperlink>
        </w:p>
        <w:p w14:paraId="1F9F90A7" w14:textId="492D9769" w:rsidR="007E0237" w:rsidRDefault="007E0237">
          <w:pPr>
            <w:pStyle w:val="TOC2"/>
            <w:tabs>
              <w:tab w:val="right" w:leader="dot" w:pos="9350"/>
            </w:tabs>
            <w:rPr>
              <w:rFonts w:eastAsiaTheme="minorEastAsia"/>
              <w:noProof/>
              <w:sz w:val="24"/>
              <w:szCs w:val="24"/>
            </w:rPr>
          </w:pPr>
          <w:hyperlink w:anchor="_Toc189122807" w:history="1">
            <w:r w:rsidRPr="00EE3C7D">
              <w:rPr>
                <w:rStyle w:val="Hyperlink"/>
                <w:noProof/>
              </w:rPr>
              <w:t>E.1 – Load Forecasting</w:t>
            </w:r>
            <w:r>
              <w:rPr>
                <w:noProof/>
                <w:webHidden/>
              </w:rPr>
              <w:tab/>
            </w:r>
            <w:r>
              <w:rPr>
                <w:noProof/>
                <w:webHidden/>
              </w:rPr>
              <w:fldChar w:fldCharType="begin"/>
            </w:r>
            <w:r>
              <w:rPr>
                <w:noProof/>
                <w:webHidden/>
              </w:rPr>
              <w:instrText xml:space="preserve"> PAGEREF _Toc189122807 \h </w:instrText>
            </w:r>
            <w:r>
              <w:rPr>
                <w:noProof/>
                <w:webHidden/>
              </w:rPr>
            </w:r>
            <w:r>
              <w:rPr>
                <w:noProof/>
                <w:webHidden/>
              </w:rPr>
              <w:fldChar w:fldCharType="separate"/>
            </w:r>
            <w:r>
              <w:rPr>
                <w:noProof/>
                <w:webHidden/>
              </w:rPr>
              <w:t>137</w:t>
            </w:r>
            <w:r>
              <w:rPr>
                <w:noProof/>
                <w:webHidden/>
              </w:rPr>
              <w:fldChar w:fldCharType="end"/>
            </w:r>
          </w:hyperlink>
        </w:p>
        <w:p w14:paraId="477D1B3A" w14:textId="6C550693" w:rsidR="007E0237" w:rsidRDefault="007E0237">
          <w:pPr>
            <w:pStyle w:val="TOC2"/>
            <w:tabs>
              <w:tab w:val="right" w:leader="dot" w:pos="9350"/>
            </w:tabs>
            <w:rPr>
              <w:rFonts w:eastAsiaTheme="minorEastAsia"/>
              <w:noProof/>
              <w:sz w:val="24"/>
              <w:szCs w:val="24"/>
            </w:rPr>
          </w:pPr>
          <w:hyperlink w:anchor="_Toc189122808" w:history="1">
            <w:r w:rsidRPr="00EE3C7D">
              <w:rPr>
                <w:rStyle w:val="Hyperlink"/>
                <w:noProof/>
              </w:rPr>
              <w:t>E.2 – Reliability</w:t>
            </w:r>
            <w:r>
              <w:rPr>
                <w:noProof/>
                <w:webHidden/>
              </w:rPr>
              <w:tab/>
            </w:r>
            <w:r>
              <w:rPr>
                <w:noProof/>
                <w:webHidden/>
              </w:rPr>
              <w:fldChar w:fldCharType="begin"/>
            </w:r>
            <w:r>
              <w:rPr>
                <w:noProof/>
                <w:webHidden/>
              </w:rPr>
              <w:instrText xml:space="preserve"> PAGEREF _Toc189122808 \h </w:instrText>
            </w:r>
            <w:r>
              <w:rPr>
                <w:noProof/>
                <w:webHidden/>
              </w:rPr>
            </w:r>
            <w:r>
              <w:rPr>
                <w:noProof/>
                <w:webHidden/>
              </w:rPr>
              <w:fldChar w:fldCharType="separate"/>
            </w:r>
            <w:r>
              <w:rPr>
                <w:noProof/>
                <w:webHidden/>
              </w:rPr>
              <w:t>138</w:t>
            </w:r>
            <w:r>
              <w:rPr>
                <w:noProof/>
                <w:webHidden/>
              </w:rPr>
              <w:fldChar w:fldCharType="end"/>
            </w:r>
          </w:hyperlink>
        </w:p>
        <w:p w14:paraId="258A61A1" w14:textId="32DAD682" w:rsidR="007E0237" w:rsidRDefault="007E0237">
          <w:pPr>
            <w:pStyle w:val="TOC2"/>
            <w:tabs>
              <w:tab w:val="right" w:leader="dot" w:pos="9350"/>
            </w:tabs>
            <w:rPr>
              <w:rFonts w:eastAsiaTheme="minorEastAsia"/>
              <w:noProof/>
              <w:sz w:val="24"/>
              <w:szCs w:val="24"/>
            </w:rPr>
          </w:pPr>
          <w:hyperlink w:anchor="_Toc189122809" w:history="1">
            <w:r w:rsidRPr="00EE3C7D">
              <w:rPr>
                <w:rStyle w:val="Hyperlink"/>
                <w:noProof/>
              </w:rPr>
              <w:t>E.3 – Expansion and Economic Analysis</w:t>
            </w:r>
            <w:r>
              <w:rPr>
                <w:noProof/>
                <w:webHidden/>
              </w:rPr>
              <w:tab/>
            </w:r>
            <w:r>
              <w:rPr>
                <w:noProof/>
                <w:webHidden/>
              </w:rPr>
              <w:fldChar w:fldCharType="begin"/>
            </w:r>
            <w:r>
              <w:rPr>
                <w:noProof/>
                <w:webHidden/>
              </w:rPr>
              <w:instrText xml:space="preserve"> PAGEREF _Toc189122809 \h </w:instrText>
            </w:r>
            <w:r>
              <w:rPr>
                <w:noProof/>
                <w:webHidden/>
              </w:rPr>
            </w:r>
            <w:r>
              <w:rPr>
                <w:noProof/>
                <w:webHidden/>
              </w:rPr>
              <w:fldChar w:fldCharType="separate"/>
            </w:r>
            <w:r>
              <w:rPr>
                <w:noProof/>
                <w:webHidden/>
              </w:rPr>
              <w:t>138</w:t>
            </w:r>
            <w:r>
              <w:rPr>
                <w:noProof/>
                <w:webHidden/>
              </w:rPr>
              <w:fldChar w:fldCharType="end"/>
            </w:r>
          </w:hyperlink>
        </w:p>
        <w:p w14:paraId="48D023FF" w14:textId="15767D49" w:rsidR="007E0237" w:rsidRDefault="007E0237">
          <w:pPr>
            <w:pStyle w:val="TOC1"/>
            <w:tabs>
              <w:tab w:val="right" w:leader="dot" w:pos="9350"/>
            </w:tabs>
            <w:rPr>
              <w:rFonts w:eastAsiaTheme="minorEastAsia"/>
              <w:noProof/>
              <w:sz w:val="24"/>
              <w:szCs w:val="24"/>
            </w:rPr>
          </w:pPr>
          <w:hyperlink w:anchor="_Toc189122810" w:history="1">
            <w:r w:rsidRPr="00EE3C7D">
              <w:rPr>
                <w:rStyle w:val="Hyperlink"/>
                <w:noProof/>
              </w:rPr>
              <w:t>Attachment F – Hydroelectric Relicensing Schedule</w:t>
            </w:r>
            <w:r>
              <w:rPr>
                <w:noProof/>
                <w:webHidden/>
              </w:rPr>
              <w:tab/>
            </w:r>
            <w:r>
              <w:rPr>
                <w:noProof/>
                <w:webHidden/>
              </w:rPr>
              <w:fldChar w:fldCharType="begin"/>
            </w:r>
            <w:r>
              <w:rPr>
                <w:noProof/>
                <w:webHidden/>
              </w:rPr>
              <w:instrText xml:space="preserve"> PAGEREF _Toc189122810 \h </w:instrText>
            </w:r>
            <w:r>
              <w:rPr>
                <w:noProof/>
                <w:webHidden/>
              </w:rPr>
            </w:r>
            <w:r>
              <w:rPr>
                <w:noProof/>
                <w:webHidden/>
              </w:rPr>
              <w:fldChar w:fldCharType="separate"/>
            </w:r>
            <w:r>
              <w:rPr>
                <w:noProof/>
                <w:webHidden/>
              </w:rPr>
              <w:t>141</w:t>
            </w:r>
            <w:r>
              <w:rPr>
                <w:noProof/>
                <w:webHidden/>
              </w:rPr>
              <w:fldChar w:fldCharType="end"/>
            </w:r>
          </w:hyperlink>
        </w:p>
        <w:p w14:paraId="7401C48D" w14:textId="6360C670" w:rsidR="007E0237" w:rsidRDefault="007E0237">
          <w:pPr>
            <w:pStyle w:val="TOC2"/>
            <w:tabs>
              <w:tab w:val="right" w:leader="dot" w:pos="9350"/>
            </w:tabs>
            <w:rPr>
              <w:rFonts w:eastAsiaTheme="minorEastAsia"/>
              <w:noProof/>
              <w:sz w:val="24"/>
              <w:szCs w:val="24"/>
            </w:rPr>
          </w:pPr>
          <w:hyperlink w:anchor="_Toc189122811" w:history="1">
            <w:r w:rsidRPr="00EE3C7D">
              <w:rPr>
                <w:rStyle w:val="Hyperlink"/>
                <w:noProof/>
              </w:rPr>
              <w:t>F.1 – Wallace Dam</w:t>
            </w:r>
            <w:r>
              <w:rPr>
                <w:noProof/>
                <w:webHidden/>
              </w:rPr>
              <w:tab/>
            </w:r>
            <w:r>
              <w:rPr>
                <w:noProof/>
                <w:webHidden/>
              </w:rPr>
              <w:fldChar w:fldCharType="begin"/>
            </w:r>
            <w:r>
              <w:rPr>
                <w:noProof/>
                <w:webHidden/>
              </w:rPr>
              <w:instrText xml:space="preserve"> PAGEREF _Toc189122811 \h </w:instrText>
            </w:r>
            <w:r>
              <w:rPr>
                <w:noProof/>
                <w:webHidden/>
              </w:rPr>
            </w:r>
            <w:r>
              <w:rPr>
                <w:noProof/>
                <w:webHidden/>
              </w:rPr>
              <w:fldChar w:fldCharType="separate"/>
            </w:r>
            <w:r>
              <w:rPr>
                <w:noProof/>
                <w:webHidden/>
              </w:rPr>
              <w:t>142</w:t>
            </w:r>
            <w:r>
              <w:rPr>
                <w:noProof/>
                <w:webHidden/>
              </w:rPr>
              <w:fldChar w:fldCharType="end"/>
            </w:r>
          </w:hyperlink>
        </w:p>
        <w:p w14:paraId="02DE4A0A" w14:textId="361D47FB" w:rsidR="007E0237" w:rsidRDefault="007E0237">
          <w:pPr>
            <w:pStyle w:val="TOC2"/>
            <w:tabs>
              <w:tab w:val="right" w:leader="dot" w:pos="9350"/>
            </w:tabs>
            <w:rPr>
              <w:rFonts w:eastAsiaTheme="minorEastAsia"/>
              <w:noProof/>
              <w:sz w:val="24"/>
              <w:szCs w:val="24"/>
            </w:rPr>
          </w:pPr>
          <w:hyperlink w:anchor="_Toc189122812" w:history="1">
            <w:r w:rsidRPr="00EE3C7D">
              <w:rPr>
                <w:rStyle w:val="Hyperlink"/>
                <w:noProof/>
              </w:rPr>
              <w:t>F.2 – Lloyd Shoals Projects</w:t>
            </w:r>
            <w:r>
              <w:rPr>
                <w:noProof/>
                <w:webHidden/>
              </w:rPr>
              <w:tab/>
            </w:r>
            <w:r>
              <w:rPr>
                <w:noProof/>
                <w:webHidden/>
              </w:rPr>
              <w:fldChar w:fldCharType="begin"/>
            </w:r>
            <w:r>
              <w:rPr>
                <w:noProof/>
                <w:webHidden/>
              </w:rPr>
              <w:instrText xml:space="preserve"> PAGEREF _Toc189122812 \h </w:instrText>
            </w:r>
            <w:r>
              <w:rPr>
                <w:noProof/>
                <w:webHidden/>
              </w:rPr>
            </w:r>
            <w:r>
              <w:rPr>
                <w:noProof/>
                <w:webHidden/>
              </w:rPr>
              <w:fldChar w:fldCharType="separate"/>
            </w:r>
            <w:r>
              <w:rPr>
                <w:noProof/>
                <w:webHidden/>
              </w:rPr>
              <w:t>142</w:t>
            </w:r>
            <w:r>
              <w:rPr>
                <w:noProof/>
                <w:webHidden/>
              </w:rPr>
              <w:fldChar w:fldCharType="end"/>
            </w:r>
          </w:hyperlink>
        </w:p>
        <w:p w14:paraId="24CB1C01" w14:textId="64D5A314" w:rsidR="007E0237" w:rsidRDefault="007E0237">
          <w:pPr>
            <w:pStyle w:val="TOC2"/>
            <w:tabs>
              <w:tab w:val="right" w:leader="dot" w:pos="9350"/>
            </w:tabs>
            <w:rPr>
              <w:rFonts w:eastAsiaTheme="minorEastAsia"/>
              <w:noProof/>
              <w:sz w:val="24"/>
              <w:szCs w:val="24"/>
            </w:rPr>
          </w:pPr>
          <w:hyperlink w:anchor="_Toc189122813" w:history="1">
            <w:r w:rsidRPr="00EE3C7D">
              <w:rPr>
                <w:rStyle w:val="Hyperlink"/>
                <w:noProof/>
              </w:rPr>
              <w:t>F.3 – Langdale and Riverview Projects</w:t>
            </w:r>
            <w:r>
              <w:rPr>
                <w:noProof/>
                <w:webHidden/>
              </w:rPr>
              <w:tab/>
            </w:r>
            <w:r>
              <w:rPr>
                <w:noProof/>
                <w:webHidden/>
              </w:rPr>
              <w:fldChar w:fldCharType="begin"/>
            </w:r>
            <w:r>
              <w:rPr>
                <w:noProof/>
                <w:webHidden/>
              </w:rPr>
              <w:instrText xml:space="preserve"> PAGEREF _Toc189122813 \h </w:instrText>
            </w:r>
            <w:r>
              <w:rPr>
                <w:noProof/>
                <w:webHidden/>
              </w:rPr>
            </w:r>
            <w:r>
              <w:rPr>
                <w:noProof/>
                <w:webHidden/>
              </w:rPr>
              <w:fldChar w:fldCharType="separate"/>
            </w:r>
            <w:r>
              <w:rPr>
                <w:noProof/>
                <w:webHidden/>
              </w:rPr>
              <w:t>142</w:t>
            </w:r>
            <w:r>
              <w:rPr>
                <w:noProof/>
                <w:webHidden/>
              </w:rPr>
              <w:fldChar w:fldCharType="end"/>
            </w:r>
          </w:hyperlink>
        </w:p>
        <w:p w14:paraId="1EFE18F3" w14:textId="3C32AB9B" w:rsidR="007E0237" w:rsidRDefault="007E0237">
          <w:pPr>
            <w:pStyle w:val="TOC2"/>
            <w:tabs>
              <w:tab w:val="right" w:leader="dot" w:pos="9350"/>
            </w:tabs>
            <w:rPr>
              <w:rFonts w:eastAsiaTheme="minorEastAsia"/>
              <w:noProof/>
              <w:sz w:val="24"/>
              <w:szCs w:val="24"/>
            </w:rPr>
          </w:pPr>
          <w:hyperlink w:anchor="_Toc189122814" w:history="1">
            <w:r w:rsidRPr="00EE3C7D">
              <w:rPr>
                <w:rStyle w:val="Hyperlink"/>
                <w:noProof/>
              </w:rPr>
              <w:t>F.4 – Rocky Mountain Pumped Storage Project (co-owned and jointly licensed with Oglethorpe Power)</w:t>
            </w:r>
            <w:r>
              <w:rPr>
                <w:noProof/>
                <w:webHidden/>
              </w:rPr>
              <w:tab/>
            </w:r>
            <w:r>
              <w:rPr>
                <w:noProof/>
                <w:webHidden/>
              </w:rPr>
              <w:fldChar w:fldCharType="begin"/>
            </w:r>
            <w:r>
              <w:rPr>
                <w:noProof/>
                <w:webHidden/>
              </w:rPr>
              <w:instrText xml:space="preserve"> PAGEREF _Toc189122814 \h </w:instrText>
            </w:r>
            <w:r>
              <w:rPr>
                <w:noProof/>
                <w:webHidden/>
              </w:rPr>
            </w:r>
            <w:r>
              <w:rPr>
                <w:noProof/>
                <w:webHidden/>
              </w:rPr>
              <w:fldChar w:fldCharType="separate"/>
            </w:r>
            <w:r>
              <w:rPr>
                <w:noProof/>
                <w:webHidden/>
              </w:rPr>
              <w:t>143</w:t>
            </w:r>
            <w:r>
              <w:rPr>
                <w:noProof/>
                <w:webHidden/>
              </w:rPr>
              <w:fldChar w:fldCharType="end"/>
            </w:r>
          </w:hyperlink>
        </w:p>
        <w:p w14:paraId="150FF0CE" w14:textId="1CFB0AD3" w:rsidR="007E0237" w:rsidRDefault="007E0237">
          <w:pPr>
            <w:pStyle w:val="TOC1"/>
            <w:tabs>
              <w:tab w:val="right" w:leader="dot" w:pos="9350"/>
            </w:tabs>
            <w:rPr>
              <w:rFonts w:eastAsiaTheme="minorEastAsia"/>
              <w:noProof/>
              <w:sz w:val="24"/>
              <w:szCs w:val="24"/>
            </w:rPr>
          </w:pPr>
          <w:hyperlink w:anchor="_Toc189122815" w:history="1">
            <w:r w:rsidRPr="00EE3C7D">
              <w:rPr>
                <w:rStyle w:val="Hyperlink"/>
                <w:noProof/>
              </w:rPr>
              <w:t>Attachment G – Summary of the System Pooling Arrangement</w:t>
            </w:r>
            <w:r>
              <w:rPr>
                <w:noProof/>
                <w:webHidden/>
              </w:rPr>
              <w:tab/>
            </w:r>
            <w:r>
              <w:rPr>
                <w:noProof/>
                <w:webHidden/>
              </w:rPr>
              <w:fldChar w:fldCharType="begin"/>
            </w:r>
            <w:r>
              <w:rPr>
                <w:noProof/>
                <w:webHidden/>
              </w:rPr>
              <w:instrText xml:space="preserve"> PAGEREF _Toc189122815 \h </w:instrText>
            </w:r>
            <w:r>
              <w:rPr>
                <w:noProof/>
                <w:webHidden/>
              </w:rPr>
            </w:r>
            <w:r>
              <w:rPr>
                <w:noProof/>
                <w:webHidden/>
              </w:rPr>
              <w:fldChar w:fldCharType="separate"/>
            </w:r>
            <w:r>
              <w:rPr>
                <w:noProof/>
                <w:webHidden/>
              </w:rPr>
              <w:t>145</w:t>
            </w:r>
            <w:r>
              <w:rPr>
                <w:noProof/>
                <w:webHidden/>
              </w:rPr>
              <w:fldChar w:fldCharType="end"/>
            </w:r>
          </w:hyperlink>
        </w:p>
        <w:p w14:paraId="1F95D01A" w14:textId="7717ADCF" w:rsidR="007E0237" w:rsidRDefault="007E0237">
          <w:pPr>
            <w:pStyle w:val="TOC2"/>
            <w:tabs>
              <w:tab w:val="right" w:leader="dot" w:pos="9350"/>
            </w:tabs>
            <w:rPr>
              <w:rFonts w:eastAsiaTheme="minorEastAsia"/>
              <w:noProof/>
              <w:sz w:val="24"/>
              <w:szCs w:val="24"/>
            </w:rPr>
          </w:pPr>
          <w:hyperlink w:anchor="_Toc189122816" w:history="1">
            <w:r w:rsidRPr="00EE3C7D">
              <w:rPr>
                <w:rStyle w:val="Hyperlink"/>
                <w:noProof/>
              </w:rPr>
              <w:t>G.1 – Introduction</w:t>
            </w:r>
            <w:r>
              <w:rPr>
                <w:noProof/>
                <w:webHidden/>
              </w:rPr>
              <w:tab/>
            </w:r>
            <w:r>
              <w:rPr>
                <w:noProof/>
                <w:webHidden/>
              </w:rPr>
              <w:fldChar w:fldCharType="begin"/>
            </w:r>
            <w:r>
              <w:rPr>
                <w:noProof/>
                <w:webHidden/>
              </w:rPr>
              <w:instrText xml:space="preserve"> PAGEREF _Toc189122816 \h </w:instrText>
            </w:r>
            <w:r>
              <w:rPr>
                <w:noProof/>
                <w:webHidden/>
              </w:rPr>
            </w:r>
            <w:r>
              <w:rPr>
                <w:noProof/>
                <w:webHidden/>
              </w:rPr>
              <w:fldChar w:fldCharType="separate"/>
            </w:r>
            <w:r>
              <w:rPr>
                <w:noProof/>
                <w:webHidden/>
              </w:rPr>
              <w:t>145</w:t>
            </w:r>
            <w:r>
              <w:rPr>
                <w:noProof/>
                <w:webHidden/>
              </w:rPr>
              <w:fldChar w:fldCharType="end"/>
            </w:r>
          </w:hyperlink>
        </w:p>
        <w:p w14:paraId="515D30F0" w14:textId="4F350FA5" w:rsidR="007E0237" w:rsidRDefault="007E0237">
          <w:pPr>
            <w:pStyle w:val="TOC2"/>
            <w:tabs>
              <w:tab w:val="right" w:leader="dot" w:pos="9350"/>
            </w:tabs>
            <w:rPr>
              <w:rFonts w:eastAsiaTheme="minorEastAsia"/>
              <w:noProof/>
              <w:sz w:val="24"/>
              <w:szCs w:val="24"/>
            </w:rPr>
          </w:pPr>
          <w:hyperlink w:anchor="_Toc189122817" w:history="1">
            <w:r w:rsidRPr="00EE3C7D">
              <w:rPr>
                <w:rStyle w:val="Hyperlink"/>
                <w:noProof/>
              </w:rPr>
              <w:t>G.2 – Relationship of the Operating Companies under the IIC</w:t>
            </w:r>
            <w:r>
              <w:rPr>
                <w:noProof/>
                <w:webHidden/>
              </w:rPr>
              <w:tab/>
            </w:r>
            <w:r>
              <w:rPr>
                <w:noProof/>
                <w:webHidden/>
              </w:rPr>
              <w:fldChar w:fldCharType="begin"/>
            </w:r>
            <w:r>
              <w:rPr>
                <w:noProof/>
                <w:webHidden/>
              </w:rPr>
              <w:instrText xml:space="preserve"> PAGEREF _Toc189122817 \h </w:instrText>
            </w:r>
            <w:r>
              <w:rPr>
                <w:noProof/>
                <w:webHidden/>
              </w:rPr>
            </w:r>
            <w:r>
              <w:rPr>
                <w:noProof/>
                <w:webHidden/>
              </w:rPr>
              <w:fldChar w:fldCharType="separate"/>
            </w:r>
            <w:r>
              <w:rPr>
                <w:noProof/>
                <w:webHidden/>
              </w:rPr>
              <w:t>145</w:t>
            </w:r>
            <w:r>
              <w:rPr>
                <w:noProof/>
                <w:webHidden/>
              </w:rPr>
              <w:fldChar w:fldCharType="end"/>
            </w:r>
          </w:hyperlink>
        </w:p>
        <w:p w14:paraId="7F2B4991" w14:textId="6F375008" w:rsidR="007E0237" w:rsidRDefault="007E0237">
          <w:pPr>
            <w:pStyle w:val="TOC2"/>
            <w:tabs>
              <w:tab w:val="right" w:leader="dot" w:pos="9350"/>
            </w:tabs>
            <w:rPr>
              <w:rFonts w:eastAsiaTheme="minorEastAsia"/>
              <w:noProof/>
              <w:sz w:val="24"/>
              <w:szCs w:val="24"/>
            </w:rPr>
          </w:pPr>
          <w:hyperlink w:anchor="_Toc189122818" w:history="1">
            <w:r w:rsidRPr="00EE3C7D">
              <w:rPr>
                <w:rStyle w:val="Hyperlink"/>
                <w:noProof/>
              </w:rPr>
              <w:t>G.3 – Interconnections</w:t>
            </w:r>
            <w:r>
              <w:rPr>
                <w:noProof/>
                <w:webHidden/>
              </w:rPr>
              <w:tab/>
            </w:r>
            <w:r>
              <w:rPr>
                <w:noProof/>
                <w:webHidden/>
              </w:rPr>
              <w:fldChar w:fldCharType="begin"/>
            </w:r>
            <w:r>
              <w:rPr>
                <w:noProof/>
                <w:webHidden/>
              </w:rPr>
              <w:instrText xml:space="preserve"> PAGEREF _Toc189122818 \h </w:instrText>
            </w:r>
            <w:r>
              <w:rPr>
                <w:noProof/>
                <w:webHidden/>
              </w:rPr>
            </w:r>
            <w:r>
              <w:rPr>
                <w:noProof/>
                <w:webHidden/>
              </w:rPr>
              <w:fldChar w:fldCharType="separate"/>
            </w:r>
            <w:r>
              <w:rPr>
                <w:noProof/>
                <w:webHidden/>
              </w:rPr>
              <w:t>146</w:t>
            </w:r>
            <w:r>
              <w:rPr>
                <w:noProof/>
                <w:webHidden/>
              </w:rPr>
              <w:fldChar w:fldCharType="end"/>
            </w:r>
          </w:hyperlink>
        </w:p>
        <w:p w14:paraId="3AB22C79" w14:textId="51BDED6D" w:rsidR="007E0237" w:rsidRDefault="007E0237">
          <w:pPr>
            <w:pStyle w:val="TOC2"/>
            <w:tabs>
              <w:tab w:val="right" w:leader="dot" w:pos="9350"/>
            </w:tabs>
            <w:rPr>
              <w:rFonts w:eastAsiaTheme="minorEastAsia"/>
              <w:noProof/>
              <w:sz w:val="24"/>
              <w:szCs w:val="24"/>
            </w:rPr>
          </w:pPr>
          <w:hyperlink w:anchor="_Toc189122819" w:history="1">
            <w:r w:rsidRPr="00EE3C7D">
              <w:rPr>
                <w:rStyle w:val="Hyperlink"/>
                <w:noProof/>
              </w:rPr>
              <w:t>G.4 – Basic Principles of the IIC</w:t>
            </w:r>
            <w:r>
              <w:rPr>
                <w:noProof/>
                <w:webHidden/>
              </w:rPr>
              <w:tab/>
            </w:r>
            <w:r>
              <w:rPr>
                <w:noProof/>
                <w:webHidden/>
              </w:rPr>
              <w:fldChar w:fldCharType="begin"/>
            </w:r>
            <w:r>
              <w:rPr>
                <w:noProof/>
                <w:webHidden/>
              </w:rPr>
              <w:instrText xml:space="preserve"> PAGEREF _Toc189122819 \h </w:instrText>
            </w:r>
            <w:r>
              <w:rPr>
                <w:noProof/>
                <w:webHidden/>
              </w:rPr>
            </w:r>
            <w:r>
              <w:rPr>
                <w:noProof/>
                <w:webHidden/>
              </w:rPr>
              <w:fldChar w:fldCharType="separate"/>
            </w:r>
            <w:r>
              <w:rPr>
                <w:noProof/>
                <w:webHidden/>
              </w:rPr>
              <w:t>146</w:t>
            </w:r>
            <w:r>
              <w:rPr>
                <w:noProof/>
                <w:webHidden/>
              </w:rPr>
              <w:fldChar w:fldCharType="end"/>
            </w:r>
          </w:hyperlink>
        </w:p>
        <w:p w14:paraId="6060EDE7" w14:textId="3AD669A6" w:rsidR="007E0237" w:rsidRDefault="007E0237">
          <w:pPr>
            <w:pStyle w:val="TOC2"/>
            <w:tabs>
              <w:tab w:val="right" w:leader="dot" w:pos="9350"/>
            </w:tabs>
            <w:rPr>
              <w:rFonts w:eastAsiaTheme="minorEastAsia"/>
              <w:noProof/>
              <w:sz w:val="24"/>
              <w:szCs w:val="24"/>
            </w:rPr>
          </w:pPr>
          <w:hyperlink w:anchor="_Toc189122820" w:history="1">
            <w:r w:rsidRPr="00EE3C7D">
              <w:rPr>
                <w:rStyle w:val="Hyperlink"/>
                <w:noProof/>
              </w:rPr>
              <w:t>G.5 – Basic Operation of the IIC</w:t>
            </w:r>
            <w:r>
              <w:rPr>
                <w:noProof/>
                <w:webHidden/>
              </w:rPr>
              <w:tab/>
            </w:r>
            <w:r>
              <w:rPr>
                <w:noProof/>
                <w:webHidden/>
              </w:rPr>
              <w:fldChar w:fldCharType="begin"/>
            </w:r>
            <w:r>
              <w:rPr>
                <w:noProof/>
                <w:webHidden/>
              </w:rPr>
              <w:instrText xml:space="preserve"> PAGEREF _Toc189122820 \h </w:instrText>
            </w:r>
            <w:r>
              <w:rPr>
                <w:noProof/>
                <w:webHidden/>
              </w:rPr>
            </w:r>
            <w:r>
              <w:rPr>
                <w:noProof/>
                <w:webHidden/>
              </w:rPr>
              <w:fldChar w:fldCharType="separate"/>
            </w:r>
            <w:r>
              <w:rPr>
                <w:noProof/>
                <w:webHidden/>
              </w:rPr>
              <w:t>147</w:t>
            </w:r>
            <w:r>
              <w:rPr>
                <w:noProof/>
                <w:webHidden/>
              </w:rPr>
              <w:fldChar w:fldCharType="end"/>
            </w:r>
          </w:hyperlink>
        </w:p>
        <w:p w14:paraId="0193AFDB" w14:textId="75A6D14F" w:rsidR="007E0237" w:rsidRDefault="007E0237">
          <w:pPr>
            <w:pStyle w:val="TOC2"/>
            <w:tabs>
              <w:tab w:val="right" w:leader="dot" w:pos="9350"/>
            </w:tabs>
            <w:rPr>
              <w:rFonts w:eastAsiaTheme="minorEastAsia"/>
              <w:noProof/>
              <w:sz w:val="24"/>
              <w:szCs w:val="24"/>
            </w:rPr>
          </w:pPr>
          <w:hyperlink w:anchor="_Toc189122821" w:history="1">
            <w:r w:rsidRPr="00EE3C7D">
              <w:rPr>
                <w:rStyle w:val="Hyperlink"/>
                <w:noProof/>
              </w:rPr>
              <w:t>G.6 – Reserve Sharing</w:t>
            </w:r>
            <w:r>
              <w:rPr>
                <w:noProof/>
                <w:webHidden/>
              </w:rPr>
              <w:tab/>
            </w:r>
            <w:r>
              <w:rPr>
                <w:noProof/>
                <w:webHidden/>
              </w:rPr>
              <w:fldChar w:fldCharType="begin"/>
            </w:r>
            <w:r>
              <w:rPr>
                <w:noProof/>
                <w:webHidden/>
              </w:rPr>
              <w:instrText xml:space="preserve"> PAGEREF _Toc189122821 \h </w:instrText>
            </w:r>
            <w:r>
              <w:rPr>
                <w:noProof/>
                <w:webHidden/>
              </w:rPr>
            </w:r>
            <w:r>
              <w:rPr>
                <w:noProof/>
                <w:webHidden/>
              </w:rPr>
              <w:fldChar w:fldCharType="separate"/>
            </w:r>
            <w:r>
              <w:rPr>
                <w:noProof/>
                <w:webHidden/>
              </w:rPr>
              <w:t>147</w:t>
            </w:r>
            <w:r>
              <w:rPr>
                <w:noProof/>
                <w:webHidden/>
              </w:rPr>
              <w:fldChar w:fldCharType="end"/>
            </w:r>
          </w:hyperlink>
        </w:p>
        <w:p w14:paraId="19CE1E7B" w14:textId="150F4D75" w:rsidR="007E0237" w:rsidRDefault="007E0237">
          <w:pPr>
            <w:pStyle w:val="TOC2"/>
            <w:tabs>
              <w:tab w:val="right" w:leader="dot" w:pos="9350"/>
            </w:tabs>
            <w:rPr>
              <w:rFonts w:eastAsiaTheme="minorEastAsia"/>
              <w:noProof/>
              <w:sz w:val="24"/>
              <w:szCs w:val="24"/>
            </w:rPr>
          </w:pPr>
          <w:hyperlink w:anchor="_Toc189122822" w:history="1">
            <w:r w:rsidRPr="00EE3C7D">
              <w:rPr>
                <w:rStyle w:val="Hyperlink"/>
                <w:noProof/>
              </w:rPr>
              <w:t>G.7 – Energy Transactions</w:t>
            </w:r>
            <w:r>
              <w:rPr>
                <w:noProof/>
                <w:webHidden/>
              </w:rPr>
              <w:tab/>
            </w:r>
            <w:r>
              <w:rPr>
                <w:noProof/>
                <w:webHidden/>
              </w:rPr>
              <w:fldChar w:fldCharType="begin"/>
            </w:r>
            <w:r>
              <w:rPr>
                <w:noProof/>
                <w:webHidden/>
              </w:rPr>
              <w:instrText xml:space="preserve"> PAGEREF _Toc189122822 \h </w:instrText>
            </w:r>
            <w:r>
              <w:rPr>
                <w:noProof/>
                <w:webHidden/>
              </w:rPr>
            </w:r>
            <w:r>
              <w:rPr>
                <w:noProof/>
                <w:webHidden/>
              </w:rPr>
              <w:fldChar w:fldCharType="separate"/>
            </w:r>
            <w:r>
              <w:rPr>
                <w:noProof/>
                <w:webHidden/>
              </w:rPr>
              <w:t>148</w:t>
            </w:r>
            <w:r>
              <w:rPr>
                <w:noProof/>
                <w:webHidden/>
              </w:rPr>
              <w:fldChar w:fldCharType="end"/>
            </w:r>
          </w:hyperlink>
        </w:p>
        <w:p w14:paraId="137417D3" w14:textId="1C0589EB" w:rsidR="007E0237" w:rsidRDefault="007E0237">
          <w:pPr>
            <w:pStyle w:val="TOC2"/>
            <w:tabs>
              <w:tab w:val="right" w:leader="dot" w:pos="9350"/>
            </w:tabs>
            <w:rPr>
              <w:rFonts w:eastAsiaTheme="minorEastAsia"/>
              <w:noProof/>
              <w:sz w:val="24"/>
              <w:szCs w:val="24"/>
            </w:rPr>
          </w:pPr>
          <w:hyperlink w:anchor="_Toc189122823" w:history="1">
            <w:r w:rsidRPr="00EE3C7D">
              <w:rPr>
                <w:rStyle w:val="Hyperlink"/>
                <w:noProof/>
              </w:rPr>
              <w:t>G.8 – Peak-Period Load Ratios</w:t>
            </w:r>
            <w:r>
              <w:rPr>
                <w:noProof/>
                <w:webHidden/>
              </w:rPr>
              <w:tab/>
            </w:r>
            <w:r>
              <w:rPr>
                <w:noProof/>
                <w:webHidden/>
              </w:rPr>
              <w:fldChar w:fldCharType="begin"/>
            </w:r>
            <w:r>
              <w:rPr>
                <w:noProof/>
                <w:webHidden/>
              </w:rPr>
              <w:instrText xml:space="preserve"> PAGEREF _Toc189122823 \h </w:instrText>
            </w:r>
            <w:r>
              <w:rPr>
                <w:noProof/>
                <w:webHidden/>
              </w:rPr>
            </w:r>
            <w:r>
              <w:rPr>
                <w:noProof/>
                <w:webHidden/>
              </w:rPr>
              <w:fldChar w:fldCharType="separate"/>
            </w:r>
            <w:r>
              <w:rPr>
                <w:noProof/>
                <w:webHidden/>
              </w:rPr>
              <w:t>149</w:t>
            </w:r>
            <w:r>
              <w:rPr>
                <w:noProof/>
                <w:webHidden/>
              </w:rPr>
              <w:fldChar w:fldCharType="end"/>
            </w:r>
          </w:hyperlink>
        </w:p>
        <w:p w14:paraId="67C2AF09" w14:textId="794CE70B" w:rsidR="007E0237" w:rsidRDefault="007E0237">
          <w:pPr>
            <w:pStyle w:val="TOC1"/>
            <w:tabs>
              <w:tab w:val="right" w:leader="dot" w:pos="9350"/>
            </w:tabs>
            <w:rPr>
              <w:rFonts w:eastAsiaTheme="minorEastAsia"/>
              <w:noProof/>
              <w:sz w:val="24"/>
              <w:szCs w:val="24"/>
            </w:rPr>
          </w:pPr>
          <w:hyperlink w:anchor="_Toc189122824" w:history="1">
            <w:r w:rsidRPr="00EE3C7D">
              <w:rPr>
                <w:rStyle w:val="Hyperlink"/>
                <w:noProof/>
              </w:rPr>
              <w:t>Attachment H – Research Activities</w:t>
            </w:r>
            <w:r>
              <w:rPr>
                <w:noProof/>
                <w:webHidden/>
              </w:rPr>
              <w:tab/>
            </w:r>
            <w:r>
              <w:rPr>
                <w:noProof/>
                <w:webHidden/>
              </w:rPr>
              <w:fldChar w:fldCharType="begin"/>
            </w:r>
            <w:r>
              <w:rPr>
                <w:noProof/>
                <w:webHidden/>
              </w:rPr>
              <w:instrText xml:space="preserve"> PAGEREF _Toc189122824 \h </w:instrText>
            </w:r>
            <w:r>
              <w:rPr>
                <w:noProof/>
                <w:webHidden/>
              </w:rPr>
            </w:r>
            <w:r>
              <w:rPr>
                <w:noProof/>
                <w:webHidden/>
              </w:rPr>
              <w:fldChar w:fldCharType="separate"/>
            </w:r>
            <w:r>
              <w:rPr>
                <w:noProof/>
                <w:webHidden/>
              </w:rPr>
              <w:t>151</w:t>
            </w:r>
            <w:r>
              <w:rPr>
                <w:noProof/>
                <w:webHidden/>
              </w:rPr>
              <w:fldChar w:fldCharType="end"/>
            </w:r>
          </w:hyperlink>
        </w:p>
        <w:p w14:paraId="32C1E95D" w14:textId="5D5F22BA" w:rsidR="007E0237" w:rsidRDefault="007E0237">
          <w:pPr>
            <w:pStyle w:val="TOC1"/>
            <w:tabs>
              <w:tab w:val="right" w:leader="dot" w:pos="9350"/>
            </w:tabs>
            <w:rPr>
              <w:rFonts w:eastAsiaTheme="minorEastAsia"/>
              <w:noProof/>
              <w:sz w:val="24"/>
              <w:szCs w:val="24"/>
            </w:rPr>
          </w:pPr>
          <w:hyperlink w:anchor="_Toc189122825" w:history="1">
            <w:r w:rsidRPr="00EE3C7D">
              <w:rPr>
                <w:rStyle w:val="Hyperlink"/>
                <w:noProof/>
              </w:rPr>
              <w:t>Attachment I – Acronyms, Abbreviations, and Terminology</w:t>
            </w:r>
            <w:r>
              <w:rPr>
                <w:noProof/>
                <w:webHidden/>
              </w:rPr>
              <w:tab/>
            </w:r>
            <w:r>
              <w:rPr>
                <w:noProof/>
                <w:webHidden/>
              </w:rPr>
              <w:fldChar w:fldCharType="begin"/>
            </w:r>
            <w:r>
              <w:rPr>
                <w:noProof/>
                <w:webHidden/>
              </w:rPr>
              <w:instrText xml:space="preserve"> PAGEREF _Toc189122825 \h </w:instrText>
            </w:r>
            <w:r>
              <w:rPr>
                <w:noProof/>
                <w:webHidden/>
              </w:rPr>
            </w:r>
            <w:r>
              <w:rPr>
                <w:noProof/>
                <w:webHidden/>
              </w:rPr>
              <w:fldChar w:fldCharType="separate"/>
            </w:r>
            <w:r>
              <w:rPr>
                <w:noProof/>
                <w:webHidden/>
              </w:rPr>
              <w:t>155</w:t>
            </w:r>
            <w:r>
              <w:rPr>
                <w:noProof/>
                <w:webHidden/>
              </w:rPr>
              <w:fldChar w:fldCharType="end"/>
            </w:r>
          </w:hyperlink>
        </w:p>
        <w:p w14:paraId="259A08DC" w14:textId="542264F5" w:rsidR="007431CC" w:rsidRPr="007431CC" w:rsidRDefault="008C1703" w:rsidP="00847AE9">
          <w:pPr>
            <w:jc w:val="both"/>
          </w:pPr>
          <w:r>
            <w:fldChar w:fldCharType="end"/>
          </w:r>
          <w:r w:rsidR="007431CC">
            <w:br w:type="page"/>
          </w:r>
        </w:p>
      </w:sdtContent>
    </w:sdt>
    <w:p w14:paraId="692F76B9" w14:textId="2016CBED" w:rsidR="00F4505C" w:rsidRDefault="003C10A2" w:rsidP="00847AE9">
      <w:pPr>
        <w:jc w:val="both"/>
        <w:rPr>
          <w:rFonts w:asciiTheme="majorHAnsi" w:hAnsiTheme="majorHAnsi"/>
          <w:color w:val="0F4761" w:themeColor="accent1" w:themeShade="BF"/>
          <w:sz w:val="32"/>
          <w:szCs w:val="32"/>
        </w:rPr>
      </w:pPr>
      <w:r>
        <w:rPr>
          <w:rFonts w:asciiTheme="majorHAnsi" w:hAnsiTheme="majorHAnsi"/>
          <w:color w:val="0F4761" w:themeColor="accent1" w:themeShade="BF"/>
          <w:sz w:val="32"/>
          <w:szCs w:val="32"/>
        </w:rPr>
        <w:lastRenderedPageBreak/>
        <w:t>Technical Appendices</w:t>
      </w:r>
    </w:p>
    <w:p w14:paraId="73BF3F05" w14:textId="1B58D92D" w:rsidR="00E577D4" w:rsidRDefault="00E577D4" w:rsidP="00847AE9">
      <w:pPr>
        <w:jc w:val="both"/>
        <w:rPr>
          <w:b/>
          <w:bCs/>
        </w:rPr>
      </w:pPr>
      <w:r>
        <w:rPr>
          <w:b/>
          <w:bCs/>
        </w:rPr>
        <w:t>Volume 1</w:t>
      </w:r>
    </w:p>
    <w:p w14:paraId="4FEAD0EE" w14:textId="79C392AF" w:rsidR="00E577D4" w:rsidRDefault="009A14A9" w:rsidP="00847AE9">
      <w:pPr>
        <w:pStyle w:val="ListParagraph"/>
        <w:numPr>
          <w:ilvl w:val="0"/>
          <w:numId w:val="2"/>
        </w:numPr>
        <w:jc w:val="both"/>
      </w:pPr>
      <w:r>
        <w:t>Load and Energy Forecast</w:t>
      </w:r>
    </w:p>
    <w:p w14:paraId="36EC8DBC" w14:textId="4D4C94F2" w:rsidR="009A14A9" w:rsidRDefault="00EC75E9" w:rsidP="00847AE9">
      <w:pPr>
        <w:pStyle w:val="ListParagraph"/>
        <w:numPr>
          <w:ilvl w:val="0"/>
          <w:numId w:val="2"/>
        </w:numPr>
        <w:jc w:val="both"/>
      </w:pPr>
      <w:r>
        <w:t>Reserve Margin Study</w:t>
      </w:r>
    </w:p>
    <w:p w14:paraId="41632F34" w14:textId="77777777" w:rsidR="00A177FC" w:rsidRDefault="00A177FC" w:rsidP="00A177FC">
      <w:pPr>
        <w:pStyle w:val="ListParagraph"/>
        <w:numPr>
          <w:ilvl w:val="0"/>
          <w:numId w:val="2"/>
        </w:numPr>
        <w:jc w:val="both"/>
      </w:pPr>
      <w:r>
        <w:t>DSM Program Documentation</w:t>
      </w:r>
    </w:p>
    <w:p w14:paraId="6DC76E5E" w14:textId="55A6A9C3" w:rsidR="00EC75E9" w:rsidRDefault="00481B1D" w:rsidP="00847AE9">
      <w:pPr>
        <w:pStyle w:val="ListParagraph"/>
        <w:numPr>
          <w:ilvl w:val="0"/>
          <w:numId w:val="2"/>
        </w:numPr>
        <w:jc w:val="both"/>
      </w:pPr>
      <w:r>
        <w:t>Unit Retirement Stud</w:t>
      </w:r>
      <w:r w:rsidR="001117B9">
        <w:t>y</w:t>
      </w:r>
    </w:p>
    <w:p w14:paraId="0419A4B1" w14:textId="2C2CE395" w:rsidR="004279BB" w:rsidRDefault="004279BB" w:rsidP="00847AE9">
      <w:pPr>
        <w:pStyle w:val="ListParagraph"/>
        <w:numPr>
          <w:ilvl w:val="0"/>
          <w:numId w:val="2"/>
        </w:numPr>
        <w:jc w:val="both"/>
      </w:pPr>
      <w:r>
        <w:t>Unit Up</w:t>
      </w:r>
      <w:r w:rsidR="008D3A7F">
        <w:t>grade</w:t>
      </w:r>
      <w:r>
        <w:t xml:space="preserve"> Analys</w:t>
      </w:r>
      <w:r w:rsidR="001360FA">
        <w:t>e</w:t>
      </w:r>
      <w:r>
        <w:t>s</w:t>
      </w:r>
    </w:p>
    <w:p w14:paraId="00F3ED05" w14:textId="42738A3A" w:rsidR="00F425BA" w:rsidRDefault="00F425BA" w:rsidP="00F425BA">
      <w:pPr>
        <w:pStyle w:val="ListParagraph"/>
        <w:numPr>
          <w:ilvl w:val="0"/>
          <w:numId w:val="2"/>
        </w:numPr>
        <w:jc w:val="both"/>
      </w:pPr>
      <w:r>
        <w:t>Wholesale-to-Retail Offer</w:t>
      </w:r>
    </w:p>
    <w:p w14:paraId="36740915" w14:textId="77777777" w:rsidR="00B232AC" w:rsidRDefault="00B232AC" w:rsidP="00B232AC">
      <w:pPr>
        <w:pStyle w:val="ListParagraph"/>
        <w:numPr>
          <w:ilvl w:val="0"/>
          <w:numId w:val="2"/>
        </w:numPr>
        <w:jc w:val="both"/>
      </w:pPr>
      <w:r>
        <w:t>Hydro Modernization</w:t>
      </w:r>
    </w:p>
    <w:p w14:paraId="2E5F52A0" w14:textId="5376F5C9" w:rsidR="00481B1D" w:rsidRDefault="00481B1D" w:rsidP="00847AE9">
      <w:pPr>
        <w:pStyle w:val="ListParagraph"/>
        <w:numPr>
          <w:ilvl w:val="0"/>
          <w:numId w:val="2"/>
        </w:numPr>
        <w:jc w:val="both"/>
      </w:pPr>
      <w:r>
        <w:t>Environmental Compliance Strategy</w:t>
      </w:r>
    </w:p>
    <w:p w14:paraId="01A4B5CE" w14:textId="750BE914" w:rsidR="00481B1D" w:rsidRDefault="00481B1D" w:rsidP="00847AE9">
      <w:pPr>
        <w:jc w:val="both"/>
        <w:rPr>
          <w:b/>
          <w:bCs/>
        </w:rPr>
      </w:pPr>
      <w:r>
        <w:rPr>
          <w:b/>
          <w:bCs/>
        </w:rPr>
        <w:t>Volume 2</w:t>
      </w:r>
    </w:p>
    <w:p w14:paraId="54560D4F" w14:textId="428AFFDB" w:rsidR="00481B1D" w:rsidRDefault="00D55E91" w:rsidP="00847AE9">
      <w:pPr>
        <w:pStyle w:val="ListParagraph"/>
        <w:numPr>
          <w:ilvl w:val="0"/>
          <w:numId w:val="3"/>
        </w:numPr>
        <w:jc w:val="both"/>
      </w:pPr>
      <w:r>
        <w:t>Technology Screening &amp; Application Standards</w:t>
      </w:r>
    </w:p>
    <w:p w14:paraId="28FED8D7" w14:textId="1FB9EDCC" w:rsidR="00D55E91" w:rsidRDefault="00D55E91" w:rsidP="00847AE9">
      <w:pPr>
        <w:pStyle w:val="ListParagraph"/>
        <w:numPr>
          <w:ilvl w:val="0"/>
          <w:numId w:val="3"/>
        </w:numPr>
        <w:jc w:val="both"/>
      </w:pPr>
      <w:r>
        <w:t>Resource Mix Study</w:t>
      </w:r>
    </w:p>
    <w:p w14:paraId="6DA1B4DF" w14:textId="397BEA9F" w:rsidR="00D55E91" w:rsidRDefault="006051F0" w:rsidP="00847AE9">
      <w:pPr>
        <w:pStyle w:val="ListParagraph"/>
        <w:numPr>
          <w:ilvl w:val="0"/>
          <w:numId w:val="3"/>
        </w:numPr>
        <w:jc w:val="both"/>
      </w:pPr>
      <w:r>
        <w:t>Financial Review</w:t>
      </w:r>
    </w:p>
    <w:p w14:paraId="1BAD6A14" w14:textId="4881C96F" w:rsidR="006051F0" w:rsidRDefault="006051F0" w:rsidP="00847AE9">
      <w:pPr>
        <w:pStyle w:val="ListParagraph"/>
        <w:numPr>
          <w:ilvl w:val="0"/>
          <w:numId w:val="3"/>
        </w:numPr>
        <w:jc w:val="both"/>
      </w:pPr>
      <w:r>
        <w:t>Renewable Cost Benefit Framework</w:t>
      </w:r>
    </w:p>
    <w:p w14:paraId="0BFA0458" w14:textId="2FB305BE" w:rsidR="006051F0" w:rsidRDefault="006051F0" w:rsidP="00847AE9">
      <w:pPr>
        <w:pStyle w:val="ListParagraph"/>
        <w:numPr>
          <w:ilvl w:val="0"/>
          <w:numId w:val="3"/>
        </w:numPr>
        <w:jc w:val="both"/>
      </w:pPr>
      <w:r>
        <w:t>Renewable Integration Study</w:t>
      </w:r>
    </w:p>
    <w:p w14:paraId="1EEE244A" w14:textId="31810A75" w:rsidR="0042712B" w:rsidRDefault="0042712B" w:rsidP="00847AE9">
      <w:pPr>
        <w:pStyle w:val="ListParagraph"/>
        <w:numPr>
          <w:ilvl w:val="0"/>
          <w:numId w:val="3"/>
        </w:numPr>
        <w:jc w:val="both"/>
      </w:pPr>
      <w:r>
        <w:t>Selected Supporting Information</w:t>
      </w:r>
    </w:p>
    <w:p w14:paraId="67029804" w14:textId="4AE6233C" w:rsidR="0084521F" w:rsidRDefault="0084521F" w:rsidP="00847AE9">
      <w:pPr>
        <w:jc w:val="both"/>
        <w:rPr>
          <w:b/>
          <w:bCs/>
        </w:rPr>
      </w:pPr>
      <w:r>
        <w:rPr>
          <w:b/>
          <w:bCs/>
        </w:rPr>
        <w:t>Volume 3</w:t>
      </w:r>
    </w:p>
    <w:p w14:paraId="7ED9BF9F" w14:textId="77777777" w:rsidR="00847AE9" w:rsidRDefault="00034D87" w:rsidP="00847AE9">
      <w:pPr>
        <w:pStyle w:val="ListParagraph"/>
        <w:numPr>
          <w:ilvl w:val="0"/>
          <w:numId w:val="4"/>
        </w:numPr>
        <w:jc w:val="both"/>
        <w:sectPr w:rsidR="00847AE9" w:rsidSect="00D93EA6">
          <w:footerReference w:type="default" r:id="rId11"/>
          <w:pgSz w:w="12240" w:h="15840"/>
          <w:pgMar w:top="1440" w:right="1440" w:bottom="1440" w:left="1440" w:header="720" w:footer="720" w:gutter="0"/>
          <w:pgNumType w:fmt="lowerRoman" w:start="1"/>
          <w:cols w:space="720"/>
          <w:docGrid w:linePitch="360"/>
        </w:sectPr>
      </w:pPr>
      <w:r>
        <w:t>Transmission Planning</w:t>
      </w:r>
    </w:p>
    <w:p w14:paraId="4F7C0812" w14:textId="4D35ECAF" w:rsidR="00C85F6D" w:rsidRDefault="00C85F6D" w:rsidP="00C85F6D">
      <w:pPr>
        <w:pStyle w:val="Heading1"/>
        <w:jc w:val="both"/>
      </w:pPr>
      <w:bookmarkStart w:id="0" w:name="_Toc185523305"/>
      <w:bookmarkStart w:id="1" w:name="_Toc189122731"/>
      <w:r>
        <w:lastRenderedPageBreak/>
        <w:t>Executive Summary</w:t>
      </w:r>
      <w:bookmarkEnd w:id="0"/>
      <w:bookmarkEnd w:id="1"/>
    </w:p>
    <w:p w14:paraId="675DF97B" w14:textId="6321CDFD" w:rsidR="006D5FD0" w:rsidRDefault="7A93243F" w:rsidP="006D5FD0">
      <w:pPr>
        <w:jc w:val="both"/>
      </w:pPr>
      <w:r>
        <w:t>Georgia Power Company (“Georgia Power” or the “Company”) files this 2025 Integrated Resource Plan (“2025 IRP”) in accordance with the Official Code of Georgia Annotated</w:t>
      </w:r>
      <w:r w:rsidR="006D5FD0">
        <w:rPr>
          <w:rStyle w:val="FootnoteReference"/>
        </w:rPr>
        <w:footnoteReference w:id="2"/>
      </w:r>
      <w:r>
        <w:t xml:space="preserve"> and the Georgia Public Service Commission (“Commission”) Rules and Regulations.</w:t>
      </w:r>
      <w:r w:rsidR="006D5FD0">
        <w:rPr>
          <w:rStyle w:val="FootnoteReference"/>
        </w:rPr>
        <w:footnoteReference w:id="3"/>
      </w:r>
      <w:r>
        <w:t xml:space="preserve"> </w:t>
      </w:r>
      <w:r w:rsidR="5CFADE24">
        <w:t xml:space="preserve">Consistent with </w:t>
      </w:r>
      <w:r w:rsidR="057044A8">
        <w:t>prior</w:t>
      </w:r>
      <w:r w:rsidR="5CFADE24">
        <w:t xml:space="preserve"> </w:t>
      </w:r>
      <w:r w:rsidR="000025A6">
        <w:t>Integrated Resource Plans (“</w:t>
      </w:r>
      <w:r>
        <w:t>IRPs</w:t>
      </w:r>
      <w:r w:rsidR="003B7C74">
        <w:t>”)</w:t>
      </w:r>
      <w:r>
        <w:t xml:space="preserve">, </w:t>
      </w:r>
      <w:r w:rsidR="00B17B88">
        <w:t>Georgia Power</w:t>
      </w:r>
      <w:r>
        <w:t xml:space="preserve"> continues to focus on providing clean, safe, reliable, and affordable </w:t>
      </w:r>
      <w:r w:rsidR="193C83CD">
        <w:t>electric service</w:t>
      </w:r>
      <w:r>
        <w:t xml:space="preserve"> to its more than 2.</w:t>
      </w:r>
      <w:r w:rsidR="00DF640B">
        <w:t>8</w:t>
      </w:r>
      <w:r>
        <w:t xml:space="preserve"> million customers. </w:t>
      </w:r>
      <w:r w:rsidR="003455C0">
        <w:t>Serving customers and supporting a growing Georgia are key principles</w:t>
      </w:r>
      <w:r>
        <w:t xml:space="preserve"> of the </w:t>
      </w:r>
      <w:r w:rsidR="6B3C5C58">
        <w:t>Company’s</w:t>
      </w:r>
      <w:r>
        <w:t xml:space="preserve"> integrated resource planning process, </w:t>
      </w:r>
      <w:r w:rsidR="64106577">
        <w:t xml:space="preserve">and </w:t>
      </w:r>
      <w:r w:rsidR="0052189F">
        <w:t>Georgia Power</w:t>
      </w:r>
      <w:r w:rsidR="64106577">
        <w:t xml:space="preserve"> </w:t>
      </w:r>
      <w:r w:rsidR="4E28179A">
        <w:t>is</w:t>
      </w:r>
      <w:r w:rsidR="64106577">
        <w:t xml:space="preserve"> </w:t>
      </w:r>
      <w:r w:rsidR="1322B787">
        <w:t>committed</w:t>
      </w:r>
      <w:r w:rsidR="64106577">
        <w:t xml:space="preserve"> to maintaining </w:t>
      </w:r>
      <w:r w:rsidR="2F7A221B">
        <w:t>reliability</w:t>
      </w:r>
      <w:r w:rsidR="64106577">
        <w:t xml:space="preserve"> and affordability for all customers. </w:t>
      </w:r>
      <w:r w:rsidR="7F0BD592">
        <w:t>In this IRP, t</w:t>
      </w:r>
      <w:r w:rsidR="7A5D9DD6">
        <w:t>he</w:t>
      </w:r>
      <w:r>
        <w:t xml:space="preserve"> Company </w:t>
      </w:r>
      <w:r w:rsidR="1AEB5AED">
        <w:t>propos</w:t>
      </w:r>
      <w:r w:rsidR="00704B7F">
        <w:t>es</w:t>
      </w:r>
      <w:r w:rsidR="1AEB5AED">
        <w:t xml:space="preserve"> </w:t>
      </w:r>
      <w:r w:rsidR="00BB52B6">
        <w:t>necessary investments in</w:t>
      </w:r>
      <w:r w:rsidR="03616FB1">
        <w:t xml:space="preserve"> </w:t>
      </w:r>
      <w:r w:rsidR="597AA70F">
        <w:t>its</w:t>
      </w:r>
      <w:r w:rsidR="03616FB1">
        <w:t xml:space="preserve"> generation fleet and transmission system</w:t>
      </w:r>
      <w:r w:rsidR="007A1D67">
        <w:t xml:space="preserve"> to ensure</w:t>
      </w:r>
      <w:r w:rsidR="00796FA2">
        <w:t xml:space="preserve"> Georgia Power can continue to </w:t>
      </w:r>
      <w:r w:rsidR="0021732C">
        <w:t>serve</w:t>
      </w:r>
      <w:r w:rsidR="00E70E53">
        <w:t xml:space="preserve"> its customers</w:t>
      </w:r>
      <w:r w:rsidR="0040398D">
        <w:t xml:space="preserve"> with the reliability and resiliency they deserve and </w:t>
      </w:r>
      <w:r w:rsidR="005A5977">
        <w:t>expect</w:t>
      </w:r>
      <w:r w:rsidR="302F7DBD">
        <w:t xml:space="preserve">. </w:t>
      </w:r>
      <w:r w:rsidR="00320BF8">
        <w:t>The Company</w:t>
      </w:r>
      <w:r w:rsidR="302F7DBD">
        <w:t xml:space="preserve"> is also proposing</w:t>
      </w:r>
      <w:r>
        <w:t xml:space="preserve"> innovative solutions that </w:t>
      </w:r>
      <w:r w:rsidR="06ADDDDF">
        <w:t xml:space="preserve">will </w:t>
      </w:r>
      <w:r>
        <w:t xml:space="preserve">enhance </w:t>
      </w:r>
      <w:r w:rsidR="1A82DAD8">
        <w:t xml:space="preserve">the </w:t>
      </w:r>
      <w:r>
        <w:t>value</w:t>
      </w:r>
      <w:r w:rsidR="4501B8A4">
        <w:t xml:space="preserve"> of customer programs</w:t>
      </w:r>
      <w:r>
        <w:t xml:space="preserve"> and enable </w:t>
      </w:r>
      <w:r w:rsidR="00CE4E0A">
        <w:t>S</w:t>
      </w:r>
      <w:r w:rsidR="6E871102">
        <w:t>ystem-wide</w:t>
      </w:r>
      <w:r>
        <w:t xml:space="preserve"> control of distributed energy resources </w:t>
      </w:r>
      <w:r w:rsidR="022A9538">
        <w:t>(“DERs”)</w:t>
      </w:r>
      <w:r w:rsidR="49E9E1C7">
        <w:t>, which</w:t>
      </w:r>
      <w:r w:rsidR="022A9538">
        <w:t xml:space="preserve"> </w:t>
      </w:r>
      <w:r w:rsidR="03616FB1">
        <w:t>will</w:t>
      </w:r>
      <w:r w:rsidR="25FFF03F">
        <w:t xml:space="preserve"> </w:t>
      </w:r>
      <w:r w:rsidR="7A5D9DD6">
        <w:t xml:space="preserve">strengthen </w:t>
      </w:r>
      <w:r>
        <w:t xml:space="preserve">the </w:t>
      </w:r>
      <w:r w:rsidR="697FD34D">
        <w:t xml:space="preserve">capabilities of </w:t>
      </w:r>
      <w:r w:rsidR="006C38A0">
        <w:t>the</w:t>
      </w:r>
      <w:r w:rsidR="697FD34D">
        <w:t xml:space="preserve"> </w:t>
      </w:r>
      <w:r>
        <w:t>electric system</w:t>
      </w:r>
      <w:r w:rsidR="4961B780">
        <w:t xml:space="preserve"> and</w:t>
      </w:r>
      <w:r w:rsidR="3E406AAA">
        <w:t xml:space="preserve"> </w:t>
      </w:r>
      <w:r w:rsidR="41C94495">
        <w:t xml:space="preserve">help </w:t>
      </w:r>
      <w:r w:rsidR="7A5D9DD6">
        <w:t xml:space="preserve">meet </w:t>
      </w:r>
      <w:r w:rsidR="0455F9F5">
        <w:t xml:space="preserve">customers’ </w:t>
      </w:r>
      <w:r w:rsidR="4961B780">
        <w:t xml:space="preserve">evolving </w:t>
      </w:r>
      <w:r w:rsidR="2955DB94">
        <w:t xml:space="preserve">energy </w:t>
      </w:r>
      <w:r w:rsidR="4961B780">
        <w:t>needs</w:t>
      </w:r>
      <w:r>
        <w:t>. With the Commission’s constructive oversight, Georgia Power’s long-term integrated resource planning process</w:t>
      </w:r>
      <w:r w:rsidR="781B019C">
        <w:t xml:space="preserve"> </w:t>
      </w:r>
      <w:r w:rsidR="00345EA4">
        <w:t xml:space="preserve">– </w:t>
      </w:r>
      <w:r w:rsidR="014A3993">
        <w:t>and</w:t>
      </w:r>
      <w:r>
        <w:t xml:space="preserve"> </w:t>
      </w:r>
      <w:r w:rsidR="781B019C">
        <w:t>specifically</w:t>
      </w:r>
      <w:r w:rsidR="2FB4C7E6">
        <w:t>,</w:t>
      </w:r>
      <w:r w:rsidR="781B019C">
        <w:t xml:space="preserve"> the </w:t>
      </w:r>
      <w:r w:rsidR="716827D1">
        <w:t xml:space="preserve">requests set forth </w:t>
      </w:r>
      <w:r w:rsidR="781B019C">
        <w:t>in th</w:t>
      </w:r>
      <w:r w:rsidR="00CA7194">
        <w:t>is</w:t>
      </w:r>
      <w:r w:rsidR="781B019C">
        <w:t xml:space="preserve"> 2025 IRP </w:t>
      </w:r>
      <w:r w:rsidR="00345EA4">
        <w:t xml:space="preserve">– </w:t>
      </w:r>
      <w:r w:rsidR="7FEC93FF">
        <w:t xml:space="preserve">will </w:t>
      </w:r>
      <w:r w:rsidR="4364933E">
        <w:t xml:space="preserve">help </w:t>
      </w:r>
      <w:r>
        <w:t xml:space="preserve">ensure the Company can continue to reliably </w:t>
      </w:r>
      <w:r w:rsidR="19019251">
        <w:t xml:space="preserve">and economically </w:t>
      </w:r>
      <w:r w:rsidR="7D7F641B">
        <w:t xml:space="preserve">meet </w:t>
      </w:r>
      <w:r>
        <w:t xml:space="preserve">the electric energy needs of its customers and </w:t>
      </w:r>
      <w:r w:rsidR="00346219">
        <w:t>Georgia</w:t>
      </w:r>
      <w:r>
        <w:t xml:space="preserve">, </w:t>
      </w:r>
      <w:r w:rsidR="007F0510">
        <w:t>today and for decades to come.</w:t>
      </w:r>
      <w:r w:rsidR="006D72EE" w:rsidDel="006D72EE">
        <w:t xml:space="preserve"> </w:t>
      </w:r>
    </w:p>
    <w:p w14:paraId="37E481DC" w14:textId="6CAC3294" w:rsidR="008855A8" w:rsidRPr="00201CEC" w:rsidRDefault="00CA640E" w:rsidP="00AA25CA">
      <w:pPr>
        <w:pStyle w:val="Heading2"/>
      </w:pPr>
      <w:bookmarkStart w:id="2" w:name="_Toc185523306"/>
      <w:bookmarkStart w:id="3" w:name="_Toc189122732"/>
      <w:r>
        <w:t xml:space="preserve">Continued </w:t>
      </w:r>
      <w:r w:rsidR="004950C4" w:rsidRPr="00201CEC">
        <w:t>Load Growth</w:t>
      </w:r>
      <w:bookmarkEnd w:id="2"/>
      <w:bookmarkEnd w:id="3"/>
    </w:p>
    <w:p w14:paraId="472552F6" w14:textId="600808BF" w:rsidR="0018358B" w:rsidRDefault="194A4E70" w:rsidP="0018358B">
      <w:pPr>
        <w:jc w:val="both"/>
      </w:pPr>
      <w:r w:rsidRPr="212B005E">
        <w:rPr>
          <w:color w:val="000000" w:themeColor="text1"/>
        </w:rPr>
        <w:t>Georgia continues to be a top state in which to do business</w:t>
      </w:r>
      <w:r w:rsidR="00396F33">
        <w:rPr>
          <w:color w:val="000000" w:themeColor="text1"/>
        </w:rPr>
        <w:t>.</w:t>
      </w:r>
      <w:r w:rsidRPr="212B005E">
        <w:rPr>
          <w:color w:val="000000" w:themeColor="text1"/>
        </w:rPr>
        <w:t xml:space="preserve"> </w:t>
      </w:r>
      <w:r w:rsidR="00396F33">
        <w:rPr>
          <w:color w:val="000000" w:themeColor="text1"/>
        </w:rPr>
        <w:t>A</w:t>
      </w:r>
      <w:r w:rsidR="005C5936">
        <w:rPr>
          <w:color w:val="000000" w:themeColor="text1"/>
        </w:rPr>
        <w:t xml:space="preserve">s </w:t>
      </w:r>
      <w:r w:rsidR="005B421D">
        <w:rPr>
          <w:color w:val="000000" w:themeColor="text1"/>
        </w:rPr>
        <w:t xml:space="preserve">the Company </w:t>
      </w:r>
      <w:r w:rsidR="005C5936">
        <w:rPr>
          <w:color w:val="000000" w:themeColor="text1"/>
        </w:rPr>
        <w:t>continue</w:t>
      </w:r>
      <w:r w:rsidR="005B421D">
        <w:rPr>
          <w:color w:val="000000" w:themeColor="text1"/>
        </w:rPr>
        <w:t>s</w:t>
      </w:r>
      <w:r w:rsidR="005C5936">
        <w:rPr>
          <w:color w:val="000000" w:themeColor="text1"/>
        </w:rPr>
        <w:t xml:space="preserve"> to see positive </w:t>
      </w:r>
      <w:r w:rsidRPr="212B005E">
        <w:rPr>
          <w:color w:val="000000" w:themeColor="text1"/>
        </w:rPr>
        <w:t xml:space="preserve">economic development </w:t>
      </w:r>
      <w:r w:rsidR="005C5936">
        <w:rPr>
          <w:color w:val="000000" w:themeColor="text1"/>
        </w:rPr>
        <w:t>trends throughout the state</w:t>
      </w:r>
      <w:r w:rsidRPr="212B005E">
        <w:rPr>
          <w:color w:val="000000" w:themeColor="text1"/>
        </w:rPr>
        <w:t>, the</w:t>
      </w:r>
      <w:r w:rsidR="019DDB34" w:rsidRPr="68ACDF70">
        <w:rPr>
          <w:color w:val="000000" w:themeColor="text1"/>
        </w:rPr>
        <w:t xml:space="preserve"> 2025 IRP utilizes </w:t>
      </w:r>
      <w:r w:rsidR="00C144C4">
        <w:rPr>
          <w:color w:val="000000" w:themeColor="text1"/>
        </w:rPr>
        <w:t>a</w:t>
      </w:r>
      <w:r w:rsidR="00C144C4" w:rsidRPr="212B005E">
        <w:rPr>
          <w:color w:val="000000" w:themeColor="text1"/>
        </w:rPr>
        <w:t xml:space="preserve"> </w:t>
      </w:r>
      <w:r w:rsidRPr="212B005E">
        <w:rPr>
          <w:color w:val="000000" w:themeColor="text1"/>
        </w:rPr>
        <w:t>risk</w:t>
      </w:r>
      <w:r w:rsidR="2ED7ACC7" w:rsidRPr="212B005E">
        <w:rPr>
          <w:color w:val="000000" w:themeColor="text1"/>
        </w:rPr>
        <w:t>-</w:t>
      </w:r>
      <w:r w:rsidRPr="212B005E">
        <w:rPr>
          <w:color w:val="000000" w:themeColor="text1"/>
        </w:rPr>
        <w:t xml:space="preserve">adjusted load forecasting process </w:t>
      </w:r>
      <w:r w:rsidR="001200AC">
        <w:rPr>
          <w:color w:val="000000" w:themeColor="text1"/>
        </w:rPr>
        <w:t xml:space="preserve">similar to the process </w:t>
      </w:r>
      <w:r w:rsidR="6C3DA91E" w:rsidRPr="212B005E">
        <w:rPr>
          <w:color w:val="000000" w:themeColor="text1"/>
        </w:rPr>
        <w:t>used</w:t>
      </w:r>
      <w:r w:rsidRPr="212B005E">
        <w:rPr>
          <w:color w:val="000000" w:themeColor="text1"/>
        </w:rPr>
        <w:t xml:space="preserve"> in the 2023 IRP Update. </w:t>
      </w:r>
      <w:r w:rsidR="00B43719">
        <w:rPr>
          <w:color w:val="000000" w:themeColor="text1"/>
        </w:rPr>
        <w:t xml:space="preserve">To support its load forecasting processes, </w:t>
      </w:r>
      <w:r w:rsidRPr="212B005E">
        <w:rPr>
          <w:color w:val="000000" w:themeColor="text1"/>
        </w:rPr>
        <w:t xml:space="preserve">Georgia Power </w:t>
      </w:r>
      <w:r w:rsidR="002B2454">
        <w:rPr>
          <w:color w:val="000000" w:themeColor="text1"/>
        </w:rPr>
        <w:t>maint</w:t>
      </w:r>
      <w:r w:rsidR="008401F2">
        <w:rPr>
          <w:color w:val="000000" w:themeColor="text1"/>
        </w:rPr>
        <w:t>ains</w:t>
      </w:r>
      <w:r w:rsidR="00B43719" w:rsidRPr="212B005E">
        <w:rPr>
          <w:color w:val="000000" w:themeColor="text1"/>
        </w:rPr>
        <w:t xml:space="preserve"> </w:t>
      </w:r>
      <w:r w:rsidRPr="212B005E">
        <w:rPr>
          <w:color w:val="000000" w:themeColor="text1"/>
        </w:rPr>
        <w:t>active engage</w:t>
      </w:r>
      <w:r w:rsidR="00B43719">
        <w:rPr>
          <w:color w:val="000000" w:themeColor="text1"/>
        </w:rPr>
        <w:t>ment</w:t>
      </w:r>
      <w:r w:rsidRPr="212B005E">
        <w:rPr>
          <w:color w:val="000000" w:themeColor="text1"/>
        </w:rPr>
        <w:t xml:space="preserve"> </w:t>
      </w:r>
      <w:r w:rsidR="00AA6B93">
        <w:rPr>
          <w:color w:val="000000" w:themeColor="text1"/>
        </w:rPr>
        <w:t>and</w:t>
      </w:r>
      <w:r w:rsidRPr="212B005E">
        <w:rPr>
          <w:color w:val="000000" w:themeColor="text1"/>
        </w:rPr>
        <w:t xml:space="preserve"> discussions with large load customers</w:t>
      </w:r>
      <w:r w:rsidR="00AA6B93">
        <w:rPr>
          <w:color w:val="000000" w:themeColor="text1"/>
        </w:rPr>
        <w:t>, ensuring appropriate</w:t>
      </w:r>
      <w:r w:rsidRPr="212B005E">
        <w:rPr>
          <w:color w:val="000000" w:themeColor="text1"/>
        </w:rPr>
        <w:t xml:space="preserve"> </w:t>
      </w:r>
      <w:r w:rsidR="248B5E82" w:rsidRPr="212B005E">
        <w:rPr>
          <w:color w:val="000000" w:themeColor="text1"/>
        </w:rPr>
        <w:t>refine</w:t>
      </w:r>
      <w:r w:rsidR="00003880">
        <w:rPr>
          <w:color w:val="000000" w:themeColor="text1"/>
        </w:rPr>
        <w:t>ments</w:t>
      </w:r>
      <w:r w:rsidR="248B5E82" w:rsidRPr="212B005E">
        <w:rPr>
          <w:color w:val="000000" w:themeColor="text1"/>
        </w:rPr>
        <w:t xml:space="preserve"> with updated data, timelines, and projections</w:t>
      </w:r>
      <w:r w:rsidRPr="212B005E">
        <w:rPr>
          <w:color w:val="000000" w:themeColor="text1"/>
        </w:rPr>
        <w:t>.</w:t>
      </w:r>
      <w:r w:rsidR="248B5E82" w:rsidRPr="212B005E">
        <w:rPr>
          <w:color w:val="000000" w:themeColor="text1"/>
        </w:rPr>
        <w:t xml:space="preserve"> </w:t>
      </w:r>
      <w:r w:rsidR="005D4980">
        <w:rPr>
          <w:color w:val="000000" w:themeColor="text1"/>
        </w:rPr>
        <w:t>T</w:t>
      </w:r>
      <w:r w:rsidR="248B5E82" w:rsidRPr="212B005E">
        <w:rPr>
          <w:color w:val="000000" w:themeColor="text1"/>
        </w:rPr>
        <w:t xml:space="preserve">he 2025 IRP contains an updated load forecast </w:t>
      </w:r>
      <w:r w:rsidR="7A5D9DD6" w:rsidRPr="212B005E">
        <w:rPr>
          <w:color w:val="000000" w:themeColor="text1"/>
        </w:rPr>
        <w:t xml:space="preserve">that </w:t>
      </w:r>
      <w:r w:rsidR="005C03B8">
        <w:rPr>
          <w:color w:val="000000" w:themeColor="text1"/>
        </w:rPr>
        <w:t xml:space="preserve">addresses </w:t>
      </w:r>
      <w:r w:rsidR="00F22B29">
        <w:rPr>
          <w:color w:val="000000" w:themeColor="text1"/>
        </w:rPr>
        <w:t xml:space="preserve">recent economic development trends </w:t>
      </w:r>
      <w:r w:rsidR="248B5E82" w:rsidRPr="212B005E">
        <w:rPr>
          <w:color w:val="000000" w:themeColor="text1"/>
        </w:rPr>
        <w:t>since the 2023 IRP Update</w:t>
      </w:r>
      <w:r w:rsidR="04890517" w:rsidRPr="212B005E">
        <w:rPr>
          <w:color w:val="000000" w:themeColor="text1"/>
        </w:rPr>
        <w:t>,</w:t>
      </w:r>
      <w:r w:rsidR="7F2782FD" w:rsidRPr="212B005E">
        <w:rPr>
          <w:color w:val="000000" w:themeColor="text1"/>
        </w:rPr>
        <w:t xml:space="preserve"> </w:t>
      </w:r>
      <w:r w:rsidR="000126CA">
        <w:rPr>
          <w:color w:val="000000" w:themeColor="text1"/>
        </w:rPr>
        <w:t>as well as</w:t>
      </w:r>
      <w:r w:rsidR="0003716C">
        <w:rPr>
          <w:color w:val="000000" w:themeColor="text1"/>
        </w:rPr>
        <w:t xml:space="preserve"> specific </w:t>
      </w:r>
      <w:r w:rsidR="008069B7">
        <w:rPr>
          <w:color w:val="000000" w:themeColor="text1"/>
        </w:rPr>
        <w:t xml:space="preserve">information for the Company’s growing </w:t>
      </w:r>
      <w:r w:rsidR="7F2782FD">
        <w:t xml:space="preserve">pipeline of </w:t>
      </w:r>
      <w:r w:rsidR="001D2CCC">
        <w:t xml:space="preserve">potential and </w:t>
      </w:r>
      <w:r w:rsidR="7F2782FD">
        <w:t>committed large load customers</w:t>
      </w:r>
      <w:r w:rsidR="248B5E82" w:rsidRPr="212B005E">
        <w:rPr>
          <w:color w:val="000000" w:themeColor="text1"/>
        </w:rPr>
        <w:t xml:space="preserve">. </w:t>
      </w:r>
      <w:r w:rsidR="452674A6">
        <w:t xml:space="preserve">Georgia Power’s </w:t>
      </w:r>
      <w:r w:rsidR="78C3A43C">
        <w:t xml:space="preserve">risk-adjusted </w:t>
      </w:r>
      <w:r w:rsidR="452674A6">
        <w:t xml:space="preserve">load forecast </w:t>
      </w:r>
      <w:r w:rsidR="00932F59">
        <w:t>from the winter of 2024/2025</w:t>
      </w:r>
      <w:r w:rsidR="008F5BBE">
        <w:rPr>
          <w:rStyle w:val="FootnoteReference"/>
        </w:rPr>
        <w:footnoteReference w:id="4"/>
      </w:r>
      <w:r w:rsidR="00932F59">
        <w:t xml:space="preserve"> </w:t>
      </w:r>
      <w:r w:rsidR="452674A6">
        <w:t xml:space="preserve">through the winter of 2030/2031 </w:t>
      </w:r>
      <w:r w:rsidR="006B24F5">
        <w:t xml:space="preserve">reflects approximately 8,200 MW of load growth, </w:t>
      </w:r>
      <w:r w:rsidR="001B30D6">
        <w:t xml:space="preserve">representing </w:t>
      </w:r>
      <w:r w:rsidR="00A11CA1">
        <w:t xml:space="preserve">an increase of more than 2,200 MW compared to load growth projections </w:t>
      </w:r>
      <w:r w:rsidR="004C1440">
        <w:t>in the 2023 IRP Update for the same period.</w:t>
      </w:r>
      <w:r w:rsidR="006B24F5">
        <w:t xml:space="preserve"> In the near-term, the Company projects nearly 6,000 MW of load growth as early as the winter of 2028/2029.</w:t>
      </w:r>
      <w:r w:rsidR="00A84D62">
        <w:t xml:space="preserve"> </w:t>
      </w:r>
      <w:r w:rsidR="000E759C">
        <w:t>Over the nex</w:t>
      </w:r>
      <w:r w:rsidR="007E542A">
        <w:t>t ten years</w:t>
      </w:r>
      <w:r w:rsidR="00112DA0">
        <w:t xml:space="preserve"> – through the winter of 2034/2035 – </w:t>
      </w:r>
      <w:r w:rsidR="00C0686D">
        <w:t xml:space="preserve">Georgia Power expects up to </w:t>
      </w:r>
      <w:r w:rsidR="006F2559">
        <w:t>9,400 MW of load growth.</w:t>
      </w:r>
    </w:p>
    <w:p w14:paraId="32C9536F" w14:textId="629B0B06" w:rsidR="00F27351" w:rsidRDefault="00F27351" w:rsidP="00F27351">
      <w:pPr>
        <w:pStyle w:val="Heading2"/>
      </w:pPr>
      <w:bookmarkStart w:id="4" w:name="_Toc189122733"/>
      <w:r>
        <w:t>Demand</w:t>
      </w:r>
      <w:r w:rsidR="00F643A0">
        <w:t>-</w:t>
      </w:r>
      <w:r>
        <w:t>Side Strategy</w:t>
      </w:r>
      <w:bookmarkEnd w:id="4"/>
    </w:p>
    <w:p w14:paraId="57C79213" w14:textId="5C680386" w:rsidR="121A9C17" w:rsidRDefault="121A9C17" w:rsidP="000025A6">
      <w:pPr>
        <w:spacing w:line="257" w:lineRule="auto"/>
        <w:jc w:val="both"/>
        <w:rPr>
          <w:rFonts w:ascii="Aptos" w:eastAsia="Aptos" w:hAnsi="Aptos" w:cs="Aptos"/>
        </w:rPr>
      </w:pPr>
      <w:r w:rsidRPr="42700983">
        <w:rPr>
          <w:rFonts w:ascii="Aptos" w:eastAsia="Aptos" w:hAnsi="Aptos" w:cs="Aptos"/>
        </w:rPr>
        <w:t xml:space="preserve">Georgia Power’s demand-side management (“DSM”) portfolio remains an important component of its resource mix. In this IRP, the Company’s DSM portfolio consists of demand response programs, energy efficiency programs and pilots, and other DSM activities. Consistent with prior IRPs and </w:t>
      </w:r>
      <w:r w:rsidRPr="42700983">
        <w:rPr>
          <w:rFonts w:ascii="Aptos" w:eastAsia="Aptos" w:hAnsi="Aptos" w:cs="Aptos"/>
        </w:rPr>
        <w:lastRenderedPageBreak/>
        <w:t xml:space="preserve">Commission policy, the Company continues to treat energy efficiency as a priority resource and works closely with the Commission Staff and the </w:t>
      </w:r>
      <w:r w:rsidR="00396F33">
        <w:rPr>
          <w:rFonts w:ascii="Aptos" w:eastAsia="Aptos" w:hAnsi="Aptos" w:cs="Aptos"/>
        </w:rPr>
        <w:t>DSM</w:t>
      </w:r>
      <w:r w:rsidRPr="42700983">
        <w:rPr>
          <w:rFonts w:ascii="Aptos" w:eastAsia="Aptos" w:hAnsi="Aptos" w:cs="Aptos"/>
        </w:rPr>
        <w:t xml:space="preserve"> Working Group (“DSMWG”) using the approved Demand-Side Management Program Planning Approach for program development. Additionally, in accordance with the Commission’s Order Adopting Stipulation in the Vogtle Prudency Proceeding in Docket No. 29849 (“Vogtle Prudence Order”), the Company developed the DSM Proposed Case with a savings target of at least 0.75% of annual retail sales. </w:t>
      </w:r>
    </w:p>
    <w:p w14:paraId="0E203759" w14:textId="229CE11F" w:rsidR="00F57B93" w:rsidRDefault="00F57B93" w:rsidP="007528B7">
      <w:pPr>
        <w:spacing w:line="257" w:lineRule="auto"/>
        <w:jc w:val="both"/>
      </w:pPr>
      <w:r w:rsidRPr="00EC020F">
        <w:rPr>
          <w:color w:val="000000" w:themeColor="text1"/>
        </w:rPr>
        <w:t>The</w:t>
      </w:r>
      <w:r w:rsidR="00FD022E">
        <w:rPr>
          <w:color w:val="000000" w:themeColor="text1"/>
        </w:rPr>
        <w:t xml:space="preserve"> Company has identified </w:t>
      </w:r>
      <w:r w:rsidRPr="00EC020F">
        <w:rPr>
          <w:color w:val="000000" w:themeColor="text1"/>
        </w:rPr>
        <w:t xml:space="preserve">the continued need for important </w:t>
      </w:r>
      <w:r>
        <w:rPr>
          <w:color w:val="000000" w:themeColor="text1"/>
        </w:rPr>
        <w:t xml:space="preserve">DSM </w:t>
      </w:r>
      <w:r w:rsidRPr="00EC020F">
        <w:rPr>
          <w:color w:val="000000" w:themeColor="text1"/>
        </w:rPr>
        <w:t xml:space="preserve">resources while </w:t>
      </w:r>
      <w:r>
        <w:rPr>
          <w:color w:val="000000" w:themeColor="text1"/>
        </w:rPr>
        <w:t>appropriately considering</w:t>
      </w:r>
      <w:r w:rsidRPr="00EC020F">
        <w:rPr>
          <w:color w:val="000000" w:themeColor="text1"/>
        </w:rPr>
        <w:t xml:space="preserve"> the </w:t>
      </w:r>
      <w:r>
        <w:rPr>
          <w:color w:val="000000" w:themeColor="text1"/>
        </w:rPr>
        <w:t>increasing cost to achieve additional savings</w:t>
      </w:r>
      <w:r w:rsidRPr="00EC020F">
        <w:rPr>
          <w:color w:val="000000" w:themeColor="text1"/>
        </w:rPr>
        <w:t>.</w:t>
      </w:r>
      <w:r>
        <w:rPr>
          <w:color w:val="000000" w:themeColor="text1"/>
        </w:rPr>
        <w:t xml:space="preserve"> </w:t>
      </w:r>
      <w:r w:rsidR="00387C93" w:rsidRPr="007528B7">
        <w:rPr>
          <w:rFonts w:eastAsia="Calibri" w:cs="Calibri"/>
        </w:rPr>
        <w:t>Even though avoided energy costs have increased since the 2022 IRP</w:t>
      </w:r>
      <w:r w:rsidR="00387C93">
        <w:rPr>
          <w:rFonts w:eastAsia="Calibri" w:cs="Calibri"/>
        </w:rPr>
        <w:t>,</w:t>
      </w:r>
      <w:r w:rsidR="00387C93" w:rsidRPr="007528B7">
        <w:rPr>
          <w:rFonts w:eastAsia="Calibri" w:cs="Calibri"/>
        </w:rPr>
        <w:t xml:space="preserve"> which has a positive impact on energy efficiency economics, both Total Resource Cost (“TRC”) and Rate Impact Measure (“RIM”) test results have declined primarily due to the substantial amount of resources needed to achieve high energy savings resulting from the Vogtle Prudence Order. This trend in declining economics continues to raise concerns for the Company as it strives to balance the economic benefits that DSM programs provide to participating customers with the rate impacts to all residential and commercial customers, whether they participate in the programs or not. Nevertheless, in light of DSM program benefits, the Company supports the continuation of several of its DSM programs in this IRP.</w:t>
      </w:r>
      <w:r w:rsidR="00387C93">
        <w:rPr>
          <w:rFonts w:eastAsia="Calibri" w:cs="Calibri"/>
        </w:rPr>
        <w:t xml:space="preserve"> </w:t>
      </w:r>
      <w:r w:rsidRPr="00EC020F">
        <w:rPr>
          <w:color w:val="000000" w:themeColor="text1"/>
        </w:rPr>
        <w:t>These programs are designed to enhance energy efficiency and provide customers with more control over their energy usage.</w:t>
      </w:r>
      <w:r>
        <w:rPr>
          <w:color w:val="000000" w:themeColor="text1"/>
        </w:rPr>
        <w:t xml:space="preserve"> </w:t>
      </w:r>
      <w:r w:rsidR="00367860">
        <w:rPr>
          <w:color w:val="000000" w:themeColor="text1"/>
        </w:rPr>
        <w:t>Building on the momentum from the 2022 IRP,</w:t>
      </w:r>
      <w:r>
        <w:rPr>
          <w:color w:val="000000" w:themeColor="text1"/>
        </w:rPr>
        <w:t xml:space="preserve"> </w:t>
      </w:r>
      <w:r>
        <w:t xml:space="preserve">Georgia Power </w:t>
      </w:r>
      <w:r w:rsidR="00367860">
        <w:t xml:space="preserve">continues to </w:t>
      </w:r>
      <w:r w:rsidR="00935CCF">
        <w:t>focus on offering additional DSM options for</w:t>
      </w:r>
      <w:r w:rsidR="00EC30E6">
        <w:t xml:space="preserve"> </w:t>
      </w:r>
      <w:r w:rsidR="00D716D5">
        <w:t>income-qualified customers</w:t>
      </w:r>
      <w:r w:rsidR="00935CCF">
        <w:t>.</w:t>
      </w:r>
      <w:r w:rsidR="00367860">
        <w:t xml:space="preserve"> </w:t>
      </w:r>
    </w:p>
    <w:p w14:paraId="027C8923" w14:textId="22C9C93F" w:rsidR="008855A8" w:rsidRPr="00BE3A65" w:rsidRDefault="003B7800" w:rsidP="00AA25CA">
      <w:pPr>
        <w:pStyle w:val="Heading2"/>
      </w:pPr>
      <w:bookmarkStart w:id="5" w:name="_Toc189122734"/>
      <w:r>
        <w:t>Supply</w:t>
      </w:r>
      <w:r w:rsidR="00994737">
        <w:t>-</w:t>
      </w:r>
      <w:r>
        <w:t xml:space="preserve">Side </w:t>
      </w:r>
      <w:r w:rsidR="008855A8" w:rsidRPr="00BE3A65">
        <w:t xml:space="preserve">Extensions and </w:t>
      </w:r>
      <w:r w:rsidR="003B5DDD">
        <w:t>Up</w:t>
      </w:r>
      <w:r w:rsidR="00095B46">
        <w:t>grades</w:t>
      </w:r>
      <w:bookmarkEnd w:id="5"/>
    </w:p>
    <w:p w14:paraId="507EAC10" w14:textId="56DE2F1D" w:rsidR="003D0142" w:rsidRDefault="003B7800" w:rsidP="0018358B">
      <w:pPr>
        <w:jc w:val="both"/>
        <w:rPr>
          <w:color w:val="000000" w:themeColor="text1"/>
        </w:rPr>
      </w:pPr>
      <w:r w:rsidRPr="00EC020F">
        <w:rPr>
          <w:color w:val="000000" w:themeColor="text1"/>
        </w:rPr>
        <w:t xml:space="preserve">The 2025 IRP </w:t>
      </w:r>
      <w:r w:rsidR="002E2DFE">
        <w:rPr>
          <w:color w:val="000000" w:themeColor="text1"/>
        </w:rPr>
        <w:t>s</w:t>
      </w:r>
      <w:r w:rsidR="002E2DFE" w:rsidRPr="00EC020F">
        <w:rPr>
          <w:color w:val="000000" w:themeColor="text1"/>
        </w:rPr>
        <w:t>upply</w:t>
      </w:r>
      <w:r w:rsidRPr="00EC020F">
        <w:rPr>
          <w:color w:val="000000" w:themeColor="text1"/>
        </w:rPr>
        <w:t>-</w:t>
      </w:r>
      <w:r w:rsidR="002E2DFE">
        <w:rPr>
          <w:color w:val="000000" w:themeColor="text1"/>
        </w:rPr>
        <w:t>s</w:t>
      </w:r>
      <w:r w:rsidR="002E2DFE" w:rsidRPr="00EC020F">
        <w:rPr>
          <w:color w:val="000000" w:themeColor="text1"/>
        </w:rPr>
        <w:t>ide</w:t>
      </w:r>
      <w:r w:rsidRPr="00EC020F">
        <w:rPr>
          <w:color w:val="000000" w:themeColor="text1"/>
        </w:rPr>
        <w:t xml:space="preserve"> plan includes an update to the </w:t>
      </w:r>
      <w:r w:rsidR="00FE5A64">
        <w:rPr>
          <w:color w:val="000000" w:themeColor="text1"/>
        </w:rPr>
        <w:t xml:space="preserve">Company’s </w:t>
      </w:r>
      <w:r w:rsidRPr="00EC020F">
        <w:rPr>
          <w:color w:val="000000" w:themeColor="text1"/>
        </w:rPr>
        <w:t>Reserve Margin Study and a</w:t>
      </w:r>
      <w:r w:rsidR="00FE5A64">
        <w:rPr>
          <w:color w:val="000000" w:themeColor="text1"/>
        </w:rPr>
        <w:t xml:space="preserve"> corresponding</w:t>
      </w:r>
      <w:r w:rsidRPr="00EC020F">
        <w:rPr>
          <w:color w:val="000000" w:themeColor="text1"/>
        </w:rPr>
        <w:t xml:space="preserve"> increase in the summer Target Reserve Margin to maintain the level of reliability customers and the state </w:t>
      </w:r>
      <w:r w:rsidR="002E2DFE">
        <w:rPr>
          <w:color w:val="000000" w:themeColor="text1"/>
        </w:rPr>
        <w:t xml:space="preserve">deserve and </w:t>
      </w:r>
      <w:r w:rsidRPr="00EC020F">
        <w:rPr>
          <w:color w:val="000000" w:themeColor="text1"/>
        </w:rPr>
        <w:t>expect.</w:t>
      </w:r>
      <w:r>
        <w:rPr>
          <w:color w:val="000000" w:themeColor="text1"/>
        </w:rPr>
        <w:t xml:space="preserve"> </w:t>
      </w:r>
      <w:r w:rsidR="0022646A">
        <w:t xml:space="preserve">As </w:t>
      </w:r>
      <w:r w:rsidR="00301A8B">
        <w:t>the</w:t>
      </w:r>
      <w:r w:rsidR="0022646A">
        <w:t xml:space="preserve"> state continues to grow, Georgia Power is committed to</w:t>
      </w:r>
      <w:r w:rsidR="0018358B">
        <w:t xml:space="preserve"> maintain</w:t>
      </w:r>
      <w:r w:rsidR="006B53C9">
        <w:t>ing</w:t>
      </w:r>
      <w:r w:rsidR="0018358B">
        <w:t xml:space="preserve"> </w:t>
      </w:r>
      <w:r w:rsidR="30589955">
        <w:t xml:space="preserve">reliable </w:t>
      </w:r>
      <w:r w:rsidR="0018358B">
        <w:t>an</w:t>
      </w:r>
      <w:r w:rsidR="4923752B">
        <w:t>d</w:t>
      </w:r>
      <w:r w:rsidR="0018358B">
        <w:t xml:space="preserve"> economical </w:t>
      </w:r>
      <w:r w:rsidR="6444824B">
        <w:t>electric service</w:t>
      </w:r>
      <w:r w:rsidR="003A43B7">
        <w:t>,</w:t>
      </w:r>
      <w:r w:rsidR="000F243F">
        <w:t xml:space="preserve"> </w:t>
      </w:r>
      <w:r w:rsidR="003A43B7">
        <w:t>and</w:t>
      </w:r>
      <w:r w:rsidR="0018358B">
        <w:t xml:space="preserve"> the Company </w:t>
      </w:r>
      <w:r w:rsidR="40B13CF9">
        <w:t>must</w:t>
      </w:r>
      <w:r w:rsidR="0018358B">
        <w:t xml:space="preserve"> </w:t>
      </w:r>
      <w:r w:rsidR="00FF4EF2">
        <w:t xml:space="preserve">continue </w:t>
      </w:r>
      <w:r w:rsidR="00FF4EF2" w:rsidDel="00510EE2">
        <w:t xml:space="preserve">to </w:t>
      </w:r>
      <w:r w:rsidR="0018358B" w:rsidDel="00510EE2">
        <w:t>invest</w:t>
      </w:r>
      <w:r w:rsidR="0018358B">
        <w:t xml:space="preserve"> in </w:t>
      </w:r>
      <w:r w:rsidR="000F243F">
        <w:t xml:space="preserve">its foundational </w:t>
      </w:r>
      <w:r w:rsidR="5FD60C0A">
        <w:t>resources</w:t>
      </w:r>
      <w:r w:rsidR="0018358B">
        <w:t xml:space="preserve">, </w:t>
      </w:r>
      <w:r w:rsidR="4CC6C7EE">
        <w:t xml:space="preserve">which </w:t>
      </w:r>
      <w:r w:rsidR="0018358B">
        <w:t>includ</w:t>
      </w:r>
      <w:r w:rsidR="7EB809CA">
        <w:t>es</w:t>
      </w:r>
      <w:r w:rsidR="0018358B">
        <w:t xml:space="preserve"> </w:t>
      </w:r>
      <w:r w:rsidR="003F6DCD">
        <w:t>continuing the operation of Plant Bowen Units 1-4</w:t>
      </w:r>
      <w:r w:rsidR="006E22D3">
        <w:t>,</w:t>
      </w:r>
      <w:r w:rsidR="00F85CFA">
        <w:t xml:space="preserve"> </w:t>
      </w:r>
      <w:r w:rsidR="0018358B">
        <w:t>extend</w:t>
      </w:r>
      <w:r w:rsidR="046A0195">
        <w:t>ing</w:t>
      </w:r>
      <w:r w:rsidR="0018358B">
        <w:t xml:space="preserve"> </w:t>
      </w:r>
      <w:r w:rsidR="6386486D">
        <w:t xml:space="preserve">the </w:t>
      </w:r>
      <w:r w:rsidR="0018358B">
        <w:t>operation of approximately 1,</w:t>
      </w:r>
      <w:r w:rsidR="00C278A2">
        <w:t>1</w:t>
      </w:r>
      <w:r w:rsidR="0018358B">
        <w:t xml:space="preserve">00 MW </w:t>
      </w:r>
      <w:r w:rsidR="421B455B">
        <w:t xml:space="preserve">at </w:t>
      </w:r>
      <w:r w:rsidR="0018358B">
        <w:t xml:space="preserve">Plants </w:t>
      </w:r>
      <w:r w:rsidR="00164DA9">
        <w:t>Scherer</w:t>
      </w:r>
      <w:r w:rsidR="0018358B">
        <w:t xml:space="preserve"> and Gaston, up</w:t>
      </w:r>
      <w:r w:rsidR="008F6408">
        <w:t>grades</w:t>
      </w:r>
      <w:r w:rsidR="0018358B">
        <w:t xml:space="preserve"> of </w:t>
      </w:r>
      <w:r w:rsidR="5EDBF05E" w:rsidRPr="5E14C5E1">
        <w:rPr>
          <w:color w:val="000000" w:themeColor="text1"/>
        </w:rPr>
        <w:t xml:space="preserve">up to </w:t>
      </w:r>
      <w:r w:rsidR="0018358B">
        <w:t xml:space="preserve">400 MW </w:t>
      </w:r>
      <w:r w:rsidR="664D7281">
        <w:t xml:space="preserve">to </w:t>
      </w:r>
      <w:r w:rsidR="00745DC7">
        <w:t xml:space="preserve">nuclear and </w:t>
      </w:r>
      <w:r w:rsidR="6DCB5F7F">
        <w:t xml:space="preserve">natural </w:t>
      </w:r>
      <w:r w:rsidR="0018358B">
        <w:t xml:space="preserve">gas </w:t>
      </w:r>
      <w:r w:rsidR="00FF4EF2">
        <w:t>units</w:t>
      </w:r>
      <w:r w:rsidR="0018358B">
        <w:t xml:space="preserve">, and </w:t>
      </w:r>
      <w:r w:rsidR="00745DC7">
        <w:t xml:space="preserve">the </w:t>
      </w:r>
      <w:r w:rsidR="0018358B">
        <w:t xml:space="preserve">continued investment </w:t>
      </w:r>
      <w:r w:rsidR="00602CDA">
        <w:t>to maintain and operat</w:t>
      </w:r>
      <w:r w:rsidR="00E35354">
        <w:t xml:space="preserve">e </w:t>
      </w:r>
      <w:r w:rsidR="0018358B">
        <w:t xml:space="preserve">more than 650 MW of hydroelectric </w:t>
      </w:r>
      <w:r w:rsidR="4BBBEC89">
        <w:t>resources</w:t>
      </w:r>
      <w:r w:rsidR="00423306">
        <w:t xml:space="preserve"> at </w:t>
      </w:r>
      <w:r w:rsidR="008E00F3">
        <w:t>nine</w:t>
      </w:r>
      <w:r w:rsidR="00423306">
        <w:t xml:space="preserve"> facilities</w:t>
      </w:r>
      <w:r w:rsidR="0018358B">
        <w:t xml:space="preserve">. </w:t>
      </w:r>
      <w:r w:rsidR="00C27B28">
        <w:t xml:space="preserve">Adding </w:t>
      </w:r>
      <w:r w:rsidRPr="00EC020F">
        <w:rPr>
          <w:color w:val="000000" w:themeColor="text1"/>
        </w:rPr>
        <w:t xml:space="preserve">new incremental capacity </w:t>
      </w:r>
      <w:r w:rsidR="00EF1A42">
        <w:rPr>
          <w:color w:val="000000" w:themeColor="text1"/>
        </w:rPr>
        <w:t>through up</w:t>
      </w:r>
      <w:r w:rsidR="004A488D">
        <w:rPr>
          <w:color w:val="000000" w:themeColor="text1"/>
        </w:rPr>
        <w:t>grades</w:t>
      </w:r>
      <w:r w:rsidR="00EF1A42">
        <w:rPr>
          <w:color w:val="000000" w:themeColor="text1"/>
        </w:rPr>
        <w:t xml:space="preserve"> at existing facilities, such as</w:t>
      </w:r>
      <w:r w:rsidRPr="00EC020F">
        <w:rPr>
          <w:color w:val="000000" w:themeColor="text1"/>
        </w:rPr>
        <w:t xml:space="preserve"> Plants Hatch, Vogtle, and McIntosh</w:t>
      </w:r>
      <w:r w:rsidR="00D947AF">
        <w:rPr>
          <w:color w:val="000000" w:themeColor="text1"/>
        </w:rPr>
        <w:t>,</w:t>
      </w:r>
      <w:r w:rsidRPr="00EC020F">
        <w:rPr>
          <w:color w:val="000000" w:themeColor="text1"/>
        </w:rPr>
        <w:t xml:space="preserve"> demonstrates the importance and </w:t>
      </w:r>
      <w:r w:rsidR="00241A0B">
        <w:rPr>
          <w:color w:val="000000" w:themeColor="text1"/>
        </w:rPr>
        <w:t xml:space="preserve">economic </w:t>
      </w:r>
      <w:r w:rsidRPr="00EC020F">
        <w:rPr>
          <w:color w:val="000000" w:themeColor="text1"/>
        </w:rPr>
        <w:t xml:space="preserve">value of </w:t>
      </w:r>
      <w:r w:rsidR="00094834">
        <w:rPr>
          <w:color w:val="000000" w:themeColor="text1"/>
        </w:rPr>
        <w:t>utilizing</w:t>
      </w:r>
      <w:r w:rsidR="00EA008F">
        <w:rPr>
          <w:color w:val="000000" w:themeColor="text1"/>
        </w:rPr>
        <w:t xml:space="preserve"> existing facilities </w:t>
      </w:r>
      <w:r w:rsidRPr="00EC020F">
        <w:rPr>
          <w:color w:val="000000" w:themeColor="text1"/>
        </w:rPr>
        <w:t xml:space="preserve">to meet </w:t>
      </w:r>
      <w:r w:rsidR="28823C04" w:rsidRPr="005943CB">
        <w:rPr>
          <w:color w:val="000000" w:themeColor="text1"/>
        </w:rPr>
        <w:t xml:space="preserve">customers’ </w:t>
      </w:r>
      <w:r w:rsidRPr="00EC020F">
        <w:rPr>
          <w:color w:val="000000" w:themeColor="text1"/>
        </w:rPr>
        <w:t xml:space="preserve">needs </w:t>
      </w:r>
      <w:r w:rsidR="00F538DE">
        <w:rPr>
          <w:color w:val="000000" w:themeColor="text1"/>
        </w:rPr>
        <w:t>and</w:t>
      </w:r>
      <w:r w:rsidRPr="00EC020F">
        <w:rPr>
          <w:color w:val="000000" w:themeColor="text1"/>
        </w:rPr>
        <w:t xml:space="preserve"> support growth in a reliable and economic</w:t>
      </w:r>
      <w:r w:rsidR="00AC11F4">
        <w:rPr>
          <w:color w:val="000000" w:themeColor="text1"/>
        </w:rPr>
        <w:t>al</w:t>
      </w:r>
      <w:r w:rsidRPr="00EC020F">
        <w:rPr>
          <w:color w:val="000000" w:themeColor="text1"/>
        </w:rPr>
        <w:t xml:space="preserve"> manner. </w:t>
      </w:r>
      <w:r w:rsidR="00F57BD8">
        <w:rPr>
          <w:color w:val="000000" w:themeColor="text1"/>
        </w:rPr>
        <w:t>With the proposed operational extension</w:t>
      </w:r>
      <w:r w:rsidR="003837E7">
        <w:rPr>
          <w:color w:val="000000" w:themeColor="text1"/>
        </w:rPr>
        <w:t>s</w:t>
      </w:r>
      <w:r w:rsidR="003D0142" w:rsidRPr="00EC020F">
        <w:rPr>
          <w:color w:val="000000" w:themeColor="text1"/>
        </w:rPr>
        <w:t xml:space="preserve"> of existing coal and gas steam units through the mid-2030s</w:t>
      </w:r>
      <w:r w:rsidR="007261DA">
        <w:rPr>
          <w:color w:val="000000" w:themeColor="text1"/>
        </w:rPr>
        <w:t xml:space="preserve">, the </w:t>
      </w:r>
      <w:r w:rsidR="009C078F">
        <w:rPr>
          <w:color w:val="000000" w:themeColor="text1"/>
        </w:rPr>
        <w:t>Southern Company</w:t>
      </w:r>
      <w:r w:rsidR="007261DA">
        <w:rPr>
          <w:color w:val="000000" w:themeColor="text1"/>
        </w:rPr>
        <w:t xml:space="preserve"> System</w:t>
      </w:r>
      <w:r w:rsidR="003D0142" w:rsidRPr="00EC020F">
        <w:rPr>
          <w:color w:val="000000" w:themeColor="text1"/>
        </w:rPr>
        <w:t xml:space="preserve"> </w:t>
      </w:r>
      <w:r w:rsidR="009C078F">
        <w:rPr>
          <w:color w:val="000000" w:themeColor="text1"/>
        </w:rPr>
        <w:t>(“System”)</w:t>
      </w:r>
      <w:r w:rsidR="003D0142" w:rsidRPr="00EC020F">
        <w:rPr>
          <w:color w:val="000000" w:themeColor="text1"/>
        </w:rPr>
        <w:t xml:space="preserve"> </w:t>
      </w:r>
      <w:r w:rsidR="00673039">
        <w:rPr>
          <w:color w:val="000000" w:themeColor="text1"/>
        </w:rPr>
        <w:t>gains</w:t>
      </w:r>
      <w:r w:rsidR="003D0142" w:rsidRPr="00EC020F">
        <w:rPr>
          <w:color w:val="000000" w:themeColor="text1"/>
        </w:rPr>
        <w:t xml:space="preserve"> resource planning flexibility</w:t>
      </w:r>
      <w:r w:rsidR="00452B72">
        <w:rPr>
          <w:color w:val="000000" w:themeColor="text1"/>
        </w:rPr>
        <w:t xml:space="preserve"> in </w:t>
      </w:r>
      <w:r w:rsidR="00620501">
        <w:rPr>
          <w:color w:val="000000" w:themeColor="text1"/>
        </w:rPr>
        <w:t>a</w:t>
      </w:r>
      <w:r w:rsidR="00452B72">
        <w:rPr>
          <w:color w:val="000000" w:themeColor="text1"/>
        </w:rPr>
        <w:t xml:space="preserve"> dynamic </w:t>
      </w:r>
      <w:r w:rsidR="00620501">
        <w:rPr>
          <w:color w:val="000000" w:themeColor="text1"/>
        </w:rPr>
        <w:t xml:space="preserve">federal </w:t>
      </w:r>
      <w:r w:rsidR="003D0142" w:rsidRPr="00EC020F">
        <w:rPr>
          <w:color w:val="000000" w:themeColor="text1"/>
        </w:rPr>
        <w:t>environmental</w:t>
      </w:r>
      <w:r w:rsidR="00CB4611">
        <w:rPr>
          <w:color w:val="000000" w:themeColor="text1"/>
        </w:rPr>
        <w:t xml:space="preserve"> regulatory landscape</w:t>
      </w:r>
      <w:r w:rsidR="003D0142" w:rsidRPr="00EC020F">
        <w:rPr>
          <w:color w:val="000000" w:themeColor="text1"/>
        </w:rPr>
        <w:t>.</w:t>
      </w:r>
      <w:r w:rsidR="003D0142">
        <w:rPr>
          <w:color w:val="000000" w:themeColor="text1"/>
        </w:rPr>
        <w:t xml:space="preserve"> </w:t>
      </w:r>
      <w:r w:rsidR="003D0142" w:rsidRPr="00EC020F">
        <w:rPr>
          <w:color w:val="000000" w:themeColor="text1"/>
        </w:rPr>
        <w:t>The Company’s Environmental Compliance Strategy (“ECS”) and Unit Retirement Study detail the Company’s plans for compliance with environmental requirements</w:t>
      </w:r>
      <w:r w:rsidR="00DC57CE">
        <w:rPr>
          <w:color w:val="000000" w:themeColor="text1"/>
        </w:rPr>
        <w:t>,</w:t>
      </w:r>
      <w:r w:rsidR="003D0142" w:rsidRPr="00EC020F">
        <w:rPr>
          <w:color w:val="000000" w:themeColor="text1"/>
        </w:rPr>
        <w:t xml:space="preserve"> including the </w:t>
      </w:r>
      <w:r w:rsidR="003D0142">
        <w:t xml:space="preserve">111 </w:t>
      </w:r>
      <w:r w:rsidR="00277FBB">
        <w:t>Greenhouse Gas</w:t>
      </w:r>
      <w:r w:rsidR="003D0142">
        <w:t xml:space="preserve"> Rules</w:t>
      </w:r>
      <w:r w:rsidR="00277FBB">
        <w:t xml:space="preserve"> (“111 </w:t>
      </w:r>
      <w:r w:rsidR="003D0142">
        <w:t>GHG Rules</w:t>
      </w:r>
      <w:r w:rsidR="00277FBB">
        <w:t>”)</w:t>
      </w:r>
      <w:r w:rsidR="003D0142" w:rsidRPr="00EC020F">
        <w:rPr>
          <w:color w:val="000000" w:themeColor="text1"/>
        </w:rPr>
        <w:t xml:space="preserve">. </w:t>
      </w:r>
      <w:r w:rsidR="00A73A4F">
        <w:rPr>
          <w:color w:val="000000" w:themeColor="text1"/>
        </w:rPr>
        <w:t xml:space="preserve">The </w:t>
      </w:r>
      <w:r w:rsidR="00CF51FD">
        <w:rPr>
          <w:color w:val="000000" w:themeColor="text1"/>
        </w:rPr>
        <w:t xml:space="preserve">Company’s </w:t>
      </w:r>
      <w:r w:rsidR="0029441C">
        <w:rPr>
          <w:color w:val="000000" w:themeColor="text1"/>
        </w:rPr>
        <w:t xml:space="preserve">continued </w:t>
      </w:r>
      <w:r w:rsidR="00A73A4F">
        <w:rPr>
          <w:color w:val="000000" w:themeColor="text1"/>
        </w:rPr>
        <w:t xml:space="preserve">investment in </w:t>
      </w:r>
      <w:r w:rsidR="00861AA8">
        <w:rPr>
          <w:color w:val="000000" w:themeColor="text1"/>
        </w:rPr>
        <w:t xml:space="preserve">its </w:t>
      </w:r>
      <w:r w:rsidR="00A73A4F">
        <w:rPr>
          <w:color w:val="000000" w:themeColor="text1"/>
        </w:rPr>
        <w:t>h</w:t>
      </w:r>
      <w:r w:rsidR="00223B8A">
        <w:rPr>
          <w:color w:val="000000" w:themeColor="text1"/>
        </w:rPr>
        <w:t xml:space="preserve">ydroelectric facilities enables the continued </w:t>
      </w:r>
      <w:r w:rsidR="004150D8">
        <w:rPr>
          <w:color w:val="000000" w:themeColor="text1"/>
        </w:rPr>
        <w:t xml:space="preserve">long-term </w:t>
      </w:r>
      <w:r w:rsidR="00223B8A">
        <w:rPr>
          <w:color w:val="000000" w:themeColor="text1"/>
        </w:rPr>
        <w:t>operation of these valuable</w:t>
      </w:r>
      <w:r w:rsidR="004150D8">
        <w:rPr>
          <w:color w:val="000000" w:themeColor="text1"/>
        </w:rPr>
        <w:t>,</w:t>
      </w:r>
      <w:r w:rsidR="00223B8A">
        <w:rPr>
          <w:color w:val="000000" w:themeColor="text1"/>
        </w:rPr>
        <w:t xml:space="preserve"> dispatchable, </w:t>
      </w:r>
      <w:r w:rsidR="004150D8">
        <w:rPr>
          <w:color w:val="000000" w:themeColor="text1"/>
        </w:rPr>
        <w:t xml:space="preserve">and </w:t>
      </w:r>
      <w:r w:rsidR="00223B8A">
        <w:rPr>
          <w:color w:val="000000" w:themeColor="text1"/>
        </w:rPr>
        <w:t>emissions-free resources</w:t>
      </w:r>
      <w:r w:rsidR="00A3568D">
        <w:rPr>
          <w:color w:val="000000" w:themeColor="text1"/>
        </w:rPr>
        <w:t>.</w:t>
      </w:r>
    </w:p>
    <w:p w14:paraId="6804E976" w14:textId="3F266AFC" w:rsidR="000207E2" w:rsidRDefault="002C3D18" w:rsidP="0018358B">
      <w:pPr>
        <w:jc w:val="both"/>
      </w:pPr>
      <w:r w:rsidRPr="004F0230">
        <w:rPr>
          <w:rStyle w:val="cf01"/>
          <w:rFonts w:asciiTheme="minorHAnsi" w:hAnsiTheme="minorHAnsi"/>
          <w:sz w:val="22"/>
          <w:szCs w:val="22"/>
        </w:rPr>
        <w:t>Through</w:t>
      </w:r>
      <w:r w:rsidR="005D189E" w:rsidRPr="004F0230">
        <w:rPr>
          <w:rStyle w:val="cf01"/>
          <w:rFonts w:asciiTheme="minorHAnsi" w:hAnsiTheme="minorHAnsi"/>
          <w:sz w:val="22"/>
          <w:szCs w:val="22"/>
        </w:rPr>
        <w:t xml:space="preserve"> 2031</w:t>
      </w:r>
      <w:r w:rsidRPr="004F0230">
        <w:rPr>
          <w:rStyle w:val="cf01"/>
          <w:rFonts w:asciiTheme="minorHAnsi" w:hAnsiTheme="minorHAnsi"/>
          <w:sz w:val="22"/>
          <w:szCs w:val="22"/>
        </w:rPr>
        <w:t>, Georgia Power</w:t>
      </w:r>
      <w:r w:rsidR="005D189E" w:rsidRPr="004F0230">
        <w:rPr>
          <w:rStyle w:val="cf01"/>
          <w:rFonts w:asciiTheme="minorHAnsi" w:hAnsiTheme="minorHAnsi"/>
          <w:sz w:val="22"/>
          <w:szCs w:val="22"/>
        </w:rPr>
        <w:t xml:space="preserve"> project</w:t>
      </w:r>
      <w:r w:rsidR="00A8706B" w:rsidRPr="004F0230">
        <w:rPr>
          <w:rStyle w:val="cf01"/>
          <w:rFonts w:asciiTheme="minorHAnsi" w:hAnsiTheme="minorHAnsi"/>
          <w:sz w:val="22"/>
          <w:szCs w:val="22"/>
        </w:rPr>
        <w:t>s</w:t>
      </w:r>
      <w:r w:rsidR="005D189E" w:rsidRPr="004F0230">
        <w:rPr>
          <w:rStyle w:val="cf01"/>
          <w:rFonts w:asciiTheme="minorHAnsi" w:hAnsiTheme="minorHAnsi"/>
          <w:sz w:val="22"/>
          <w:szCs w:val="22"/>
        </w:rPr>
        <w:t xml:space="preserve"> a </w:t>
      </w:r>
      <w:r w:rsidR="00404744" w:rsidRPr="004F0230">
        <w:rPr>
          <w:rStyle w:val="cf01"/>
          <w:rFonts w:asciiTheme="minorHAnsi" w:hAnsiTheme="minorHAnsi"/>
          <w:sz w:val="22"/>
          <w:szCs w:val="22"/>
        </w:rPr>
        <w:t>capacity</w:t>
      </w:r>
      <w:r w:rsidR="005D189E" w:rsidRPr="004F0230">
        <w:rPr>
          <w:rStyle w:val="cf01"/>
          <w:rFonts w:asciiTheme="minorHAnsi" w:hAnsiTheme="minorHAnsi"/>
          <w:sz w:val="22"/>
          <w:szCs w:val="22"/>
        </w:rPr>
        <w:t xml:space="preserve"> need of 9,000 MW, and </w:t>
      </w:r>
      <w:r w:rsidR="00A8706B" w:rsidRPr="004F0230">
        <w:rPr>
          <w:rStyle w:val="cf01"/>
          <w:rFonts w:asciiTheme="minorHAnsi" w:hAnsiTheme="minorHAnsi"/>
          <w:sz w:val="22"/>
          <w:szCs w:val="22"/>
        </w:rPr>
        <w:t>the Company</w:t>
      </w:r>
      <w:r w:rsidR="005D189E" w:rsidRPr="004F0230">
        <w:rPr>
          <w:rStyle w:val="cf01"/>
          <w:rFonts w:asciiTheme="minorHAnsi" w:hAnsiTheme="minorHAnsi"/>
          <w:sz w:val="22"/>
          <w:szCs w:val="22"/>
        </w:rPr>
        <w:t xml:space="preserve"> plan</w:t>
      </w:r>
      <w:r w:rsidR="00D61A79" w:rsidRPr="004F0230">
        <w:rPr>
          <w:rStyle w:val="cf01"/>
          <w:rFonts w:asciiTheme="minorHAnsi" w:hAnsiTheme="minorHAnsi"/>
          <w:sz w:val="22"/>
          <w:szCs w:val="22"/>
        </w:rPr>
        <w:t>s</w:t>
      </w:r>
      <w:r w:rsidR="005D189E" w:rsidRPr="004F0230">
        <w:rPr>
          <w:rStyle w:val="cf01"/>
          <w:rFonts w:asciiTheme="minorHAnsi" w:hAnsiTheme="minorHAnsi"/>
          <w:sz w:val="22"/>
          <w:szCs w:val="22"/>
        </w:rPr>
        <w:t xml:space="preserve"> to meet that </w:t>
      </w:r>
      <w:r w:rsidR="00A8706B" w:rsidRPr="004F0230">
        <w:rPr>
          <w:rStyle w:val="cf01"/>
          <w:rFonts w:asciiTheme="minorHAnsi" w:hAnsiTheme="minorHAnsi"/>
          <w:sz w:val="22"/>
          <w:szCs w:val="22"/>
        </w:rPr>
        <w:t>need</w:t>
      </w:r>
      <w:r w:rsidR="005D189E" w:rsidRPr="004F0230">
        <w:rPr>
          <w:rStyle w:val="cf01"/>
          <w:rFonts w:asciiTheme="minorHAnsi" w:hAnsiTheme="minorHAnsi"/>
          <w:sz w:val="22"/>
          <w:szCs w:val="22"/>
        </w:rPr>
        <w:t xml:space="preserve"> through approved actions from 2022 IRP, 2023 IRP Update, and the incremental requests in this 2025 IRP, which include unit extensions, upgrades, hydro modernization, additional RFPs, and demand side programs.</w:t>
      </w:r>
      <w:r w:rsidR="005D189E" w:rsidRPr="00941AE5">
        <w:rPr>
          <w:rStyle w:val="cf01"/>
          <w:rFonts w:asciiTheme="minorHAnsi" w:hAnsiTheme="minorHAnsi"/>
          <w:sz w:val="22"/>
          <w:szCs w:val="22"/>
        </w:rPr>
        <w:t xml:space="preserve"> </w:t>
      </w:r>
      <w:r w:rsidR="00B85530" w:rsidRPr="00B85530">
        <w:rPr>
          <w:rStyle w:val="cf01"/>
          <w:rFonts w:asciiTheme="minorHAnsi" w:hAnsiTheme="minorHAnsi"/>
          <w:sz w:val="22"/>
          <w:szCs w:val="22"/>
        </w:rPr>
        <w:t xml:space="preserve">Georgia Power is addressing capacity needs through the winter of 2030/2031 </w:t>
      </w:r>
      <w:r w:rsidR="00B85530" w:rsidRPr="00B85530">
        <w:rPr>
          <w:rStyle w:val="cf01"/>
          <w:rFonts w:asciiTheme="minorHAnsi" w:hAnsiTheme="minorHAnsi"/>
          <w:sz w:val="22"/>
          <w:szCs w:val="22"/>
        </w:rPr>
        <w:lastRenderedPageBreak/>
        <w:t>through actions approved by the Commission in the 2022 IRP and 2023 IRP Update. For example, current activities include the addition of more than 2,065 MW of battery energy storage systems (“BESS”) and combustion turbine (“CT”) resources by the end of 2027, plus the Company’s active RFPs for up to 9,500 MW of capacity and more than 3,500 MW of renewable energy resources by the end of 2030.</w:t>
      </w:r>
      <w:r w:rsidR="00B85530" w:rsidRPr="00941AE5">
        <w:rPr>
          <w:rStyle w:val="cf01"/>
          <w:sz w:val="22"/>
          <w:szCs w:val="22"/>
        </w:rPr>
        <w:t xml:space="preserve"> </w:t>
      </w:r>
      <w:r w:rsidR="74230307">
        <w:t>To</w:t>
      </w:r>
      <w:r w:rsidR="0BAD91C1">
        <w:t xml:space="preserve"> address capacity needs </w:t>
      </w:r>
      <w:r w:rsidR="5F675753">
        <w:t>b</w:t>
      </w:r>
      <w:r w:rsidR="452674A6">
        <w:t>eyond 2031, the Company plans to conduct All-Source Capacity Request</w:t>
      </w:r>
      <w:r w:rsidR="004D3E6E">
        <w:t>s</w:t>
      </w:r>
      <w:r w:rsidR="452674A6">
        <w:t xml:space="preserve"> for Proposal</w:t>
      </w:r>
      <w:r w:rsidR="00D70619">
        <w:t>s</w:t>
      </w:r>
      <w:r w:rsidR="452674A6">
        <w:t xml:space="preserve"> (“RFP”) </w:t>
      </w:r>
      <w:r w:rsidR="00B23B98">
        <w:t xml:space="preserve">including issuing an RFP in the third quarter of 2025 to meet capacity needs for 2032 and 2033, while also seeking </w:t>
      </w:r>
      <w:r w:rsidR="45DEB9B1">
        <w:t>to</w:t>
      </w:r>
      <w:r w:rsidR="78521C6E">
        <w:t xml:space="preserve"> </w:t>
      </w:r>
      <w:r w:rsidR="452674A6">
        <w:t xml:space="preserve">add </w:t>
      </w:r>
      <w:r w:rsidR="76C401AA">
        <w:t xml:space="preserve">up to </w:t>
      </w:r>
      <w:r w:rsidR="452674A6" w:rsidRPr="00941AE5">
        <w:t>4,000 MW</w:t>
      </w:r>
      <w:r w:rsidR="452674A6">
        <w:t xml:space="preserve"> of incremental renewable resources </w:t>
      </w:r>
      <w:r w:rsidR="7C81A0FF">
        <w:t xml:space="preserve">to the electric system </w:t>
      </w:r>
      <w:r w:rsidR="452674A6">
        <w:t xml:space="preserve">by 2035. </w:t>
      </w:r>
    </w:p>
    <w:p w14:paraId="0C9316B5" w14:textId="438E8D4E" w:rsidR="003B7800" w:rsidRDefault="00AE2C89" w:rsidP="0018358B">
      <w:pPr>
        <w:jc w:val="both"/>
      </w:pPr>
      <w:r>
        <w:t xml:space="preserve">Serving </w:t>
      </w:r>
      <w:r w:rsidR="00E80044">
        <w:t>customers’ evolving energy needs requires a diversified approach. Georgia Power’s proposed</w:t>
      </w:r>
      <w:r w:rsidR="452674A6">
        <w:t xml:space="preserve"> </w:t>
      </w:r>
      <w:r w:rsidR="211129A3">
        <w:t>economical</w:t>
      </w:r>
      <w:r w:rsidR="452674A6">
        <w:t xml:space="preserve"> </w:t>
      </w:r>
      <w:r w:rsidR="788E98DE">
        <w:t xml:space="preserve">extensions and enhancements </w:t>
      </w:r>
      <w:r w:rsidR="452674A6">
        <w:t xml:space="preserve">to existing </w:t>
      </w:r>
      <w:r w:rsidR="211129A3">
        <w:t xml:space="preserve">generating </w:t>
      </w:r>
      <w:r w:rsidR="367A74C3">
        <w:t>units</w:t>
      </w:r>
      <w:r w:rsidR="452674A6">
        <w:t xml:space="preserve"> and new procurements are </w:t>
      </w:r>
      <w:r w:rsidR="7DDF6F6A">
        <w:t xml:space="preserve">necessary </w:t>
      </w:r>
      <w:r w:rsidR="64FB0B86">
        <w:t>to</w:t>
      </w:r>
      <w:r w:rsidR="001E7480">
        <w:t xml:space="preserve"> ensure reliable and economic service to existing customers and a growing Georgia</w:t>
      </w:r>
      <w:r w:rsidR="00234296">
        <w:t>.</w:t>
      </w:r>
      <w:r w:rsidR="64FB0B86">
        <w:t xml:space="preserve"> </w:t>
      </w:r>
    </w:p>
    <w:p w14:paraId="3A0EED14" w14:textId="3F32D328" w:rsidR="008855A8" w:rsidRPr="0013482C" w:rsidRDefault="008855A8" w:rsidP="00AA25CA">
      <w:pPr>
        <w:pStyle w:val="Heading2"/>
      </w:pPr>
      <w:bookmarkStart w:id="6" w:name="_Toc189122735"/>
      <w:r w:rsidRPr="0013482C">
        <w:t xml:space="preserve">Strategic </w:t>
      </w:r>
      <w:r w:rsidR="002C3595" w:rsidRPr="0013482C">
        <w:t xml:space="preserve">Transmission </w:t>
      </w:r>
      <w:r w:rsidRPr="0013482C">
        <w:t>Planning</w:t>
      </w:r>
      <w:bookmarkEnd w:id="6"/>
    </w:p>
    <w:p w14:paraId="1D1C40B4" w14:textId="47E70C3C" w:rsidR="00532308" w:rsidRDefault="008855A8" w:rsidP="0018358B">
      <w:pPr>
        <w:jc w:val="both"/>
      </w:pPr>
      <w:r w:rsidRPr="00EC020F">
        <w:rPr>
          <w:color w:val="000000" w:themeColor="text1"/>
        </w:rPr>
        <w:t>The Company</w:t>
      </w:r>
      <w:r w:rsidR="002C3595" w:rsidRPr="00EC020F">
        <w:rPr>
          <w:color w:val="000000" w:themeColor="text1"/>
        </w:rPr>
        <w:t xml:space="preserve"> is </w:t>
      </w:r>
      <w:r w:rsidRPr="00EC020F">
        <w:rPr>
          <w:color w:val="000000" w:themeColor="text1"/>
        </w:rPr>
        <w:t xml:space="preserve">dedicated to maintaining </w:t>
      </w:r>
      <w:r w:rsidR="002C3595" w:rsidRPr="00EC020F">
        <w:rPr>
          <w:color w:val="000000" w:themeColor="text1"/>
        </w:rPr>
        <w:t xml:space="preserve">a </w:t>
      </w:r>
      <w:r w:rsidRPr="00EC020F">
        <w:rPr>
          <w:color w:val="000000" w:themeColor="text1"/>
        </w:rPr>
        <w:t xml:space="preserve">robust and reliable electrical system. </w:t>
      </w:r>
      <w:r>
        <w:rPr>
          <w:color w:val="000000" w:themeColor="text1"/>
        </w:rPr>
        <w:t>Strategic</w:t>
      </w:r>
      <w:r w:rsidRPr="00EC020F">
        <w:rPr>
          <w:color w:val="000000" w:themeColor="text1"/>
        </w:rPr>
        <w:t xml:space="preserve"> </w:t>
      </w:r>
      <w:r w:rsidR="00471F5A">
        <w:rPr>
          <w:color w:val="000000" w:themeColor="text1"/>
        </w:rPr>
        <w:t>t</w:t>
      </w:r>
      <w:r w:rsidRPr="00EC020F">
        <w:rPr>
          <w:color w:val="000000" w:themeColor="text1"/>
        </w:rPr>
        <w:t xml:space="preserve">ransmission </w:t>
      </w:r>
      <w:r w:rsidR="00471F5A">
        <w:rPr>
          <w:color w:val="000000" w:themeColor="text1"/>
        </w:rPr>
        <w:t>p</w:t>
      </w:r>
      <w:r w:rsidRPr="00EC020F">
        <w:rPr>
          <w:color w:val="000000" w:themeColor="text1"/>
        </w:rPr>
        <w:t xml:space="preserve">lanning and </w:t>
      </w:r>
      <w:r w:rsidR="00CF3A43">
        <w:rPr>
          <w:color w:val="000000" w:themeColor="text1"/>
        </w:rPr>
        <w:t xml:space="preserve">the </w:t>
      </w:r>
      <w:r w:rsidR="00C917CC">
        <w:rPr>
          <w:color w:val="000000" w:themeColor="text1"/>
        </w:rPr>
        <w:t>measured and disciplined</w:t>
      </w:r>
      <w:r w:rsidR="00471F5A">
        <w:rPr>
          <w:color w:val="000000" w:themeColor="text1"/>
        </w:rPr>
        <w:t xml:space="preserve"> </w:t>
      </w:r>
      <w:r w:rsidRPr="00EC020F">
        <w:rPr>
          <w:color w:val="000000" w:themeColor="text1"/>
        </w:rPr>
        <w:t>expansion</w:t>
      </w:r>
      <w:r w:rsidR="00471F5A">
        <w:rPr>
          <w:color w:val="000000" w:themeColor="text1"/>
        </w:rPr>
        <w:t xml:space="preserve"> of the </w:t>
      </w:r>
      <w:r w:rsidR="00703D6D">
        <w:rPr>
          <w:color w:val="000000" w:themeColor="text1"/>
        </w:rPr>
        <w:t xml:space="preserve">electric </w:t>
      </w:r>
      <w:r w:rsidR="00471F5A">
        <w:rPr>
          <w:color w:val="000000" w:themeColor="text1"/>
        </w:rPr>
        <w:t>grid</w:t>
      </w:r>
      <w:r w:rsidRPr="00EC020F">
        <w:rPr>
          <w:color w:val="000000" w:themeColor="text1"/>
        </w:rPr>
        <w:t xml:space="preserve"> is </w:t>
      </w:r>
      <w:r w:rsidR="002C3595" w:rsidRPr="00EC020F">
        <w:rPr>
          <w:color w:val="000000" w:themeColor="text1"/>
        </w:rPr>
        <w:t xml:space="preserve">critical </w:t>
      </w:r>
      <w:r w:rsidRPr="00EC020F">
        <w:rPr>
          <w:color w:val="000000" w:themeColor="text1"/>
        </w:rPr>
        <w:t>to providing clean, safe, reliable, and affordable energy to customers</w:t>
      </w:r>
      <w:r w:rsidR="003F152D">
        <w:rPr>
          <w:color w:val="000000" w:themeColor="text1"/>
        </w:rPr>
        <w:t>,</w:t>
      </w:r>
      <w:r w:rsidRPr="00EC020F">
        <w:rPr>
          <w:color w:val="000000" w:themeColor="text1"/>
        </w:rPr>
        <w:t xml:space="preserve"> especially in times of growth</w:t>
      </w:r>
      <w:r w:rsidR="00A43A79">
        <w:rPr>
          <w:color w:val="000000" w:themeColor="text1"/>
        </w:rPr>
        <w:t>,</w:t>
      </w:r>
      <w:r w:rsidR="00471F5A">
        <w:rPr>
          <w:color w:val="000000" w:themeColor="text1"/>
        </w:rPr>
        <w:t xml:space="preserve"> and </w:t>
      </w:r>
      <w:r w:rsidR="00A43A79">
        <w:rPr>
          <w:color w:val="000000" w:themeColor="text1"/>
        </w:rPr>
        <w:t>is</w:t>
      </w:r>
      <w:r w:rsidR="00471F5A">
        <w:rPr>
          <w:color w:val="000000" w:themeColor="text1"/>
        </w:rPr>
        <w:t xml:space="preserve"> a</w:t>
      </w:r>
      <w:r w:rsidR="002C3595">
        <w:rPr>
          <w:color w:val="000000" w:themeColor="text1"/>
        </w:rPr>
        <w:t xml:space="preserve"> necessary</w:t>
      </w:r>
      <w:r w:rsidR="002C3595">
        <w:t xml:space="preserve"> complement to</w:t>
      </w:r>
      <w:r w:rsidR="4BF280D7">
        <w:t xml:space="preserve"> the </w:t>
      </w:r>
      <w:r w:rsidR="002C3595">
        <w:t xml:space="preserve">required </w:t>
      </w:r>
      <w:r w:rsidR="00573457">
        <w:t xml:space="preserve">expansion of the </w:t>
      </w:r>
      <w:r w:rsidR="0E73B83F">
        <w:t xml:space="preserve">Company’s </w:t>
      </w:r>
      <w:r w:rsidR="00573457">
        <w:t>generating fleet</w:t>
      </w:r>
      <w:r w:rsidR="002C3595">
        <w:t>.</w:t>
      </w:r>
      <w:r w:rsidR="3D0DB441">
        <w:t xml:space="preserve"> </w:t>
      </w:r>
      <w:r w:rsidR="00CF3A43">
        <w:t>The 2025</w:t>
      </w:r>
      <w:r w:rsidR="00535325">
        <w:t xml:space="preserve"> IRP </w:t>
      </w:r>
      <w:r w:rsidR="1687E19D">
        <w:t>includes</w:t>
      </w:r>
      <w:r w:rsidR="00535325">
        <w:t xml:space="preserve"> (i) the 2024 Georgia Integrated Transmission System (“ITS”) Ten-Year Plan, which incorporates </w:t>
      </w:r>
      <w:r w:rsidR="00A73E40" w:rsidRPr="00A73E40">
        <w:t xml:space="preserve">generation and load growth </w:t>
      </w:r>
      <w:r w:rsidR="00535325">
        <w:t>updates for</w:t>
      </w:r>
      <w:r w:rsidR="001076F2">
        <w:t xml:space="preserve"> Georgia Power, Georgia Transmission Corporation (“GTC”), Municipal</w:t>
      </w:r>
      <w:r w:rsidR="002856C8">
        <w:t xml:space="preserve"> Electric Authority of Georgia (“MEAG Power”), and Dalton Utilities (collectively, the “ITS </w:t>
      </w:r>
      <w:r w:rsidR="00B23330">
        <w:t>Participants”)</w:t>
      </w:r>
      <w:r w:rsidR="00535325">
        <w:t>, including changes since the 2022 IRP and 2023 IRP Update, (ii)</w:t>
      </w:r>
      <w:r w:rsidR="00097166">
        <w:t> </w:t>
      </w:r>
      <w:r w:rsidR="00535325">
        <w:t>updates on strategic transmission projects since the 2022 IRP</w:t>
      </w:r>
      <w:r w:rsidR="007C079A">
        <w:t xml:space="preserve"> to address </w:t>
      </w:r>
      <w:r w:rsidR="008E78A1">
        <w:t>S</w:t>
      </w:r>
      <w:r w:rsidR="007C079A">
        <w:t>o</w:t>
      </w:r>
      <w:r w:rsidR="008E78A1">
        <w:t>u</w:t>
      </w:r>
      <w:r w:rsidR="007C079A">
        <w:t xml:space="preserve">th to </w:t>
      </w:r>
      <w:r w:rsidR="008E78A1">
        <w:t>Nor</w:t>
      </w:r>
      <w:r w:rsidR="007C079A">
        <w:t>th transmission constraints</w:t>
      </w:r>
      <w:r w:rsidR="00535325">
        <w:t xml:space="preserve">, and (iii) additional considerations for evolving </w:t>
      </w:r>
      <w:r w:rsidR="007476FE">
        <w:t>S</w:t>
      </w:r>
      <w:r w:rsidR="00535325">
        <w:t xml:space="preserve">ystem needs beyond </w:t>
      </w:r>
      <w:r w:rsidR="494D68A4">
        <w:t xml:space="preserve">the </w:t>
      </w:r>
      <w:r w:rsidR="00535325">
        <w:t>traditional ten-year transmission planning</w:t>
      </w:r>
      <w:r w:rsidR="008A12FE">
        <w:t xml:space="preserve"> window</w:t>
      </w:r>
      <w:r w:rsidR="00535325">
        <w:t>.</w:t>
      </w:r>
    </w:p>
    <w:p w14:paraId="15005620" w14:textId="23FE23AF" w:rsidR="001D4AE8" w:rsidRPr="004220BC" w:rsidRDefault="001D4AE8" w:rsidP="001D4AE8">
      <w:pPr>
        <w:pStyle w:val="Heading2"/>
      </w:pPr>
      <w:bookmarkStart w:id="7" w:name="_Toc185523309"/>
      <w:bookmarkStart w:id="8" w:name="_Toc189122736"/>
      <w:r>
        <w:t xml:space="preserve">Enhanced </w:t>
      </w:r>
      <w:r w:rsidR="00C4567C">
        <w:t>Renewable and Resiliency</w:t>
      </w:r>
      <w:r w:rsidRPr="004220BC">
        <w:t xml:space="preserve"> Programs</w:t>
      </w:r>
      <w:bookmarkEnd w:id="7"/>
      <w:bookmarkEnd w:id="8"/>
    </w:p>
    <w:p w14:paraId="6DE2587C" w14:textId="7B0585E1" w:rsidR="004E6612" w:rsidRDefault="004E6612" w:rsidP="0018358B">
      <w:pPr>
        <w:jc w:val="both"/>
        <w:rPr>
          <w:color w:val="000000" w:themeColor="text1"/>
        </w:rPr>
      </w:pPr>
      <w:r>
        <w:t>As part of this 2025 IRP</w:t>
      </w:r>
      <w:r w:rsidR="00EF60D4">
        <w:t xml:space="preserve">, </w:t>
      </w:r>
      <w:r w:rsidR="00E601AA">
        <w:t xml:space="preserve">Georgia Power proposes innovative solutions to </w:t>
      </w:r>
      <w:r w:rsidR="000F26F4">
        <w:t>meet increasing c</w:t>
      </w:r>
      <w:r w:rsidR="00E601AA">
        <w:t xml:space="preserve">ustomer demand for </w:t>
      </w:r>
      <w:r w:rsidR="00466553">
        <w:t>emission</w:t>
      </w:r>
      <w:r w:rsidR="00BC47EB">
        <w:t>-</w:t>
      </w:r>
      <w:r w:rsidR="00466553">
        <w:t xml:space="preserve">free, </w:t>
      </w:r>
      <w:r w:rsidR="00E601AA">
        <w:t>sustainable</w:t>
      </w:r>
      <w:r w:rsidR="00466553">
        <w:t>,</w:t>
      </w:r>
      <w:r w:rsidR="00E601AA">
        <w:t xml:space="preserve"> and resilient energy</w:t>
      </w:r>
      <w:r w:rsidR="000F26F4">
        <w:t xml:space="preserve">. </w:t>
      </w:r>
      <w:r w:rsidR="001D4AE8">
        <w:t>These proposed solutions include</w:t>
      </w:r>
      <w:r w:rsidR="000F26F4">
        <w:t xml:space="preserve"> </w:t>
      </w:r>
      <w:r w:rsidR="009A36DD">
        <w:t xml:space="preserve">expanding </w:t>
      </w:r>
      <w:r w:rsidR="00B40003">
        <w:t>the Company’s</w:t>
      </w:r>
      <w:r w:rsidR="009A36DD">
        <w:t xml:space="preserve"> customer </w:t>
      </w:r>
      <w:r w:rsidR="00695313">
        <w:t>subscription</w:t>
      </w:r>
      <w:r w:rsidR="00B40003">
        <w:t xml:space="preserve"> program</w:t>
      </w:r>
      <w:r w:rsidR="00695313">
        <w:t xml:space="preserve">s to </w:t>
      </w:r>
      <w:r w:rsidR="00B40003">
        <w:t>include</w:t>
      </w:r>
      <w:r w:rsidR="00695313">
        <w:t xml:space="preserve"> </w:t>
      </w:r>
      <w:r w:rsidR="009A36DD">
        <w:t xml:space="preserve">distributed generation (“DG”) renewable </w:t>
      </w:r>
      <w:r w:rsidR="00B40003">
        <w:t>resources</w:t>
      </w:r>
      <w:r w:rsidR="00097D69">
        <w:t xml:space="preserve"> and</w:t>
      </w:r>
      <w:r w:rsidR="009A36DD">
        <w:t xml:space="preserve"> enhanc</w:t>
      </w:r>
      <w:r w:rsidR="00097D69">
        <w:t>ing</w:t>
      </w:r>
      <w:r w:rsidR="009A36DD">
        <w:t xml:space="preserve"> the utility-scale (“US”) and DG</w:t>
      </w:r>
      <w:r w:rsidR="00284310">
        <w:t xml:space="preserve"> renewable</w:t>
      </w:r>
      <w:r w:rsidR="009A36DD">
        <w:t xml:space="preserve"> procurement processes to </w:t>
      </w:r>
      <w:r w:rsidR="00B40003">
        <w:t>facilitate</w:t>
      </w:r>
      <w:r w:rsidR="00EF60D4" w:rsidDel="009A36DD">
        <w:t xml:space="preserve"> </w:t>
      </w:r>
      <w:r w:rsidR="003B31AC">
        <w:t xml:space="preserve">the addition of </w:t>
      </w:r>
      <w:r w:rsidR="00BC798A">
        <w:t>more</w:t>
      </w:r>
      <w:r w:rsidR="003B31AC">
        <w:t xml:space="preserve"> renewable resources available for</w:t>
      </w:r>
      <w:r w:rsidR="009A36DD">
        <w:t xml:space="preserve"> customer subscriptions</w:t>
      </w:r>
      <w:r w:rsidR="00097D69">
        <w:t xml:space="preserve">. </w:t>
      </w:r>
      <w:r w:rsidR="003D0142">
        <w:t xml:space="preserve">Notably, these programs are available to </w:t>
      </w:r>
      <w:r w:rsidR="005E2B5E">
        <w:t xml:space="preserve">residential, commercial, and industrial </w:t>
      </w:r>
      <w:r w:rsidR="003D0142">
        <w:t>customers.</w:t>
      </w:r>
      <w:r w:rsidR="00097D69">
        <w:t xml:space="preserve"> </w:t>
      </w:r>
      <w:r>
        <w:t>T</w:t>
      </w:r>
      <w:r>
        <w:rPr>
          <w:color w:val="000000" w:themeColor="text1"/>
        </w:rPr>
        <w:t>he Company is committed to</w:t>
      </w:r>
      <w:r w:rsidR="00AC061B">
        <w:rPr>
          <w:color w:val="000000" w:themeColor="text1"/>
        </w:rPr>
        <w:t xml:space="preserve"> supporting</w:t>
      </w:r>
      <w:r>
        <w:rPr>
          <w:color w:val="000000" w:themeColor="text1"/>
        </w:rPr>
        <w:t xml:space="preserve"> flexibility, optionality, and innovation in its planning</w:t>
      </w:r>
      <w:r w:rsidR="003B7800">
        <w:rPr>
          <w:color w:val="000000" w:themeColor="text1"/>
        </w:rPr>
        <w:t xml:space="preserve"> and </w:t>
      </w:r>
      <w:r w:rsidR="003D0142">
        <w:rPr>
          <w:color w:val="000000" w:themeColor="text1"/>
        </w:rPr>
        <w:t>program offerings</w:t>
      </w:r>
      <w:r w:rsidR="00AC061B">
        <w:rPr>
          <w:color w:val="000000" w:themeColor="text1"/>
        </w:rPr>
        <w:t>, especially a</w:t>
      </w:r>
      <w:r>
        <w:rPr>
          <w:color w:val="000000" w:themeColor="text1"/>
        </w:rPr>
        <w:t xml:space="preserve">s the energy industry continues to see dynamic change along many fronts. </w:t>
      </w:r>
    </w:p>
    <w:p w14:paraId="4732F825" w14:textId="574927CD" w:rsidR="00DB70C5" w:rsidRPr="00EC020F" w:rsidRDefault="00DB70C5" w:rsidP="00DB70C5">
      <w:pPr>
        <w:jc w:val="both"/>
        <w:rPr>
          <w:color w:val="000000" w:themeColor="text1"/>
        </w:rPr>
      </w:pPr>
      <w:r>
        <w:t xml:space="preserve">Georgia Power is also proposing a new </w:t>
      </w:r>
      <w:r w:rsidR="00C55DFB">
        <w:t>customer</w:t>
      </w:r>
      <w:r w:rsidR="00921576">
        <w:t>-</w:t>
      </w:r>
      <w:r w:rsidR="00C55DFB">
        <w:t xml:space="preserve">sited </w:t>
      </w:r>
      <w:r>
        <w:t xml:space="preserve">solar plus storage program for residential and small commercial customers and adding a new DER-enabled demand response program </w:t>
      </w:r>
      <w:r w:rsidRPr="00EC020F">
        <w:rPr>
          <w:color w:val="000000" w:themeColor="text1"/>
        </w:rPr>
        <w:t xml:space="preserve">aimed at meeting the capacity and resiliency needs of </w:t>
      </w:r>
      <w:r>
        <w:t xml:space="preserve">large customers. To enable these programs and to create visibility, enhance forecasting, and allow </w:t>
      </w:r>
      <w:r w:rsidR="00436E3F">
        <w:t>S</w:t>
      </w:r>
      <w:r>
        <w:t xml:space="preserve">ystem-wide control of DERs, Georgia Power is developing and deploying a Distributed Energy Resource Management System (“DERMS”). </w:t>
      </w:r>
      <w:r>
        <w:rPr>
          <w:color w:val="000000" w:themeColor="text1"/>
        </w:rPr>
        <w:t>By integrating DERMS,</w:t>
      </w:r>
      <w:r w:rsidRPr="00EC020F">
        <w:rPr>
          <w:color w:val="000000" w:themeColor="text1"/>
        </w:rPr>
        <w:t xml:space="preserve"> the Company is enhancing </w:t>
      </w:r>
      <w:r w:rsidR="00436E3F">
        <w:rPr>
          <w:color w:val="000000" w:themeColor="text1"/>
        </w:rPr>
        <w:t>System</w:t>
      </w:r>
      <w:r>
        <w:rPr>
          <w:color w:val="000000" w:themeColor="text1"/>
        </w:rPr>
        <w:t xml:space="preserve"> controls</w:t>
      </w:r>
      <w:r w:rsidRPr="00EC020F">
        <w:rPr>
          <w:color w:val="000000" w:themeColor="text1"/>
        </w:rPr>
        <w:t xml:space="preserve"> to </w:t>
      </w:r>
      <w:r>
        <w:rPr>
          <w:color w:val="000000" w:themeColor="text1"/>
        </w:rPr>
        <w:t>optimize the operational capabilities of</w:t>
      </w:r>
      <w:r w:rsidRPr="00EC020F">
        <w:rPr>
          <w:color w:val="000000" w:themeColor="text1"/>
        </w:rPr>
        <w:t xml:space="preserve"> the next-generation grid and energy assets</w:t>
      </w:r>
      <w:r>
        <w:rPr>
          <w:color w:val="000000" w:themeColor="text1"/>
        </w:rPr>
        <w:t xml:space="preserve"> and</w:t>
      </w:r>
      <w:r w:rsidRPr="00EC020F">
        <w:rPr>
          <w:color w:val="000000" w:themeColor="text1"/>
        </w:rPr>
        <w:t xml:space="preserve"> ensuring the Company remain</w:t>
      </w:r>
      <w:r>
        <w:rPr>
          <w:color w:val="000000" w:themeColor="text1"/>
        </w:rPr>
        <w:t>s</w:t>
      </w:r>
      <w:r w:rsidRPr="00EC020F">
        <w:rPr>
          <w:color w:val="000000" w:themeColor="text1"/>
        </w:rPr>
        <w:t xml:space="preserve"> at the forefront of technological advancements for the </w:t>
      </w:r>
      <w:r>
        <w:rPr>
          <w:color w:val="000000" w:themeColor="text1"/>
        </w:rPr>
        <w:t>benefit of customers</w:t>
      </w:r>
      <w:r w:rsidRPr="00EC020F">
        <w:rPr>
          <w:color w:val="000000" w:themeColor="text1"/>
        </w:rPr>
        <w:t xml:space="preserve">. </w:t>
      </w:r>
    </w:p>
    <w:p w14:paraId="4C944A78" w14:textId="0A5480FC" w:rsidR="002C5518" w:rsidRPr="00F14CEF" w:rsidRDefault="002C5518" w:rsidP="002C5518">
      <w:pPr>
        <w:pStyle w:val="Heading2"/>
      </w:pPr>
      <w:bookmarkStart w:id="9" w:name="_Toc185523310"/>
      <w:bookmarkStart w:id="10" w:name="_Hlk187492179"/>
      <w:bookmarkStart w:id="11" w:name="_Toc189122737"/>
      <w:r w:rsidRPr="002150D0">
        <w:lastRenderedPageBreak/>
        <w:t>Conclusion</w:t>
      </w:r>
      <w:bookmarkEnd w:id="9"/>
      <w:bookmarkEnd w:id="10"/>
      <w:bookmarkEnd w:id="11"/>
    </w:p>
    <w:p w14:paraId="33C791BD" w14:textId="425759EC" w:rsidR="003B7800" w:rsidRPr="00EC020F" w:rsidRDefault="003B7800" w:rsidP="003B7800">
      <w:pPr>
        <w:jc w:val="both"/>
        <w:rPr>
          <w:color w:val="000000" w:themeColor="text1"/>
        </w:rPr>
      </w:pPr>
      <w:r>
        <w:t xml:space="preserve">The 2025 IRP </w:t>
      </w:r>
      <w:r w:rsidR="612B6EA9">
        <w:t xml:space="preserve">proposes </w:t>
      </w:r>
      <w:r>
        <w:t xml:space="preserve">a </w:t>
      </w:r>
      <w:r w:rsidR="65DCAB6E">
        <w:t xml:space="preserve">reliable, economical, and </w:t>
      </w:r>
      <w:r>
        <w:t xml:space="preserve">diverse resource mix that </w:t>
      </w:r>
      <w:r w:rsidR="01832E30">
        <w:t xml:space="preserve">will </w:t>
      </w:r>
      <w:r>
        <w:t xml:space="preserve">ensure </w:t>
      </w:r>
      <w:r w:rsidR="0C51A77C">
        <w:t>Ge</w:t>
      </w:r>
      <w:r w:rsidR="4BEB3C74">
        <w:t>o</w:t>
      </w:r>
      <w:r w:rsidR="0C51A77C">
        <w:t>rg</w:t>
      </w:r>
      <w:r w:rsidR="7F206706">
        <w:t>i</w:t>
      </w:r>
      <w:r w:rsidR="0C51A77C">
        <w:t xml:space="preserve">a Power </w:t>
      </w:r>
      <w:r w:rsidR="002100A9">
        <w:t xml:space="preserve">can continue to meet its customers’ </w:t>
      </w:r>
      <w:r w:rsidR="00866CFF">
        <w:t xml:space="preserve">evolving </w:t>
      </w:r>
      <w:r w:rsidR="002100A9">
        <w:t>energy needs</w:t>
      </w:r>
      <w:r w:rsidR="009A5217">
        <w:t xml:space="preserve">. </w:t>
      </w:r>
      <w:r w:rsidR="00BB0B16">
        <w:t xml:space="preserve">The Company is utilizing a combination of previously approved </w:t>
      </w:r>
      <w:r w:rsidR="00CE43B0">
        <w:t xml:space="preserve">RFPs and incremental requests </w:t>
      </w:r>
      <w:r w:rsidR="00645928">
        <w:t xml:space="preserve">of up to </w:t>
      </w:r>
      <w:r w:rsidR="00B70E55">
        <w:t>1,500</w:t>
      </w:r>
      <w:r w:rsidR="00DE47C4">
        <w:t xml:space="preserve"> MW </w:t>
      </w:r>
      <w:r w:rsidR="007212EC">
        <w:t>in this IRP to meet load growth of approximately 8,200 MW through the winter of 2030/2031</w:t>
      </w:r>
      <w:r w:rsidR="007D7355">
        <w:t xml:space="preserve">, and is proposing new procurements to address capacity and energy needs </w:t>
      </w:r>
      <w:r w:rsidR="00645928">
        <w:t>into the 2030s.</w:t>
      </w:r>
      <w:r w:rsidR="00CE43B0">
        <w:t xml:space="preserve"> </w:t>
      </w:r>
      <w:r w:rsidR="006C291F">
        <w:t xml:space="preserve">As the energy industry experiences rapid change </w:t>
      </w:r>
      <w:r w:rsidR="3B85BBD6" w:rsidRPr="6B696029">
        <w:rPr>
          <w:color w:val="000000" w:themeColor="text1"/>
        </w:rPr>
        <w:t>on</w:t>
      </w:r>
      <w:r w:rsidDel="004E6612">
        <w:rPr>
          <w:color w:val="000000" w:themeColor="text1"/>
        </w:rPr>
        <w:t xml:space="preserve"> </w:t>
      </w:r>
      <w:r w:rsidR="008563A8">
        <w:rPr>
          <w:color w:val="000000" w:themeColor="text1"/>
        </w:rPr>
        <w:t xml:space="preserve">numerous </w:t>
      </w:r>
      <w:r w:rsidDel="004E6612">
        <w:rPr>
          <w:color w:val="000000" w:themeColor="text1"/>
        </w:rPr>
        <w:t xml:space="preserve">fronts, </w:t>
      </w:r>
      <w:r w:rsidR="00575F10">
        <w:rPr>
          <w:color w:val="000000" w:themeColor="text1"/>
        </w:rPr>
        <w:t>Georgia Power</w:t>
      </w:r>
      <w:r w:rsidDel="004E6612">
        <w:rPr>
          <w:color w:val="000000" w:themeColor="text1"/>
        </w:rPr>
        <w:t xml:space="preserve"> continue</w:t>
      </w:r>
      <w:r w:rsidR="008563A8">
        <w:rPr>
          <w:color w:val="000000" w:themeColor="text1"/>
        </w:rPr>
        <w:t>s</w:t>
      </w:r>
      <w:r w:rsidDel="004E6612">
        <w:rPr>
          <w:color w:val="000000" w:themeColor="text1"/>
        </w:rPr>
        <w:t xml:space="preserve"> to</w:t>
      </w:r>
      <w:r w:rsidR="004C4570">
        <w:rPr>
          <w:color w:val="000000" w:themeColor="text1"/>
        </w:rPr>
        <w:t xml:space="preserve"> </w:t>
      </w:r>
      <w:r w:rsidR="0090459C">
        <w:rPr>
          <w:color w:val="000000" w:themeColor="text1"/>
        </w:rPr>
        <w:t>utilize</w:t>
      </w:r>
      <w:r w:rsidR="004C4570">
        <w:rPr>
          <w:color w:val="000000" w:themeColor="text1"/>
        </w:rPr>
        <w:t xml:space="preserve"> a scenario planning process that</w:t>
      </w:r>
      <w:r w:rsidR="0090459C">
        <w:rPr>
          <w:color w:val="000000" w:themeColor="text1"/>
        </w:rPr>
        <w:t xml:space="preserve"> provides for</w:t>
      </w:r>
      <w:r w:rsidDel="004E6612">
        <w:rPr>
          <w:color w:val="000000" w:themeColor="text1"/>
        </w:rPr>
        <w:t xml:space="preserve"> flexibility, optionality, and innovation. </w:t>
      </w:r>
      <w:r w:rsidR="00065AA1">
        <w:rPr>
          <w:color w:val="000000" w:themeColor="text1"/>
        </w:rPr>
        <w:t>T</w:t>
      </w:r>
      <w:r w:rsidRPr="0CEDF1BD">
        <w:rPr>
          <w:color w:val="000000" w:themeColor="text1"/>
        </w:rPr>
        <w:t>he</w:t>
      </w:r>
      <w:r>
        <w:rPr>
          <w:color w:val="000000" w:themeColor="text1"/>
        </w:rPr>
        <w:t xml:space="preserve"> 2025 IRP </w:t>
      </w:r>
      <w:r w:rsidRPr="3829927E">
        <w:rPr>
          <w:color w:val="000000" w:themeColor="text1"/>
        </w:rPr>
        <w:t>leverages</w:t>
      </w:r>
      <w:r w:rsidRPr="52641581">
        <w:rPr>
          <w:color w:val="000000" w:themeColor="text1"/>
        </w:rPr>
        <w:t xml:space="preserve"> </w:t>
      </w:r>
      <w:r>
        <w:rPr>
          <w:color w:val="000000" w:themeColor="text1"/>
        </w:rPr>
        <w:t xml:space="preserve">new and innovative customer programs, enhanced generation procurement processes, </w:t>
      </w:r>
      <w:r w:rsidRPr="52641581">
        <w:rPr>
          <w:color w:val="000000" w:themeColor="text1"/>
        </w:rPr>
        <w:t>strategic</w:t>
      </w:r>
      <w:r>
        <w:rPr>
          <w:color w:val="000000" w:themeColor="text1"/>
        </w:rPr>
        <w:t xml:space="preserve"> transmission planning, opportunities </w:t>
      </w:r>
      <w:r w:rsidRPr="0CEDF1BD">
        <w:rPr>
          <w:color w:val="000000" w:themeColor="text1"/>
        </w:rPr>
        <w:t xml:space="preserve">afforded by </w:t>
      </w:r>
      <w:r>
        <w:rPr>
          <w:color w:val="000000" w:themeColor="text1"/>
        </w:rPr>
        <w:t xml:space="preserve">existing </w:t>
      </w:r>
      <w:r w:rsidRPr="0CEDF1BD">
        <w:rPr>
          <w:color w:val="000000" w:themeColor="text1"/>
        </w:rPr>
        <w:t xml:space="preserve">generation </w:t>
      </w:r>
      <w:r>
        <w:rPr>
          <w:color w:val="000000" w:themeColor="text1"/>
        </w:rPr>
        <w:t>resources, and new demand</w:t>
      </w:r>
      <w:r w:rsidR="009521A8">
        <w:rPr>
          <w:color w:val="000000" w:themeColor="text1"/>
        </w:rPr>
        <w:t>-</w:t>
      </w:r>
      <w:r>
        <w:rPr>
          <w:color w:val="000000" w:themeColor="text1"/>
        </w:rPr>
        <w:t xml:space="preserve">side and </w:t>
      </w:r>
      <w:r w:rsidR="00065AA1">
        <w:rPr>
          <w:color w:val="000000" w:themeColor="text1"/>
        </w:rPr>
        <w:t>distributed energy</w:t>
      </w:r>
      <w:r w:rsidR="00065AA1" w:rsidRPr="67CC566B">
        <w:rPr>
          <w:color w:val="000000" w:themeColor="text1"/>
        </w:rPr>
        <w:t xml:space="preserve"> </w:t>
      </w:r>
      <w:r>
        <w:rPr>
          <w:color w:val="000000" w:themeColor="text1"/>
        </w:rPr>
        <w:t>options</w:t>
      </w:r>
      <w:r w:rsidRPr="3829927E">
        <w:rPr>
          <w:color w:val="000000" w:themeColor="text1"/>
        </w:rPr>
        <w:t>, all for the benefit of customers</w:t>
      </w:r>
      <w:r>
        <w:rPr>
          <w:color w:val="000000" w:themeColor="text1"/>
        </w:rPr>
        <w:t>.</w:t>
      </w:r>
    </w:p>
    <w:p w14:paraId="3045A44F" w14:textId="2D7607DA" w:rsidR="00FC34BB" w:rsidRDefault="003B7800" w:rsidP="00EE3FC7">
      <w:pPr>
        <w:jc w:val="both"/>
        <w:rPr>
          <w:color w:val="000000" w:themeColor="text1"/>
        </w:rPr>
      </w:pPr>
      <w:r w:rsidRPr="00EC020F">
        <w:rPr>
          <w:color w:val="000000" w:themeColor="text1"/>
        </w:rPr>
        <w:t xml:space="preserve">Georgia Power is proud to serve Georgia’s communities, and the Company’s commitment to its customers remains the cornerstone of its business. </w:t>
      </w:r>
      <w:r>
        <w:rPr>
          <w:color w:val="000000" w:themeColor="text1"/>
        </w:rPr>
        <w:t>As set forth in this 2025 IRP</w:t>
      </w:r>
      <w:r w:rsidRPr="00EC020F">
        <w:rPr>
          <w:color w:val="000000" w:themeColor="text1"/>
        </w:rPr>
        <w:t xml:space="preserve">, the Company will continue </w:t>
      </w:r>
      <w:r w:rsidR="000C082F">
        <w:rPr>
          <w:color w:val="000000" w:themeColor="text1"/>
        </w:rPr>
        <w:t>working</w:t>
      </w:r>
      <w:r w:rsidRPr="00EC020F">
        <w:rPr>
          <w:color w:val="000000" w:themeColor="text1"/>
        </w:rPr>
        <w:t xml:space="preserve"> constructively with the Commission to invest in Georgia’s energy future and provide customers with the clean, safe, reliable, and affordable electric service they deserve and expect</w:t>
      </w:r>
      <w:r>
        <w:rPr>
          <w:color w:val="000000" w:themeColor="text1"/>
        </w:rPr>
        <w:t>.</w:t>
      </w:r>
    </w:p>
    <w:p w14:paraId="2CEA4AFA" w14:textId="421A6573" w:rsidR="00491F09" w:rsidRDefault="00F51993" w:rsidP="00213BA3">
      <w:pPr>
        <w:spacing w:after="120"/>
        <w:jc w:val="both"/>
      </w:pPr>
      <w:r>
        <w:t xml:space="preserve">The Company </w:t>
      </w:r>
      <w:r w:rsidR="00491F09">
        <w:t>respectfully requests that the Commission approve the 2025 IRP and each of the following items:</w:t>
      </w:r>
    </w:p>
    <w:p w14:paraId="334B2BEB" w14:textId="47972A6D" w:rsidR="00491F09" w:rsidRDefault="00491F09" w:rsidP="00171F5D">
      <w:pPr>
        <w:pStyle w:val="ListParagraph"/>
        <w:numPr>
          <w:ilvl w:val="0"/>
          <w:numId w:val="5"/>
        </w:numPr>
        <w:spacing w:before="120" w:after="120"/>
        <w:contextualSpacing w:val="0"/>
        <w:jc w:val="both"/>
      </w:pPr>
      <w:r>
        <w:t xml:space="preserve">The Reserve Margin Study, as provided in Technical Appendix Volume 1, and the Company’s recommended </w:t>
      </w:r>
      <w:r w:rsidR="00CD1BFC">
        <w:t>S</w:t>
      </w:r>
      <w:r w:rsidR="4B4371F2">
        <w:t xml:space="preserve">ystem </w:t>
      </w:r>
      <w:r>
        <w:t>long-term winter Target Reserve Margin value of 26%, long-term summer Target Reserve Margin value of 20%, and the short-term Target Reserve Margins associated with each season.</w:t>
      </w:r>
    </w:p>
    <w:p w14:paraId="65E09AB4" w14:textId="0A599217" w:rsidR="00491F09" w:rsidRDefault="00491F09" w:rsidP="00213BA3">
      <w:pPr>
        <w:pStyle w:val="ListParagraph"/>
        <w:numPr>
          <w:ilvl w:val="0"/>
          <w:numId w:val="5"/>
        </w:numPr>
        <w:spacing w:before="120" w:after="120"/>
        <w:contextualSpacing w:val="0"/>
        <w:jc w:val="both"/>
      </w:pPr>
      <w:r>
        <w:t xml:space="preserve">A certificate of public convenience and necessity for </w:t>
      </w:r>
      <w:r w:rsidR="00BC1237">
        <w:t>one</w:t>
      </w:r>
      <w:r>
        <w:t xml:space="preserve"> new DSM program, decertification of </w:t>
      </w:r>
      <w:r w:rsidR="00BC1237">
        <w:t>three</w:t>
      </w:r>
      <w:r>
        <w:t xml:space="preserve"> DSM programs, amended certificates for </w:t>
      </w:r>
      <w:r w:rsidR="00BC1237">
        <w:t xml:space="preserve">four </w:t>
      </w:r>
      <w:r>
        <w:t xml:space="preserve">DSM programs, </w:t>
      </w:r>
      <w:r w:rsidR="00B43765">
        <w:t>a</w:t>
      </w:r>
      <w:r w:rsidR="00967131">
        <w:t>mended certificates</w:t>
      </w:r>
      <w:r w:rsidR="00CA2CFA">
        <w:t xml:space="preserve"> </w:t>
      </w:r>
      <w:r w:rsidR="00C36FB0">
        <w:t>and waiver of the total resource cost (“TRC”) requirement</w:t>
      </w:r>
      <w:r w:rsidR="00BF3295">
        <w:rPr>
          <w:rStyle w:val="FootnoteReference"/>
        </w:rPr>
        <w:footnoteReference w:id="5"/>
      </w:r>
      <w:r w:rsidR="00CA2CFA">
        <w:t xml:space="preserve"> for four previously certified DSM programs, </w:t>
      </w:r>
      <w:r>
        <w:t xml:space="preserve">and approval of updated program economics for all other previously certified DSM programs, </w:t>
      </w:r>
      <w:r w:rsidR="000B749A">
        <w:t>for the Proposed Case</w:t>
      </w:r>
      <w:r>
        <w:t xml:space="preserve"> as specified in the </w:t>
      </w:r>
      <w:r w:rsidR="00BF3DCE">
        <w:t xml:space="preserve">Company’s </w:t>
      </w:r>
      <w:r w:rsidR="0042723E">
        <w:t>Application for Certification, De</w:t>
      </w:r>
      <w:r w:rsidR="00B6631C">
        <w:t xml:space="preserve">certification, and Amended Demand-Side Management Plant (“2025 </w:t>
      </w:r>
      <w:r>
        <w:t>DSM Application</w:t>
      </w:r>
      <w:r w:rsidR="00B6631C">
        <w:t>”)</w:t>
      </w:r>
      <w:r>
        <w:t>, Docket No. 56003.</w:t>
      </w:r>
    </w:p>
    <w:p w14:paraId="749BDE67" w14:textId="77777777" w:rsidR="00491F09" w:rsidRDefault="00491F09" w:rsidP="00491F09">
      <w:pPr>
        <w:pStyle w:val="ListParagraph"/>
        <w:numPr>
          <w:ilvl w:val="0"/>
          <w:numId w:val="5"/>
        </w:numPr>
        <w:spacing w:before="120" w:after="120"/>
        <w:contextualSpacing w:val="0"/>
        <w:jc w:val="both"/>
      </w:pPr>
      <w:r>
        <w:t>The revised calculation of the additional sum collected through DSM programs certified in the 2025 DSM Application, Docket No. 56003.</w:t>
      </w:r>
    </w:p>
    <w:p w14:paraId="1AB00EA8" w14:textId="7A2CF2A5" w:rsidR="00491F09" w:rsidRDefault="00491F09" w:rsidP="00491F09">
      <w:pPr>
        <w:pStyle w:val="ListParagraph"/>
        <w:numPr>
          <w:ilvl w:val="0"/>
          <w:numId w:val="5"/>
        </w:numPr>
        <w:spacing w:before="120" w:after="120"/>
        <w:contextualSpacing w:val="0"/>
        <w:jc w:val="both"/>
      </w:pPr>
      <w:r>
        <w:t>Approval of proposed modifications to the existing DER programs as described in C</w:t>
      </w:r>
      <w:r w:rsidR="00AB65FF">
        <w:t>hapter</w:t>
      </w:r>
      <w:r w:rsidR="009F5B80">
        <w:t> </w:t>
      </w:r>
      <w:r w:rsidR="00F64F94">
        <w:t>10</w:t>
      </w:r>
      <w:r w:rsidR="009C40D2">
        <w:t>.</w:t>
      </w:r>
    </w:p>
    <w:p w14:paraId="6F2EF29C" w14:textId="33F5FEDD" w:rsidR="00491F09" w:rsidRDefault="00491F09" w:rsidP="00491F09">
      <w:pPr>
        <w:pStyle w:val="ListParagraph"/>
        <w:numPr>
          <w:ilvl w:val="0"/>
          <w:numId w:val="5"/>
        </w:numPr>
        <w:spacing w:before="120" w:after="120"/>
        <w:contextualSpacing w:val="0"/>
        <w:jc w:val="both"/>
      </w:pPr>
      <w:r>
        <w:t>Approval of a new large Customer Owned Resiliency program as described in C</w:t>
      </w:r>
      <w:r w:rsidR="00AB65FF">
        <w:t>hapter</w:t>
      </w:r>
      <w:r>
        <w:t xml:space="preserve"> </w:t>
      </w:r>
      <w:r w:rsidR="00F64F94">
        <w:t>10</w:t>
      </w:r>
      <w:r>
        <w:t>.</w:t>
      </w:r>
    </w:p>
    <w:p w14:paraId="771E319F" w14:textId="4E52B160" w:rsidR="00491F09" w:rsidRDefault="00491F09" w:rsidP="008F7FCE">
      <w:pPr>
        <w:pStyle w:val="ListParagraph"/>
        <w:numPr>
          <w:ilvl w:val="0"/>
          <w:numId w:val="5"/>
        </w:numPr>
        <w:spacing w:before="120" w:after="120"/>
        <w:contextualSpacing w:val="0"/>
        <w:jc w:val="both"/>
      </w:pPr>
      <w:r>
        <w:t xml:space="preserve">Approval of </w:t>
      </w:r>
      <w:r w:rsidR="00CF0726">
        <w:t xml:space="preserve">the levelized additional sum of $4.00 / kilowatt (“kW”) alternating current (“AC”) of the total capacity amount from </w:t>
      </w:r>
      <w:r>
        <w:t xml:space="preserve">new demand response and new DER programs, including the large Customer Owned Resiliency Program, </w:t>
      </w:r>
      <w:r w:rsidR="00A3675A">
        <w:t>S</w:t>
      </w:r>
      <w:r>
        <w:t xml:space="preserve">olar </w:t>
      </w:r>
      <w:r w:rsidR="002E582A">
        <w:t>Plus</w:t>
      </w:r>
      <w:r w:rsidR="00A3675A">
        <w:t xml:space="preserve"> S</w:t>
      </w:r>
      <w:r>
        <w:t xml:space="preserve">torage </w:t>
      </w:r>
      <w:r w:rsidR="00A3675A">
        <w:t>P</w:t>
      </w:r>
      <w:r>
        <w:t xml:space="preserve">ilot </w:t>
      </w:r>
      <w:r w:rsidR="00A3675A">
        <w:t>P</w:t>
      </w:r>
      <w:r>
        <w:t xml:space="preserve">rogram, and modified </w:t>
      </w:r>
      <w:r w:rsidR="00A906B6">
        <w:t>Customer Connected Solar Program (“</w:t>
      </w:r>
      <w:r>
        <w:t>CCSP</w:t>
      </w:r>
      <w:r w:rsidR="00A906B6">
        <w:t>”)</w:t>
      </w:r>
      <w:r>
        <w:t>.</w:t>
      </w:r>
    </w:p>
    <w:p w14:paraId="5C6290C7" w14:textId="2E12DC60" w:rsidR="00491F09" w:rsidRDefault="00491F09" w:rsidP="00491F09">
      <w:pPr>
        <w:pStyle w:val="ListParagraph"/>
        <w:numPr>
          <w:ilvl w:val="0"/>
          <w:numId w:val="5"/>
        </w:numPr>
        <w:spacing w:before="120" w:after="120"/>
        <w:contextualSpacing w:val="0"/>
        <w:jc w:val="both"/>
      </w:pPr>
      <w:r>
        <w:lastRenderedPageBreak/>
        <w:t xml:space="preserve">Extended operation of Plant Scherer Unit 3 and Plant Gaston Units 1-4 and A beyond December 31, 2028, as described in </w:t>
      </w:r>
      <w:r w:rsidR="00AB65FF">
        <w:t>Chapter</w:t>
      </w:r>
      <w:r>
        <w:t xml:space="preserve"> 8.</w:t>
      </w:r>
    </w:p>
    <w:p w14:paraId="4C591169" w14:textId="77777777" w:rsidR="00491F09" w:rsidRDefault="00491F09" w:rsidP="00491F09">
      <w:pPr>
        <w:pStyle w:val="ListParagraph"/>
        <w:numPr>
          <w:ilvl w:val="0"/>
          <w:numId w:val="5"/>
        </w:numPr>
        <w:spacing w:before="120" w:after="120"/>
        <w:contextualSpacing w:val="0"/>
        <w:jc w:val="both"/>
      </w:pPr>
      <w:r>
        <w:t>Certification of wholesale capacity from Plant Scherer Unit 3 to be placed in retail rate base, as specified in Attachment A.</w:t>
      </w:r>
    </w:p>
    <w:p w14:paraId="0FFDD14C" w14:textId="3B46B417" w:rsidR="00491F09" w:rsidRDefault="007826F5" w:rsidP="00491F09">
      <w:pPr>
        <w:pStyle w:val="ListParagraph"/>
        <w:numPr>
          <w:ilvl w:val="0"/>
          <w:numId w:val="5"/>
        </w:numPr>
        <w:spacing w:before="120" w:after="120"/>
        <w:contextualSpacing w:val="0"/>
        <w:jc w:val="both"/>
      </w:pPr>
      <w:r>
        <w:t>Amendment</w:t>
      </w:r>
      <w:r w:rsidR="00E83046">
        <w:t xml:space="preserve"> to the certificate</w:t>
      </w:r>
      <w:r w:rsidR="00491F09">
        <w:t xml:space="preserve"> at Plant McIntosh Units 10-11 and 1A-8A</w:t>
      </w:r>
      <w:r w:rsidR="00E83046">
        <w:t xml:space="preserve"> for incremental capacity</w:t>
      </w:r>
      <w:r w:rsidR="00491F09">
        <w:t>, as specified in Attachment B.</w:t>
      </w:r>
    </w:p>
    <w:p w14:paraId="17531685" w14:textId="53DFD606" w:rsidR="00491F09" w:rsidRDefault="00491F09" w:rsidP="00491F09">
      <w:pPr>
        <w:pStyle w:val="ListParagraph"/>
        <w:numPr>
          <w:ilvl w:val="0"/>
          <w:numId w:val="5"/>
        </w:numPr>
        <w:spacing w:before="120" w:after="120"/>
        <w:contextualSpacing w:val="0"/>
        <w:jc w:val="both"/>
      </w:pPr>
      <w:r>
        <w:t xml:space="preserve">Approval of incremental capacity at Plant Hatch Units 1-2 and Plant Vogtle Units 1-2, as specified in </w:t>
      </w:r>
      <w:r w:rsidR="00AB65FF">
        <w:t>Chapter</w:t>
      </w:r>
      <w:r>
        <w:t xml:space="preserve"> 8.</w:t>
      </w:r>
    </w:p>
    <w:p w14:paraId="6993B1D9" w14:textId="20E28092" w:rsidR="00491F09" w:rsidRDefault="00491F09" w:rsidP="00491F09">
      <w:pPr>
        <w:pStyle w:val="ListParagraph"/>
        <w:numPr>
          <w:ilvl w:val="0"/>
          <w:numId w:val="5"/>
        </w:numPr>
        <w:spacing w:before="120" w:after="120"/>
        <w:contextualSpacing w:val="0"/>
        <w:jc w:val="both"/>
      </w:pPr>
      <w:r>
        <w:t xml:space="preserve">The capital and operations and maintenance (“O&amp;M”) costs (but not yet the recovery of such costs) the Company will incur for the modernization of Plants Tallulah, Yonah, Lloyd Shoals, Wallace, Bartletts </w:t>
      </w:r>
      <w:r w:rsidR="005B0BA7">
        <w:t xml:space="preserve">Ferry Units </w:t>
      </w:r>
      <w:r>
        <w:t>5-6, Goat Rock, North Highlands, Morgan Falls, and Flint River hydro facilities, as specified in the Hydro Modernization section of Technical Appendix Volume 1.</w:t>
      </w:r>
    </w:p>
    <w:p w14:paraId="621AC140" w14:textId="22ED40D8" w:rsidR="00491F09" w:rsidRDefault="00491F09" w:rsidP="00491F09">
      <w:pPr>
        <w:pStyle w:val="ListParagraph"/>
        <w:numPr>
          <w:ilvl w:val="0"/>
          <w:numId w:val="5"/>
        </w:numPr>
        <w:spacing w:before="120" w:after="120"/>
        <w:contextualSpacing w:val="0"/>
        <w:jc w:val="both"/>
      </w:pPr>
      <w:r>
        <w:t xml:space="preserve">Authority to develop, own, and operate incremental capacity at Plant Goat Rock Units 3-6, as specified in </w:t>
      </w:r>
      <w:r w:rsidR="008D2D14">
        <w:t>Chapter</w:t>
      </w:r>
      <w:r>
        <w:t xml:space="preserve"> 8 and the Hydro Modernization section of Technical Appendix Volume 1.</w:t>
      </w:r>
    </w:p>
    <w:p w14:paraId="377491E9" w14:textId="1E4918B5" w:rsidR="00491F09" w:rsidRDefault="00491F09" w:rsidP="00491F09">
      <w:pPr>
        <w:pStyle w:val="ListParagraph"/>
        <w:numPr>
          <w:ilvl w:val="0"/>
          <w:numId w:val="5"/>
        </w:numPr>
        <w:spacing w:before="120" w:after="120"/>
        <w:contextualSpacing w:val="0"/>
        <w:jc w:val="both"/>
      </w:pPr>
      <w:r>
        <w:t xml:space="preserve">The capital, O&amp;M, and </w:t>
      </w:r>
      <w:r w:rsidRPr="00837C96">
        <w:t xml:space="preserve">coal combustion residual asset retirement obligation </w:t>
      </w:r>
      <w:r>
        <w:t xml:space="preserve">(“CCR ARO”) costs (but not yet the recovery of such costs) and associated measures taken to comply with government-imposed environmental mandates, as specified in the </w:t>
      </w:r>
      <w:r w:rsidR="00A35584">
        <w:t>ECS</w:t>
      </w:r>
      <w:r>
        <w:t xml:space="preserve"> in Technical Appendix Volume 1 and the </w:t>
      </w:r>
      <w:r w:rsidR="00A35584">
        <w:t>Environmental Compliance Cost Recovery (“</w:t>
      </w:r>
      <w:r>
        <w:t>ECCR</w:t>
      </w:r>
      <w:r w:rsidR="00A35584">
        <w:t>”)</w:t>
      </w:r>
      <w:r>
        <w:t xml:space="preserve"> and CCR ARO tables in the Selected Supporting Information section of Technical Appendix Volume 2.</w:t>
      </w:r>
    </w:p>
    <w:p w14:paraId="0E0E736F" w14:textId="73913C79" w:rsidR="00491F09" w:rsidRPr="00C35820" w:rsidRDefault="00491F09" w:rsidP="006379BA">
      <w:pPr>
        <w:pStyle w:val="ListParagraph"/>
        <w:numPr>
          <w:ilvl w:val="0"/>
          <w:numId w:val="5"/>
        </w:numPr>
        <w:spacing w:before="120" w:after="120"/>
        <w:contextualSpacing w:val="0"/>
        <w:jc w:val="both"/>
        <w:rPr>
          <w:rFonts w:eastAsiaTheme="minorEastAsia"/>
        </w:rPr>
      </w:pPr>
      <w:r w:rsidRPr="00CC114B">
        <w:rPr>
          <w:rFonts w:eastAsiaTheme="minorEastAsia"/>
        </w:rPr>
        <w:t>The authority to pursue the natural gas co-firing compliance pathway as the 111 GHG Rule strategy for Plant Bowen and Plant Scherer.</w:t>
      </w:r>
    </w:p>
    <w:p w14:paraId="5B6F305B" w14:textId="55F6D218" w:rsidR="00491F09" w:rsidRDefault="00491F09" w:rsidP="00491F09">
      <w:pPr>
        <w:pStyle w:val="ListParagraph"/>
        <w:numPr>
          <w:ilvl w:val="0"/>
          <w:numId w:val="5"/>
        </w:numPr>
        <w:spacing w:before="120" w:after="120"/>
        <w:contextualSpacing w:val="0"/>
        <w:jc w:val="both"/>
      </w:pPr>
      <w:r>
        <w:t xml:space="preserve">The updated </w:t>
      </w:r>
      <w:r w:rsidR="00A61CA0">
        <w:t>U</w:t>
      </w:r>
      <w:r w:rsidR="0010424C">
        <w:t xml:space="preserve">tility </w:t>
      </w:r>
      <w:r w:rsidR="00A61CA0">
        <w:t>S</w:t>
      </w:r>
      <w:r w:rsidR="0010424C">
        <w:t>cale</w:t>
      </w:r>
      <w:r>
        <w:t xml:space="preserve"> RFP process to procure energy from </w:t>
      </w:r>
      <w:r w:rsidRPr="00083785">
        <w:t>1,000 MW</w:t>
      </w:r>
      <w:r>
        <w:t xml:space="preserve"> of new </w:t>
      </w:r>
      <w:r w:rsidR="00A61CA0">
        <w:t>U</w:t>
      </w:r>
      <w:r w:rsidR="00CB2E13">
        <w:t xml:space="preserve">tility </w:t>
      </w:r>
      <w:r w:rsidR="00A61CA0">
        <w:t>S</w:t>
      </w:r>
      <w:r w:rsidR="00CB2E13">
        <w:t>cale</w:t>
      </w:r>
      <w:r>
        <w:t xml:space="preserve"> renewable energy resources, along with the ability to procure additional resources above the </w:t>
      </w:r>
      <w:r w:rsidR="006954D3">
        <w:t>ini</w:t>
      </w:r>
      <w:r w:rsidR="00574E29">
        <w:t>tial</w:t>
      </w:r>
      <w:r>
        <w:t xml:space="preserve"> MW target to meet the needs of subscribing customers, as described in </w:t>
      </w:r>
      <w:r w:rsidR="00AB65FF">
        <w:t>Chapter</w:t>
      </w:r>
      <w:r>
        <w:t xml:space="preserve"> 8 and </w:t>
      </w:r>
      <w:r w:rsidR="00AB65FF">
        <w:t>Chapter</w:t>
      </w:r>
      <w:r>
        <w:t xml:space="preserve"> </w:t>
      </w:r>
      <w:r w:rsidR="00053C38">
        <w:t>10</w:t>
      </w:r>
      <w:r>
        <w:t>.</w:t>
      </w:r>
    </w:p>
    <w:p w14:paraId="539EF464" w14:textId="2150242D" w:rsidR="00491F09" w:rsidRDefault="00491F09" w:rsidP="00715E23">
      <w:pPr>
        <w:pStyle w:val="ListParagraph"/>
        <w:numPr>
          <w:ilvl w:val="0"/>
          <w:numId w:val="5"/>
        </w:numPr>
        <w:spacing w:before="120" w:after="0"/>
        <w:jc w:val="both"/>
      </w:pPr>
      <w:r>
        <w:t>The updated D</w:t>
      </w:r>
      <w:r w:rsidR="00C148C1">
        <w:t xml:space="preserve">istributed </w:t>
      </w:r>
      <w:r>
        <w:t>G</w:t>
      </w:r>
      <w:r w:rsidR="00C148C1">
        <w:t>eneration</w:t>
      </w:r>
      <w:r>
        <w:t xml:space="preserve"> RFP process to procure energy from </w:t>
      </w:r>
      <w:r w:rsidR="41E3181A" w:rsidRPr="00083785">
        <w:t>1</w:t>
      </w:r>
      <w:r w:rsidRPr="00083785">
        <w:t>00 MW</w:t>
      </w:r>
      <w:r>
        <w:t xml:space="preserve"> </w:t>
      </w:r>
      <w:r w:rsidR="00F96D77">
        <w:t xml:space="preserve">of new Distributed Generation solar resources </w:t>
      </w:r>
      <w:r>
        <w:t>through two separate RFPs</w:t>
      </w:r>
      <w:r w:rsidR="00F96D77">
        <w:t xml:space="preserve"> (50 MW each)</w:t>
      </w:r>
      <w:r>
        <w:t xml:space="preserve">, along with the ability to procure additional resources above the </w:t>
      </w:r>
      <w:r w:rsidR="00D345F3">
        <w:t xml:space="preserve">initial </w:t>
      </w:r>
      <w:r>
        <w:t xml:space="preserve">MW targets to meet the needs of subscribing customers, as described in </w:t>
      </w:r>
      <w:r w:rsidR="00AB65FF">
        <w:t>Chapter</w:t>
      </w:r>
      <w:r>
        <w:t> 8</w:t>
      </w:r>
      <w:r w:rsidR="009A6DFA">
        <w:t xml:space="preserve"> and Chapter 10</w:t>
      </w:r>
      <w:r>
        <w:t>.</w:t>
      </w:r>
    </w:p>
    <w:p w14:paraId="08A9F22B" w14:textId="75E4E4E7" w:rsidR="005F025F" w:rsidRDefault="001E6AE7" w:rsidP="00715E23">
      <w:pPr>
        <w:pStyle w:val="ListParagraph"/>
        <w:numPr>
          <w:ilvl w:val="0"/>
          <w:numId w:val="5"/>
        </w:numPr>
        <w:spacing w:before="120" w:line="240" w:lineRule="auto"/>
        <w:contextualSpacing w:val="0"/>
        <w:jc w:val="both"/>
      </w:pPr>
      <w:r>
        <w:t>The levelized additional sum of $4.00 / kW</w:t>
      </w:r>
      <w:r w:rsidR="00FC091F">
        <w:t>-yr</w:t>
      </w:r>
      <w:r w:rsidR="006379BA">
        <w:t xml:space="preserve"> </w:t>
      </w:r>
      <w:r>
        <w:t xml:space="preserve">AC of the total capacity amount from which renewable energy is procured from </w:t>
      </w:r>
      <w:r w:rsidR="000820D3">
        <w:t xml:space="preserve">the </w:t>
      </w:r>
      <w:r w:rsidR="00B2677D">
        <w:t>U</w:t>
      </w:r>
      <w:r>
        <w:t xml:space="preserve">tility </w:t>
      </w:r>
      <w:r w:rsidR="00B2677D">
        <w:t>S</w:t>
      </w:r>
      <w:r>
        <w:t xml:space="preserve">cale and DG </w:t>
      </w:r>
      <w:r w:rsidR="000820D3">
        <w:t>RFPs</w:t>
      </w:r>
      <w:r w:rsidR="00C82FB2">
        <w:t xml:space="preserve"> proposed in this IRP</w:t>
      </w:r>
      <w:r>
        <w:t>, annually for the term of each PPA.</w:t>
      </w:r>
    </w:p>
    <w:p w14:paraId="1412784C" w14:textId="5A41B79F" w:rsidR="00491F09" w:rsidRDefault="00491F09" w:rsidP="00715E23">
      <w:pPr>
        <w:pStyle w:val="ListParagraph"/>
        <w:numPr>
          <w:ilvl w:val="0"/>
          <w:numId w:val="5"/>
        </w:numPr>
        <w:spacing w:before="120"/>
        <w:contextualSpacing w:val="0"/>
        <w:jc w:val="both"/>
      </w:pPr>
      <w:r>
        <w:t>The updated Renewable Integration Study and its use in planning processes, as specified in Technical Appendix Volume 2.</w:t>
      </w:r>
    </w:p>
    <w:p w14:paraId="239DB887" w14:textId="77777777" w:rsidR="00491F09" w:rsidRDefault="00491F09" w:rsidP="00491F09">
      <w:pPr>
        <w:pStyle w:val="ListParagraph"/>
        <w:numPr>
          <w:ilvl w:val="0"/>
          <w:numId w:val="5"/>
        </w:numPr>
        <w:spacing w:before="120" w:after="120"/>
        <w:contextualSpacing w:val="0"/>
        <w:jc w:val="both"/>
      </w:pPr>
      <w:r>
        <w:t>The updated Renewable Cost Benefit (“RCB”) Framework, including incorporation of locational value in DG procurement evaluations, as specified in Technical Appendix Volume 2.</w:t>
      </w:r>
    </w:p>
    <w:p w14:paraId="74BCE05E" w14:textId="3068BB29" w:rsidR="00491F09" w:rsidRDefault="00491F09" w:rsidP="00491F09">
      <w:pPr>
        <w:pStyle w:val="ListParagraph"/>
        <w:numPr>
          <w:ilvl w:val="0"/>
          <w:numId w:val="5"/>
        </w:numPr>
        <w:spacing w:before="120" w:after="120"/>
        <w:contextualSpacing w:val="0"/>
        <w:jc w:val="both"/>
      </w:pPr>
      <w:r>
        <w:lastRenderedPageBreak/>
        <w:t xml:space="preserve">The enhanced </w:t>
      </w:r>
      <w:r w:rsidR="00A35584">
        <w:t>Clean and Renewable Energy Subscription (“</w:t>
      </w:r>
      <w:r>
        <w:t>CARES</w:t>
      </w:r>
      <w:r w:rsidR="00A35584">
        <w:t>”)</w:t>
      </w:r>
      <w:r>
        <w:t xml:space="preserve"> program, including the ability for participating customers to subscribe to smaller, </w:t>
      </w:r>
      <w:r w:rsidR="00375FF3">
        <w:t xml:space="preserve">distributed generation resources; </w:t>
      </w:r>
      <w:r w:rsidR="00C5142D">
        <w:t xml:space="preserve">the opportunity for Residential customers to subscribe through the Distributed Generation Community Solar Program; </w:t>
      </w:r>
      <w:r w:rsidR="00375FF3">
        <w:t>more flexible participation provisions</w:t>
      </w:r>
      <w:r>
        <w:t xml:space="preserve">; </w:t>
      </w:r>
      <w:r w:rsidR="004C59D6">
        <w:t xml:space="preserve">an updated subscription methodology; </w:t>
      </w:r>
      <w:r>
        <w:t xml:space="preserve">and the ability for customers to identify renewable resources to be </w:t>
      </w:r>
      <w:r w:rsidR="00000A29">
        <w:t>considered</w:t>
      </w:r>
      <w:r>
        <w:t xml:space="preserve"> for procurement</w:t>
      </w:r>
      <w:r w:rsidR="000268E3">
        <w:t xml:space="preserve">, as described </w:t>
      </w:r>
      <w:r w:rsidR="00F31060">
        <w:t>in Chapter 10</w:t>
      </w:r>
      <w:r>
        <w:t>.</w:t>
      </w:r>
    </w:p>
    <w:p w14:paraId="0CF86160" w14:textId="5B60BEF1" w:rsidR="00491F09" w:rsidRDefault="00491F09" w:rsidP="00491F09">
      <w:pPr>
        <w:pStyle w:val="ListParagraph"/>
        <w:numPr>
          <w:ilvl w:val="0"/>
          <w:numId w:val="5"/>
        </w:numPr>
        <w:spacing w:before="120" w:after="120"/>
        <w:contextualSpacing w:val="0"/>
        <w:jc w:val="both"/>
      </w:pPr>
      <w:r>
        <w:t xml:space="preserve">The small commercial and residential </w:t>
      </w:r>
      <w:r w:rsidR="009C5691">
        <w:t xml:space="preserve">customer </w:t>
      </w:r>
      <w:r w:rsidR="00A3675A">
        <w:t>S</w:t>
      </w:r>
      <w:r>
        <w:t xml:space="preserve">olar </w:t>
      </w:r>
      <w:r w:rsidR="002E582A">
        <w:t>Plus</w:t>
      </w:r>
      <w:r w:rsidR="00A3675A">
        <w:t xml:space="preserve"> S</w:t>
      </w:r>
      <w:r>
        <w:t xml:space="preserve">torage </w:t>
      </w:r>
      <w:r w:rsidR="00A3675A">
        <w:t>Pilot P</w:t>
      </w:r>
      <w:r>
        <w:t xml:space="preserve">rogram, as described in </w:t>
      </w:r>
      <w:r w:rsidR="00AB65FF">
        <w:t>Chapter</w:t>
      </w:r>
      <w:r>
        <w:t> </w:t>
      </w:r>
      <w:r w:rsidR="004B53E8">
        <w:t>8</w:t>
      </w:r>
      <w:r w:rsidR="002F36DC">
        <w:t xml:space="preserve"> and </w:t>
      </w:r>
      <w:r w:rsidR="00AB65FF">
        <w:t>Chapter</w:t>
      </w:r>
      <w:r w:rsidR="002F36DC">
        <w:t xml:space="preserve"> 10</w:t>
      </w:r>
      <w:r>
        <w:t>.</w:t>
      </w:r>
    </w:p>
    <w:p w14:paraId="2FBC50A8" w14:textId="1D15DABE" w:rsidR="00491F09" w:rsidRDefault="00A906B6" w:rsidP="00491F09">
      <w:pPr>
        <w:pStyle w:val="ListParagraph"/>
        <w:numPr>
          <w:ilvl w:val="0"/>
          <w:numId w:val="5"/>
        </w:numPr>
        <w:spacing w:before="120" w:after="120"/>
        <w:contextualSpacing w:val="0"/>
        <w:jc w:val="both"/>
      </w:pPr>
      <w:r>
        <w:t>Modifications</w:t>
      </w:r>
      <w:r w:rsidR="00491F09">
        <w:t xml:space="preserve"> to CCSP</w:t>
      </w:r>
      <w:r w:rsidR="00C5142D">
        <w:t>, including the ability</w:t>
      </w:r>
      <w:r w:rsidR="00B433DE">
        <w:t xml:space="preserve"> </w:t>
      </w:r>
      <w:r w:rsidR="00491F09">
        <w:t xml:space="preserve">to add storage </w:t>
      </w:r>
      <w:r w:rsidR="00B433DE">
        <w:t>resources</w:t>
      </w:r>
      <w:r w:rsidR="00491F09">
        <w:t xml:space="preserve">, as described in </w:t>
      </w:r>
      <w:r w:rsidR="00AB65FF">
        <w:t>Chapter</w:t>
      </w:r>
      <w:r w:rsidR="00491F09">
        <w:t xml:space="preserve"> </w:t>
      </w:r>
      <w:r w:rsidR="007C249E">
        <w:t>10</w:t>
      </w:r>
      <w:r w:rsidR="00491F09">
        <w:t>.</w:t>
      </w:r>
    </w:p>
    <w:p w14:paraId="666EFA05" w14:textId="6E171196" w:rsidR="00491F09" w:rsidRDefault="00491F09" w:rsidP="00491F09">
      <w:pPr>
        <w:pStyle w:val="ListParagraph"/>
        <w:numPr>
          <w:ilvl w:val="0"/>
          <w:numId w:val="5"/>
        </w:numPr>
        <w:spacing w:before="120" w:after="120"/>
        <w:contextualSpacing w:val="0"/>
        <w:jc w:val="both"/>
      </w:pPr>
      <w:r>
        <w:t xml:space="preserve">Enhanced control of DER assets through the Company’s DERMS </w:t>
      </w:r>
      <w:r w:rsidRPr="00BE66BC">
        <w:t xml:space="preserve">to </w:t>
      </w:r>
      <w:r w:rsidR="00ED4CA6">
        <w:t xml:space="preserve">ensure grid reliability, </w:t>
      </w:r>
      <w:r>
        <w:t>enable</w:t>
      </w:r>
      <w:r w:rsidR="00975696">
        <w:t>,</w:t>
      </w:r>
      <w:r>
        <w:t xml:space="preserve"> and</w:t>
      </w:r>
      <w:r w:rsidRPr="00BE66BC">
        <w:t xml:space="preserve"> </w:t>
      </w:r>
      <w:r>
        <w:t>optimize</w:t>
      </w:r>
      <w:r w:rsidRPr="00BE66BC">
        <w:t xml:space="preserve"> </w:t>
      </w:r>
      <w:r>
        <w:t>DER grid support functions</w:t>
      </w:r>
      <w:r w:rsidR="00F31060">
        <w:t>, as described in Chapter 10</w:t>
      </w:r>
      <w:r w:rsidRPr="00BE66BC">
        <w:t>.</w:t>
      </w:r>
    </w:p>
    <w:p w14:paraId="30EB74AC" w14:textId="50085BFD" w:rsidR="006A54A2" w:rsidRDefault="00491F09" w:rsidP="00772343">
      <w:pPr>
        <w:pStyle w:val="ListParagraph"/>
        <w:numPr>
          <w:ilvl w:val="0"/>
          <w:numId w:val="5"/>
        </w:numPr>
        <w:spacing w:before="120" w:after="120"/>
        <w:contextualSpacing w:val="0"/>
        <w:jc w:val="both"/>
      </w:pPr>
      <w:r>
        <w:t>Approval of the Electric Transportation Vehicle-to-Everything (“V2X”) Pilot</w:t>
      </w:r>
      <w:r w:rsidR="00F31060">
        <w:t>, as described in Chapter 10</w:t>
      </w:r>
      <w:r>
        <w:t>.</w:t>
      </w:r>
    </w:p>
    <w:p w14:paraId="7621228D" w14:textId="77777777" w:rsidR="00A15359" w:rsidRDefault="00A15359">
      <w:pPr>
        <w:rPr>
          <w:rFonts w:asciiTheme="majorHAnsi" w:eastAsiaTheme="majorEastAsia" w:hAnsiTheme="majorHAnsi" w:cstheme="majorBidi"/>
          <w:color w:val="0F4761" w:themeColor="accent1" w:themeShade="BF"/>
          <w:sz w:val="40"/>
          <w:szCs w:val="40"/>
        </w:rPr>
      </w:pPr>
      <w:r>
        <w:br w:type="page"/>
      </w:r>
    </w:p>
    <w:p w14:paraId="09904472" w14:textId="70A146AC" w:rsidR="00767A50" w:rsidRDefault="00444D6B" w:rsidP="007534F3">
      <w:pPr>
        <w:pStyle w:val="Heading1"/>
      </w:pPr>
      <w:bookmarkStart w:id="12" w:name="_Toc189122738"/>
      <w:r>
        <w:lastRenderedPageBreak/>
        <w:t xml:space="preserve">Chapter 1. </w:t>
      </w:r>
      <w:r w:rsidR="007534F3">
        <w:t>Company Overview</w:t>
      </w:r>
      <w:bookmarkEnd w:id="12"/>
    </w:p>
    <w:p w14:paraId="36EE35BB" w14:textId="6B87019F" w:rsidR="00D713E9" w:rsidRDefault="00D713E9" w:rsidP="00D713E9">
      <w:pPr>
        <w:jc w:val="both"/>
      </w:pPr>
      <w:r>
        <w:t>Georgia Power, a wholly</w:t>
      </w:r>
      <w:r w:rsidR="00FF2292">
        <w:t xml:space="preserve"> </w:t>
      </w:r>
      <w:r>
        <w:t xml:space="preserve">owned subsidiary of Southern Company, is an investor-owned electric utility that serves approximately </w:t>
      </w:r>
      <w:r w:rsidRPr="00271501">
        <w:t>2.</w:t>
      </w:r>
      <w:r w:rsidR="006579E2" w:rsidRPr="00271501">
        <w:t>8</w:t>
      </w:r>
      <w:r>
        <w:t xml:space="preserve"> million retail customers in all but </w:t>
      </w:r>
      <w:r w:rsidR="00D13073">
        <w:t>three</w:t>
      </w:r>
      <w:r>
        <w:t xml:space="preserve"> of Georgia’s 159 counties. Georgia Power electric service is available in 57,000 of the state’s 59,000 square miles.</w:t>
      </w:r>
    </w:p>
    <w:p w14:paraId="6B900D37" w14:textId="0E54DD79" w:rsidR="00D713E9" w:rsidRDefault="00D713E9" w:rsidP="00D713E9">
      <w:pPr>
        <w:jc w:val="both"/>
      </w:pPr>
      <w:r>
        <w:t>Southern Company is the parent of Georgia Power, Alabama Power Company (“Alabama Power”), Mississippi Power Company (“Mississippi Power”), Southern Power Company (“Southern Power”), and Southern Company Gas (formerly AGL Resources Inc.). Except where otherwise noted, Alabama Power, Georgia Power, and Mississippi Power (collectively, the “Retail Op</w:t>
      </w:r>
      <w:r w:rsidR="0029299F">
        <w:t xml:space="preserve">erating </w:t>
      </w:r>
      <w:r>
        <w:t>Co</w:t>
      </w:r>
      <w:r w:rsidR="0029299F">
        <w:t>mpanie</w:t>
      </w:r>
      <w:r>
        <w:t>s”) as well as Southern Power are considered the electric “Operating Companies” for this 202</w:t>
      </w:r>
      <w:r w:rsidR="2DE6A2E9">
        <w:t>5</w:t>
      </w:r>
      <w:r>
        <w:t xml:space="preserve"> IRP. The Operating Companies operate their respective electric generating facilities and conduct their system operations (generally referred to as the “Pool”) pursuant to and in accordance with the provisions of an interchange contract among themselves. This is further described in A</w:t>
      </w:r>
      <w:r w:rsidR="00825B53">
        <w:t>ttachment</w:t>
      </w:r>
      <w:r>
        <w:t xml:space="preserve"> </w:t>
      </w:r>
      <w:r w:rsidR="00BC4039">
        <w:t>G</w:t>
      </w:r>
      <w:r>
        <w:t>. The Retail Op</w:t>
      </w:r>
      <w:r w:rsidR="002A5FB0">
        <w:t xml:space="preserve">erating </w:t>
      </w:r>
      <w:r>
        <w:t>Co</w:t>
      </w:r>
      <w:r w:rsidR="002A5FB0">
        <w:t>mpanies</w:t>
      </w:r>
      <w:r>
        <w:t xml:space="preserve"> are members of the Southeastern Electric Reliability Council</w:t>
      </w:r>
      <w:r w:rsidR="00A57D9E">
        <w:t xml:space="preserve"> (“SERC</w:t>
      </w:r>
      <w:r w:rsidR="00790C4C">
        <w:t>”)</w:t>
      </w:r>
      <w:r>
        <w:t>, a group of electric utilities (and other electric-related utilities) coordinating operations and other measures to maintain a high level of reliability for the electrical system in the Southeastern United States (“U</w:t>
      </w:r>
      <w:r w:rsidR="00877C47">
        <w:t>.</w:t>
      </w:r>
      <w:r>
        <w:t>S</w:t>
      </w:r>
      <w:r w:rsidR="00877C47">
        <w:t>.</w:t>
      </w:r>
      <w:r>
        <w:t xml:space="preserve">”). </w:t>
      </w:r>
    </w:p>
    <w:p w14:paraId="1E75AFA6" w14:textId="27694844" w:rsidR="000A6F85" w:rsidRDefault="00D713E9" w:rsidP="00D713E9">
      <w:pPr>
        <w:jc w:val="both"/>
      </w:pPr>
      <w:r>
        <w:t>As of December 31, 202</w:t>
      </w:r>
      <w:r w:rsidR="002A20D6">
        <w:t>4</w:t>
      </w:r>
      <w:r>
        <w:t xml:space="preserve">, Georgia Power has ownership in </w:t>
      </w:r>
      <w:r w:rsidRPr="0080015E">
        <w:t>13</w:t>
      </w:r>
      <w:r w:rsidR="007B6D95">
        <w:t>6</w:t>
      </w:r>
      <w:r>
        <w:t xml:space="preserve"> retail-serving generating units, including </w:t>
      </w:r>
      <w:r w:rsidR="00C92CF1">
        <w:t>5</w:t>
      </w:r>
      <w:r w:rsidR="00960E10">
        <w:t xml:space="preserve"> </w:t>
      </w:r>
      <w:r w:rsidR="004A22BA">
        <w:t xml:space="preserve">combined cycle </w:t>
      </w:r>
      <w:r w:rsidR="008663D1">
        <w:t>(“</w:t>
      </w:r>
      <w:r>
        <w:t>CC</w:t>
      </w:r>
      <w:r w:rsidR="008663D1">
        <w:t>”)</w:t>
      </w:r>
      <w:r>
        <w:t>, 1</w:t>
      </w:r>
      <w:r w:rsidR="0012667E">
        <w:t>3</w:t>
      </w:r>
      <w:r>
        <w:t xml:space="preserve"> fossil steam, </w:t>
      </w:r>
      <w:r w:rsidR="00971718">
        <w:t>6</w:t>
      </w:r>
      <w:r>
        <w:t xml:space="preserve"> nuclear, 15 renewable, 66 hydro, </w:t>
      </w:r>
      <w:r w:rsidR="00917BC7">
        <w:t xml:space="preserve">1 BESS, </w:t>
      </w:r>
      <w:r>
        <w:t>and 3</w:t>
      </w:r>
      <w:r w:rsidR="007B6D95">
        <w:t>0</w:t>
      </w:r>
      <w:r>
        <w:t xml:space="preserve"> CT or diesel engine units, of which at least </w:t>
      </w:r>
      <w:r w:rsidR="00FA27D2">
        <w:t xml:space="preserve">two </w:t>
      </w:r>
      <w:r>
        <w:t>have seasonal usage restrictions.</w:t>
      </w:r>
      <w:r w:rsidR="00D70592">
        <w:t xml:space="preserve"> </w:t>
      </w:r>
      <w:r w:rsidR="00494B7F">
        <w:t>P</w:t>
      </w:r>
      <w:r w:rsidR="00123492">
        <w:t xml:space="preserve">lant sites </w:t>
      </w:r>
      <w:r w:rsidR="00E41A0F">
        <w:t xml:space="preserve">are </w:t>
      </w:r>
      <w:r w:rsidR="00D70592">
        <w:t>specified in Figure 1A</w:t>
      </w:r>
      <w:r w:rsidR="00E41A0F" w:rsidDel="00A126FE">
        <w:t xml:space="preserve"> for </w:t>
      </w:r>
      <w:r w:rsidR="00E41A0F">
        <w:t>those</w:t>
      </w:r>
      <w:r w:rsidR="00E41A0F" w:rsidDel="00A126FE">
        <w:t xml:space="preserve"> units located in Georgia</w:t>
      </w:r>
      <w:r w:rsidR="00D70592">
        <w:t>.</w:t>
      </w:r>
    </w:p>
    <w:p w14:paraId="020C2F77" w14:textId="4DCF4CEB" w:rsidR="000A6F85" w:rsidRPr="009A2441" w:rsidRDefault="000A6F85" w:rsidP="000173B8">
      <w:pPr>
        <w:keepNext/>
        <w:jc w:val="center"/>
        <w:rPr>
          <w:i/>
        </w:rPr>
      </w:pPr>
      <w:r w:rsidRPr="009A2441">
        <w:rPr>
          <w:i/>
        </w:rPr>
        <w:t xml:space="preserve">Figure </w:t>
      </w:r>
      <w:r w:rsidR="00D967BA" w:rsidRPr="009A2441">
        <w:rPr>
          <w:i/>
        </w:rPr>
        <w:t>1</w:t>
      </w:r>
      <w:r w:rsidR="00BB1684" w:rsidRPr="009A2441">
        <w:rPr>
          <w:i/>
        </w:rPr>
        <w:t>A</w:t>
      </w:r>
      <w:r w:rsidRPr="009A2441">
        <w:rPr>
          <w:i/>
        </w:rPr>
        <w:t xml:space="preserve">: Map of Georgia Power Owned </w:t>
      </w:r>
      <w:r w:rsidR="00040D26" w:rsidRPr="009A2441">
        <w:rPr>
          <w:i/>
        </w:rPr>
        <w:t>Supply-Side</w:t>
      </w:r>
      <w:r w:rsidRPr="009A2441">
        <w:rPr>
          <w:i/>
        </w:rPr>
        <w:t xml:space="preserve"> Resources</w:t>
      </w:r>
    </w:p>
    <w:p w14:paraId="27F6EF5F" w14:textId="40A1EB9D" w:rsidR="000A6F85" w:rsidRDefault="000173B8" w:rsidP="00EC14D3">
      <w:pPr>
        <w:jc w:val="center"/>
      </w:pPr>
      <w:r w:rsidRPr="000173B8">
        <w:rPr>
          <w:noProof/>
        </w:rPr>
        <mc:AlternateContent>
          <mc:Choice Requires="wpg">
            <w:drawing>
              <wp:inline distT="0" distB="0" distL="0" distR="0" wp14:anchorId="501306FC" wp14:editId="381EAFA0">
                <wp:extent cx="3102331" cy="3749040"/>
                <wp:effectExtent l="0" t="0" r="3175" b="3810"/>
                <wp:docPr id="11" name="Group 10">
                  <a:extLst xmlns:a="http://schemas.openxmlformats.org/drawingml/2006/main">
                    <a:ext uri="{FF2B5EF4-FFF2-40B4-BE49-F238E27FC236}">
                      <a16:creationId xmlns:a16="http://schemas.microsoft.com/office/drawing/2014/main" id="{A47B83D2-C04E-C17D-57F6-A337CEEC8EF2}"/>
                    </a:ext>
                  </a:extLst>
                </wp:docPr>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3102331" cy="3749040"/>
                          <a:chOff x="0" y="0"/>
                          <a:chExt cx="5636546" cy="6815365"/>
                        </a:xfrm>
                      </wpg:grpSpPr>
                      <pic:pic xmlns:pic="http://schemas.openxmlformats.org/drawingml/2006/picture">
                        <pic:nvPicPr>
                          <pic:cNvPr id="1371793262" name="Picture 1371793262">
                            <a:extLst>
                              <a:ext uri="{FF2B5EF4-FFF2-40B4-BE49-F238E27FC236}">
                                <a16:creationId xmlns:a16="http://schemas.microsoft.com/office/drawing/2014/main" id="{03D18C31-36B8-A718-8391-3467F36C73E9}"/>
                              </a:ext>
                            </a:extLst>
                          </pic:cNvPr>
                          <pic:cNvPicPr>
                            <a:picLocks noChangeAspect="1"/>
                          </pic:cNvPicPr>
                        </pic:nvPicPr>
                        <pic:blipFill>
                          <a:blip r:embed="rId12"/>
                          <a:stretch>
                            <a:fillRect/>
                          </a:stretch>
                        </pic:blipFill>
                        <pic:spPr>
                          <a:xfrm>
                            <a:off x="0" y="0"/>
                            <a:ext cx="5636546" cy="6192701"/>
                          </a:xfrm>
                          <a:prstGeom prst="rect">
                            <a:avLst/>
                          </a:prstGeom>
                        </pic:spPr>
                      </pic:pic>
                      <pic:pic xmlns:pic="http://schemas.openxmlformats.org/drawingml/2006/picture">
                        <pic:nvPicPr>
                          <pic:cNvPr id="717136615" name="Picture 717136615">
                            <a:extLst>
                              <a:ext uri="{FF2B5EF4-FFF2-40B4-BE49-F238E27FC236}">
                                <a16:creationId xmlns:a16="http://schemas.microsoft.com/office/drawing/2014/main" id="{35E9193E-7D85-CC15-FE62-67D4322B08D6}"/>
                              </a:ext>
                            </a:extLst>
                          </pic:cNvPr>
                          <pic:cNvPicPr>
                            <a:picLocks noChangeAspect="1"/>
                          </pic:cNvPicPr>
                        </pic:nvPicPr>
                        <pic:blipFill>
                          <a:blip r:embed="rId13"/>
                          <a:stretch>
                            <a:fillRect/>
                          </a:stretch>
                        </pic:blipFill>
                        <pic:spPr>
                          <a:xfrm>
                            <a:off x="734251" y="6252961"/>
                            <a:ext cx="4168044" cy="562404"/>
                          </a:xfrm>
                          <a:prstGeom prst="rect">
                            <a:avLst/>
                          </a:prstGeom>
                        </pic:spPr>
                      </pic:pic>
                    </wpg:wgp>
                  </a:graphicData>
                </a:graphic>
              </wp:inline>
            </w:drawing>
          </mc:Choice>
          <mc:Fallback xmlns:arto="http://schemas.microsoft.com/office/word/2006/arto">
            <w:pict>
              <v:group w14:anchorId="1F9B1944" id="Group 10" o:spid="_x0000_s1026" style="width:244.3pt;height:295.2pt;mso-position-horizontal-relative:char;mso-position-vertical-relative:line" coordsize="56365,68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71793262" o:spid="_x0000_s1027" type="#_x0000_t75" style="position:absolute;width:56365;height:61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">
                  <v:imagedata r:id="rId28" o:title=""/>
                </v:shape>
                <v:shape id="Picture 717136615" o:spid="_x0000_s1028" type="#_x0000_t75" style="position:absolute;left:7342;top:62529;width:41680;height:5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">
                  <v:imagedata r:id="rId29" o:title=""/>
                </v:shape>
                <w10:anchorlock/>
              </v:group>
            </w:pict>
          </mc:Fallback>
        </mc:AlternateContent>
      </w:r>
    </w:p>
    <w:p w14:paraId="62ECD91F" w14:textId="2EC58ECA" w:rsidR="00EE773C" w:rsidRDefault="00D713E9" w:rsidP="00D713E9">
      <w:pPr>
        <w:jc w:val="both"/>
      </w:pPr>
      <w:r>
        <w:lastRenderedPageBreak/>
        <w:t xml:space="preserve">Georgia Power meets retail </w:t>
      </w:r>
      <w:r w:rsidR="006C16A4">
        <w:t>customer peak</w:t>
      </w:r>
      <w:r>
        <w:t xml:space="preserve"> demands </w:t>
      </w:r>
      <w:r w:rsidR="003E0A62">
        <w:t xml:space="preserve">and </w:t>
      </w:r>
      <w:r>
        <w:t xml:space="preserve">energy requirements through a diverse portfolio of </w:t>
      </w:r>
      <w:r w:rsidR="003F79EE">
        <w:t xml:space="preserve">the </w:t>
      </w:r>
      <w:r>
        <w:t>Company-owned resources</w:t>
      </w:r>
      <w:r w:rsidR="003F79EE">
        <w:t xml:space="preserve"> shown above</w:t>
      </w:r>
      <w:r>
        <w:t xml:space="preserve">, </w:t>
      </w:r>
      <w:r w:rsidR="003F79EE">
        <w:t xml:space="preserve">plus </w:t>
      </w:r>
      <w:r w:rsidR="001328C2">
        <w:t>power purchase agreements (“</w:t>
      </w:r>
      <w:r>
        <w:t>PPAs</w:t>
      </w:r>
      <w:r w:rsidR="001328C2">
        <w:t>”)</w:t>
      </w:r>
      <w:r>
        <w:t xml:space="preserve">, and dispatchable demand-side options (“DSOs”). </w:t>
      </w:r>
      <w:r w:rsidR="003E37A8">
        <w:t xml:space="preserve">Figure 1B below demonstrates Georgia Power’s projected capacity mix for </w:t>
      </w:r>
      <w:r w:rsidR="00EE773C">
        <w:t>2025.</w:t>
      </w:r>
      <w:r w:rsidR="00EA24E9">
        <w:t xml:space="preserve"> This capacity mix </w:t>
      </w:r>
      <w:r w:rsidR="006F1170">
        <w:t>reflects</w:t>
      </w:r>
      <w:r w:rsidR="00EA24E9">
        <w:t xml:space="preserve"> the </w:t>
      </w:r>
      <w:r w:rsidR="000B308B">
        <w:t>relative share of maximum power output for each resource type.</w:t>
      </w:r>
      <w:r w:rsidR="00DF36A6">
        <w:t xml:space="preserve"> Resource-specific capacity information can be found in Attachment C as well as the Resource Mix Study in Technical Appendix Volume 2.</w:t>
      </w:r>
    </w:p>
    <w:p w14:paraId="2BFBB636" w14:textId="1F162440" w:rsidR="00BB1684" w:rsidRPr="0072582B" w:rsidRDefault="00BB1684" w:rsidP="00BB1684">
      <w:pPr>
        <w:keepNext/>
        <w:jc w:val="center"/>
        <w:rPr>
          <w:i/>
          <w:iCs/>
        </w:rPr>
      </w:pPr>
      <w:r w:rsidRPr="0072582B">
        <w:rPr>
          <w:i/>
          <w:iCs/>
        </w:rPr>
        <w:t xml:space="preserve">Figure </w:t>
      </w:r>
      <w:r>
        <w:rPr>
          <w:i/>
          <w:iCs/>
        </w:rPr>
        <w:t>1B</w:t>
      </w:r>
      <w:r w:rsidRPr="0072582B">
        <w:rPr>
          <w:i/>
          <w:iCs/>
        </w:rPr>
        <w:t xml:space="preserve">: </w:t>
      </w:r>
      <w:r w:rsidRPr="00BB1684">
        <w:rPr>
          <w:i/>
        </w:rPr>
        <w:t>Georgia Power's Projected Summer 202</w:t>
      </w:r>
      <w:r w:rsidRPr="00BB1684">
        <w:rPr>
          <w:i/>
          <w:iCs/>
        </w:rPr>
        <w:t>5</w:t>
      </w:r>
      <w:r w:rsidRPr="0072582B">
        <w:rPr>
          <w:i/>
          <w:iCs/>
        </w:rPr>
        <w:t xml:space="preserve"> Capacity Mix</w:t>
      </w:r>
      <w:r w:rsidR="004C72DB">
        <w:rPr>
          <w:rStyle w:val="FootnoteReference"/>
          <w:i/>
          <w:iCs/>
        </w:rPr>
        <w:footnoteReference w:id="6"/>
      </w:r>
    </w:p>
    <w:p w14:paraId="7289F155" w14:textId="72D085B8" w:rsidR="00BB1684" w:rsidRPr="0094240C" w:rsidRDefault="008A299D" w:rsidP="00BB1684">
      <w:pPr>
        <w:jc w:val="center"/>
      </w:pPr>
      <w:r>
        <w:rPr>
          <w:noProof/>
        </w:rPr>
        <w:drawing>
          <wp:inline distT="0" distB="0" distL="0" distR="0" wp14:anchorId="77F524FB" wp14:editId="57B2675D">
            <wp:extent cx="3912041" cy="3654050"/>
            <wp:effectExtent l="0" t="0" r="0" b="3810"/>
            <wp:docPr id="1181293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31153" cy="3671902"/>
                    </a:xfrm>
                    <a:prstGeom prst="rect">
                      <a:avLst/>
                    </a:prstGeom>
                    <a:noFill/>
                    <a:ln>
                      <a:noFill/>
                    </a:ln>
                  </pic:spPr>
                </pic:pic>
              </a:graphicData>
            </a:graphic>
          </wp:inline>
        </w:drawing>
      </w:r>
    </w:p>
    <w:p w14:paraId="2FD22CC6" w14:textId="7B2EC446" w:rsidR="00DD2913" w:rsidRDefault="004C5C8D" w:rsidP="00D713E9">
      <w:pPr>
        <w:jc w:val="both"/>
      </w:pPr>
      <w:r>
        <w:t>T</w:t>
      </w:r>
      <w:r w:rsidR="00261F7C">
        <w:t xml:space="preserve">he capacity mix conveys the total power that could be produced </w:t>
      </w:r>
      <w:r w:rsidR="00A35CC7">
        <w:t xml:space="preserve">by resources </w:t>
      </w:r>
      <w:r w:rsidR="00FB54DE">
        <w:t xml:space="preserve">in </w:t>
      </w:r>
      <w:r w:rsidR="00B107A6">
        <w:t>a</w:t>
      </w:r>
      <w:r w:rsidR="00FB54DE">
        <w:t xml:space="preserve"> given </w:t>
      </w:r>
      <w:r w:rsidR="009B7C02">
        <w:t>moment with ideal</w:t>
      </w:r>
      <w:r w:rsidR="00FB54DE">
        <w:t xml:space="preserve"> operating conditions, </w:t>
      </w:r>
      <w:r>
        <w:t>and the Company’s</w:t>
      </w:r>
      <w:r w:rsidR="00B107A6">
        <w:t xml:space="preserve"> energy mix </w:t>
      </w:r>
      <w:r w:rsidR="006D54F5">
        <w:t xml:space="preserve">reflects </w:t>
      </w:r>
      <w:r w:rsidR="009B7C02">
        <w:t xml:space="preserve">the </w:t>
      </w:r>
      <w:r w:rsidR="006D54F5">
        <w:t xml:space="preserve">actual </w:t>
      </w:r>
      <w:r w:rsidR="00113E6B">
        <w:t xml:space="preserve">dispatch of resources </w:t>
      </w:r>
      <w:r w:rsidR="005632C5">
        <w:t xml:space="preserve">over a certain period. </w:t>
      </w:r>
      <w:r w:rsidR="00D713E9">
        <w:t xml:space="preserve">Of the energy generated to meet </w:t>
      </w:r>
      <w:r w:rsidR="0004302E">
        <w:t xml:space="preserve">Georgia Power’s </w:t>
      </w:r>
      <w:r w:rsidR="00D713E9">
        <w:t>retail customers’ needs in 202</w:t>
      </w:r>
      <w:r w:rsidR="00875B2A">
        <w:t>4</w:t>
      </w:r>
      <w:r w:rsidR="00D713E9">
        <w:t xml:space="preserve">, </w:t>
      </w:r>
      <w:r>
        <w:t>4</w:t>
      </w:r>
      <w:r w:rsidR="003207C5">
        <w:t>0</w:t>
      </w:r>
      <w:r w:rsidR="00D713E9">
        <w:t xml:space="preserve">% was from natural gas, 16% from coal, </w:t>
      </w:r>
      <w:r w:rsidR="003207C5">
        <w:t>29</w:t>
      </w:r>
      <w:r w:rsidR="00D713E9">
        <w:t xml:space="preserve">% from nuclear, </w:t>
      </w:r>
      <w:r w:rsidR="002A7C06">
        <w:t>7</w:t>
      </w:r>
      <w:r w:rsidR="00D713E9">
        <w:t xml:space="preserve">% from renewables, 2% from hydro, </w:t>
      </w:r>
      <w:r w:rsidR="00770256">
        <w:t>6</w:t>
      </w:r>
      <w:r w:rsidR="00D713E9">
        <w:t xml:space="preserve">% </w:t>
      </w:r>
      <w:r w:rsidR="00EA09EE">
        <w:t xml:space="preserve">categorized as </w:t>
      </w:r>
      <w:r w:rsidR="00D713E9">
        <w:t>null energy</w:t>
      </w:r>
      <w:r w:rsidR="006D48C7">
        <w:t>,</w:t>
      </w:r>
      <w:r w:rsidR="00B16A6E">
        <w:rPr>
          <w:rStyle w:val="FootnoteReference"/>
        </w:rPr>
        <w:footnoteReference w:id="7"/>
      </w:r>
      <w:r w:rsidR="00D713E9">
        <w:t xml:space="preserve"> and less than 1% from oil-fired resources.</w:t>
      </w:r>
      <w:r w:rsidR="008F0124">
        <w:t xml:space="preserve"> </w:t>
      </w:r>
      <w:r w:rsidR="004E249B">
        <w:t xml:space="preserve">Actual generation is influenced by several factors, such as </w:t>
      </w:r>
      <w:r w:rsidR="000B4B9A">
        <w:t>production cost</w:t>
      </w:r>
      <w:r w:rsidR="004E249B">
        <w:t>, weather, and reliability</w:t>
      </w:r>
      <w:r w:rsidR="000B4B9A">
        <w:t xml:space="preserve"> needs</w:t>
      </w:r>
      <w:r w:rsidR="004E249B">
        <w:t>.</w:t>
      </w:r>
      <w:r w:rsidR="00D713E9">
        <w:t xml:space="preserve"> </w:t>
      </w:r>
      <w:r w:rsidR="00FB58A1">
        <w:t>The Company’s 2024</w:t>
      </w:r>
      <w:r w:rsidR="00FC09A8">
        <w:t xml:space="preserve"> energy mix is provided </w:t>
      </w:r>
      <w:r w:rsidR="009A47BF">
        <w:t>in Figure 1C below.</w:t>
      </w:r>
    </w:p>
    <w:p w14:paraId="6FA2F917" w14:textId="77777777" w:rsidR="00555C48" w:rsidRDefault="009A47BF" w:rsidP="00BB18B5">
      <w:pPr>
        <w:keepNext/>
        <w:jc w:val="center"/>
      </w:pPr>
      <w:r w:rsidRPr="003B4B0D">
        <w:rPr>
          <w:i/>
          <w:iCs/>
        </w:rPr>
        <w:lastRenderedPageBreak/>
        <w:t xml:space="preserve">Figure 1C: Georgia Power’s </w:t>
      </w:r>
      <w:r w:rsidRPr="009A2441">
        <w:rPr>
          <w:i/>
        </w:rPr>
        <w:t>2024</w:t>
      </w:r>
      <w:r w:rsidRPr="003B4B0D">
        <w:rPr>
          <w:i/>
          <w:iCs/>
        </w:rPr>
        <w:t xml:space="preserve"> Energy Mix</w:t>
      </w:r>
      <w:r w:rsidR="004C72DB">
        <w:rPr>
          <w:rStyle w:val="FootnoteReference"/>
          <w:i/>
          <w:iCs/>
        </w:rPr>
        <w:footnoteReference w:id="8"/>
      </w:r>
    </w:p>
    <w:p w14:paraId="4D4C9C9F" w14:textId="4C83EEC3" w:rsidR="007534F3" w:rsidRPr="003B4B0D" w:rsidRDefault="00590604" w:rsidP="009A2441">
      <w:pPr>
        <w:keepNext/>
        <w:jc w:val="center"/>
        <w:rPr>
          <w:i/>
        </w:rPr>
      </w:pPr>
      <w:r w:rsidRPr="00590604">
        <w:rPr>
          <w:i/>
          <w:noProof/>
        </w:rPr>
        <w:drawing>
          <wp:inline distT="0" distB="0" distL="0" distR="0" wp14:anchorId="6B3F97CE" wp14:editId="367B224C">
            <wp:extent cx="3657600" cy="3621024"/>
            <wp:effectExtent l="0" t="0" r="0" b="0"/>
            <wp:docPr id="16" name="Picture 15">
              <a:extLst xmlns:a="http://schemas.openxmlformats.org/drawingml/2006/main">
                <a:ext uri="{FF2B5EF4-FFF2-40B4-BE49-F238E27FC236}">
                  <a16:creationId xmlns:a16="http://schemas.microsoft.com/office/drawing/2014/main" id="{B9B47B34-893A-F8A3-C191-35E915F74F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B9B47B34-893A-F8A3-C191-35E915F74F87}"/>
                        </a:ext>
                      </a:extLst>
                    </pic:cNvPr>
                    <pic:cNvPicPr>
                      <a:picLocks noChangeAspect="1"/>
                    </pic:cNvPicPr>
                  </pic:nvPicPr>
                  <pic:blipFill>
                    <a:blip r:embed="rId31"/>
                    <a:srcRect l="8244" t="6440" r="8244" b="7282"/>
                    <a:stretch/>
                  </pic:blipFill>
                  <pic:spPr>
                    <a:xfrm>
                      <a:off x="0" y="0"/>
                      <a:ext cx="3657600" cy="3621024"/>
                    </a:xfrm>
                    <a:prstGeom prst="rect">
                      <a:avLst/>
                    </a:prstGeom>
                  </pic:spPr>
                </pic:pic>
              </a:graphicData>
            </a:graphic>
          </wp:inline>
        </w:drawing>
      </w:r>
      <w:r w:rsidR="00BC5EDA" w:rsidRPr="00BC5EDA">
        <w:rPr>
          <w:i/>
          <w:iCs/>
        </w:rPr>
        <w:t xml:space="preserve"> </w:t>
      </w:r>
      <w:r w:rsidR="007534F3" w:rsidRPr="003B4B0D">
        <w:rPr>
          <w:i/>
        </w:rPr>
        <w:br w:type="page"/>
      </w:r>
    </w:p>
    <w:p w14:paraId="1FAE0C82" w14:textId="77777777" w:rsidR="00D56C71" w:rsidRDefault="00D56C71" w:rsidP="00D56C71">
      <w:pPr>
        <w:jc w:val="both"/>
      </w:pPr>
    </w:p>
    <w:p w14:paraId="73228D19" w14:textId="77777777" w:rsidR="00D56C71" w:rsidRDefault="00D56C71" w:rsidP="00D56C71">
      <w:pPr>
        <w:jc w:val="both"/>
      </w:pPr>
    </w:p>
    <w:p w14:paraId="0F8BE8ED" w14:textId="77777777" w:rsidR="00D56C71" w:rsidRDefault="00D56C71" w:rsidP="00D56C71">
      <w:pPr>
        <w:jc w:val="both"/>
      </w:pPr>
    </w:p>
    <w:p w14:paraId="057394DB" w14:textId="77777777" w:rsidR="00D56C71" w:rsidRDefault="00D56C71" w:rsidP="00D56C71">
      <w:pPr>
        <w:jc w:val="both"/>
      </w:pPr>
    </w:p>
    <w:p w14:paraId="3E225759" w14:textId="77777777" w:rsidR="00D56C71" w:rsidRDefault="00D56C71" w:rsidP="00D56C71">
      <w:pPr>
        <w:jc w:val="both"/>
      </w:pPr>
    </w:p>
    <w:p w14:paraId="467DB73D" w14:textId="77777777" w:rsidR="00D56C71" w:rsidRDefault="00D56C71" w:rsidP="00D56C71">
      <w:pPr>
        <w:jc w:val="both"/>
      </w:pPr>
    </w:p>
    <w:p w14:paraId="5FEB8B0E" w14:textId="77777777" w:rsidR="00D56C71" w:rsidRDefault="00D56C71" w:rsidP="00D56C71">
      <w:pPr>
        <w:jc w:val="both"/>
      </w:pPr>
    </w:p>
    <w:p w14:paraId="6A428781" w14:textId="77777777" w:rsidR="00D56C71" w:rsidRDefault="00D56C71" w:rsidP="00D56C71">
      <w:pPr>
        <w:jc w:val="both"/>
      </w:pPr>
    </w:p>
    <w:p w14:paraId="15553D87" w14:textId="77777777" w:rsidR="00D56C71" w:rsidRDefault="00D56C71" w:rsidP="00D56C71">
      <w:pPr>
        <w:jc w:val="both"/>
      </w:pPr>
    </w:p>
    <w:p w14:paraId="02261979" w14:textId="77777777" w:rsidR="00D56C71" w:rsidRDefault="00D56C71" w:rsidP="00D56C71">
      <w:pPr>
        <w:jc w:val="both"/>
      </w:pPr>
    </w:p>
    <w:p w14:paraId="0AABD7A1" w14:textId="77777777" w:rsidR="00D56C71" w:rsidRDefault="00D56C71" w:rsidP="00D56C71">
      <w:pPr>
        <w:jc w:val="both"/>
      </w:pPr>
    </w:p>
    <w:p w14:paraId="447CAA97" w14:textId="7D7BF675" w:rsidR="00D56C71" w:rsidRDefault="00D56C71" w:rsidP="00D56C71">
      <w:pPr>
        <w:jc w:val="center"/>
        <w:rPr>
          <w:rFonts w:asciiTheme="majorHAnsi" w:eastAsiaTheme="majorEastAsia" w:hAnsiTheme="majorHAnsi" w:cstheme="majorBidi"/>
          <w:color w:val="0F4761" w:themeColor="accent1" w:themeShade="BF"/>
          <w:sz w:val="40"/>
          <w:szCs w:val="40"/>
        </w:rPr>
      </w:pPr>
      <w:r>
        <w:t>[This page is intentionally left blank.]</w:t>
      </w:r>
      <w:r>
        <w:br w:type="page"/>
      </w:r>
    </w:p>
    <w:p w14:paraId="0CB98328" w14:textId="778500CD" w:rsidR="007534F3" w:rsidRDefault="00FD5195" w:rsidP="007534F3">
      <w:pPr>
        <w:pStyle w:val="Heading1"/>
      </w:pPr>
      <w:bookmarkStart w:id="13" w:name="_Toc189122739"/>
      <w:r>
        <w:lastRenderedPageBreak/>
        <w:t xml:space="preserve">Chapter 2. </w:t>
      </w:r>
      <w:r w:rsidR="000E6FB0">
        <w:t>Implementation of Prior IRPs</w:t>
      </w:r>
      <w:bookmarkEnd w:id="13"/>
    </w:p>
    <w:p w14:paraId="61A101DC" w14:textId="3035DE98" w:rsidR="000E6FB0" w:rsidRDefault="009623BC" w:rsidP="00772343">
      <w:pPr>
        <w:pStyle w:val="Heading2"/>
      </w:pPr>
      <w:bookmarkStart w:id="14" w:name="_Toc189122740"/>
      <w:r>
        <w:t>2</w:t>
      </w:r>
      <w:r w:rsidR="00FF051D">
        <w:t>.1</w:t>
      </w:r>
      <w:r w:rsidR="007C741E">
        <w:t xml:space="preserve"> – </w:t>
      </w:r>
      <w:r w:rsidR="00492128">
        <w:t>202</w:t>
      </w:r>
      <w:r w:rsidR="00837FDA">
        <w:t>3</w:t>
      </w:r>
      <w:r w:rsidR="00492128">
        <w:t xml:space="preserve"> IRP</w:t>
      </w:r>
      <w:r w:rsidR="00837FDA">
        <w:t xml:space="preserve"> Update</w:t>
      </w:r>
      <w:bookmarkEnd w:id="14"/>
    </w:p>
    <w:p w14:paraId="6519690C" w14:textId="63DB82DC" w:rsidR="00492128" w:rsidRDefault="0046639D" w:rsidP="00171BDB">
      <w:pPr>
        <w:jc w:val="both"/>
      </w:pPr>
      <w:r>
        <w:t>The Company’s 2023 IRP Update was approved with modifications as specified in the Commission’s March 26, 2024</w:t>
      </w:r>
      <w:r w:rsidR="0BE3383E">
        <w:t>,</w:t>
      </w:r>
      <w:r>
        <w:t xml:space="preserve"> </w:t>
      </w:r>
      <w:r w:rsidR="00B6123A">
        <w:t>Order Adopting Stipulated Agreement</w:t>
      </w:r>
      <w:r>
        <w:t xml:space="preserve"> in Docket No. </w:t>
      </w:r>
      <w:r w:rsidR="008E4CE2">
        <w:t xml:space="preserve">55378 </w:t>
      </w:r>
      <w:r w:rsidR="00027275">
        <w:t>(“2023 IRP Update Order”)</w:t>
      </w:r>
      <w:r w:rsidR="008E4CE2">
        <w:t xml:space="preserve">. Consistent with the 2023 IRP Update </w:t>
      </w:r>
      <w:r w:rsidR="00027275">
        <w:t>Order</w:t>
      </w:r>
      <w:r w:rsidR="008E4CE2">
        <w:t>, the Company has taken or will take the following actions:</w:t>
      </w:r>
    </w:p>
    <w:p w14:paraId="04F47C49" w14:textId="0D0AA7B1" w:rsidR="008E4CE2" w:rsidRDefault="00C929EA" w:rsidP="009A12F5">
      <w:pPr>
        <w:pStyle w:val="ListParagraph"/>
        <w:numPr>
          <w:ilvl w:val="0"/>
          <w:numId w:val="29"/>
        </w:numPr>
        <w:spacing w:before="120" w:after="120"/>
        <w:contextualSpacing w:val="0"/>
        <w:jc w:val="both"/>
      </w:pPr>
      <w:r>
        <w:t xml:space="preserve">Provided Commission Staff with </w:t>
      </w:r>
      <w:r w:rsidR="00A85509" w:rsidRPr="00A85509">
        <w:t>three</w:t>
      </w:r>
      <w:r>
        <w:t xml:space="preserve"> quarterly reports </w:t>
      </w:r>
      <w:r w:rsidR="00D252DE">
        <w:t xml:space="preserve">providing </w:t>
      </w:r>
      <w:r w:rsidR="00564B98">
        <w:t xml:space="preserve">updates </w:t>
      </w:r>
      <w:r w:rsidR="00355755">
        <w:t xml:space="preserve">on </w:t>
      </w:r>
      <w:r>
        <w:t>large load economic development activity from the 2023 IRP Update Load Forecast</w:t>
      </w:r>
      <w:r w:rsidR="0093719D">
        <w:t xml:space="preserve"> beginning </w:t>
      </w:r>
      <w:r w:rsidR="00413CE3">
        <w:t>May 15, 2024</w:t>
      </w:r>
      <w:r w:rsidR="007830A9">
        <w:t>.</w:t>
      </w:r>
    </w:p>
    <w:p w14:paraId="623C135A" w14:textId="6EEB3763" w:rsidR="00BA4202" w:rsidRPr="00A76FB3" w:rsidRDefault="00046020" w:rsidP="009A12F5">
      <w:pPr>
        <w:pStyle w:val="ListParagraph"/>
        <w:numPr>
          <w:ilvl w:val="0"/>
          <w:numId w:val="29"/>
        </w:numPr>
        <w:spacing w:before="120" w:after="120"/>
        <w:contextualSpacing w:val="0"/>
        <w:jc w:val="both"/>
      </w:pPr>
      <w:r>
        <w:t xml:space="preserve">Submitted </w:t>
      </w:r>
      <w:r w:rsidR="00C70AF6">
        <w:t xml:space="preserve">an </w:t>
      </w:r>
      <w:r>
        <w:t>e</w:t>
      </w:r>
      <w:r w:rsidR="00734436" w:rsidRPr="00734436">
        <w:t xml:space="preserve">xpedited certification application for the 500 MW </w:t>
      </w:r>
      <w:r w:rsidR="008366BB">
        <w:t>C</w:t>
      </w:r>
      <w:r w:rsidR="00734436" w:rsidRPr="00734436">
        <w:t>ompany-owned BESS</w:t>
      </w:r>
      <w:r w:rsidR="004C0E03">
        <w:t xml:space="preserve"> resources</w:t>
      </w:r>
      <w:r w:rsidR="00734436" w:rsidRPr="00734436">
        <w:t xml:space="preserve"> on August 16, 2024. </w:t>
      </w:r>
      <w:r w:rsidR="00CE6A06">
        <w:t>The Company and Commission Staff reached a settlement resolving all issues in the case</w:t>
      </w:r>
      <w:r w:rsidR="04A2199D">
        <w:t>,</w:t>
      </w:r>
      <w:r w:rsidR="00CE6A06">
        <w:t xml:space="preserve"> and p</w:t>
      </w:r>
      <w:r w:rsidR="00EB4031">
        <w:t>ublic h</w:t>
      </w:r>
      <w:r w:rsidR="00734436" w:rsidRPr="00734436">
        <w:t xml:space="preserve">earings </w:t>
      </w:r>
      <w:r w:rsidR="00EB4031">
        <w:t>re</w:t>
      </w:r>
      <w:r w:rsidR="006F281B">
        <w:t>garding the</w:t>
      </w:r>
      <w:r w:rsidR="00734436" w:rsidRPr="00734436">
        <w:t xml:space="preserve"> </w:t>
      </w:r>
      <w:r w:rsidR="00F05098">
        <w:t xml:space="preserve">matter </w:t>
      </w:r>
      <w:r w:rsidR="00154EA0">
        <w:t xml:space="preserve">were held </w:t>
      </w:r>
      <w:r w:rsidR="004C0E03">
        <w:t>on October 31, 2024</w:t>
      </w:r>
      <w:r w:rsidR="00154EA0">
        <w:t>.</w:t>
      </w:r>
      <w:r w:rsidR="00404DAE">
        <w:t xml:space="preserve"> </w:t>
      </w:r>
      <w:r w:rsidR="00CE6A06">
        <w:t xml:space="preserve">The Commission approved </w:t>
      </w:r>
      <w:r w:rsidR="00C751EB">
        <w:t xml:space="preserve">the certification of the Moody, Robins, Hammond, and McGrau </w:t>
      </w:r>
      <w:r w:rsidR="7518940D">
        <w:t xml:space="preserve">Ford </w:t>
      </w:r>
      <w:r w:rsidR="00C751EB">
        <w:t xml:space="preserve">Phase </w:t>
      </w:r>
      <w:r w:rsidR="55BCD479">
        <w:t>II</w:t>
      </w:r>
      <w:r w:rsidR="00C751EB">
        <w:t xml:space="preserve"> BESS projects on </w:t>
      </w:r>
      <w:r w:rsidR="00C751EB" w:rsidRPr="00A76FB3">
        <w:t xml:space="preserve">December </w:t>
      </w:r>
      <w:r w:rsidR="007065BD">
        <w:t>12</w:t>
      </w:r>
      <w:r w:rsidR="00C751EB" w:rsidRPr="00A76FB3">
        <w:t xml:space="preserve">, 2024. </w:t>
      </w:r>
    </w:p>
    <w:p w14:paraId="0F705117" w14:textId="0AA76F8F" w:rsidR="00D528FD" w:rsidRDefault="008012D6" w:rsidP="009A12F5">
      <w:pPr>
        <w:pStyle w:val="ListParagraph"/>
        <w:numPr>
          <w:ilvl w:val="0"/>
          <w:numId w:val="29"/>
        </w:numPr>
        <w:spacing w:before="120" w:after="120"/>
        <w:contextualSpacing w:val="0"/>
        <w:jc w:val="both"/>
      </w:pPr>
      <w:r>
        <w:t>Issued</w:t>
      </w:r>
      <w:r w:rsidR="00BA4202" w:rsidRPr="00A76FB3">
        <w:t xml:space="preserve"> </w:t>
      </w:r>
      <w:r w:rsidR="009624E9" w:rsidRPr="00A76FB3">
        <w:t xml:space="preserve">the Winter 2027/2028 BESS </w:t>
      </w:r>
      <w:r w:rsidR="00BA4202" w:rsidRPr="00A76FB3">
        <w:t>RFP to the market on August 9</w:t>
      </w:r>
      <w:r w:rsidR="009624E9" w:rsidRPr="00A76FB3">
        <w:t>,</w:t>
      </w:r>
      <w:r w:rsidR="00BA4202" w:rsidRPr="00A76FB3">
        <w:t xml:space="preserve"> 2024</w:t>
      </w:r>
      <w:r w:rsidR="5BD8A293">
        <w:t xml:space="preserve">, </w:t>
      </w:r>
      <w:r w:rsidR="00BA4202">
        <w:t>f</w:t>
      </w:r>
      <w:r w:rsidR="00A138AB">
        <w:t xml:space="preserve">or the </w:t>
      </w:r>
      <w:r w:rsidR="00DB03AA">
        <w:t>additional</w:t>
      </w:r>
      <w:r w:rsidR="00A138AB">
        <w:t xml:space="preserve"> BESS</w:t>
      </w:r>
      <w:r w:rsidR="002E1D81">
        <w:t xml:space="preserve"> resources </w:t>
      </w:r>
      <w:r w:rsidR="00A71D69">
        <w:t>that are need</w:t>
      </w:r>
      <w:r w:rsidR="00DE4F66">
        <w:t>ed during the winter of 2027/2028</w:t>
      </w:r>
      <w:r w:rsidR="00BA57FE">
        <w:t xml:space="preserve"> based on the 2025 </w:t>
      </w:r>
      <w:r w:rsidR="00006236">
        <w:t xml:space="preserve">IRP </w:t>
      </w:r>
      <w:r w:rsidR="00BA57FE">
        <w:t>Load Forecast</w:t>
      </w:r>
      <w:r w:rsidR="00635794">
        <w:t xml:space="preserve">. </w:t>
      </w:r>
      <w:r w:rsidR="00BA4202">
        <w:t>Bids were due on September 16, 2024</w:t>
      </w:r>
      <w:r w:rsidR="18EE84EF">
        <w:t>,</w:t>
      </w:r>
      <w:r w:rsidR="00BA4202">
        <w:t xml:space="preserve"> and the competitive tier was identified on </w:t>
      </w:r>
      <w:r w:rsidR="004D62BC">
        <w:t>October 10, 2024</w:t>
      </w:r>
      <w:r w:rsidR="00BA4202" w:rsidRPr="00026CC5">
        <w:t>.</w:t>
      </w:r>
      <w:r w:rsidR="009271FA" w:rsidRPr="00026CC5">
        <w:t xml:space="preserve"> </w:t>
      </w:r>
      <w:r w:rsidR="004E5502" w:rsidRPr="00026CC5">
        <w:t>Capacity n</w:t>
      </w:r>
      <w:r w:rsidR="009271FA" w:rsidRPr="00026CC5">
        <w:t xml:space="preserve">eeds are </w:t>
      </w:r>
      <w:r w:rsidR="004E5502" w:rsidRPr="00026CC5">
        <w:t>currently expected to</w:t>
      </w:r>
      <w:r w:rsidR="009271FA" w:rsidRPr="00026CC5">
        <w:t xml:space="preserve"> exceed the 500 MW projected during the 2023 IRP Update</w:t>
      </w:r>
      <w:r w:rsidR="00B455FE" w:rsidRPr="00026CC5">
        <w:t>. The Company is evaluating the</w:t>
      </w:r>
      <w:r w:rsidR="009271FA" w:rsidRPr="00026CC5">
        <w:t xml:space="preserve"> results of the </w:t>
      </w:r>
      <w:r w:rsidR="00B455FE" w:rsidRPr="00026CC5">
        <w:t>Winter 2027/2028 BESS</w:t>
      </w:r>
      <w:r w:rsidR="009271FA" w:rsidRPr="00026CC5">
        <w:t xml:space="preserve"> RFP as </w:t>
      </w:r>
      <w:r w:rsidR="00B455FE" w:rsidRPr="00026CC5">
        <w:t>well as</w:t>
      </w:r>
      <w:r w:rsidR="0014105B" w:rsidRPr="00026CC5">
        <w:t xml:space="preserve"> investigating</w:t>
      </w:r>
      <w:r w:rsidR="00B455FE" w:rsidRPr="00026CC5">
        <w:t xml:space="preserve"> additional resource</w:t>
      </w:r>
      <w:r w:rsidR="009271FA" w:rsidRPr="00026CC5">
        <w:t xml:space="preserve"> options </w:t>
      </w:r>
      <w:r w:rsidR="0014105B" w:rsidRPr="00026CC5">
        <w:t xml:space="preserve">to meet customer needs </w:t>
      </w:r>
      <w:r w:rsidR="00414001">
        <w:t xml:space="preserve">should </w:t>
      </w:r>
      <w:r w:rsidR="003C3B45" w:rsidRPr="00026CC5">
        <w:t>the RFP</w:t>
      </w:r>
      <w:r w:rsidR="00FD380C">
        <w:t xml:space="preserve"> be insufficient to fill all capacity needs</w:t>
      </w:r>
      <w:r w:rsidR="0014105B" w:rsidRPr="00026CC5">
        <w:t>.</w:t>
      </w:r>
    </w:p>
    <w:p w14:paraId="3E2C5BCA" w14:textId="4AD5227F" w:rsidR="002D5AEB" w:rsidRDefault="003637FB" w:rsidP="009A12F5">
      <w:pPr>
        <w:pStyle w:val="ListParagraph"/>
        <w:numPr>
          <w:ilvl w:val="0"/>
          <w:numId w:val="29"/>
        </w:numPr>
        <w:spacing w:before="120" w:after="120"/>
        <w:contextualSpacing w:val="0"/>
        <w:jc w:val="both"/>
      </w:pPr>
      <w:r>
        <w:t xml:space="preserve">Received </w:t>
      </w:r>
      <w:r w:rsidR="00421A7D">
        <w:t xml:space="preserve">certification approval for </w:t>
      </w:r>
      <w:r w:rsidR="002D5AEB">
        <w:t>Plant Yates</w:t>
      </w:r>
      <w:r w:rsidR="001A4192">
        <w:t xml:space="preserve"> </w:t>
      </w:r>
      <w:r w:rsidR="009624E9">
        <w:t>Units</w:t>
      </w:r>
      <w:r w:rsidR="001A4192">
        <w:t xml:space="preserve"> 8-10</w:t>
      </w:r>
      <w:r w:rsidR="006A0597">
        <w:t xml:space="preserve"> on August </w:t>
      </w:r>
      <w:r w:rsidR="00D763F6">
        <w:t>2</w:t>
      </w:r>
      <w:r w:rsidR="014BD26C">
        <w:t>9</w:t>
      </w:r>
      <w:r w:rsidR="00D763F6">
        <w:t>, 2024</w:t>
      </w:r>
      <w:r w:rsidR="00145394">
        <w:t>,</w:t>
      </w:r>
      <w:r w:rsidR="001733DD">
        <w:t xml:space="preserve"> with</w:t>
      </w:r>
      <w:r w:rsidR="7D6C66BE">
        <w:t xml:space="preserve"> monthly status reports to the Commission start</w:t>
      </w:r>
      <w:r w:rsidR="0063718E">
        <w:t>ing</w:t>
      </w:r>
      <w:r w:rsidR="7D6C66BE">
        <w:t xml:space="preserve"> in September 2024, </w:t>
      </w:r>
      <w:r w:rsidR="00C520EF">
        <w:t xml:space="preserve">and </w:t>
      </w:r>
      <w:r w:rsidR="7D6C66BE">
        <w:t>t</w:t>
      </w:r>
      <w:r w:rsidR="000B2E1A">
        <w:t xml:space="preserve">he first </w:t>
      </w:r>
      <w:r w:rsidR="5E5857E8">
        <w:t>sem</w:t>
      </w:r>
      <w:r w:rsidR="003D70A9">
        <w:t>i-</w:t>
      </w:r>
      <w:r w:rsidR="5E5857E8">
        <w:t xml:space="preserve">annual </w:t>
      </w:r>
      <w:r w:rsidR="000B2E1A">
        <w:t xml:space="preserve">Yates </w:t>
      </w:r>
      <w:r w:rsidR="00C20CA4">
        <w:t xml:space="preserve">Construction </w:t>
      </w:r>
      <w:r w:rsidR="000B2E1A">
        <w:t>M</w:t>
      </w:r>
      <w:r w:rsidR="00C20CA4">
        <w:t xml:space="preserve">onitoring </w:t>
      </w:r>
      <w:r w:rsidR="000B2E1A">
        <w:t xml:space="preserve">Report </w:t>
      </w:r>
      <w:r w:rsidR="00C520EF">
        <w:t>to</w:t>
      </w:r>
      <w:r w:rsidR="2FE8C472">
        <w:t xml:space="preserve"> be</w:t>
      </w:r>
      <w:r w:rsidR="72F43F4D">
        <w:t xml:space="preserve"> </w:t>
      </w:r>
      <w:r w:rsidR="000B2E1A">
        <w:t>filed</w:t>
      </w:r>
      <w:r w:rsidR="00C20CA4">
        <w:t xml:space="preserve"> </w:t>
      </w:r>
      <w:r w:rsidR="512CCAB2">
        <w:t>in February 2025</w:t>
      </w:r>
      <w:r w:rsidR="009C3321">
        <w:t xml:space="preserve">. </w:t>
      </w:r>
    </w:p>
    <w:p w14:paraId="379BB166" w14:textId="62F3B431" w:rsidR="00971512" w:rsidRDefault="00CD6A9F" w:rsidP="009A12F5">
      <w:pPr>
        <w:pStyle w:val="ListParagraph"/>
        <w:numPr>
          <w:ilvl w:val="0"/>
          <w:numId w:val="29"/>
        </w:numPr>
        <w:spacing w:before="120" w:after="120"/>
        <w:contextualSpacing w:val="0"/>
        <w:jc w:val="both"/>
      </w:pPr>
      <w:r w:rsidRPr="00CD6A9F">
        <w:t xml:space="preserve">Continued to assist customers with evaluating </w:t>
      </w:r>
      <w:r w:rsidR="007E0E14">
        <w:t xml:space="preserve">participation </w:t>
      </w:r>
      <w:r w:rsidRPr="00CD6A9F">
        <w:t xml:space="preserve">in the </w:t>
      </w:r>
      <w:r w:rsidR="00435718">
        <w:t>DER Colocation (“</w:t>
      </w:r>
      <w:r w:rsidRPr="00CD6A9F">
        <w:t>DCL</w:t>
      </w:r>
      <w:r w:rsidR="00435718">
        <w:t>”)</w:t>
      </w:r>
      <w:r w:rsidRPr="00CD6A9F">
        <w:t xml:space="preserve"> and </w:t>
      </w:r>
      <w:r w:rsidR="00435718">
        <w:t>DER Customer-Owned</w:t>
      </w:r>
      <w:r w:rsidRPr="00CD6A9F">
        <w:t xml:space="preserve"> </w:t>
      </w:r>
      <w:r w:rsidR="00435718">
        <w:t>(“</w:t>
      </w:r>
      <w:r w:rsidRPr="00CD6A9F">
        <w:t>DCO</w:t>
      </w:r>
      <w:r w:rsidR="00435718">
        <w:t>”)</w:t>
      </w:r>
      <w:r w:rsidRPr="00CD6A9F">
        <w:t xml:space="preserve"> Programs. </w:t>
      </w:r>
      <w:r w:rsidR="007E0E14">
        <w:t>T</w:t>
      </w:r>
      <w:r w:rsidR="00EC7CB4">
        <w:t xml:space="preserve">he Company has </w:t>
      </w:r>
      <w:r w:rsidR="00AA7BDC">
        <w:t xml:space="preserve">fielded interest and </w:t>
      </w:r>
      <w:r w:rsidR="006665CF">
        <w:t xml:space="preserve">engaged with </w:t>
      </w:r>
      <w:r w:rsidR="000036B7">
        <w:t>multiple</w:t>
      </w:r>
      <w:r w:rsidR="006665CF">
        <w:t xml:space="preserve"> customers on </w:t>
      </w:r>
      <w:r w:rsidR="005069A2">
        <w:t xml:space="preserve">specific site and resource </w:t>
      </w:r>
      <w:r w:rsidR="00F671DE">
        <w:t>discussions</w:t>
      </w:r>
      <w:r w:rsidR="007315F9">
        <w:t>. P</w:t>
      </w:r>
      <w:r w:rsidRPr="00CD6A9F">
        <w:t xml:space="preserve">rogram modifications have been included in this filing to </w:t>
      </w:r>
      <w:r w:rsidR="00921793">
        <w:t xml:space="preserve">provide </w:t>
      </w:r>
      <w:r w:rsidR="00DB2A2F">
        <w:t>additional</w:t>
      </w:r>
      <w:r w:rsidRPr="00CD6A9F">
        <w:t xml:space="preserve"> value for participants and non-participants with </w:t>
      </w:r>
      <w:r>
        <w:t xml:space="preserve">a </w:t>
      </w:r>
      <w:r w:rsidRPr="00CD6A9F">
        <w:t>goal of increasing participation.</w:t>
      </w:r>
    </w:p>
    <w:p w14:paraId="407338F6" w14:textId="7B89C71F" w:rsidR="00971512" w:rsidRDefault="0039520B" w:rsidP="009A12F5">
      <w:pPr>
        <w:pStyle w:val="ListParagraph"/>
        <w:numPr>
          <w:ilvl w:val="0"/>
          <w:numId w:val="29"/>
        </w:numPr>
        <w:spacing w:before="120" w:after="120"/>
        <w:contextualSpacing w:val="0"/>
        <w:jc w:val="both"/>
      </w:pPr>
      <w:r>
        <w:rPr>
          <w:rFonts w:eastAsia="Times New Roman"/>
        </w:rPr>
        <w:t xml:space="preserve">Developed </w:t>
      </w:r>
      <w:r w:rsidR="007A17F9">
        <w:rPr>
          <w:rFonts w:eastAsia="Times New Roman"/>
        </w:rPr>
        <w:t>materials, tools</w:t>
      </w:r>
      <w:r w:rsidR="00632EA6">
        <w:rPr>
          <w:rFonts w:eastAsia="Times New Roman"/>
        </w:rPr>
        <w:t>,</w:t>
      </w:r>
      <w:r w:rsidR="007A17F9">
        <w:rPr>
          <w:rFonts w:eastAsia="Times New Roman"/>
        </w:rPr>
        <w:t xml:space="preserve"> and contracts for </w:t>
      </w:r>
      <w:r w:rsidR="00640400">
        <w:rPr>
          <w:rFonts w:eastAsia="Times New Roman"/>
        </w:rPr>
        <w:t>the Curtailable Load (</w:t>
      </w:r>
      <w:r w:rsidR="00DB2A2F">
        <w:rPr>
          <w:rFonts w:eastAsia="Times New Roman"/>
        </w:rPr>
        <w:t>“</w:t>
      </w:r>
      <w:r w:rsidR="00640400">
        <w:rPr>
          <w:rFonts w:eastAsia="Times New Roman"/>
        </w:rPr>
        <w:t>CL</w:t>
      </w:r>
      <w:r w:rsidR="00DB2A2F">
        <w:rPr>
          <w:rFonts w:eastAsia="Times New Roman"/>
        </w:rPr>
        <w:t>”</w:t>
      </w:r>
      <w:r w:rsidR="00640400">
        <w:rPr>
          <w:rFonts w:eastAsia="Times New Roman"/>
        </w:rPr>
        <w:t>) Program</w:t>
      </w:r>
      <w:r w:rsidR="00C55B7B">
        <w:rPr>
          <w:rFonts w:eastAsia="Times New Roman"/>
        </w:rPr>
        <w:t>,</w:t>
      </w:r>
      <w:r w:rsidR="00FC447B">
        <w:rPr>
          <w:rFonts w:eastAsia="Times New Roman"/>
        </w:rPr>
        <w:t xml:space="preserve"> which opened for enrollment on Jan</w:t>
      </w:r>
      <w:r w:rsidR="004E68C9">
        <w:rPr>
          <w:rFonts w:eastAsia="Times New Roman"/>
        </w:rPr>
        <w:t>uary</w:t>
      </w:r>
      <w:r w:rsidR="00FC447B">
        <w:rPr>
          <w:rFonts w:eastAsia="Times New Roman"/>
        </w:rPr>
        <w:t xml:space="preserve"> 1</w:t>
      </w:r>
      <w:r w:rsidR="00DD1D78">
        <w:rPr>
          <w:rFonts w:eastAsia="Times New Roman"/>
        </w:rPr>
        <w:t>, 2025</w:t>
      </w:r>
      <w:r w:rsidR="00640400">
        <w:rPr>
          <w:rFonts w:eastAsia="Times New Roman"/>
        </w:rPr>
        <w:t xml:space="preserve">. </w:t>
      </w:r>
      <w:r w:rsidRPr="00CD6A9F">
        <w:t xml:space="preserve">Continued to assist customers with evaluating </w:t>
      </w:r>
      <w:r w:rsidR="004A3D86">
        <w:rPr>
          <w:rFonts w:eastAsia="Times New Roman"/>
        </w:rPr>
        <w:t xml:space="preserve">a </w:t>
      </w:r>
      <w:r w:rsidR="0008277C">
        <w:t xml:space="preserve">portfolio of options available to </w:t>
      </w:r>
      <w:r w:rsidR="004027E4">
        <w:t xml:space="preserve">customers with co-located assets or flexible loads. </w:t>
      </w:r>
    </w:p>
    <w:p w14:paraId="13F5031B" w14:textId="2BCF9281" w:rsidR="00026119" w:rsidRDefault="00026119" w:rsidP="009A12F5">
      <w:pPr>
        <w:pStyle w:val="ListParagraph"/>
        <w:numPr>
          <w:ilvl w:val="0"/>
          <w:numId w:val="29"/>
        </w:numPr>
        <w:spacing w:before="120" w:after="120"/>
        <w:contextualSpacing w:val="0"/>
        <w:jc w:val="both"/>
      </w:pPr>
      <w:r>
        <w:t>Provided MARTA and Walmart revised drafts of the DCL Program and DCO Program tariffs and worked with MARTA and Walmart to address questions</w:t>
      </w:r>
      <w:r w:rsidR="005C4338">
        <w:t xml:space="preserve"> </w:t>
      </w:r>
      <w:r>
        <w:t>related to the tariffs.</w:t>
      </w:r>
    </w:p>
    <w:p w14:paraId="21D8719C" w14:textId="781657F5" w:rsidR="00B15A9E" w:rsidRPr="00381F1A" w:rsidRDefault="0006103B" w:rsidP="009A12F5">
      <w:pPr>
        <w:pStyle w:val="ListParagraph"/>
        <w:numPr>
          <w:ilvl w:val="0"/>
          <w:numId w:val="29"/>
        </w:numPr>
        <w:spacing w:before="120" w:after="120"/>
        <w:contextualSpacing w:val="0"/>
        <w:jc w:val="both"/>
      </w:pPr>
      <w:r w:rsidRPr="00381F1A">
        <w:t>Expanded</w:t>
      </w:r>
      <w:r w:rsidR="00BE5EA8" w:rsidRPr="00381F1A">
        <w:t xml:space="preserve"> </w:t>
      </w:r>
      <w:r w:rsidR="001C1B6A" w:rsidRPr="00381F1A">
        <w:t xml:space="preserve">enrollment </w:t>
      </w:r>
      <w:r w:rsidRPr="00381F1A">
        <w:t>in</w:t>
      </w:r>
      <w:r w:rsidR="00430165" w:rsidRPr="00381F1A">
        <w:t xml:space="preserve"> </w:t>
      </w:r>
      <w:r w:rsidR="00637FA7">
        <w:t xml:space="preserve">the </w:t>
      </w:r>
      <w:r w:rsidR="00B15A9E" w:rsidRPr="00381F1A">
        <w:t xml:space="preserve">Residential </w:t>
      </w:r>
      <w:r w:rsidR="00C12746" w:rsidRPr="00381F1A">
        <w:t xml:space="preserve">Thermostat </w:t>
      </w:r>
      <w:r w:rsidR="00651F84">
        <w:t>Demand Response (“</w:t>
      </w:r>
      <w:r w:rsidR="00C12746" w:rsidRPr="00381F1A">
        <w:t>DR</w:t>
      </w:r>
      <w:r w:rsidR="00651F84">
        <w:t>”)</w:t>
      </w:r>
      <w:r w:rsidR="00C12746" w:rsidRPr="00381F1A">
        <w:t xml:space="preserve"> Program</w:t>
      </w:r>
      <w:r w:rsidR="00381F1A" w:rsidRPr="00381F1A">
        <w:t xml:space="preserve"> to </w:t>
      </w:r>
      <w:r w:rsidR="00637FA7">
        <w:t xml:space="preserve">more than </w:t>
      </w:r>
      <w:r w:rsidR="23C5989E">
        <w:t>38,000</w:t>
      </w:r>
      <w:r w:rsidR="00381F1A" w:rsidRPr="00381F1A">
        <w:t xml:space="preserve"> customers</w:t>
      </w:r>
      <w:r w:rsidR="00C12746" w:rsidRPr="00381F1A">
        <w:t xml:space="preserve"> </w:t>
      </w:r>
      <w:r w:rsidRPr="00381F1A">
        <w:t>a</w:t>
      </w:r>
      <w:r w:rsidR="008E5D0C" w:rsidRPr="00381F1A">
        <w:t xml:space="preserve">nd </w:t>
      </w:r>
      <w:r w:rsidR="00381F1A" w:rsidRPr="00381F1A">
        <w:t xml:space="preserve">further </w:t>
      </w:r>
      <w:r w:rsidR="007D7C99" w:rsidRPr="00381F1A">
        <w:t>evaluated</w:t>
      </w:r>
      <w:r w:rsidR="00780CDE" w:rsidRPr="00381F1A">
        <w:t xml:space="preserve"> program</w:t>
      </w:r>
      <w:r w:rsidR="008E5D0C" w:rsidRPr="00381F1A">
        <w:t xml:space="preserve"> </w:t>
      </w:r>
      <w:r w:rsidR="009E663F" w:rsidRPr="00381F1A">
        <w:t>potential</w:t>
      </w:r>
      <w:r w:rsidR="00004C05" w:rsidRPr="00381F1A">
        <w:t>.</w:t>
      </w:r>
    </w:p>
    <w:p w14:paraId="15895FB8" w14:textId="3F7C8BA4" w:rsidR="00C12746" w:rsidRDefault="00324778" w:rsidP="003C3B45">
      <w:pPr>
        <w:pStyle w:val="ListParagraph"/>
        <w:numPr>
          <w:ilvl w:val="0"/>
          <w:numId w:val="29"/>
        </w:numPr>
        <w:spacing w:before="120" w:after="120"/>
        <w:contextualSpacing w:val="0"/>
        <w:jc w:val="both"/>
      </w:pPr>
      <w:r>
        <w:lastRenderedPageBreak/>
        <w:t>Evaluated and d</w:t>
      </w:r>
      <w:r w:rsidR="00C811EF">
        <w:t xml:space="preserve">eveloped </w:t>
      </w:r>
      <w:r w:rsidR="00791E26">
        <w:t xml:space="preserve">a residential and small commercial solar and battery pilot program </w:t>
      </w:r>
      <w:r w:rsidR="00637FA7">
        <w:t>(</w:t>
      </w:r>
      <w:r w:rsidR="00276421">
        <w:t>includ</w:t>
      </w:r>
      <w:r w:rsidR="004760DF">
        <w:t>ed</w:t>
      </w:r>
      <w:r w:rsidR="00276421">
        <w:t xml:space="preserve"> in this filing</w:t>
      </w:r>
      <w:r w:rsidR="00637FA7">
        <w:t xml:space="preserve">) </w:t>
      </w:r>
      <w:r>
        <w:t>that incorp</w:t>
      </w:r>
      <w:r w:rsidR="004459F6">
        <w:t xml:space="preserve">orates </w:t>
      </w:r>
      <w:r w:rsidR="00D220F1">
        <w:t>feedback from Staff and interested parties</w:t>
      </w:r>
      <w:r w:rsidR="00A3675A">
        <w:t>.</w:t>
      </w:r>
      <w:r w:rsidR="00381F1A">
        <w:t xml:space="preserve"> See </w:t>
      </w:r>
      <w:r w:rsidR="00A3675A">
        <w:t xml:space="preserve">Chapter 10 for additional information regarding the Solar </w:t>
      </w:r>
      <w:r w:rsidR="002E582A">
        <w:t>Plus</w:t>
      </w:r>
      <w:r w:rsidR="00A3675A">
        <w:t xml:space="preserve"> Storage Pilot </w:t>
      </w:r>
      <w:r w:rsidR="00070284">
        <w:t>P</w:t>
      </w:r>
      <w:r w:rsidR="00A3675A">
        <w:t>rogram</w:t>
      </w:r>
      <w:r w:rsidR="00EA7656">
        <w:t>.</w:t>
      </w:r>
    </w:p>
    <w:p w14:paraId="52A0D0F8" w14:textId="19E43682" w:rsidR="00EA7656" w:rsidRDefault="0001314F" w:rsidP="009A12F5">
      <w:pPr>
        <w:pStyle w:val="ListParagraph"/>
        <w:numPr>
          <w:ilvl w:val="0"/>
          <w:numId w:val="29"/>
        </w:numPr>
        <w:spacing w:before="120" w:after="120"/>
        <w:contextualSpacing w:val="0"/>
        <w:jc w:val="both"/>
      </w:pPr>
      <w:r>
        <w:t xml:space="preserve">Developed transmission projects necessary to accommodate </w:t>
      </w:r>
      <w:r w:rsidR="00ED6712">
        <w:t xml:space="preserve">the loads and resource portfolio approved in the 2023 IRP Update </w:t>
      </w:r>
      <w:r w:rsidR="001F7579">
        <w:t xml:space="preserve">as described in the 2024 GA ITS </w:t>
      </w:r>
      <w:r w:rsidR="001F7579" w:rsidDel="00DB2A2F">
        <w:t>Ten</w:t>
      </w:r>
      <w:r w:rsidR="00DB2A2F">
        <w:t>-Year</w:t>
      </w:r>
      <w:r w:rsidR="001F7579">
        <w:t xml:space="preserve"> Plan</w:t>
      </w:r>
      <w:r w:rsidR="007F53B7">
        <w:t>.</w:t>
      </w:r>
    </w:p>
    <w:p w14:paraId="14CC1018" w14:textId="78A0C1AE" w:rsidR="007F53B7" w:rsidRDefault="00A53D3E" w:rsidP="00C15BE1">
      <w:pPr>
        <w:pStyle w:val="ListParagraph"/>
        <w:numPr>
          <w:ilvl w:val="0"/>
          <w:numId w:val="29"/>
        </w:numPr>
        <w:spacing w:before="120" w:after="120"/>
        <w:contextualSpacing w:val="0"/>
        <w:jc w:val="both"/>
      </w:pPr>
      <w:r>
        <w:t>Researched</w:t>
      </w:r>
      <w:r w:rsidR="00381F1A">
        <w:t xml:space="preserve"> </w:t>
      </w:r>
      <w:r w:rsidR="00231DA6">
        <w:t>funding</w:t>
      </w:r>
      <w:r w:rsidR="00812C65">
        <w:t xml:space="preserve"> opportunities for DSM</w:t>
      </w:r>
      <w:r w:rsidR="00F1120F">
        <w:t xml:space="preserve">, DERs, </w:t>
      </w:r>
      <w:r w:rsidR="00812C65">
        <w:t>and energy storage systems</w:t>
      </w:r>
      <w:r w:rsidR="00E81FC1">
        <w:t xml:space="preserve"> </w:t>
      </w:r>
      <w:r w:rsidR="005C2184">
        <w:t xml:space="preserve">available </w:t>
      </w:r>
      <w:r w:rsidR="00E81FC1">
        <w:t xml:space="preserve">under the </w:t>
      </w:r>
      <w:r w:rsidR="00435718">
        <w:t>Inflation Reduction Act (“</w:t>
      </w:r>
      <w:r w:rsidR="00E24B98">
        <w:t>IRA</w:t>
      </w:r>
      <w:r w:rsidR="00435718">
        <w:t>”)</w:t>
      </w:r>
      <w:r w:rsidR="00812C65">
        <w:t>.</w:t>
      </w:r>
    </w:p>
    <w:p w14:paraId="06328B6D" w14:textId="1C5E613E" w:rsidR="00D755CD" w:rsidRDefault="004C0212" w:rsidP="009A12F5">
      <w:pPr>
        <w:pStyle w:val="ListParagraph"/>
        <w:numPr>
          <w:ilvl w:val="0"/>
          <w:numId w:val="29"/>
        </w:numPr>
        <w:spacing w:before="120" w:after="120"/>
        <w:contextualSpacing w:val="0"/>
        <w:jc w:val="both"/>
      </w:pPr>
      <w:r>
        <w:t>Collaboratively e</w:t>
      </w:r>
      <w:r w:rsidR="00B6198A">
        <w:t xml:space="preserve">ngaged </w:t>
      </w:r>
      <w:r w:rsidR="00706A1D">
        <w:t>with the Clean Energy Buyers Association (</w:t>
      </w:r>
      <w:r w:rsidR="00AF58CB">
        <w:t>“</w:t>
      </w:r>
      <w:r w:rsidR="00182691">
        <w:t>CEBA</w:t>
      </w:r>
      <w:r w:rsidR="00AF58CB">
        <w:t>”</w:t>
      </w:r>
      <w:r w:rsidR="00706A1D">
        <w:t xml:space="preserve">) </w:t>
      </w:r>
      <w:r w:rsidR="00CE7E17">
        <w:t xml:space="preserve">regarding </w:t>
      </w:r>
      <w:r w:rsidR="003C10E2">
        <w:t>the development of a</w:t>
      </w:r>
      <w:r w:rsidR="00182691">
        <w:t xml:space="preserve"> </w:t>
      </w:r>
      <w:r w:rsidR="00DB2A2F">
        <w:t>c</w:t>
      </w:r>
      <w:r w:rsidR="00182691">
        <w:t>arbon-free energy customer progra</w:t>
      </w:r>
      <w:r w:rsidR="00DB2A2F">
        <w:t>m</w:t>
      </w:r>
      <w:r w:rsidR="001B1A33">
        <w:t>.</w:t>
      </w:r>
      <w:r w:rsidR="0091122C">
        <w:t xml:space="preserve"> The engagement with CEBA</w:t>
      </w:r>
      <w:r w:rsidR="006A0DCB">
        <w:t xml:space="preserve"> is included in</w:t>
      </w:r>
      <w:r w:rsidR="00953344">
        <w:t xml:space="preserve"> </w:t>
      </w:r>
      <w:r w:rsidR="003C10E2">
        <w:t>the proposed changes</w:t>
      </w:r>
      <w:r w:rsidR="004551BF">
        <w:t xml:space="preserve"> to the CARES </w:t>
      </w:r>
      <w:r w:rsidR="001A06DC">
        <w:t>subscription program</w:t>
      </w:r>
      <w:r w:rsidR="004C5B14">
        <w:t xml:space="preserve"> </w:t>
      </w:r>
      <w:r w:rsidR="001B58F2">
        <w:t xml:space="preserve">set forth </w:t>
      </w:r>
      <w:r w:rsidR="004C5B14">
        <w:t>in this filing</w:t>
      </w:r>
      <w:r w:rsidR="00BA4672">
        <w:t xml:space="preserve"> </w:t>
      </w:r>
      <w:r w:rsidR="008B5A87">
        <w:t>which include</w:t>
      </w:r>
      <w:r w:rsidR="00890572">
        <w:t>s</w:t>
      </w:r>
      <w:r w:rsidR="008B5A87">
        <w:t xml:space="preserve"> </w:t>
      </w:r>
      <w:r w:rsidR="001A06DC">
        <w:t xml:space="preserve">the </w:t>
      </w:r>
      <w:r w:rsidR="00FF2853">
        <w:t xml:space="preserve">ability for Georgia Power to procure energy from </w:t>
      </w:r>
      <w:r w:rsidR="00812C65">
        <w:t>c</w:t>
      </w:r>
      <w:r w:rsidR="00FF2853">
        <w:t>ustomer</w:t>
      </w:r>
      <w:r w:rsidR="001B58F2">
        <w:t>-</w:t>
      </w:r>
      <w:r w:rsidR="00812C65">
        <w:t>i</w:t>
      </w:r>
      <w:r w:rsidR="00FF2853">
        <w:t xml:space="preserve">dentified </w:t>
      </w:r>
      <w:r w:rsidR="00812C65">
        <w:t>r</w:t>
      </w:r>
      <w:r w:rsidR="00FF2853">
        <w:t>esources</w:t>
      </w:r>
      <w:r w:rsidR="004C5B14">
        <w:t>.</w:t>
      </w:r>
    </w:p>
    <w:p w14:paraId="5BB3A76B" w14:textId="250F08AA" w:rsidR="004E0EA8" w:rsidRDefault="004D24B4" w:rsidP="009A12F5">
      <w:pPr>
        <w:pStyle w:val="ListParagraph"/>
        <w:numPr>
          <w:ilvl w:val="0"/>
          <w:numId w:val="29"/>
        </w:numPr>
        <w:spacing w:before="120" w:after="120"/>
        <w:contextualSpacing w:val="0"/>
        <w:jc w:val="both"/>
      </w:pPr>
      <w:r>
        <w:t>Held two</w:t>
      </w:r>
      <w:r w:rsidR="00657A6C">
        <w:t xml:space="preserve"> </w:t>
      </w:r>
      <w:r w:rsidR="000949E9">
        <w:t>meetings</w:t>
      </w:r>
      <w:r w:rsidR="004E0EA8">
        <w:t xml:space="preserve"> with </w:t>
      </w:r>
      <w:r w:rsidR="00D67D25">
        <w:t>Advanced Power Alliance (</w:t>
      </w:r>
      <w:r w:rsidR="008F77E2">
        <w:t>“</w:t>
      </w:r>
      <w:r w:rsidR="00D67D25">
        <w:t>APA</w:t>
      </w:r>
      <w:r w:rsidR="008F77E2">
        <w:t>”</w:t>
      </w:r>
      <w:r w:rsidR="00D67D25">
        <w:t xml:space="preserve">) and </w:t>
      </w:r>
      <w:r w:rsidR="007E3B0D">
        <w:t xml:space="preserve">Southern Renewable Energy </w:t>
      </w:r>
      <w:r w:rsidR="00C12DAA">
        <w:t>Association (</w:t>
      </w:r>
      <w:r w:rsidR="008F77E2">
        <w:t>“</w:t>
      </w:r>
      <w:r w:rsidR="004E0EA8">
        <w:t>SREA</w:t>
      </w:r>
      <w:r w:rsidR="008F77E2">
        <w:t>”</w:t>
      </w:r>
      <w:r w:rsidR="00C12DAA">
        <w:t>)</w:t>
      </w:r>
      <w:r w:rsidR="004E0EA8" w:rsidDel="00D67D25">
        <w:t xml:space="preserve"> </w:t>
      </w:r>
      <w:r w:rsidR="000949E9">
        <w:t>that addressed</w:t>
      </w:r>
      <w:r w:rsidR="004E0EA8">
        <w:t xml:space="preserve"> </w:t>
      </w:r>
      <w:r w:rsidR="00A74BDA">
        <w:t xml:space="preserve">topics related to </w:t>
      </w:r>
      <w:r w:rsidR="004B3B1D">
        <w:t>the</w:t>
      </w:r>
      <w:r w:rsidR="00881C2F">
        <w:t xml:space="preserve"> </w:t>
      </w:r>
      <w:r w:rsidR="004E0EA8">
        <w:t>Transmission Planning process</w:t>
      </w:r>
      <w:r w:rsidR="00445648">
        <w:t>.</w:t>
      </w:r>
    </w:p>
    <w:p w14:paraId="4BD4EBA3" w14:textId="77777777" w:rsidR="004738C8" w:rsidRDefault="007C741E" w:rsidP="00772343">
      <w:pPr>
        <w:pStyle w:val="Heading2"/>
      </w:pPr>
      <w:bookmarkStart w:id="15" w:name="_Toc189122741"/>
      <w:r>
        <w:t>2.2</w:t>
      </w:r>
      <w:r w:rsidR="00DE5A9D">
        <w:t xml:space="preserve"> – </w:t>
      </w:r>
      <w:r w:rsidR="00837FDA">
        <w:t>2022 IRP</w:t>
      </w:r>
      <w:bookmarkEnd w:id="15"/>
    </w:p>
    <w:p w14:paraId="72ABE8CD" w14:textId="41EC642F" w:rsidR="0065008D" w:rsidRDefault="007B69EA" w:rsidP="008F6AA2">
      <w:pPr>
        <w:jc w:val="both"/>
      </w:pPr>
      <w:r>
        <w:t>The</w:t>
      </w:r>
      <w:r w:rsidR="006749CF">
        <w:t xml:space="preserve"> </w:t>
      </w:r>
      <w:r>
        <w:t>Commission approved Georgia Power’s 2022 IRP</w:t>
      </w:r>
      <w:r w:rsidR="00012E39">
        <w:t>,</w:t>
      </w:r>
      <w:r>
        <w:t xml:space="preserve"> with modifications specified in the </w:t>
      </w:r>
      <w:r w:rsidR="0088381D">
        <w:t xml:space="preserve">Order Adopting Stipulation </w:t>
      </w:r>
      <w:r w:rsidR="00583179">
        <w:t>dated</w:t>
      </w:r>
      <w:r w:rsidR="0088381D">
        <w:t xml:space="preserve"> July 29, </w:t>
      </w:r>
      <w:r w:rsidR="0086727A">
        <w:t>202</w:t>
      </w:r>
      <w:r w:rsidR="00335C36">
        <w:t>2, in Docket No. 44160</w:t>
      </w:r>
      <w:r w:rsidR="001B5255">
        <w:t xml:space="preserve"> (the “2022 IRP Order”)</w:t>
      </w:r>
      <w:r w:rsidR="00335C36">
        <w:t>. Consistent with the 2022 IRP Order</w:t>
      </w:r>
      <w:r w:rsidR="004F63F6">
        <w:t xml:space="preserve"> and</w:t>
      </w:r>
      <w:r w:rsidR="009A56C3">
        <w:t xml:space="preserve"> the </w:t>
      </w:r>
      <w:r w:rsidR="004F63F6">
        <w:t xml:space="preserve">Company’s </w:t>
      </w:r>
      <w:r w:rsidR="00966ADC">
        <w:t xml:space="preserve">2022 IRP </w:t>
      </w:r>
      <w:r w:rsidR="00AC49F6">
        <w:t>A</w:t>
      </w:r>
      <w:r w:rsidR="00966ADC">
        <w:t xml:space="preserve">ction </w:t>
      </w:r>
      <w:r w:rsidR="00AC49F6">
        <w:t>P</w:t>
      </w:r>
      <w:r w:rsidR="00966ADC">
        <w:t>lan</w:t>
      </w:r>
      <w:r w:rsidR="009A56C3">
        <w:t xml:space="preserve">, </w:t>
      </w:r>
      <w:r w:rsidR="00966ADC">
        <w:t>Georgia Power</w:t>
      </w:r>
      <w:r w:rsidR="009A56C3">
        <w:t xml:space="preserve"> </w:t>
      </w:r>
      <w:r w:rsidR="005B3F3E">
        <w:t>has taken or will take the following actions:</w:t>
      </w:r>
    </w:p>
    <w:p w14:paraId="3DA6AE9C" w14:textId="773AA4BD" w:rsidR="005B3F3E" w:rsidRDefault="00FB656F" w:rsidP="009A12F5">
      <w:pPr>
        <w:pStyle w:val="ListParagraph"/>
        <w:numPr>
          <w:ilvl w:val="0"/>
          <w:numId w:val="30"/>
        </w:numPr>
        <w:spacing w:before="120" w:after="120"/>
        <w:contextualSpacing w:val="0"/>
        <w:jc w:val="both"/>
      </w:pPr>
      <w:r>
        <w:t>Retired Plant Wansley Units 1-2 and 5A and Plant Boulevard Unit 1 on August 31, 2022.</w:t>
      </w:r>
    </w:p>
    <w:p w14:paraId="1D16E872" w14:textId="6E471BD9" w:rsidR="00D34A29" w:rsidRDefault="00AB470A" w:rsidP="009A12F5">
      <w:pPr>
        <w:pStyle w:val="ListParagraph"/>
        <w:numPr>
          <w:ilvl w:val="0"/>
          <w:numId w:val="30"/>
        </w:numPr>
        <w:spacing w:before="120" w:after="120"/>
        <w:contextualSpacing w:val="0"/>
        <w:jc w:val="both"/>
      </w:pPr>
      <w:r>
        <w:t>Filed</w:t>
      </w:r>
      <w:r w:rsidR="000258AD">
        <w:t xml:space="preserve"> Unit Retirement Study results</w:t>
      </w:r>
      <w:r w:rsidR="003F5C5E">
        <w:t>,</w:t>
      </w:r>
      <w:r w:rsidR="0081203F">
        <w:rPr>
          <w:rStyle w:val="FootnoteReference"/>
        </w:rPr>
        <w:footnoteReference w:id="9"/>
      </w:r>
      <w:r w:rsidR="000258AD">
        <w:t xml:space="preserve"> including Plant Bowen Units 1-2, in this 2025 IRP</w:t>
      </w:r>
      <w:r w:rsidR="0067143A">
        <w:t xml:space="preserve">. Additional information is found in Section 8.2 and in Technical Appendix Volume </w:t>
      </w:r>
      <w:r w:rsidR="000838E6">
        <w:t>1</w:t>
      </w:r>
      <w:r w:rsidR="0067143A">
        <w:t>.</w:t>
      </w:r>
    </w:p>
    <w:p w14:paraId="23681C27" w14:textId="3EC6B033" w:rsidR="0067143A" w:rsidRDefault="007B5D5C" w:rsidP="009A12F5">
      <w:pPr>
        <w:pStyle w:val="ListParagraph"/>
        <w:numPr>
          <w:ilvl w:val="0"/>
          <w:numId w:val="30"/>
        </w:numPr>
        <w:spacing w:before="120" w:after="120"/>
        <w:contextualSpacing w:val="0"/>
        <w:jc w:val="both"/>
      </w:pPr>
      <w:r>
        <w:t>Proceeded with</w:t>
      </w:r>
      <w:r w:rsidR="00DF7B1A">
        <w:t xml:space="preserve"> effluent limitation guidelines</w:t>
      </w:r>
      <w:r>
        <w:t xml:space="preserve"> </w:t>
      </w:r>
      <w:r w:rsidR="00DF7B1A">
        <w:t>(“</w:t>
      </w:r>
      <w:r w:rsidR="00293DFB">
        <w:t>ELG</w:t>
      </w:r>
      <w:r w:rsidR="00DF7B1A">
        <w:t>”)</w:t>
      </w:r>
      <w:r w:rsidR="00293DFB">
        <w:t xml:space="preserve"> </w:t>
      </w:r>
      <w:r>
        <w:t xml:space="preserve">compliance </w:t>
      </w:r>
      <w:r w:rsidR="00293DFB">
        <w:t xml:space="preserve">activities at Plant Bowen and Plant Scherer. The Company is on track </w:t>
      </w:r>
      <w:r w:rsidR="005E6A56">
        <w:t xml:space="preserve">to meet the </w:t>
      </w:r>
      <w:r w:rsidR="00131A90">
        <w:t>National Pollutant Discharge Elimination System (“</w:t>
      </w:r>
      <w:r w:rsidR="00D4303B">
        <w:t>NPDES</w:t>
      </w:r>
      <w:r w:rsidR="00131A90">
        <w:t>”)</w:t>
      </w:r>
      <w:r w:rsidR="00D4303B">
        <w:t xml:space="preserve"> permit compliance date of December 31, 2025, for Plant Bowen, and the Voluntary Incentives Program (“VIP”) </w:t>
      </w:r>
      <w:r w:rsidR="00146F48">
        <w:t>regulatory deadline of December 31, 2028, for Plant Scherer.</w:t>
      </w:r>
      <w:r w:rsidR="00907E97">
        <w:t xml:space="preserve"> Additional </w:t>
      </w:r>
      <w:r w:rsidR="00CC43AF">
        <w:t xml:space="preserve">environmental compliance activities are detailed in </w:t>
      </w:r>
      <w:r w:rsidR="00141997">
        <w:t>Chapter 9</w:t>
      </w:r>
      <w:r w:rsidR="00CC43AF">
        <w:t xml:space="preserve"> and Technical Appendix Volume </w:t>
      </w:r>
      <w:r w:rsidR="00AF4477">
        <w:t>1</w:t>
      </w:r>
      <w:r w:rsidR="00CC43AF">
        <w:t>.</w:t>
      </w:r>
    </w:p>
    <w:p w14:paraId="2F56420A" w14:textId="456347BE" w:rsidR="003A053D" w:rsidRDefault="003A053D" w:rsidP="009A12F5">
      <w:pPr>
        <w:pStyle w:val="ListParagraph"/>
        <w:numPr>
          <w:ilvl w:val="0"/>
          <w:numId w:val="30"/>
        </w:numPr>
        <w:spacing w:after="120"/>
        <w:contextualSpacing w:val="0"/>
        <w:jc w:val="both"/>
      </w:pPr>
      <w:r>
        <w:t xml:space="preserve">Submitted </w:t>
      </w:r>
      <w:r w:rsidR="00A30B26">
        <w:t>annual</w:t>
      </w:r>
      <w:r>
        <w:t xml:space="preserve"> ECS filings with the Commission on March 31, 2023, and April 1, 2024. Submitted CCR ARO filings with the Commission on March 31, 2023, October 1, 2023, April 1, 2024, and </w:t>
      </w:r>
      <w:r w:rsidRPr="00945EB6">
        <w:t xml:space="preserve">October </w:t>
      </w:r>
      <w:r>
        <w:t xml:space="preserve">1, 2024. Additional information on the Company’s ECS and CCR activities are provided in </w:t>
      </w:r>
      <w:r w:rsidR="00141997">
        <w:t>Chapter 9</w:t>
      </w:r>
      <w:r>
        <w:t>, Technical Appendix Volume 1, and Selected Supporting Information in Technical Appendix Volume 2.</w:t>
      </w:r>
    </w:p>
    <w:p w14:paraId="1B30344E" w14:textId="77777777" w:rsidR="003A053D" w:rsidRDefault="003A053D" w:rsidP="009A12F5">
      <w:pPr>
        <w:pStyle w:val="ListParagraph"/>
        <w:numPr>
          <w:ilvl w:val="0"/>
          <w:numId w:val="30"/>
        </w:numPr>
        <w:spacing w:after="120"/>
        <w:contextualSpacing w:val="0"/>
        <w:jc w:val="both"/>
      </w:pPr>
      <w:r>
        <w:t>Filed the CCR Report on Outcome of Beneficial Use RFP with the Commission on September 15, 2023.</w:t>
      </w:r>
    </w:p>
    <w:p w14:paraId="434E3757" w14:textId="2713C6FA" w:rsidR="007D67FA" w:rsidRDefault="00B7466C" w:rsidP="009A12F5">
      <w:pPr>
        <w:pStyle w:val="ListParagraph"/>
        <w:numPr>
          <w:ilvl w:val="0"/>
          <w:numId w:val="30"/>
        </w:numPr>
        <w:spacing w:before="120" w:after="120"/>
        <w:contextualSpacing w:val="0"/>
        <w:jc w:val="both"/>
      </w:pPr>
      <w:r>
        <w:lastRenderedPageBreak/>
        <w:t>D</w:t>
      </w:r>
      <w:r w:rsidR="00EC0A26">
        <w:t xml:space="preserve">eveloped and initiated the </w:t>
      </w:r>
      <w:r w:rsidR="003B24DA">
        <w:t xml:space="preserve">transmission </w:t>
      </w:r>
      <w:r w:rsidR="00EC0A26">
        <w:t xml:space="preserve">projects </w:t>
      </w:r>
      <w:r w:rsidR="003B24DA">
        <w:t xml:space="preserve">necessary to accommodate </w:t>
      </w:r>
      <w:r w:rsidR="004E746A">
        <w:t xml:space="preserve">the </w:t>
      </w:r>
      <w:r w:rsidR="006375E1">
        <w:t xml:space="preserve">unit </w:t>
      </w:r>
      <w:r w:rsidR="00870DBB">
        <w:t>retirement</w:t>
      </w:r>
      <w:r w:rsidR="00897D60">
        <w:t>s</w:t>
      </w:r>
      <w:r w:rsidR="00870DBB">
        <w:t xml:space="preserve"> approved in the 2022 IRP. </w:t>
      </w:r>
      <w:r w:rsidR="0073758E">
        <w:t xml:space="preserve">Additional information is provided in </w:t>
      </w:r>
      <w:r w:rsidR="0002754C">
        <w:t>Chapter</w:t>
      </w:r>
      <w:r w:rsidR="0073758E">
        <w:t xml:space="preserve"> 1</w:t>
      </w:r>
      <w:r w:rsidR="00141997">
        <w:t>1</w:t>
      </w:r>
      <w:r w:rsidR="00741926">
        <w:t xml:space="preserve"> and Technical Appendix Volume 3</w:t>
      </w:r>
      <w:r w:rsidR="0073758E">
        <w:t>.</w:t>
      </w:r>
    </w:p>
    <w:p w14:paraId="540EFC73" w14:textId="57AA7204" w:rsidR="00741926" w:rsidRDefault="00D355F0" w:rsidP="009A12F5">
      <w:pPr>
        <w:pStyle w:val="ListParagraph"/>
        <w:numPr>
          <w:ilvl w:val="0"/>
          <w:numId w:val="30"/>
        </w:numPr>
        <w:spacing w:after="120"/>
        <w:contextualSpacing w:val="0"/>
        <w:jc w:val="both"/>
      </w:pPr>
      <w:r>
        <w:t xml:space="preserve">Developed and filed annual transmission update reports on </w:t>
      </w:r>
      <w:r w:rsidR="00675DB7">
        <w:t xml:space="preserve">February 28, 2023, and February </w:t>
      </w:r>
      <w:r w:rsidR="002C79E9">
        <w:t>29, 2024.</w:t>
      </w:r>
      <w:r w:rsidR="00E845A0">
        <w:t xml:space="preserve"> Met with Commission Staff on March 23, 2023, and March 28, 2024, </w:t>
      </w:r>
      <w:r w:rsidR="003D0177">
        <w:t>regarding these reports.</w:t>
      </w:r>
    </w:p>
    <w:p w14:paraId="2E958219" w14:textId="53065F44" w:rsidR="002C79E9" w:rsidRDefault="00852189" w:rsidP="009A12F5">
      <w:pPr>
        <w:pStyle w:val="ListParagraph"/>
        <w:numPr>
          <w:ilvl w:val="0"/>
          <w:numId w:val="30"/>
        </w:numPr>
        <w:spacing w:after="120"/>
        <w:contextualSpacing w:val="0"/>
        <w:jc w:val="both"/>
      </w:pPr>
      <w:r>
        <w:t xml:space="preserve">Met with Commission Staff on June 22, 2023, March </w:t>
      </w:r>
      <w:r w:rsidR="00860B00">
        <w:t xml:space="preserve">28, 2024, </w:t>
      </w:r>
      <w:r w:rsidR="00860B00" w:rsidRPr="003A053D">
        <w:t>and October 28,</w:t>
      </w:r>
      <w:r w:rsidR="00860B00">
        <w:t xml:space="preserve"> 2024, </w:t>
      </w:r>
      <w:r w:rsidR="004B1FD2">
        <w:t xml:space="preserve">regarding the 2022 IRP North Georgia Reliability &amp; Resilience Action Plan </w:t>
      </w:r>
      <w:r w:rsidR="000F664F">
        <w:t xml:space="preserve">and updates on strategic transmission projects </w:t>
      </w:r>
      <w:r w:rsidR="00137D16">
        <w:t xml:space="preserve">developed </w:t>
      </w:r>
      <w:r w:rsidR="000F664F">
        <w:t xml:space="preserve">by the </w:t>
      </w:r>
      <w:r w:rsidR="00137D16">
        <w:t xml:space="preserve">ITS Participants </w:t>
      </w:r>
      <w:r w:rsidR="0050539E">
        <w:t>to allow for future retirement</w:t>
      </w:r>
      <w:r w:rsidR="00A3324C">
        <w:t>s</w:t>
      </w:r>
      <w:r w:rsidR="0050539E">
        <w:t xml:space="preserve"> of </w:t>
      </w:r>
      <w:r w:rsidR="00A3324C">
        <w:t xml:space="preserve">existing coal resources and the </w:t>
      </w:r>
      <w:r w:rsidR="005F7F89">
        <w:t xml:space="preserve">continued development of renewable resources in Georgia. Additional </w:t>
      </w:r>
      <w:r w:rsidR="00B71EBF">
        <w:t xml:space="preserve">information is provided </w:t>
      </w:r>
      <w:r w:rsidR="005F7F89">
        <w:t xml:space="preserve">in </w:t>
      </w:r>
      <w:r w:rsidR="00A0512C">
        <w:t>Chapter</w:t>
      </w:r>
      <w:r w:rsidR="005F7F89">
        <w:t xml:space="preserve"> 1</w:t>
      </w:r>
      <w:r w:rsidR="00141997">
        <w:t>1</w:t>
      </w:r>
      <w:r w:rsidR="005F7F89">
        <w:t xml:space="preserve"> and Technical </w:t>
      </w:r>
      <w:r w:rsidR="00B71EBF">
        <w:t>Appendix Volume 3.</w:t>
      </w:r>
    </w:p>
    <w:p w14:paraId="6C5C734B" w14:textId="1CE4E32E" w:rsidR="003A053D" w:rsidRDefault="003A053D" w:rsidP="009A12F5">
      <w:pPr>
        <w:pStyle w:val="ListParagraph"/>
        <w:numPr>
          <w:ilvl w:val="0"/>
          <w:numId w:val="30"/>
        </w:numPr>
        <w:spacing w:before="120" w:after="120"/>
        <w:contextualSpacing w:val="0"/>
        <w:jc w:val="both"/>
      </w:pPr>
      <w:r>
        <w:t xml:space="preserve">Received certification from the Commission for the six long-term PPAs for capacity and energy from Plant Wansley Unit 7; Plant Dahlberg Units 2 </w:t>
      </w:r>
      <w:r w:rsidR="00185DB6">
        <w:t>and</w:t>
      </w:r>
      <w:r>
        <w:t xml:space="preserve"> 6; Plant Harris Unit 2; Plant Dahlberg Units 1, 3, </w:t>
      </w:r>
      <w:r w:rsidR="00185DB6">
        <w:t>and</w:t>
      </w:r>
      <w:r>
        <w:t xml:space="preserve"> 5; Plant Monroe Units 1</w:t>
      </w:r>
      <w:r w:rsidR="00185DB6">
        <w:t>-</w:t>
      </w:r>
      <w:r>
        <w:t xml:space="preserve">2; and Plant Dahlberg Units 8-10. Received authorization from </w:t>
      </w:r>
      <w:r w:rsidR="000E4197">
        <w:t>the Federal Energy Regulatory Commission (“</w:t>
      </w:r>
      <w:r>
        <w:t>FERC</w:t>
      </w:r>
      <w:r w:rsidR="000E4197">
        <w:t>”)</w:t>
      </w:r>
      <w:r>
        <w:t xml:space="preserve"> for affiliate transactions associated with the Southern Power PPAs.</w:t>
      </w:r>
    </w:p>
    <w:p w14:paraId="26907DF0" w14:textId="73D31278" w:rsidR="00B71EBF" w:rsidRPr="00A76FB3" w:rsidRDefault="007A0410" w:rsidP="009A12F5">
      <w:pPr>
        <w:pStyle w:val="ListParagraph"/>
        <w:numPr>
          <w:ilvl w:val="0"/>
          <w:numId w:val="30"/>
        </w:numPr>
        <w:spacing w:after="120"/>
        <w:contextualSpacing w:val="0"/>
        <w:jc w:val="both"/>
      </w:pPr>
      <w:r>
        <w:t>Filed the Engine</w:t>
      </w:r>
      <w:r w:rsidR="0090486B">
        <w:t>ering, Procurement, and Construction</w:t>
      </w:r>
      <w:r w:rsidR="00B21D73">
        <w:t xml:space="preserve"> </w:t>
      </w:r>
      <w:r w:rsidR="00811B4A">
        <w:t>(</w:t>
      </w:r>
      <w:r w:rsidR="00B21D73">
        <w:t>“EPC”)</w:t>
      </w:r>
      <w:r w:rsidR="0090486B">
        <w:t xml:space="preserve"> </w:t>
      </w:r>
      <w:r w:rsidR="00EE6303">
        <w:t xml:space="preserve">agreement </w:t>
      </w:r>
      <w:r w:rsidR="009B5275">
        <w:t xml:space="preserve">with the Commission on </w:t>
      </w:r>
      <w:r w:rsidR="004E2680">
        <w:t xml:space="preserve">August 9, 2024, </w:t>
      </w:r>
      <w:r w:rsidR="00760A44">
        <w:t xml:space="preserve">for </w:t>
      </w:r>
      <w:r w:rsidR="00AB02CC">
        <w:t xml:space="preserve">the </w:t>
      </w:r>
      <w:r w:rsidR="00760A44">
        <w:t>McGrau</w:t>
      </w:r>
      <w:r w:rsidR="00AB02CC">
        <w:t xml:space="preserve"> Ford </w:t>
      </w:r>
      <w:r w:rsidR="00D431C8">
        <w:t xml:space="preserve">Phase </w:t>
      </w:r>
      <w:r w:rsidR="00273612">
        <w:t>I</w:t>
      </w:r>
      <w:r w:rsidR="00D431C8">
        <w:t xml:space="preserve"> </w:t>
      </w:r>
      <w:r w:rsidR="00D431C8" w:rsidRPr="00A76FB3">
        <w:t>BESS</w:t>
      </w:r>
      <w:r w:rsidR="00512088" w:rsidRPr="00A76FB3">
        <w:t xml:space="preserve">, which </w:t>
      </w:r>
      <w:r w:rsidR="00093604" w:rsidRPr="00A76FB3">
        <w:t xml:space="preserve">was </w:t>
      </w:r>
      <w:r w:rsidR="00512088" w:rsidRPr="00A76FB3">
        <w:t>approved</w:t>
      </w:r>
      <w:r w:rsidR="00093604" w:rsidRPr="00A76FB3">
        <w:t xml:space="preserve"> on </w:t>
      </w:r>
      <w:r w:rsidR="4FC36CB9" w:rsidRPr="00A76FB3">
        <w:t xml:space="preserve">December </w:t>
      </w:r>
      <w:r w:rsidR="00CB4C85">
        <w:t xml:space="preserve">12, </w:t>
      </w:r>
      <w:r w:rsidR="4FC36CB9" w:rsidRPr="00A76FB3">
        <w:t>2024</w:t>
      </w:r>
      <w:r w:rsidR="00193A4F" w:rsidRPr="00A76FB3">
        <w:t>.</w:t>
      </w:r>
    </w:p>
    <w:p w14:paraId="6051F243" w14:textId="2C4F77C7" w:rsidR="00DA7931" w:rsidRDefault="00DA7931" w:rsidP="009A12F5">
      <w:pPr>
        <w:pStyle w:val="ListParagraph"/>
        <w:numPr>
          <w:ilvl w:val="0"/>
          <w:numId w:val="30"/>
        </w:numPr>
        <w:spacing w:after="120"/>
        <w:contextualSpacing w:val="0"/>
        <w:jc w:val="both"/>
      </w:pPr>
      <w:r>
        <w:t>Issued the All</w:t>
      </w:r>
      <w:r w:rsidR="00E14A1D">
        <w:t>-</w:t>
      </w:r>
      <w:r>
        <w:t xml:space="preserve">Source </w:t>
      </w:r>
      <w:r w:rsidR="005343C1">
        <w:t xml:space="preserve">Capacity </w:t>
      </w:r>
      <w:r>
        <w:t xml:space="preserve">RFP </w:t>
      </w:r>
      <w:r w:rsidR="005343C1">
        <w:t>for 2029-2031</w:t>
      </w:r>
      <w:r w:rsidR="00C544C7">
        <w:t xml:space="preserve"> </w:t>
      </w:r>
      <w:r w:rsidR="002E00C6">
        <w:t>on Ju</w:t>
      </w:r>
      <w:r w:rsidR="00AB36D2">
        <w:t>ne 20</w:t>
      </w:r>
      <w:r w:rsidR="002E00C6">
        <w:t>, 2024</w:t>
      </w:r>
      <w:r w:rsidR="00C544C7">
        <w:t>, and initiated e</w:t>
      </w:r>
      <w:r w:rsidR="00170C9B">
        <w:t xml:space="preserve">valuation of submissions. </w:t>
      </w:r>
      <w:r w:rsidR="00FA73A2" w:rsidRPr="00026CC5">
        <w:t xml:space="preserve">The Company is </w:t>
      </w:r>
      <w:r w:rsidR="00E33F3C">
        <w:t xml:space="preserve">actively </w:t>
      </w:r>
      <w:r w:rsidR="00FA73A2" w:rsidRPr="00026CC5">
        <w:t>evaluating the results of t</w:t>
      </w:r>
      <w:r w:rsidR="007D77A0">
        <w:t xml:space="preserve">his All-Source RFP </w:t>
      </w:r>
      <w:r w:rsidR="00FA73A2" w:rsidRPr="00026CC5">
        <w:t xml:space="preserve">as well as investigating additional resource options to meet customer needs </w:t>
      </w:r>
      <w:r w:rsidR="00FA73A2">
        <w:t xml:space="preserve">should </w:t>
      </w:r>
      <w:r w:rsidR="00FA73A2" w:rsidRPr="00026CC5">
        <w:t>the RFP</w:t>
      </w:r>
      <w:r w:rsidR="008C466E">
        <w:t xml:space="preserve"> be insufficient to fill all capacity needs</w:t>
      </w:r>
      <w:r w:rsidR="00FA73A2" w:rsidRPr="00026CC5">
        <w:t>.</w:t>
      </w:r>
      <w:r w:rsidR="00AA2187">
        <w:t xml:space="preserve"> </w:t>
      </w:r>
      <w:r w:rsidR="00853A01">
        <w:t xml:space="preserve">The Company expects to submit </w:t>
      </w:r>
      <w:r w:rsidR="00BE0783">
        <w:t xml:space="preserve">a </w:t>
      </w:r>
      <w:r w:rsidR="00853A01">
        <w:t xml:space="preserve">certification application for the winning </w:t>
      </w:r>
      <w:r w:rsidR="00DD2C98">
        <w:t xml:space="preserve">submissions </w:t>
      </w:r>
      <w:r w:rsidR="00170C9B">
        <w:t xml:space="preserve">in </w:t>
      </w:r>
      <w:r w:rsidR="00170C9B" w:rsidRPr="00F009DD">
        <w:t>July 2025</w:t>
      </w:r>
      <w:r w:rsidR="009C65DC">
        <w:t xml:space="preserve">, with </w:t>
      </w:r>
      <w:r w:rsidR="009E3DBD">
        <w:t xml:space="preserve">an order expected from the Commission by </w:t>
      </w:r>
      <w:r w:rsidR="009E3DBD" w:rsidRPr="00F009DD">
        <w:t>November 2025</w:t>
      </w:r>
      <w:r w:rsidR="009E3DBD">
        <w:t>.</w:t>
      </w:r>
    </w:p>
    <w:p w14:paraId="65552397" w14:textId="4D862BD3" w:rsidR="009E3DBD" w:rsidRDefault="004130BF" w:rsidP="009A12F5">
      <w:pPr>
        <w:pStyle w:val="ListParagraph"/>
        <w:numPr>
          <w:ilvl w:val="0"/>
          <w:numId w:val="30"/>
        </w:numPr>
        <w:spacing w:after="120"/>
        <w:contextualSpacing w:val="0"/>
        <w:jc w:val="both"/>
      </w:pPr>
      <w:r>
        <w:t xml:space="preserve">Issued the CARES </w:t>
      </w:r>
      <w:r w:rsidR="000B73CF">
        <w:t>2023 U</w:t>
      </w:r>
      <w:r w:rsidR="70DDF409">
        <w:t>S</w:t>
      </w:r>
      <w:r w:rsidR="000B73CF">
        <w:t xml:space="preserve"> RFP </w:t>
      </w:r>
      <w:r w:rsidR="003E3583">
        <w:t xml:space="preserve">for Renewable Generation on </w:t>
      </w:r>
      <w:r w:rsidR="002739DE">
        <w:t>December 22, 2023</w:t>
      </w:r>
      <w:r w:rsidR="00191B69">
        <w:t xml:space="preserve">. </w:t>
      </w:r>
      <w:r w:rsidR="00E9447D">
        <w:t xml:space="preserve">Determination of the Short List is slated to be announced </w:t>
      </w:r>
      <w:r w:rsidR="00F24A79">
        <w:t>in Q1 2025</w:t>
      </w:r>
      <w:r w:rsidR="00B92573">
        <w:t xml:space="preserve">. </w:t>
      </w:r>
      <w:r w:rsidR="005B43E8">
        <w:t xml:space="preserve">The </w:t>
      </w:r>
      <w:r w:rsidR="00CB2C0C">
        <w:t xml:space="preserve">Company expects to issue the </w:t>
      </w:r>
      <w:r w:rsidR="005B43E8">
        <w:t>CARES 2025 U</w:t>
      </w:r>
      <w:r w:rsidR="26767CEF">
        <w:t>S</w:t>
      </w:r>
      <w:r w:rsidR="005B43E8">
        <w:t xml:space="preserve"> RFP for Renewable Generation </w:t>
      </w:r>
      <w:r w:rsidR="00113462">
        <w:t xml:space="preserve">by </w:t>
      </w:r>
      <w:r w:rsidR="00CE6D86" w:rsidRPr="00F009DD">
        <w:t xml:space="preserve">June </w:t>
      </w:r>
      <w:r w:rsidR="00113462" w:rsidRPr="00F009DD">
        <w:t>2025</w:t>
      </w:r>
      <w:r w:rsidR="00113462">
        <w:t>.</w:t>
      </w:r>
    </w:p>
    <w:p w14:paraId="0ECB7DD1" w14:textId="435DC2FC" w:rsidR="00440FC2" w:rsidRDefault="007A6543" w:rsidP="00E33F3C">
      <w:pPr>
        <w:pStyle w:val="ListParagraph"/>
        <w:numPr>
          <w:ilvl w:val="0"/>
          <w:numId w:val="30"/>
        </w:numPr>
        <w:spacing w:after="120"/>
        <w:contextualSpacing w:val="0"/>
        <w:jc w:val="both"/>
      </w:pPr>
      <w:r>
        <w:t xml:space="preserve">Issued the </w:t>
      </w:r>
      <w:r w:rsidR="00713255">
        <w:t xml:space="preserve">2023 RFP for </w:t>
      </w:r>
      <w:r w:rsidR="00E326CA">
        <w:t xml:space="preserve">Solar Photovoltaic </w:t>
      </w:r>
      <w:r w:rsidR="00CC2E7A">
        <w:t xml:space="preserve">Distributed Generation </w:t>
      </w:r>
      <w:r w:rsidR="00074C15">
        <w:t xml:space="preserve">(“2023 DG RFP”) </w:t>
      </w:r>
      <w:r w:rsidR="002C76F4">
        <w:t>on August 2</w:t>
      </w:r>
      <w:r w:rsidR="0098671F">
        <w:t>8</w:t>
      </w:r>
      <w:r w:rsidR="002C76F4">
        <w:t>, 202</w:t>
      </w:r>
      <w:r w:rsidR="00132870">
        <w:t>3.</w:t>
      </w:r>
      <w:r w:rsidR="00AC1A4C">
        <w:t xml:space="preserve"> Executed </w:t>
      </w:r>
      <w:r w:rsidR="004F5D46">
        <w:t>12</w:t>
      </w:r>
      <w:r w:rsidR="00FA3E2B">
        <w:t xml:space="preserve"> </w:t>
      </w:r>
      <w:r w:rsidR="00AC1A4C">
        <w:t>PPAs</w:t>
      </w:r>
      <w:r w:rsidR="008F62BD">
        <w:t xml:space="preserve"> for a total of </w:t>
      </w:r>
      <w:r w:rsidR="004C0BCF">
        <w:t>approximately</w:t>
      </w:r>
      <w:r w:rsidR="008F62BD">
        <w:t xml:space="preserve"> </w:t>
      </w:r>
      <w:r w:rsidR="004F5D46">
        <w:t>42</w:t>
      </w:r>
      <w:r w:rsidR="008F62BD">
        <w:t xml:space="preserve"> </w:t>
      </w:r>
      <w:r w:rsidR="005A6852">
        <w:t>MW</w:t>
      </w:r>
      <w:r w:rsidR="00AC1A4C">
        <w:t>, each of which were deemed certified by the Commission</w:t>
      </w:r>
      <w:r w:rsidR="008F62BD">
        <w:t xml:space="preserve"> throughout the fall of 2024.</w:t>
      </w:r>
      <w:r w:rsidR="00132870" w:rsidDel="008F62BD">
        <w:t xml:space="preserve"> </w:t>
      </w:r>
    </w:p>
    <w:p w14:paraId="76C03EBC" w14:textId="50D92605" w:rsidR="00316DC5" w:rsidRDefault="00701393" w:rsidP="009A12F5">
      <w:pPr>
        <w:pStyle w:val="ListParagraph"/>
        <w:numPr>
          <w:ilvl w:val="0"/>
          <w:numId w:val="30"/>
        </w:numPr>
        <w:spacing w:after="120"/>
        <w:contextualSpacing w:val="0"/>
        <w:jc w:val="both"/>
      </w:pPr>
      <w:r>
        <w:t>Issued the 2024 RFP for Solar Photovoltaic Distributed Generation (“2024 DG RFP”) on O</w:t>
      </w:r>
      <w:r w:rsidRPr="00334D86">
        <w:t xml:space="preserve">ctober </w:t>
      </w:r>
      <w:r w:rsidR="003658C3" w:rsidRPr="00334D86">
        <w:t>8</w:t>
      </w:r>
      <w:r w:rsidRPr="00334D86">
        <w:t>, 2024</w:t>
      </w:r>
      <w:r>
        <w:t xml:space="preserve">. </w:t>
      </w:r>
      <w:r w:rsidR="00E91916">
        <w:t xml:space="preserve">The Company expects to submit certification applications for </w:t>
      </w:r>
      <w:r w:rsidR="008A5DF6">
        <w:t xml:space="preserve">successful bids </w:t>
      </w:r>
      <w:r w:rsidR="00FA6B59">
        <w:t>by September 2025.</w:t>
      </w:r>
    </w:p>
    <w:p w14:paraId="43B787F6" w14:textId="1D3E6683" w:rsidR="0003079F" w:rsidRDefault="0003079F" w:rsidP="009A12F5">
      <w:pPr>
        <w:pStyle w:val="ListParagraph"/>
        <w:numPr>
          <w:ilvl w:val="0"/>
          <w:numId w:val="30"/>
        </w:numPr>
        <w:spacing w:after="120"/>
        <w:contextualSpacing w:val="0"/>
        <w:jc w:val="both"/>
      </w:pPr>
      <w:r>
        <w:t xml:space="preserve">Issued the 2023 Biomass RFP and received certification </w:t>
      </w:r>
      <w:r w:rsidR="005C418A">
        <w:t>of approximately 78 MW of biomass resources</w:t>
      </w:r>
      <w:r>
        <w:t xml:space="preserve"> </w:t>
      </w:r>
      <w:r w:rsidR="00636D3F">
        <w:t xml:space="preserve">on </w:t>
      </w:r>
      <w:r w:rsidR="00FE45F2">
        <w:t>September 20, 2024</w:t>
      </w:r>
      <w:r>
        <w:t>.</w:t>
      </w:r>
    </w:p>
    <w:p w14:paraId="6EC7DDFB" w14:textId="6EB8F311" w:rsidR="0003079F" w:rsidRDefault="00373ED0" w:rsidP="009A12F5">
      <w:pPr>
        <w:pStyle w:val="ListParagraph"/>
        <w:numPr>
          <w:ilvl w:val="0"/>
          <w:numId w:val="30"/>
        </w:numPr>
        <w:spacing w:after="120"/>
        <w:contextualSpacing w:val="0"/>
        <w:jc w:val="both"/>
      </w:pPr>
      <w:r>
        <w:t>The</w:t>
      </w:r>
      <w:r w:rsidR="00C57110">
        <w:t xml:space="preserve"> Company expects to issue the</w:t>
      </w:r>
      <w:r>
        <w:t xml:space="preserve"> </w:t>
      </w:r>
      <w:r w:rsidR="0003079F">
        <w:t xml:space="preserve">500 MW ESS RFP </w:t>
      </w:r>
      <w:r w:rsidR="00C57110">
        <w:t xml:space="preserve">in </w:t>
      </w:r>
      <w:r w:rsidR="00C57110" w:rsidRPr="00F009DD">
        <w:t>Q</w:t>
      </w:r>
      <w:r w:rsidR="00F30839" w:rsidRPr="00F009DD">
        <w:t>4</w:t>
      </w:r>
      <w:r w:rsidR="00C57110" w:rsidRPr="00F009DD">
        <w:t xml:space="preserve"> 2025</w:t>
      </w:r>
      <w:r w:rsidR="00C57110">
        <w:t xml:space="preserve"> with expected </w:t>
      </w:r>
      <w:r w:rsidR="0003079F">
        <w:t xml:space="preserve">certification from the Commission in </w:t>
      </w:r>
      <w:r w:rsidR="00694846">
        <w:t>Q</w:t>
      </w:r>
      <w:r w:rsidR="00644505">
        <w:t>3 2027</w:t>
      </w:r>
      <w:r w:rsidR="0003079F" w:rsidRPr="00F009DD">
        <w:t>.</w:t>
      </w:r>
    </w:p>
    <w:p w14:paraId="308C82A3" w14:textId="5324D745" w:rsidR="001137D0" w:rsidRDefault="001137D0" w:rsidP="009A12F5">
      <w:pPr>
        <w:pStyle w:val="ListParagraph"/>
        <w:numPr>
          <w:ilvl w:val="0"/>
          <w:numId w:val="30"/>
        </w:numPr>
        <w:spacing w:after="120"/>
        <w:contextualSpacing w:val="0"/>
        <w:jc w:val="both"/>
      </w:pPr>
      <w:r>
        <w:lastRenderedPageBreak/>
        <w:t xml:space="preserve">Met with Commission Staff and the Independent Evaluator (“IE”) to determine the criteria </w:t>
      </w:r>
      <w:r w:rsidRPr="00B73376">
        <w:t>and method</w:t>
      </w:r>
      <w:r w:rsidR="00336139">
        <w:t xml:space="preserve">ology for </w:t>
      </w:r>
      <w:r w:rsidRPr="00B73376">
        <w:t>evaluating, ranking, and selecting bids through the best cost methodology</w:t>
      </w:r>
      <w:r>
        <w:t>, which was subsequently applied to the evaluation of bids received in the CARES U</w:t>
      </w:r>
      <w:r w:rsidR="00387405">
        <w:t xml:space="preserve">tility </w:t>
      </w:r>
      <w:r>
        <w:t>S</w:t>
      </w:r>
      <w:r w:rsidR="00387405">
        <w:t>cale</w:t>
      </w:r>
      <w:r>
        <w:t xml:space="preserve"> RFPs and DG RFPs. </w:t>
      </w:r>
    </w:p>
    <w:p w14:paraId="424EDA50" w14:textId="0594E5C5" w:rsidR="00E879AB" w:rsidRDefault="003D575F" w:rsidP="009A12F5">
      <w:pPr>
        <w:pStyle w:val="ListParagraph"/>
        <w:numPr>
          <w:ilvl w:val="0"/>
          <w:numId w:val="30"/>
        </w:numPr>
        <w:spacing w:after="120"/>
        <w:contextualSpacing w:val="0"/>
        <w:jc w:val="both"/>
      </w:pPr>
      <w:r>
        <w:t>Implemented</w:t>
      </w:r>
      <w:r w:rsidR="00E879AB">
        <w:t xml:space="preserve"> </w:t>
      </w:r>
      <w:r w:rsidR="00BD4BC4">
        <w:t>t</w:t>
      </w:r>
      <w:r w:rsidR="00E879AB">
        <w:t xml:space="preserve">he statewide solar DG </w:t>
      </w:r>
      <w:r w:rsidR="4B095432">
        <w:t>H</w:t>
      </w:r>
      <w:r w:rsidR="00E879AB">
        <w:t xml:space="preserve">osting </w:t>
      </w:r>
      <w:r w:rsidR="0626C1A4">
        <w:t>C</w:t>
      </w:r>
      <w:r w:rsidR="00E879AB">
        <w:t xml:space="preserve">apacity tool in November 2023. The tool </w:t>
      </w:r>
      <w:r w:rsidR="00B511A6">
        <w:t xml:space="preserve">supports the DG RFP process by </w:t>
      </w:r>
      <w:r w:rsidR="001137D0">
        <w:t>helping</w:t>
      </w:r>
      <w:r w:rsidR="00B642AC">
        <w:t xml:space="preserve"> </w:t>
      </w:r>
      <w:r w:rsidR="00CA180C">
        <w:t xml:space="preserve">potential bidders locate sites </w:t>
      </w:r>
      <w:r w:rsidR="00B40023">
        <w:t>based on</w:t>
      </w:r>
      <w:r w:rsidR="00E879AB">
        <w:t xml:space="preserve"> the results of feeder studies conducted </w:t>
      </w:r>
      <w:r w:rsidR="00B40023">
        <w:t>pursuant</w:t>
      </w:r>
      <w:r w:rsidR="00E879AB">
        <w:t xml:space="preserve"> </w:t>
      </w:r>
      <w:r w:rsidR="008C0D40">
        <w:t>to</w:t>
      </w:r>
      <w:r w:rsidR="00E879AB">
        <w:t xml:space="preserve"> the </w:t>
      </w:r>
      <w:r w:rsidR="00BD4BC4">
        <w:t xml:space="preserve">2022 </w:t>
      </w:r>
      <w:r w:rsidR="00E879AB">
        <w:t xml:space="preserve">IRP </w:t>
      </w:r>
      <w:r w:rsidR="001137D0">
        <w:t>O</w:t>
      </w:r>
      <w:r w:rsidR="00E879AB">
        <w:t xml:space="preserve">rder. The first annual update to the hosting capacity </w:t>
      </w:r>
      <w:r w:rsidR="0A2C0CB8">
        <w:t xml:space="preserve">tool </w:t>
      </w:r>
      <w:r w:rsidR="00B40023">
        <w:t>was released in</w:t>
      </w:r>
      <w:r w:rsidR="00E879AB">
        <w:t xml:space="preserve"> December 2024. The Company anticipates semi-annual updates to the tool beginning in 2025.</w:t>
      </w:r>
      <w:r w:rsidR="00D95727">
        <w:t xml:space="preserve"> </w:t>
      </w:r>
    </w:p>
    <w:p w14:paraId="71B936D2" w14:textId="348CB402" w:rsidR="00B221C7" w:rsidRDefault="00E5208B" w:rsidP="009A12F5">
      <w:pPr>
        <w:pStyle w:val="ListParagraph"/>
        <w:numPr>
          <w:ilvl w:val="0"/>
          <w:numId w:val="30"/>
        </w:numPr>
        <w:spacing w:after="120"/>
        <w:contextualSpacing w:val="0"/>
        <w:jc w:val="both"/>
      </w:pPr>
      <w:r>
        <w:t>Established the DG Working Group in coordination with Commission Staff</w:t>
      </w:r>
      <w:r w:rsidR="0036667F">
        <w:t xml:space="preserve"> in 2022</w:t>
      </w:r>
      <w:r w:rsidR="009A6A5E">
        <w:t xml:space="preserve"> and complied with all </w:t>
      </w:r>
      <w:r w:rsidR="00D55863">
        <w:t xml:space="preserve">DG Working Group </w:t>
      </w:r>
      <w:r w:rsidR="009A6A5E">
        <w:t xml:space="preserve">meeting and summary requirements from </w:t>
      </w:r>
      <w:r w:rsidR="001247FE">
        <w:t>the</w:t>
      </w:r>
      <w:r w:rsidR="00DC4B60">
        <w:t xml:space="preserve"> 2022 </w:t>
      </w:r>
      <w:r w:rsidR="001247FE">
        <w:t>IRP Final Order</w:t>
      </w:r>
      <w:r w:rsidR="00DD10E0">
        <w:t>.</w:t>
      </w:r>
    </w:p>
    <w:p w14:paraId="14F452F7" w14:textId="1A480891" w:rsidR="005705BF" w:rsidRDefault="00D82CFB" w:rsidP="009A12F5">
      <w:pPr>
        <w:pStyle w:val="ListParagraph"/>
        <w:numPr>
          <w:ilvl w:val="0"/>
          <w:numId w:val="30"/>
        </w:numPr>
        <w:spacing w:after="120"/>
        <w:contextualSpacing w:val="0"/>
        <w:jc w:val="both"/>
      </w:pPr>
      <w:r>
        <w:t xml:space="preserve">Filed quarterly </w:t>
      </w:r>
      <w:r w:rsidR="007C54F4">
        <w:t>Community Solar Participation Reports with the Commission beginning Q1 2023.</w:t>
      </w:r>
    </w:p>
    <w:p w14:paraId="01D91F9E" w14:textId="184A9226" w:rsidR="002C00B6" w:rsidRDefault="008450FB" w:rsidP="0B48BD14">
      <w:pPr>
        <w:pStyle w:val="ListParagraph"/>
        <w:numPr>
          <w:ilvl w:val="0"/>
          <w:numId w:val="30"/>
        </w:numPr>
        <w:spacing w:after="120"/>
        <w:contextualSpacing w:val="0"/>
        <w:jc w:val="both"/>
      </w:pPr>
      <w:r>
        <w:t>Executed contracts with</w:t>
      </w:r>
      <w:r w:rsidR="66F7FD12">
        <w:t xml:space="preserve"> </w:t>
      </w:r>
      <w:r w:rsidR="56B04168">
        <w:t xml:space="preserve">20 </w:t>
      </w:r>
      <w:r w:rsidR="66F7FD12">
        <w:t xml:space="preserve">customers </w:t>
      </w:r>
      <w:r w:rsidR="6934E47F">
        <w:t xml:space="preserve">to </w:t>
      </w:r>
      <w:r w:rsidR="66F7FD12">
        <w:t>participate in the Flex REC program</w:t>
      </w:r>
      <w:r w:rsidR="70BCBE34">
        <w:t>. T</w:t>
      </w:r>
      <w:r w:rsidR="66F7FD12">
        <w:t xml:space="preserve">he Company </w:t>
      </w:r>
      <w:r w:rsidR="3C0AE049">
        <w:t xml:space="preserve">has retired </w:t>
      </w:r>
      <w:r w:rsidR="56C3BB61" w:rsidRPr="00A358E9">
        <w:t>44</w:t>
      </w:r>
      <w:r w:rsidR="32EC0423">
        <w:t>3</w:t>
      </w:r>
      <w:r w:rsidR="1818B970">
        <w:t>,148</w:t>
      </w:r>
      <w:r w:rsidR="3C0AE049">
        <w:t xml:space="preserve"> RECs on their behalf since program commencement. </w:t>
      </w:r>
    </w:p>
    <w:p w14:paraId="759CFE9D" w14:textId="6DB3086C" w:rsidR="00465CBC" w:rsidRPr="0003079F" w:rsidRDefault="007224A6" w:rsidP="009A12F5">
      <w:pPr>
        <w:pStyle w:val="ListParagraph"/>
        <w:numPr>
          <w:ilvl w:val="0"/>
          <w:numId w:val="30"/>
        </w:numPr>
        <w:spacing w:after="120"/>
        <w:contextualSpacing w:val="0"/>
        <w:jc w:val="both"/>
      </w:pPr>
      <w:r w:rsidRPr="0003079F">
        <w:t>Met with Staff to resolve</w:t>
      </w:r>
      <w:r w:rsidR="0003079F" w:rsidRPr="0003079F">
        <w:t xml:space="preserve"> previously outstanding concerns regarding the </w:t>
      </w:r>
      <w:r w:rsidR="008E6B15" w:rsidRPr="0003079F">
        <w:t>RCB</w:t>
      </w:r>
      <w:r w:rsidR="0003079F" w:rsidRPr="0003079F">
        <w:t xml:space="preserve"> Framework and Renewable Integration Study. </w:t>
      </w:r>
      <w:r w:rsidR="00B020F8" w:rsidRPr="0003079F">
        <w:t xml:space="preserve">See </w:t>
      </w:r>
      <w:r w:rsidR="000D2BA1" w:rsidRPr="0003079F">
        <w:t>Technical Appendix Volume 2</w:t>
      </w:r>
      <w:r w:rsidR="00922FC9" w:rsidRPr="0003079F">
        <w:t xml:space="preserve"> for the updated RCB Framework and R</w:t>
      </w:r>
      <w:r w:rsidR="0089489F" w:rsidRPr="0003079F">
        <w:t>enewable Integration Study.</w:t>
      </w:r>
    </w:p>
    <w:p w14:paraId="7F40B5C8" w14:textId="405530E7" w:rsidR="005674FE" w:rsidRDefault="006557EA" w:rsidP="009A12F5">
      <w:pPr>
        <w:pStyle w:val="ListParagraph"/>
        <w:numPr>
          <w:ilvl w:val="0"/>
          <w:numId w:val="30"/>
        </w:numPr>
        <w:spacing w:after="120"/>
        <w:contextualSpacing w:val="0"/>
        <w:jc w:val="both"/>
      </w:pPr>
      <w:r>
        <w:t xml:space="preserve">Continued to file semi-annual </w:t>
      </w:r>
      <w:r w:rsidR="005013AE">
        <w:t xml:space="preserve">hydro modernization reports, </w:t>
      </w:r>
      <w:r w:rsidR="000B1455">
        <w:t>detailing the Company’s progress on its hydroelectric modernization efforts.</w:t>
      </w:r>
      <w:r w:rsidR="00442AD6">
        <w:t xml:space="preserve"> Submitted cost-benefit analysis </w:t>
      </w:r>
      <w:r w:rsidR="00694002">
        <w:t xml:space="preserve">for Plant Burton and for the hydro </w:t>
      </w:r>
      <w:r w:rsidR="00C9086D">
        <w:t>modernization requests in this 2025 IRP.</w:t>
      </w:r>
      <w:r w:rsidR="00346648">
        <w:t xml:space="preserve"> Additional information regarding progress on approved projects is in </w:t>
      </w:r>
      <w:r w:rsidR="00E7167F">
        <w:t>Section 8.</w:t>
      </w:r>
      <w:r w:rsidR="00141997">
        <w:t>6</w:t>
      </w:r>
      <w:r w:rsidR="00E7167F">
        <w:t>.</w:t>
      </w:r>
    </w:p>
    <w:p w14:paraId="2DE32A1E" w14:textId="4E262410" w:rsidR="000B1455" w:rsidRDefault="00C370C2" w:rsidP="009A12F5">
      <w:pPr>
        <w:pStyle w:val="ListParagraph"/>
        <w:numPr>
          <w:ilvl w:val="0"/>
          <w:numId w:val="30"/>
        </w:numPr>
        <w:spacing w:after="120"/>
        <w:contextualSpacing w:val="0"/>
        <w:jc w:val="both"/>
      </w:pPr>
      <w:r w:rsidRPr="00C370C2">
        <w:t xml:space="preserve">Continued to market the 250 MW DER Customer Program Pilot as a resiliency solution alongside the DCL, DCO, and CL Programs approved in the 2023 IRP Update. </w:t>
      </w:r>
    </w:p>
    <w:p w14:paraId="4DBE7D09" w14:textId="32A153C5" w:rsidR="00D4796C" w:rsidRDefault="00A654CB" w:rsidP="009A12F5">
      <w:pPr>
        <w:pStyle w:val="ListParagraph"/>
        <w:numPr>
          <w:ilvl w:val="0"/>
          <w:numId w:val="30"/>
        </w:numPr>
        <w:spacing w:after="120"/>
        <w:contextualSpacing w:val="0"/>
        <w:jc w:val="both"/>
      </w:pPr>
      <w:r>
        <w:t xml:space="preserve">Initiated the four </w:t>
      </w:r>
      <w:r w:rsidR="00AD4B74">
        <w:t xml:space="preserve">DER </w:t>
      </w:r>
      <w:r>
        <w:t>local reliability and constraints (</w:t>
      </w:r>
      <w:r w:rsidR="00F2052F">
        <w:t>“</w:t>
      </w:r>
      <w:r>
        <w:t>LRC</w:t>
      </w:r>
      <w:r w:rsidR="00F2052F">
        <w:t>”</w:t>
      </w:r>
      <w:r>
        <w:t>) pilot</w:t>
      </w:r>
      <w:r w:rsidR="002C3B1B">
        <w:t xml:space="preserve"> project</w:t>
      </w:r>
      <w:r>
        <w:t>s</w:t>
      </w:r>
      <w:r w:rsidR="004E6055">
        <w:t xml:space="preserve"> </w:t>
      </w:r>
      <w:r w:rsidR="00ED363F">
        <w:t xml:space="preserve">for </w:t>
      </w:r>
      <w:r w:rsidR="00D65774">
        <w:t xml:space="preserve">Mansfield, Savannah, </w:t>
      </w:r>
      <w:r w:rsidR="00486548">
        <w:t>Moreland Way, and Lake Sinclair feeders</w:t>
      </w:r>
      <w:r>
        <w:t xml:space="preserve">. Completed major activities including distribution feeder interconnection studies, defined site requirements, and development of DER plant technical requirements. Potential location options have been identified for the </w:t>
      </w:r>
      <w:r w:rsidR="00211263">
        <w:t xml:space="preserve">Mansfield and </w:t>
      </w:r>
      <w:r>
        <w:t>Lake Sinclair pilot</w:t>
      </w:r>
      <w:r w:rsidR="00360C33">
        <w:t xml:space="preserve"> project</w:t>
      </w:r>
      <w:r>
        <w:t xml:space="preserve">s. </w:t>
      </w:r>
      <w:r w:rsidR="00360C33">
        <w:t xml:space="preserve">Siting efforts for the Savannah and Moreland Way pilot projects are paused until </w:t>
      </w:r>
      <w:r w:rsidR="007B5586">
        <w:t xml:space="preserve">development of the Mansfield </w:t>
      </w:r>
      <w:r w:rsidR="00B6553E">
        <w:t xml:space="preserve">and Lake Sinclair </w:t>
      </w:r>
      <w:r w:rsidR="009553F3">
        <w:t xml:space="preserve">pilot projects </w:t>
      </w:r>
      <w:r w:rsidR="00D4796C">
        <w:t xml:space="preserve">is </w:t>
      </w:r>
      <w:r w:rsidR="009553F3">
        <w:t>complete.</w:t>
      </w:r>
    </w:p>
    <w:p w14:paraId="113B778E" w14:textId="773FE188" w:rsidR="00FF3F32" w:rsidRDefault="00F5220B" w:rsidP="009A12F5">
      <w:pPr>
        <w:pStyle w:val="ListParagraph"/>
        <w:numPr>
          <w:ilvl w:val="0"/>
          <w:numId w:val="30"/>
        </w:numPr>
        <w:spacing w:after="120"/>
        <w:contextualSpacing w:val="0"/>
        <w:jc w:val="both"/>
      </w:pPr>
      <w:r>
        <w:t>Filed Integrated Hydrogen Microgrid report</w:t>
      </w:r>
      <w:r w:rsidR="00635FE4">
        <w:t>s</w:t>
      </w:r>
      <w:r>
        <w:t xml:space="preserve"> on August 2, 2024, and </w:t>
      </w:r>
      <w:r w:rsidR="00AC392A">
        <w:t xml:space="preserve">November 4, 2024, </w:t>
      </w:r>
      <w:r>
        <w:t xml:space="preserve">and will continue to file </w:t>
      </w:r>
      <w:r w:rsidRPr="00C54953">
        <w:t>quarterly reports</w:t>
      </w:r>
      <w:r>
        <w:t xml:space="preserve"> </w:t>
      </w:r>
      <w:r w:rsidR="00EA0CAA">
        <w:t xml:space="preserve">on project progression </w:t>
      </w:r>
      <w:r w:rsidR="00D418D9">
        <w:t>consistent with</w:t>
      </w:r>
      <w:r w:rsidR="00FE68B5">
        <w:t xml:space="preserve"> the 2022 IRP </w:t>
      </w:r>
      <w:r w:rsidR="00D418D9">
        <w:t>O</w:t>
      </w:r>
      <w:r w:rsidR="00FE68B5">
        <w:t>rder.</w:t>
      </w:r>
    </w:p>
    <w:p w14:paraId="52432428" w14:textId="74D1681F" w:rsidR="006315D9" w:rsidRDefault="005F727C" w:rsidP="009A12F5">
      <w:pPr>
        <w:pStyle w:val="ListParagraph"/>
        <w:numPr>
          <w:ilvl w:val="0"/>
          <w:numId w:val="30"/>
        </w:numPr>
        <w:spacing w:after="120"/>
        <w:contextualSpacing w:val="0"/>
        <w:jc w:val="both"/>
      </w:pPr>
      <w:r>
        <w:t>Developing</w:t>
      </w:r>
      <w:r w:rsidR="008C20F6">
        <w:t xml:space="preserve"> the</w:t>
      </w:r>
      <w:r w:rsidR="006315D9">
        <w:t xml:space="preserve"> </w:t>
      </w:r>
      <w:r w:rsidR="007944B4">
        <w:t>S</w:t>
      </w:r>
      <w:r w:rsidR="006315D9">
        <w:t xml:space="preserve">ubsequent </w:t>
      </w:r>
      <w:r w:rsidR="007944B4">
        <w:t>L</w:t>
      </w:r>
      <w:r w:rsidR="006315D9">
        <w:t xml:space="preserve">icense </w:t>
      </w:r>
      <w:r w:rsidR="007944B4">
        <w:t>R</w:t>
      </w:r>
      <w:r w:rsidR="006315D9">
        <w:t xml:space="preserve">enewal </w:t>
      </w:r>
      <w:r w:rsidR="007944B4">
        <w:t xml:space="preserve">Application </w:t>
      </w:r>
      <w:r w:rsidR="006315D9">
        <w:t>(“SLR</w:t>
      </w:r>
      <w:r w:rsidR="007944B4">
        <w:t>A</w:t>
      </w:r>
      <w:r w:rsidR="006315D9">
        <w:t xml:space="preserve">”) </w:t>
      </w:r>
      <w:r w:rsidR="007944B4">
        <w:t xml:space="preserve">and Environmental Report </w:t>
      </w:r>
      <w:r w:rsidR="00217FAD">
        <w:t>(</w:t>
      </w:r>
      <w:r w:rsidR="00967A82">
        <w:t xml:space="preserve">“ER”) </w:t>
      </w:r>
      <w:r w:rsidR="007944B4">
        <w:t>submittal</w:t>
      </w:r>
      <w:r w:rsidR="006A4DAA">
        <w:t xml:space="preserve"> </w:t>
      </w:r>
      <w:r w:rsidR="00967A82">
        <w:t xml:space="preserve">to </w:t>
      </w:r>
      <w:r w:rsidR="00250DF6">
        <w:t xml:space="preserve">U.S. </w:t>
      </w:r>
      <w:r w:rsidR="00967A82">
        <w:t>N</w:t>
      </w:r>
      <w:r w:rsidR="00F454D5">
        <w:t>uclear Regulatory Commission (“NRC”)</w:t>
      </w:r>
      <w:r w:rsidR="008C20F6">
        <w:t xml:space="preserve"> for the Plant Hatch nuclear units</w:t>
      </w:r>
      <w:r w:rsidR="006C0CFC">
        <w:t xml:space="preserve">, which is scheduled to be filed </w:t>
      </w:r>
      <w:r w:rsidR="0029396F">
        <w:t>by</w:t>
      </w:r>
      <w:r w:rsidR="00F454D5" w:rsidDel="006C0CFC">
        <w:t xml:space="preserve"> </w:t>
      </w:r>
      <w:r w:rsidR="00C41933">
        <w:t xml:space="preserve">the </w:t>
      </w:r>
      <w:r w:rsidR="0029396F">
        <w:t xml:space="preserve">end of </w:t>
      </w:r>
      <w:r w:rsidR="00F009DD">
        <w:t>Q3</w:t>
      </w:r>
      <w:r w:rsidR="00E03BFA">
        <w:t xml:space="preserve"> 2025 </w:t>
      </w:r>
      <w:r w:rsidR="00C41933">
        <w:t>with</w:t>
      </w:r>
      <w:r w:rsidR="00E03BFA">
        <w:t xml:space="preserve"> the License Extension </w:t>
      </w:r>
      <w:r w:rsidR="00C41933">
        <w:t xml:space="preserve">expected to be approved in </w:t>
      </w:r>
      <w:r w:rsidR="00F009DD">
        <w:t>Q3</w:t>
      </w:r>
      <w:r w:rsidR="00504EC4">
        <w:t xml:space="preserve"> 2027</w:t>
      </w:r>
      <w:r w:rsidR="00BC29DE">
        <w:t>.</w:t>
      </w:r>
      <w:r w:rsidR="00491260">
        <w:t xml:space="preserve"> The project is </w:t>
      </w:r>
      <w:r w:rsidR="0029396F">
        <w:t>on track</w:t>
      </w:r>
      <w:r w:rsidR="00491260">
        <w:t xml:space="preserve"> of the orig</w:t>
      </w:r>
      <w:r w:rsidR="00213602">
        <w:t>inal baseline schedule and budget.</w:t>
      </w:r>
    </w:p>
    <w:p w14:paraId="2F131CA7" w14:textId="7F54539E" w:rsidR="00A654CB" w:rsidRDefault="2A3EAC84" w:rsidP="00CB49E9">
      <w:pPr>
        <w:pStyle w:val="ListParagraph"/>
        <w:numPr>
          <w:ilvl w:val="0"/>
          <w:numId w:val="30"/>
        </w:numPr>
        <w:spacing w:after="120"/>
        <w:contextualSpacing w:val="0"/>
        <w:jc w:val="both"/>
      </w:pPr>
      <w:r>
        <w:lastRenderedPageBreak/>
        <w:t xml:space="preserve">In </w:t>
      </w:r>
      <w:r w:rsidR="47CB0402">
        <w:t xml:space="preserve">accordance with the </w:t>
      </w:r>
      <w:r w:rsidR="0C7C8CD1">
        <w:t>Vogtle Prudence Order</w:t>
      </w:r>
      <w:r w:rsidR="25B9944B">
        <w:t xml:space="preserve">, </w:t>
      </w:r>
      <w:r w:rsidR="1F8DA3B4">
        <w:t xml:space="preserve">the Company has </w:t>
      </w:r>
      <w:r w:rsidR="4399DE54">
        <w:t>developed a</w:t>
      </w:r>
      <w:r w:rsidR="21669F8B">
        <w:t xml:space="preserve"> DSM case </w:t>
      </w:r>
      <w:r w:rsidR="31C560DF">
        <w:t>proposing</w:t>
      </w:r>
      <w:r w:rsidR="21669F8B">
        <w:t xml:space="preserve"> a savings target of at least 0.75%</w:t>
      </w:r>
      <w:r w:rsidR="0737CB52">
        <w:t xml:space="preserve"> of annual retail sales as part of the 2025 IRP and DSM Certification</w:t>
      </w:r>
      <w:r w:rsidR="0C7C8CD1">
        <w:t xml:space="preserve"> Application. </w:t>
      </w:r>
    </w:p>
    <w:p w14:paraId="7147C8F2" w14:textId="04C060F0" w:rsidR="03AC912D" w:rsidRDefault="339C001A" w:rsidP="00CB49E9">
      <w:pPr>
        <w:pStyle w:val="ListParagraph"/>
        <w:numPr>
          <w:ilvl w:val="0"/>
          <w:numId w:val="30"/>
        </w:numPr>
        <w:spacing w:after="120"/>
        <w:contextualSpacing w:val="0"/>
        <w:jc w:val="both"/>
      </w:pPr>
      <w:r w:rsidRPr="00D65ACD">
        <w:t xml:space="preserve">Per the 2022 IRP Order and Commission Staff’s decision based on program evaluation findings, the Company paused the </w:t>
      </w:r>
      <w:r w:rsidRPr="0A6776FC">
        <w:t xml:space="preserve">Commercial Behavioral </w:t>
      </w:r>
      <w:r w:rsidRPr="00D65ACD">
        <w:t>program in 2025 pending decertification</w:t>
      </w:r>
      <w:r w:rsidRPr="0A6776FC">
        <w:t xml:space="preserve"> </w:t>
      </w:r>
      <w:r w:rsidR="0F9A882B" w:rsidRPr="0A6776FC">
        <w:t>in 2025 IRP</w:t>
      </w:r>
      <w:r w:rsidRPr="00D65ACD">
        <w:t>.</w:t>
      </w:r>
    </w:p>
    <w:p w14:paraId="0A4BC5DF" w14:textId="34281F85" w:rsidR="00A654CB" w:rsidRDefault="00A654CB" w:rsidP="009A12F5">
      <w:pPr>
        <w:pStyle w:val="ListParagraph"/>
        <w:numPr>
          <w:ilvl w:val="0"/>
          <w:numId w:val="30"/>
        </w:numPr>
        <w:spacing w:after="120"/>
        <w:contextualSpacing w:val="0"/>
        <w:jc w:val="both"/>
      </w:pPr>
      <w:r>
        <w:t xml:space="preserve">In accordance with both the 2022 IRP </w:t>
      </w:r>
      <w:r w:rsidR="0025771F">
        <w:t>action plan</w:t>
      </w:r>
      <w:r>
        <w:t xml:space="preserve"> and the 2022 Rate Case </w:t>
      </w:r>
      <w:r w:rsidR="0098442B">
        <w:t>Order Adopting Settlement</w:t>
      </w:r>
      <w:r w:rsidR="00513917">
        <w:t xml:space="preserve"> (“2022 Rate Case Order”)</w:t>
      </w:r>
      <w:r>
        <w:t xml:space="preserve">, the Company has pursued its </w:t>
      </w:r>
      <w:r w:rsidR="00D41D27">
        <w:t xml:space="preserve">DERMS </w:t>
      </w:r>
      <w:r>
        <w:t>solution and related technologies. The Company’s DERMS request for information (</w:t>
      </w:r>
      <w:r w:rsidR="00FF63E6">
        <w:t>“</w:t>
      </w:r>
      <w:r>
        <w:t>RFI</w:t>
      </w:r>
      <w:r w:rsidR="00FF63E6">
        <w:t>”</w:t>
      </w:r>
      <w:r>
        <w:t xml:space="preserve">) was completed in 2023, followed by a DERMS RFP that was completed in 2024. </w:t>
      </w:r>
      <w:r w:rsidR="00251E09">
        <w:t xml:space="preserve">Additional details are provided in Section </w:t>
      </w:r>
      <w:r w:rsidR="00870524">
        <w:t>10</w:t>
      </w:r>
      <w:r w:rsidR="00B563C7">
        <w:t>.</w:t>
      </w:r>
      <w:r w:rsidR="00211752">
        <w:t>4</w:t>
      </w:r>
      <w:r w:rsidR="00B563C7">
        <w:t>.</w:t>
      </w:r>
      <w:r>
        <w:t xml:space="preserve"> </w:t>
      </w:r>
    </w:p>
    <w:p w14:paraId="26A800C3" w14:textId="6E001C19" w:rsidR="00C57110" w:rsidRDefault="00C57110">
      <w:r>
        <w:br w:type="page"/>
      </w:r>
    </w:p>
    <w:p w14:paraId="3E2FE907" w14:textId="77777777" w:rsidR="00293A37" w:rsidRDefault="00293A37" w:rsidP="00293A37">
      <w:pPr>
        <w:jc w:val="both"/>
      </w:pPr>
    </w:p>
    <w:p w14:paraId="4F0B8982" w14:textId="77777777" w:rsidR="00293A37" w:rsidRDefault="00293A37" w:rsidP="00293A37">
      <w:pPr>
        <w:jc w:val="both"/>
      </w:pPr>
    </w:p>
    <w:p w14:paraId="08A72383" w14:textId="77777777" w:rsidR="00293A37" w:rsidRDefault="00293A37" w:rsidP="00293A37">
      <w:pPr>
        <w:jc w:val="both"/>
      </w:pPr>
    </w:p>
    <w:p w14:paraId="0F09FF8E" w14:textId="77777777" w:rsidR="00293A37" w:rsidRDefault="00293A37" w:rsidP="00293A37">
      <w:pPr>
        <w:jc w:val="both"/>
      </w:pPr>
    </w:p>
    <w:p w14:paraId="0D9DAF73" w14:textId="77777777" w:rsidR="00293A37" w:rsidRDefault="00293A37" w:rsidP="00293A37">
      <w:pPr>
        <w:jc w:val="both"/>
      </w:pPr>
    </w:p>
    <w:p w14:paraId="75607F7A" w14:textId="77777777" w:rsidR="00293A37" w:rsidRDefault="00293A37" w:rsidP="00293A37">
      <w:pPr>
        <w:jc w:val="both"/>
      </w:pPr>
    </w:p>
    <w:p w14:paraId="12076E13" w14:textId="77777777" w:rsidR="00293A37" w:rsidRDefault="00293A37" w:rsidP="00293A37">
      <w:pPr>
        <w:jc w:val="both"/>
      </w:pPr>
    </w:p>
    <w:p w14:paraId="42168108" w14:textId="77777777" w:rsidR="00293A37" w:rsidRDefault="00293A37" w:rsidP="00293A37">
      <w:pPr>
        <w:jc w:val="both"/>
      </w:pPr>
    </w:p>
    <w:p w14:paraId="7460D73C" w14:textId="77777777" w:rsidR="00293A37" w:rsidRDefault="00293A37" w:rsidP="00293A37">
      <w:pPr>
        <w:jc w:val="both"/>
      </w:pPr>
    </w:p>
    <w:p w14:paraId="422E1601" w14:textId="77777777" w:rsidR="00293A37" w:rsidRDefault="00293A37" w:rsidP="00293A37">
      <w:pPr>
        <w:jc w:val="both"/>
      </w:pPr>
    </w:p>
    <w:p w14:paraId="7D0EEBEB" w14:textId="77777777" w:rsidR="00293A37" w:rsidRDefault="00293A37" w:rsidP="00293A37">
      <w:pPr>
        <w:jc w:val="both"/>
      </w:pPr>
    </w:p>
    <w:p w14:paraId="579D075A" w14:textId="407D821E" w:rsidR="00293A37" w:rsidRDefault="00293A37" w:rsidP="00293A37">
      <w:pPr>
        <w:jc w:val="center"/>
        <w:rPr>
          <w:rFonts w:asciiTheme="majorHAnsi" w:eastAsiaTheme="majorEastAsia" w:hAnsiTheme="majorHAnsi" w:cstheme="majorBidi"/>
          <w:color w:val="0F4761" w:themeColor="accent1" w:themeShade="BF"/>
          <w:sz w:val="40"/>
          <w:szCs w:val="40"/>
        </w:rPr>
      </w:pPr>
      <w:r>
        <w:t>[This page is intentionally left blank.]</w:t>
      </w:r>
      <w:r>
        <w:br w:type="page"/>
      </w:r>
    </w:p>
    <w:p w14:paraId="491E53C0" w14:textId="1BA6587A" w:rsidR="00837FDA" w:rsidRDefault="002B03C2" w:rsidP="00EC58BB">
      <w:pPr>
        <w:pStyle w:val="Heading1"/>
      </w:pPr>
      <w:bookmarkStart w:id="16" w:name="_Toc189122742"/>
      <w:r>
        <w:lastRenderedPageBreak/>
        <w:t xml:space="preserve">Chapter 3. </w:t>
      </w:r>
      <w:r w:rsidR="00EC58BB">
        <w:t>Integrated Resource Planning</w:t>
      </w:r>
      <w:bookmarkEnd w:id="16"/>
    </w:p>
    <w:p w14:paraId="073ADBAC" w14:textId="56D2DF1A" w:rsidR="00515C71" w:rsidRDefault="00515C71" w:rsidP="00515C71">
      <w:pPr>
        <w:jc w:val="both"/>
      </w:pPr>
      <w:r>
        <w:t>The development of Georgia Power’s triennial IRP is part of a continuous planning process involving many diverse disciplines and areas of expertise from Georgia Power and Southern Company Services (“SCS”). This process provides for a</w:t>
      </w:r>
      <w:r w:rsidR="3AB9D993">
        <w:t xml:space="preserve"> </w:t>
      </w:r>
      <w:r w:rsidR="00FF0D72">
        <w:t xml:space="preserve">structured, </w:t>
      </w:r>
      <w:r w:rsidR="3AB9D993">
        <w:t>robust</w:t>
      </w:r>
      <w:r w:rsidR="00FF0D72">
        <w:t>,</w:t>
      </w:r>
      <w:r w:rsidR="3AB9D993">
        <w:t xml:space="preserve"> </w:t>
      </w:r>
      <w:r>
        <w:t xml:space="preserve">and </w:t>
      </w:r>
      <w:r w:rsidR="10235F9A">
        <w:t>well-</w:t>
      </w:r>
      <w:r>
        <w:t>reasoned framework through which both demand-</w:t>
      </w:r>
      <w:r w:rsidR="703D7E90">
        <w:t>side</w:t>
      </w:r>
      <w:r w:rsidR="5E125843">
        <w:t xml:space="preserve"> </w:t>
      </w:r>
      <w:r>
        <w:t xml:space="preserve">and supply-side resources are </w:t>
      </w:r>
      <w:r w:rsidR="0F56AD70">
        <w:t>equitably evaluated</w:t>
      </w:r>
      <w:r>
        <w:t xml:space="preserve"> to develop a plan that provides for reliable and economical electric energy to serve customers’ </w:t>
      </w:r>
      <w:r w:rsidR="357DD756">
        <w:t xml:space="preserve">energy </w:t>
      </w:r>
      <w:r>
        <w:t xml:space="preserve">needs. </w:t>
      </w:r>
    </w:p>
    <w:p w14:paraId="1B6CB50E" w14:textId="3C5BDC72" w:rsidR="00435F61" w:rsidRDefault="00435F61" w:rsidP="00744210">
      <w:pPr>
        <w:pStyle w:val="Heading2"/>
      </w:pPr>
      <w:bookmarkStart w:id="17" w:name="_Toc189122743"/>
      <w:r>
        <w:t>3.1 – IRP Process</w:t>
      </w:r>
      <w:bookmarkEnd w:id="17"/>
    </w:p>
    <w:p w14:paraId="780A06DC" w14:textId="60B17549" w:rsidR="00515C71" w:rsidRDefault="00515C71" w:rsidP="00515C71">
      <w:pPr>
        <w:jc w:val="both"/>
      </w:pPr>
      <w:r>
        <w:t xml:space="preserve">The IRP process includes sequential </w:t>
      </w:r>
      <w:r w:rsidR="7CD91682">
        <w:t>planning</w:t>
      </w:r>
      <w:r>
        <w:t xml:space="preserve"> steps</w:t>
      </w:r>
      <w:r w:rsidR="5EE35A72">
        <w:t xml:space="preserve"> used to </w:t>
      </w:r>
      <w:r>
        <w:t>determin</w:t>
      </w:r>
      <w:r w:rsidR="3A82A05D">
        <w:t>e resource needs</w:t>
      </w:r>
      <w:r>
        <w:t>, produc</w:t>
      </w:r>
      <w:r w:rsidR="0D9E8790">
        <w:t>e</w:t>
      </w:r>
      <w:r>
        <w:t xml:space="preserve"> generic expansion plans, and </w:t>
      </w:r>
      <w:r w:rsidR="029360F1">
        <w:t>develop</w:t>
      </w:r>
      <w:r>
        <w:t xml:space="preserve"> System marginal energy cost forecasts that inform </w:t>
      </w:r>
      <w:r w:rsidR="55A11508">
        <w:t>resource</w:t>
      </w:r>
      <w:r>
        <w:t xml:space="preserve"> planning decisions. When developing the IRP, the Company begins by establishing reliability criteria while assessing the System’s overall reliability needs. During this step, the Company establishes seasonal target reserve margins that define the appropriate level of reliability for the System. This step also considers the potential reliability contribution of new resource additions while routinely seeking to proactively identify potential evolutions in System reliability needs. The Company then applies these reliability criteria to the demand and energy forecasts to determine the amount and type of capacity that is required to reliably meet forecasted </w:t>
      </w:r>
      <w:r w:rsidR="00AD6D45">
        <w:t xml:space="preserve">capacity </w:t>
      </w:r>
      <w:r w:rsidR="00CB4343">
        <w:t>needs</w:t>
      </w:r>
      <w:r>
        <w:t xml:space="preserve">. The amount of capacity required is compared to existing, planned, and committed resources. This comparison results in a needs determination, which establishes the amount and timing of capacity needs. </w:t>
      </w:r>
      <w:r w:rsidR="00645D55">
        <w:t xml:space="preserve">Following </w:t>
      </w:r>
      <w:r>
        <w:t>these steps, the Company</w:t>
      </w:r>
      <w:r w:rsidDel="009D27DC">
        <w:t xml:space="preserve"> </w:t>
      </w:r>
      <w:r>
        <w:t xml:space="preserve">completes an expansion planning analysis that determines the optimal least-cost resource mix, or generic expansion plan. This analysis provides a roadmap of potential options to meet future needs. Using the generic expansion plan, more detailed production cost modeling is conducted to produce hourly forecasted marginal energy costs. </w:t>
      </w:r>
    </w:p>
    <w:p w14:paraId="33B61AA9" w14:textId="0CF5C59F" w:rsidR="00515C71" w:rsidRDefault="00515C71" w:rsidP="00515C71">
      <w:pPr>
        <w:jc w:val="both"/>
      </w:pPr>
      <w:r>
        <w:t xml:space="preserve">Using this information, the Company then performs resource-specific economic evaluations for both demand-side and supply-side options. If a need is identified in the timeframe required to plan and build the longest lead time resource, then a separate generation selection is performed. Once resource decisions are made, those decisions then become inputs that inform subsequent IRP processes. An overview of the process by which the IRP is developed is shown in Figure </w:t>
      </w:r>
      <w:r w:rsidR="00DC3731">
        <w:t>3</w:t>
      </w:r>
      <w:r w:rsidR="00E15528">
        <w:t>.1</w:t>
      </w:r>
      <w:r>
        <w:t>.</w:t>
      </w:r>
    </w:p>
    <w:p w14:paraId="6C299F3B" w14:textId="07521714" w:rsidR="00515C71" w:rsidRPr="00C16DFA" w:rsidRDefault="00515C71" w:rsidP="00823777">
      <w:pPr>
        <w:keepNext/>
        <w:jc w:val="center"/>
        <w:rPr>
          <w:i/>
          <w:iCs/>
        </w:rPr>
      </w:pPr>
      <w:r w:rsidRPr="00C16DFA">
        <w:rPr>
          <w:i/>
          <w:iCs/>
        </w:rPr>
        <w:t xml:space="preserve">Figure </w:t>
      </w:r>
      <w:r w:rsidR="00DC3731">
        <w:rPr>
          <w:i/>
          <w:iCs/>
        </w:rPr>
        <w:t>3</w:t>
      </w:r>
      <w:r w:rsidR="00E15528">
        <w:rPr>
          <w:i/>
          <w:iCs/>
        </w:rPr>
        <w:t>.1</w:t>
      </w:r>
      <w:r w:rsidRPr="00C16DFA">
        <w:rPr>
          <w:i/>
          <w:iCs/>
        </w:rPr>
        <w:t>: IRP Process</w:t>
      </w:r>
    </w:p>
    <w:p w14:paraId="13CE9279" w14:textId="026DB66C" w:rsidR="00515C71" w:rsidRDefault="00823777" w:rsidP="00515C71">
      <w:pPr>
        <w:jc w:val="both"/>
      </w:pPr>
      <w:r w:rsidRPr="00823777">
        <w:rPr>
          <w:noProof/>
        </w:rPr>
        <w:drawing>
          <wp:inline distT="0" distB="0" distL="0" distR="0" wp14:anchorId="595D1B63" wp14:editId="634788F3">
            <wp:extent cx="5943600" cy="2066290"/>
            <wp:effectExtent l="0" t="0" r="0" b="0"/>
            <wp:docPr id="3" name="Picture 2">
              <a:extLst xmlns:a="http://schemas.openxmlformats.org/drawingml/2006/main">
                <a:ext uri="{FF2B5EF4-FFF2-40B4-BE49-F238E27FC236}">
                  <a16:creationId xmlns:a16="http://schemas.microsoft.com/office/drawing/2014/main" id="{0D2BF0B6-2AB6-4D45-3A94-38E21CBC3C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0D2BF0B6-2AB6-4D45-3A94-38E21CBC3C9D}"/>
                        </a:ext>
                      </a:extLst>
                    </pic:cNvPr>
                    <pic:cNvPicPr>
                      <a:picLocks noChangeAspect="1"/>
                    </pic:cNvPicPr>
                  </pic:nvPicPr>
                  <pic:blipFill>
                    <a:blip r:embed="rId32"/>
                    <a:stretch>
                      <a:fillRect/>
                    </a:stretch>
                  </pic:blipFill>
                  <pic:spPr>
                    <a:xfrm>
                      <a:off x="0" y="0"/>
                      <a:ext cx="5943600" cy="2066290"/>
                    </a:xfrm>
                    <a:prstGeom prst="rect">
                      <a:avLst/>
                    </a:prstGeom>
                  </pic:spPr>
                </pic:pic>
              </a:graphicData>
            </a:graphic>
          </wp:inline>
        </w:drawing>
      </w:r>
    </w:p>
    <w:p w14:paraId="76D5DF21" w14:textId="77777777" w:rsidR="00515C71" w:rsidRDefault="00515C71" w:rsidP="00515C71">
      <w:pPr>
        <w:jc w:val="both"/>
      </w:pPr>
    </w:p>
    <w:p w14:paraId="35D9B835" w14:textId="4EC44FE6" w:rsidR="00515C71" w:rsidRPr="000B4B9A" w:rsidRDefault="0721271A" w:rsidP="00DC3731">
      <w:pPr>
        <w:jc w:val="both"/>
      </w:pPr>
      <w:r>
        <w:t>B</w:t>
      </w:r>
      <w:r w:rsidR="3DD8D5D3">
        <w:t>e</w:t>
      </w:r>
      <w:r>
        <w:t xml:space="preserve">cause </w:t>
      </w:r>
      <w:r w:rsidR="00515C71">
        <w:t>the future</w:t>
      </w:r>
      <w:r w:rsidR="31DE8B33">
        <w:t xml:space="preserve"> is inherently uncertain</w:t>
      </w:r>
      <w:r w:rsidR="00515C71">
        <w:t xml:space="preserve">, numerous scenarios </w:t>
      </w:r>
      <w:r w:rsidR="00CC033D">
        <w:t xml:space="preserve">with varying </w:t>
      </w:r>
      <w:r w:rsidR="71B7A874">
        <w:t xml:space="preserve">planning </w:t>
      </w:r>
      <w:r w:rsidR="00CC033D">
        <w:t>assumptions</w:t>
      </w:r>
      <w:r w:rsidR="00515C71">
        <w:t xml:space="preserve"> are developed to inform the Company’s resource planning decisions. The steps of the IRP process</w:t>
      </w:r>
      <w:r w:rsidR="00CC033D">
        <w:t xml:space="preserve"> described above</w:t>
      </w:r>
      <w:r w:rsidR="00515C71">
        <w:t xml:space="preserve"> are then conducted for each of the scenarios to produce a range of well-rounded results that facilitate the determination of the most appropriate solutions. This process is described in more detail throughout the 202</w:t>
      </w:r>
      <w:r w:rsidR="008876CA">
        <w:t>5</w:t>
      </w:r>
      <w:r w:rsidR="00515C71">
        <w:t xml:space="preserve"> IRP and </w:t>
      </w:r>
      <w:r w:rsidR="7C8DEAB1">
        <w:t>its</w:t>
      </w:r>
      <w:r w:rsidR="00515C71">
        <w:t xml:space="preserve"> Technical Appendices and results in a </w:t>
      </w:r>
      <w:r w:rsidR="5997511E">
        <w:t xml:space="preserve">resource </w:t>
      </w:r>
      <w:r w:rsidR="00515C71">
        <w:t>plan that incorporates demand-side and supply-side options to serve customers in a</w:t>
      </w:r>
      <w:r w:rsidR="65D75EF2">
        <w:t xml:space="preserve"> reliable and</w:t>
      </w:r>
      <w:r w:rsidR="00515C71">
        <w:t xml:space="preserve"> economical manner that appropriately accounts for flexibility and risk. The Company’s base case is established using </w:t>
      </w:r>
      <w:r w:rsidR="6C89D155">
        <w:t>a</w:t>
      </w:r>
      <w:r w:rsidR="00515C71">
        <w:t xml:space="preserve"> </w:t>
      </w:r>
      <w:r w:rsidR="0918F3C1">
        <w:t>planning scenario</w:t>
      </w:r>
      <w:r w:rsidR="00515C71">
        <w:t xml:space="preserve"> </w:t>
      </w:r>
      <w:r w:rsidR="63841692">
        <w:t>that includes the 111 GHG Rule</w:t>
      </w:r>
      <w:r w:rsidR="505F07EF">
        <w:t>s</w:t>
      </w:r>
      <w:r w:rsidR="00515C71">
        <w:t>.</w:t>
      </w:r>
    </w:p>
    <w:p w14:paraId="3E72B261" w14:textId="4ED50BF3" w:rsidR="00EC58BB" w:rsidRPr="00EE1B5E" w:rsidRDefault="006C0B19" w:rsidP="00EE1B5E">
      <w:pPr>
        <w:pStyle w:val="Heading2"/>
      </w:pPr>
      <w:bookmarkStart w:id="18" w:name="_Toc189122744"/>
      <w:r>
        <w:t>3.</w:t>
      </w:r>
      <w:r w:rsidR="00435F61">
        <w:t>2</w:t>
      </w:r>
      <w:r>
        <w:t xml:space="preserve"> </w:t>
      </w:r>
      <w:r w:rsidR="007405AE">
        <w:t xml:space="preserve">– </w:t>
      </w:r>
      <w:r w:rsidR="014259A8" w:rsidRPr="0098671F">
        <w:t>Scenario Development Overview</w:t>
      </w:r>
      <w:bookmarkEnd w:id="18"/>
    </w:p>
    <w:p w14:paraId="1E2589E1" w14:textId="78342F11" w:rsidR="00EC58BB" w:rsidRPr="00A55B44" w:rsidRDefault="014259A8" w:rsidP="005677C6">
      <w:pPr>
        <w:jc w:val="both"/>
      </w:pPr>
      <w:r w:rsidRPr="003500B9">
        <w:t>Many factors affecting</w:t>
      </w:r>
      <w:r>
        <w:t xml:space="preserve"> </w:t>
      </w:r>
      <w:r w:rsidR="003B6563">
        <w:t>resource</w:t>
      </w:r>
      <w:r w:rsidRPr="003500B9">
        <w:t xml:space="preserve"> planning </w:t>
      </w:r>
      <w:r w:rsidR="00B35F91">
        <w:t>involve future</w:t>
      </w:r>
      <w:r w:rsidR="4E34ACF6">
        <w:t xml:space="preserve"> uncertainties</w:t>
      </w:r>
      <w:r w:rsidRPr="003500B9">
        <w:t xml:space="preserve">. </w:t>
      </w:r>
      <w:r w:rsidR="5FC090D0" w:rsidRPr="003500B9">
        <w:t>Thus</w:t>
      </w:r>
      <w:r w:rsidRPr="003500B9">
        <w:t xml:space="preserve">, the </w:t>
      </w:r>
      <w:r w:rsidR="00E859F5">
        <w:t>C</w:t>
      </w:r>
      <w:r w:rsidRPr="003500B9">
        <w:t xml:space="preserve">ompany creates scenarios to </w:t>
      </w:r>
      <w:r w:rsidR="3C65118D" w:rsidRPr="003500B9">
        <w:t xml:space="preserve">help </w:t>
      </w:r>
      <w:r w:rsidRPr="003500B9">
        <w:t>understand</w:t>
      </w:r>
      <w:r w:rsidR="0567D169" w:rsidRPr="003500B9">
        <w:t xml:space="preserve"> these </w:t>
      </w:r>
      <w:r w:rsidR="001A1509">
        <w:t>future</w:t>
      </w:r>
      <w:r w:rsidRPr="003500B9">
        <w:t xml:space="preserve"> uncertaint</w:t>
      </w:r>
      <w:r w:rsidR="08A35D61" w:rsidRPr="003500B9">
        <w:t>ies</w:t>
      </w:r>
      <w:r w:rsidR="001A1509" w:rsidRPr="003500B9">
        <w:t xml:space="preserve">, </w:t>
      </w:r>
      <w:r w:rsidR="3CBCDEE7" w:rsidRPr="003500B9">
        <w:t>which</w:t>
      </w:r>
      <w:r w:rsidR="001A1509">
        <w:t xml:space="preserve"> </w:t>
      </w:r>
      <w:r w:rsidR="001A1509" w:rsidRPr="003500B9">
        <w:t>allow</w:t>
      </w:r>
      <w:r w:rsidR="5E839FB6" w:rsidRPr="003500B9">
        <w:t>s</w:t>
      </w:r>
      <w:r w:rsidR="001A1509">
        <w:t xml:space="preserve"> </w:t>
      </w:r>
      <w:r w:rsidR="683E016D" w:rsidRPr="003500B9">
        <w:t>it</w:t>
      </w:r>
      <w:r w:rsidR="001A1509">
        <w:t xml:space="preserve"> to make appropriate planning decisions</w:t>
      </w:r>
      <w:r w:rsidRPr="003500B9">
        <w:t xml:space="preserve">. Key uncertainties affecting planning include </w:t>
      </w:r>
      <w:r w:rsidR="002E0C8B">
        <w:t xml:space="preserve">(1) </w:t>
      </w:r>
      <w:r w:rsidRPr="003500B9">
        <w:t xml:space="preserve">future pressure on </w:t>
      </w:r>
      <w:r w:rsidR="0064104F">
        <w:t>CO</w:t>
      </w:r>
      <w:r w:rsidR="0064104F" w:rsidRPr="00AE4AED">
        <w:rPr>
          <w:vertAlign w:val="subscript"/>
        </w:rPr>
        <w:t>2</w:t>
      </w:r>
      <w:r>
        <w:t xml:space="preserve"> </w:t>
      </w:r>
      <w:r w:rsidR="00AD4BC9">
        <w:t>and other greenhouse gas</w:t>
      </w:r>
      <w:r w:rsidRPr="003500B9">
        <w:t xml:space="preserve"> </w:t>
      </w:r>
      <w:r w:rsidR="00884E75">
        <w:t>(“GHG”)</w:t>
      </w:r>
      <w:r w:rsidRPr="003500B9">
        <w:t xml:space="preserve"> emissions, </w:t>
      </w:r>
      <w:r w:rsidR="002E0C8B">
        <w:t xml:space="preserve">(2) </w:t>
      </w:r>
      <w:r w:rsidRPr="00A55B44">
        <w:t>cost and performance of future generating technologies,</w:t>
      </w:r>
      <w:r>
        <w:t xml:space="preserve"> </w:t>
      </w:r>
      <w:r w:rsidR="002E0C8B">
        <w:t>(3)</w:t>
      </w:r>
      <w:r w:rsidR="001A1509">
        <w:t> </w:t>
      </w:r>
      <w:r w:rsidRPr="003500B9">
        <w:t xml:space="preserve">future load growth, and </w:t>
      </w:r>
      <w:r w:rsidR="002E0C8B">
        <w:t xml:space="preserve">(4) </w:t>
      </w:r>
      <w:r w:rsidRPr="00A55B44">
        <w:t xml:space="preserve">future fuel prices. To construct its </w:t>
      </w:r>
      <w:r w:rsidR="00E859F5">
        <w:t>planning</w:t>
      </w:r>
      <w:r>
        <w:t xml:space="preserve"> </w:t>
      </w:r>
      <w:r w:rsidRPr="00A55B44">
        <w:t xml:space="preserve">scenarios, the </w:t>
      </w:r>
      <w:r w:rsidR="00E859F5">
        <w:t>C</w:t>
      </w:r>
      <w:r w:rsidRPr="003500B9">
        <w:t>ompany identifies different</w:t>
      </w:r>
      <w:r>
        <w:t xml:space="preserve"> </w:t>
      </w:r>
      <w:r w:rsidR="37250FDC">
        <w:t>reasonably</w:t>
      </w:r>
      <w:r>
        <w:t xml:space="preserve"> </w:t>
      </w:r>
      <w:r w:rsidRPr="003500B9">
        <w:t>plausible</w:t>
      </w:r>
      <w:r>
        <w:t xml:space="preserve"> </w:t>
      </w:r>
      <w:r w:rsidRPr="00A55B44">
        <w:t>views</w:t>
      </w:r>
      <w:r w:rsidR="788B7717">
        <w:t xml:space="preserve"> of the future</w:t>
      </w:r>
      <w:r>
        <w:t xml:space="preserve"> </w:t>
      </w:r>
      <w:r w:rsidRPr="003500B9">
        <w:t xml:space="preserve">that are </w:t>
      </w:r>
      <w:r w:rsidR="002E0C8B">
        <w:t>meaningfully</w:t>
      </w:r>
      <w:r w:rsidRPr="00A55B44">
        <w:t xml:space="preserve"> different from one another in each of these four areas. These views are </w:t>
      </w:r>
      <w:r w:rsidR="002E0C8B">
        <w:t xml:space="preserve">then </w:t>
      </w:r>
      <w:r w:rsidRPr="00A55B44">
        <w:t>combined to create several scenarios</w:t>
      </w:r>
      <w:r w:rsidR="56CA190D">
        <w:t xml:space="preserve">. For each scenario, </w:t>
      </w:r>
      <w:r w:rsidR="00E14CB8">
        <w:t xml:space="preserve">the Company </w:t>
      </w:r>
      <w:r w:rsidR="5DDD89D3">
        <w:t>uses it</w:t>
      </w:r>
      <w:r w:rsidR="181F909C">
        <w:t>s</w:t>
      </w:r>
      <w:r w:rsidR="5DDD89D3">
        <w:t xml:space="preserve"> modeling system, </w:t>
      </w:r>
      <w:r w:rsidR="00AC088D">
        <w:t>Aurora</w:t>
      </w:r>
      <w:r w:rsidR="5DDD89D3">
        <w:t>, to identify a l</w:t>
      </w:r>
      <w:r w:rsidR="0DE99DFE">
        <w:t>east-</w:t>
      </w:r>
      <w:r w:rsidR="5DDD89D3">
        <w:t xml:space="preserve">cost expansion plan </w:t>
      </w:r>
      <w:r w:rsidR="0DE99DFE">
        <w:t>that reliably meets load and satisfies many other conditions</w:t>
      </w:r>
      <w:r w:rsidRPr="00A55B44">
        <w:t>.</w:t>
      </w:r>
      <w:r w:rsidR="001A1509">
        <w:t xml:space="preserve"> </w:t>
      </w:r>
      <w:r w:rsidR="001A1509" w:rsidRPr="000528B0">
        <w:t>The views and scenarios are refreshed annually. For Budget 202</w:t>
      </w:r>
      <w:r w:rsidR="001A1509">
        <w:t>5</w:t>
      </w:r>
      <w:r w:rsidR="001A1509">
        <w:rPr>
          <w:rStyle w:val="FootnoteReference"/>
        </w:rPr>
        <w:footnoteReference w:id="10"/>
      </w:r>
      <w:r w:rsidR="001A1509" w:rsidRPr="000528B0">
        <w:t xml:space="preserve"> (“B202</w:t>
      </w:r>
      <w:r w:rsidR="001A1509">
        <w:t>5</w:t>
      </w:r>
      <w:r w:rsidR="001A1509" w:rsidRPr="000528B0">
        <w:t xml:space="preserve">”) the Company created </w:t>
      </w:r>
      <w:r w:rsidR="001A1509">
        <w:t>nine</w:t>
      </w:r>
      <w:r w:rsidR="001A1509" w:rsidRPr="000528B0">
        <w:t xml:space="preserve"> scenarios.</w:t>
      </w:r>
    </w:p>
    <w:p w14:paraId="71C92AF6" w14:textId="65C16797" w:rsidR="00EC58BB" w:rsidRPr="00A55B44" w:rsidRDefault="005B7121" w:rsidP="00A55B44">
      <w:pPr>
        <w:jc w:val="both"/>
      </w:pPr>
      <w:r w:rsidRPr="00A55B44">
        <w:t xml:space="preserve">As it relates to pressure on </w:t>
      </w:r>
      <w:r w:rsidR="0064104F">
        <w:t>CO</w:t>
      </w:r>
      <w:r w:rsidR="0064104F" w:rsidRPr="00AE4AED">
        <w:rPr>
          <w:vertAlign w:val="subscript"/>
        </w:rPr>
        <w:t>2</w:t>
      </w:r>
      <w:r w:rsidRPr="00A55B44">
        <w:t xml:space="preserve"> emissions, </w:t>
      </w:r>
      <w:r w:rsidR="008505B1" w:rsidRPr="00A55B44">
        <w:t xml:space="preserve">in the spring of 2024, </w:t>
      </w:r>
      <w:r w:rsidRPr="00A55B44">
        <w:t>the E</w:t>
      </w:r>
      <w:r w:rsidR="00D374F5">
        <w:t xml:space="preserve">nvironmental </w:t>
      </w:r>
      <w:r w:rsidRPr="00A55B44">
        <w:t>P</w:t>
      </w:r>
      <w:r w:rsidR="00D374F5">
        <w:t xml:space="preserve">rotection </w:t>
      </w:r>
      <w:r w:rsidRPr="00A55B44">
        <w:t>A</w:t>
      </w:r>
      <w:r w:rsidR="00D374F5">
        <w:t>gency (“</w:t>
      </w:r>
      <w:r w:rsidRPr="00A55B44">
        <w:t>EPA</w:t>
      </w:r>
      <w:r w:rsidR="00D374F5">
        <w:t>”)</w:t>
      </w:r>
      <w:r w:rsidR="008505B1" w:rsidRPr="00A55B44">
        <w:t xml:space="preserve"> </w:t>
      </w:r>
      <w:r>
        <w:t xml:space="preserve">finalized the 111 GHG Rules. </w:t>
      </w:r>
      <w:r w:rsidR="00B4377D">
        <w:t xml:space="preserve">See </w:t>
      </w:r>
      <w:r w:rsidR="00994053">
        <w:t>Chapter 9</w:t>
      </w:r>
      <w:r w:rsidR="00B4377D">
        <w:t xml:space="preserve"> for more details on these rules. </w:t>
      </w:r>
      <w:r w:rsidR="3FC8942B">
        <w:t>Because</w:t>
      </w:r>
      <w:r>
        <w:t xml:space="preserve"> the ultimate outcome </w:t>
      </w:r>
      <w:r w:rsidR="748D6293">
        <w:t xml:space="preserve">of </w:t>
      </w:r>
      <w:r w:rsidR="008505B1">
        <w:t xml:space="preserve">the 111 GHG Rules </w:t>
      </w:r>
      <w:r w:rsidR="4971EEEE">
        <w:t xml:space="preserve">is </w:t>
      </w:r>
      <w:r>
        <w:t xml:space="preserve">subject to legal uncertainty due to ongoing petitions for review, </w:t>
      </w:r>
      <w:r w:rsidR="005274D2">
        <w:t xml:space="preserve">the Company’s </w:t>
      </w:r>
      <w:r w:rsidR="4B774B3B">
        <w:t xml:space="preserve">planning scenarios </w:t>
      </w:r>
      <w:r w:rsidR="4BC591C3">
        <w:t xml:space="preserve">consider </w:t>
      </w:r>
      <w:r w:rsidR="4C635F8D">
        <w:t xml:space="preserve">both </w:t>
      </w:r>
      <w:r w:rsidR="4BC591C3">
        <w:t xml:space="preserve">the possibility that the rules remain in effect and </w:t>
      </w:r>
      <w:r w:rsidR="6C355346">
        <w:t xml:space="preserve">the possibility </w:t>
      </w:r>
      <w:r w:rsidR="4BC591C3">
        <w:t>that they do</w:t>
      </w:r>
      <w:r w:rsidR="005D26EF">
        <w:t xml:space="preserve"> not</w:t>
      </w:r>
      <w:r w:rsidR="4BC591C3">
        <w:t>.</w:t>
      </w:r>
    </w:p>
    <w:p w14:paraId="7BD92BAF" w14:textId="7878B59D" w:rsidR="00EC58BB" w:rsidRPr="00A55B44" w:rsidRDefault="014259A8" w:rsidP="00A55B44">
      <w:pPr>
        <w:jc w:val="both"/>
      </w:pPr>
      <w:r w:rsidRPr="00A55B44">
        <w:t>The Company annually refreshes the set of planning scenarios it uses for conducting resource analyses. Each year</w:t>
      </w:r>
      <w:r w:rsidR="00631A78">
        <w:t>,</w:t>
      </w:r>
      <w:r w:rsidRPr="00A55B44">
        <w:t xml:space="preserve"> the Company considers updates based on multiple factors</w:t>
      </w:r>
      <w:r w:rsidR="00513AA8">
        <w:t xml:space="preserve">, including </w:t>
      </w:r>
      <w:r w:rsidR="2B072E0A">
        <w:t>changes in regulation and legislation, techno</w:t>
      </w:r>
      <w:r w:rsidR="6A88EA5B">
        <w:t>logical</w:t>
      </w:r>
      <w:r w:rsidR="2B072E0A">
        <w:t xml:space="preserve"> developments, </w:t>
      </w:r>
      <w:r w:rsidR="401C5233">
        <w:t xml:space="preserve">revised </w:t>
      </w:r>
      <w:r w:rsidR="2DDB2A48">
        <w:t xml:space="preserve">economic projections and communication with current and potential customers, and </w:t>
      </w:r>
      <w:r w:rsidR="359BF787">
        <w:t xml:space="preserve">revised </w:t>
      </w:r>
      <w:r w:rsidR="2EC12BA5">
        <w:t>fuel market conditions</w:t>
      </w:r>
      <w:r w:rsidRPr="00A55B44">
        <w:t xml:space="preserve">. In </w:t>
      </w:r>
      <w:r w:rsidR="6082CC61">
        <w:t>constructing its scenario framework</w:t>
      </w:r>
      <w:r>
        <w:t xml:space="preserve">, </w:t>
      </w:r>
      <w:r w:rsidR="00105183">
        <w:t xml:space="preserve">the Company </w:t>
      </w:r>
      <w:r w:rsidR="5D423B19">
        <w:t xml:space="preserve">aims for </w:t>
      </w:r>
      <w:r w:rsidR="52D0CAD5">
        <w:t xml:space="preserve">a design in which </w:t>
      </w:r>
      <w:r w:rsidRPr="00BD49A6">
        <w:t>individual scenarios</w:t>
      </w:r>
      <w:r>
        <w:t xml:space="preserve"> </w:t>
      </w:r>
      <w:r w:rsidR="6934B6B1" w:rsidRPr="00A55B44">
        <w:t>are</w:t>
      </w:r>
      <w:r w:rsidRPr="00A55B44">
        <w:t xml:space="preserve"> meaningfully different from one another. Conducting analyses using scenarios that are </w:t>
      </w:r>
      <w:r w:rsidR="000775BB">
        <w:t>not</w:t>
      </w:r>
      <w:r w:rsidRPr="00A55B44">
        <w:t xml:space="preserve"> </w:t>
      </w:r>
      <w:r w:rsidR="6A588479">
        <w:t>meaningfully</w:t>
      </w:r>
      <w:r w:rsidRPr="00A55B44">
        <w:t xml:space="preserve"> different from one another does not add to the useful information provided by the overall analysis and can distort conclusions by over-representing similar assumptions in the analysis.</w:t>
      </w:r>
    </w:p>
    <w:p w14:paraId="599112D2" w14:textId="5C9D4123" w:rsidR="00EC58BB" w:rsidRPr="00BD49A6" w:rsidRDefault="007C50A6" w:rsidP="00A55B44">
      <w:pPr>
        <w:jc w:val="both"/>
      </w:pPr>
      <w:r>
        <w:t xml:space="preserve">The Company reviewed and updated </w:t>
      </w:r>
      <w:r w:rsidR="00126B46">
        <w:t>its</w:t>
      </w:r>
      <w:r w:rsidR="1C28CB72">
        <w:t xml:space="preserve"> views of future GHG pressure, future technology cost and performance, future load growth and future fuel prices and </w:t>
      </w:r>
      <w:r w:rsidR="00126B46">
        <w:t xml:space="preserve">created </w:t>
      </w:r>
      <w:r w:rsidR="0074464C">
        <w:t xml:space="preserve">nine </w:t>
      </w:r>
      <w:r w:rsidR="009716F8">
        <w:t xml:space="preserve">scenarios to support </w:t>
      </w:r>
      <w:r w:rsidR="00126B46">
        <w:t>i</w:t>
      </w:r>
      <w:r w:rsidR="6E2DC5C6">
        <w:t>t</w:t>
      </w:r>
      <w:r w:rsidR="00126B46">
        <w:t>s</w:t>
      </w:r>
      <w:r w:rsidR="009716F8">
        <w:t xml:space="preserve"> expansion </w:t>
      </w:r>
      <w:r w:rsidR="00126B46">
        <w:t>planning included</w:t>
      </w:r>
      <w:r w:rsidR="009716F8">
        <w:t xml:space="preserve"> in support of the 2025 IRP. </w:t>
      </w:r>
      <w:r w:rsidR="00126B46">
        <w:t xml:space="preserve">The </w:t>
      </w:r>
      <w:r w:rsidR="00CE11EC">
        <w:t xml:space="preserve">B2025 scenarios are </w:t>
      </w:r>
      <w:r w:rsidR="0075528E">
        <w:t xml:space="preserve">identified </w:t>
      </w:r>
      <w:r w:rsidR="00CE11EC">
        <w:t>below.</w:t>
      </w:r>
    </w:p>
    <w:p w14:paraId="0435664D" w14:textId="208A717D" w:rsidR="00EC58BB" w:rsidRPr="00A55B44" w:rsidRDefault="006C0B19" w:rsidP="000E35F7">
      <w:pPr>
        <w:pStyle w:val="Heading2"/>
        <w:rPr>
          <w:rFonts w:ascii="Aptos" w:eastAsia="Cambria" w:hAnsi="Aptos" w:cs="Cambria"/>
          <w:color w:val="000000" w:themeColor="text1"/>
        </w:rPr>
      </w:pPr>
      <w:bookmarkStart w:id="19" w:name="_Toc189122745"/>
      <w:r>
        <w:lastRenderedPageBreak/>
        <w:t>3.</w:t>
      </w:r>
      <w:r w:rsidR="00435F61">
        <w:t>3</w:t>
      </w:r>
      <w:r>
        <w:t xml:space="preserve"> </w:t>
      </w:r>
      <w:r w:rsidR="00C00F4D">
        <w:t xml:space="preserve">– </w:t>
      </w:r>
      <w:r w:rsidR="014259A8" w:rsidRPr="00A55B44">
        <w:t xml:space="preserve">B2025 </w:t>
      </w:r>
      <w:r w:rsidR="014259A8" w:rsidRPr="0066281D">
        <w:t>Scenarios</w:t>
      </w:r>
      <w:bookmarkEnd w:id="19"/>
    </w:p>
    <w:p w14:paraId="794D4FAD" w14:textId="6F31E3CF" w:rsidR="00EC58BB" w:rsidRPr="00A55B44" w:rsidRDefault="014259A8" w:rsidP="005677C6">
      <w:pPr>
        <w:jc w:val="both"/>
        <w:rPr>
          <w:rFonts w:ascii="Aptos" w:eastAsia="Cambria" w:hAnsi="Aptos" w:cs="Cambria"/>
          <w:color w:val="000000" w:themeColor="text1"/>
        </w:rPr>
      </w:pPr>
      <w:r w:rsidRPr="00A55B44">
        <w:rPr>
          <w:rFonts w:ascii="Aptos" w:eastAsia="Cambria" w:hAnsi="Aptos" w:cs="Cambria"/>
          <w:color w:val="000000" w:themeColor="text1"/>
        </w:rPr>
        <w:t xml:space="preserve">The </w:t>
      </w:r>
      <w:r w:rsidR="00CE11EC" w:rsidRPr="00A55B44">
        <w:rPr>
          <w:rFonts w:ascii="Aptos" w:eastAsia="Cambria" w:hAnsi="Aptos" w:cs="Cambria"/>
          <w:color w:val="000000" w:themeColor="text1"/>
        </w:rPr>
        <w:t>C</w:t>
      </w:r>
      <w:r w:rsidRPr="00A55B44">
        <w:rPr>
          <w:rFonts w:ascii="Aptos" w:eastAsia="Cambria" w:hAnsi="Aptos" w:cs="Cambria"/>
          <w:color w:val="000000" w:themeColor="text1"/>
        </w:rPr>
        <w:t xml:space="preserve">ompany considers multiple views of future pressure on the </w:t>
      </w:r>
      <w:r w:rsidR="00D8763F" w:rsidRPr="00A55B44">
        <w:rPr>
          <w:rFonts w:ascii="Aptos" w:eastAsia="Cambria" w:hAnsi="Aptos" w:cs="Cambria"/>
          <w:color w:val="000000" w:themeColor="text1"/>
        </w:rPr>
        <w:t>C</w:t>
      </w:r>
      <w:r w:rsidRPr="00A55B44">
        <w:rPr>
          <w:rFonts w:ascii="Aptos" w:eastAsia="Cambria" w:hAnsi="Aptos" w:cs="Cambria"/>
          <w:color w:val="000000" w:themeColor="text1"/>
        </w:rPr>
        <w:t>ompany’s CO</w:t>
      </w:r>
      <w:r w:rsidRPr="00A55B44">
        <w:rPr>
          <w:rFonts w:ascii="Aptos" w:eastAsia="Cambria" w:hAnsi="Aptos" w:cs="Cambria"/>
          <w:color w:val="000000" w:themeColor="text1"/>
          <w:vertAlign w:val="subscript"/>
        </w:rPr>
        <w:t>2</w:t>
      </w:r>
      <w:r w:rsidRPr="00A55B44">
        <w:rPr>
          <w:rFonts w:ascii="Aptos" w:eastAsia="Cambria" w:hAnsi="Aptos" w:cs="Cambria"/>
          <w:color w:val="000000" w:themeColor="text1"/>
        </w:rPr>
        <w:t xml:space="preserve"> emissions, </w:t>
      </w:r>
      <w:r w:rsidR="00EB22F8" w:rsidRPr="00A55B44">
        <w:rPr>
          <w:rFonts w:ascii="Aptos" w:eastAsia="Cambria" w:hAnsi="Aptos" w:cs="Cambria"/>
          <w:color w:val="000000" w:themeColor="text1"/>
        </w:rPr>
        <w:t xml:space="preserve">including the 111 GHG </w:t>
      </w:r>
      <w:r w:rsidR="00E30940">
        <w:rPr>
          <w:rFonts w:ascii="Aptos" w:eastAsia="Cambria" w:hAnsi="Aptos" w:cs="Cambria"/>
          <w:color w:val="000000" w:themeColor="text1"/>
        </w:rPr>
        <w:t>R</w:t>
      </w:r>
      <w:r w:rsidR="00E30940" w:rsidRPr="00BD49A6">
        <w:rPr>
          <w:rFonts w:ascii="Aptos" w:eastAsia="Cambria" w:hAnsi="Aptos" w:cs="Cambria"/>
          <w:color w:val="000000" w:themeColor="text1"/>
        </w:rPr>
        <w:t>ules</w:t>
      </w:r>
      <w:r w:rsidRPr="00BD49A6">
        <w:rPr>
          <w:rFonts w:ascii="Aptos" w:eastAsia="Cambria" w:hAnsi="Aptos" w:cs="Cambria"/>
          <w:color w:val="000000" w:themeColor="text1"/>
        </w:rPr>
        <w:t xml:space="preserve">, multiple views of future cost and performance of generating technologies, multiple views of future electricity consumption, and multiple views of the future price of fuels, especially natural gas. For </w:t>
      </w:r>
      <w:r w:rsidR="00D8763F" w:rsidRPr="00BD49A6">
        <w:rPr>
          <w:rFonts w:ascii="Aptos" w:eastAsia="Cambria" w:hAnsi="Aptos" w:cs="Cambria"/>
          <w:color w:val="000000" w:themeColor="text1"/>
        </w:rPr>
        <w:t>B2025</w:t>
      </w:r>
      <w:r w:rsidRPr="00BD49A6">
        <w:rPr>
          <w:rFonts w:ascii="Aptos" w:eastAsia="Cambria" w:hAnsi="Aptos" w:cs="Cambria"/>
          <w:color w:val="000000" w:themeColor="text1"/>
        </w:rPr>
        <w:t xml:space="preserve">, the </w:t>
      </w:r>
      <w:r w:rsidR="00D36A99" w:rsidRPr="00BD49A6">
        <w:rPr>
          <w:rFonts w:ascii="Aptos" w:eastAsia="Cambria" w:hAnsi="Aptos" w:cs="Cambria"/>
          <w:color w:val="000000" w:themeColor="text1"/>
        </w:rPr>
        <w:t>C</w:t>
      </w:r>
      <w:r w:rsidRPr="00BD49A6">
        <w:rPr>
          <w:rFonts w:ascii="Aptos" w:eastAsia="Cambria" w:hAnsi="Aptos" w:cs="Cambria"/>
          <w:color w:val="000000" w:themeColor="text1"/>
        </w:rPr>
        <w:t>ompany assembled multiple views in</w:t>
      </w:r>
      <w:r>
        <w:rPr>
          <w:rFonts w:ascii="Aptos" w:eastAsia="Cambria" w:hAnsi="Aptos" w:cs="Cambria"/>
          <w:color w:val="000000" w:themeColor="text1"/>
        </w:rPr>
        <w:t xml:space="preserve"> </w:t>
      </w:r>
      <w:r w:rsidRPr="00BD49A6">
        <w:rPr>
          <w:rFonts w:ascii="Aptos" w:eastAsia="Cambria" w:hAnsi="Aptos" w:cs="Cambria"/>
          <w:color w:val="000000" w:themeColor="text1"/>
        </w:rPr>
        <w:t>th</w:t>
      </w:r>
      <w:r w:rsidR="00D8763F" w:rsidRPr="00BD49A6">
        <w:rPr>
          <w:rFonts w:ascii="Aptos" w:eastAsia="Cambria" w:hAnsi="Aptos" w:cs="Cambria"/>
          <w:color w:val="000000" w:themeColor="text1"/>
        </w:rPr>
        <w:t>e</w:t>
      </w:r>
      <w:r w:rsidRPr="00BD49A6">
        <w:rPr>
          <w:rFonts w:ascii="Aptos" w:eastAsia="Cambria" w:hAnsi="Aptos" w:cs="Cambria"/>
          <w:color w:val="000000" w:themeColor="text1"/>
        </w:rPr>
        <w:t xml:space="preserve">se four areas into </w:t>
      </w:r>
      <w:r w:rsidR="005B7121" w:rsidRPr="00BD49A6">
        <w:rPr>
          <w:rFonts w:ascii="Aptos" w:eastAsia="Cambria" w:hAnsi="Aptos" w:cs="Cambria"/>
          <w:color w:val="000000" w:themeColor="text1"/>
        </w:rPr>
        <w:t>nine</w:t>
      </w:r>
      <w:r w:rsidRPr="00BD49A6">
        <w:rPr>
          <w:rFonts w:ascii="Aptos" w:eastAsia="Cambria" w:hAnsi="Aptos" w:cs="Cambria"/>
          <w:color w:val="000000" w:themeColor="text1"/>
        </w:rPr>
        <w:t xml:space="preserve"> </w:t>
      </w:r>
      <w:r w:rsidR="00AD4BC9">
        <w:rPr>
          <w:rFonts w:ascii="Aptos" w:eastAsia="Cambria" w:hAnsi="Aptos" w:cs="Cambria"/>
          <w:color w:val="000000" w:themeColor="text1"/>
        </w:rPr>
        <w:t xml:space="preserve">distinct </w:t>
      </w:r>
      <w:r w:rsidR="00D8763F" w:rsidRPr="00A55B44">
        <w:rPr>
          <w:rFonts w:ascii="Aptos" w:eastAsia="Cambria" w:hAnsi="Aptos" w:cs="Cambria"/>
          <w:color w:val="000000" w:themeColor="text1"/>
        </w:rPr>
        <w:t xml:space="preserve">planning </w:t>
      </w:r>
      <w:r w:rsidRPr="00A55B44">
        <w:rPr>
          <w:rFonts w:ascii="Aptos" w:eastAsia="Cambria" w:hAnsi="Aptos" w:cs="Cambria"/>
          <w:color w:val="000000" w:themeColor="text1"/>
        </w:rPr>
        <w:t>scenarios</w:t>
      </w:r>
      <w:r w:rsidR="00D8763F" w:rsidRPr="00A55B44">
        <w:rPr>
          <w:rFonts w:ascii="Aptos" w:eastAsia="Cambria" w:hAnsi="Aptos" w:cs="Cambria"/>
          <w:color w:val="000000" w:themeColor="text1"/>
        </w:rPr>
        <w:t>, which are</w:t>
      </w:r>
      <w:r w:rsidRPr="00A55B44">
        <w:rPr>
          <w:rFonts w:ascii="Aptos" w:eastAsia="Cambria" w:hAnsi="Aptos" w:cs="Cambria"/>
          <w:color w:val="000000" w:themeColor="text1"/>
        </w:rPr>
        <w:t xml:space="preserve"> summarized in Table</w:t>
      </w:r>
      <w:r w:rsidR="003B1BB8">
        <w:rPr>
          <w:rFonts w:ascii="Aptos" w:eastAsia="Cambria" w:hAnsi="Aptos" w:cs="Cambria"/>
          <w:color w:val="000000" w:themeColor="text1"/>
        </w:rPr>
        <w:t xml:space="preserve"> </w:t>
      </w:r>
      <w:r w:rsidR="005C3F2D">
        <w:rPr>
          <w:rFonts w:ascii="Aptos" w:eastAsia="Cambria" w:hAnsi="Aptos" w:cs="Cambria"/>
          <w:color w:val="000000" w:themeColor="text1"/>
        </w:rPr>
        <w:t>3.</w:t>
      </w:r>
      <w:r w:rsidR="00153F62">
        <w:rPr>
          <w:rFonts w:ascii="Aptos" w:eastAsia="Cambria" w:hAnsi="Aptos" w:cs="Cambria"/>
          <w:color w:val="000000" w:themeColor="text1"/>
        </w:rPr>
        <w:t>3</w:t>
      </w:r>
      <w:r w:rsidRPr="00A55B44">
        <w:rPr>
          <w:rFonts w:ascii="Aptos" w:eastAsia="Cambria" w:hAnsi="Aptos" w:cs="Cambria"/>
          <w:color w:val="000000" w:themeColor="text1"/>
        </w:rPr>
        <w:t xml:space="preserve">. </w:t>
      </w:r>
      <w:r w:rsidR="007A0019" w:rsidRPr="00A55B44">
        <w:rPr>
          <w:rFonts w:ascii="Aptos" w:eastAsia="Cambria" w:hAnsi="Aptos" w:cs="Cambria"/>
          <w:color w:val="000000" w:themeColor="text1"/>
        </w:rPr>
        <w:t>For example, a</w:t>
      </w:r>
      <w:r w:rsidR="00D8763F" w:rsidRPr="00A55B44">
        <w:rPr>
          <w:rFonts w:ascii="Aptos" w:eastAsia="Cambria" w:hAnsi="Aptos" w:cs="Cambria"/>
          <w:color w:val="000000" w:themeColor="text1"/>
        </w:rPr>
        <w:t xml:space="preserve">s shown in Table </w:t>
      </w:r>
      <w:r w:rsidR="005C3F2D">
        <w:rPr>
          <w:rFonts w:ascii="Aptos" w:eastAsia="Cambria" w:hAnsi="Aptos" w:cs="Cambria"/>
          <w:color w:val="000000" w:themeColor="text1"/>
        </w:rPr>
        <w:t>3.</w:t>
      </w:r>
      <w:r w:rsidR="00153F62">
        <w:rPr>
          <w:rFonts w:ascii="Aptos" w:eastAsia="Cambria" w:hAnsi="Aptos" w:cs="Cambria"/>
          <w:color w:val="000000" w:themeColor="text1"/>
        </w:rPr>
        <w:t>3</w:t>
      </w:r>
      <w:r w:rsidR="00872E36">
        <w:rPr>
          <w:rFonts w:ascii="Aptos" w:eastAsia="Cambria" w:hAnsi="Aptos" w:cs="Cambria"/>
          <w:color w:val="000000" w:themeColor="text1"/>
        </w:rPr>
        <w:t>,</w:t>
      </w:r>
      <w:r w:rsidR="007A0019" w:rsidRPr="00A55B44">
        <w:rPr>
          <w:rFonts w:ascii="Aptos" w:eastAsia="Cambria" w:hAnsi="Aptos" w:cs="Cambria"/>
          <w:color w:val="000000" w:themeColor="text1"/>
        </w:rPr>
        <w:t xml:space="preserve"> </w:t>
      </w:r>
      <w:r w:rsidRPr="00A55B44">
        <w:rPr>
          <w:rFonts w:ascii="Aptos" w:eastAsia="Cambria" w:hAnsi="Aptos" w:cs="Cambria"/>
          <w:color w:val="000000" w:themeColor="text1"/>
        </w:rPr>
        <w:t xml:space="preserve">Scenario </w:t>
      </w:r>
      <w:r w:rsidRPr="2E396D25">
        <w:rPr>
          <w:rFonts w:ascii="Aptos" w:eastAsia="Cambria" w:hAnsi="Aptos" w:cs="Cambria"/>
          <w:color w:val="000000" w:themeColor="text1"/>
        </w:rPr>
        <w:t>1</w:t>
      </w:r>
      <w:r w:rsidR="007A0019" w:rsidRPr="00A55B44">
        <w:rPr>
          <w:rFonts w:ascii="Aptos" w:eastAsia="Cambria" w:hAnsi="Aptos" w:cs="Cambria"/>
          <w:color w:val="000000" w:themeColor="text1"/>
        </w:rPr>
        <w:t xml:space="preserve"> (</w:t>
      </w:r>
      <w:r w:rsidR="52840494" w:rsidRPr="10B6C249">
        <w:rPr>
          <w:rFonts w:ascii="Aptos" w:eastAsia="Cambria" w:hAnsi="Aptos" w:cs="Cambria"/>
          <w:color w:val="000000" w:themeColor="text1"/>
        </w:rPr>
        <w:t>111-MG0</w:t>
      </w:r>
      <w:r w:rsidR="007A0019" w:rsidRPr="00BD49A6">
        <w:rPr>
          <w:rFonts w:ascii="Aptos" w:eastAsia="Cambria" w:hAnsi="Aptos" w:cs="Cambria"/>
          <w:color w:val="000000" w:themeColor="text1"/>
        </w:rPr>
        <w:t>)</w:t>
      </w:r>
      <w:r w:rsidRPr="00BD49A6">
        <w:rPr>
          <w:rFonts w:ascii="Aptos" w:eastAsia="Cambria" w:hAnsi="Aptos" w:cs="Cambria"/>
          <w:color w:val="000000" w:themeColor="text1"/>
        </w:rPr>
        <w:t xml:space="preserve"> is defined by pressure on CO</w:t>
      </w:r>
      <w:r w:rsidRPr="00BD49A6">
        <w:rPr>
          <w:rFonts w:ascii="Aptos" w:eastAsia="Cambria" w:hAnsi="Aptos" w:cs="Cambria"/>
          <w:color w:val="000000" w:themeColor="text1"/>
          <w:vertAlign w:val="subscript"/>
        </w:rPr>
        <w:t>2</w:t>
      </w:r>
      <w:r w:rsidRPr="00BD49A6">
        <w:rPr>
          <w:rFonts w:ascii="Aptos" w:eastAsia="Cambria" w:hAnsi="Aptos" w:cs="Cambria"/>
          <w:color w:val="000000" w:themeColor="text1"/>
        </w:rPr>
        <w:t xml:space="preserve"> emissions</w:t>
      </w:r>
      <w:r w:rsidR="004A3C64" w:rsidRPr="00BD49A6">
        <w:rPr>
          <w:rFonts w:ascii="Aptos" w:eastAsia="Cambria" w:hAnsi="Aptos" w:cs="Cambria"/>
          <w:color w:val="000000" w:themeColor="text1"/>
        </w:rPr>
        <w:t xml:space="preserve"> </w:t>
      </w:r>
      <w:r w:rsidR="1588178D" w:rsidRPr="2E396D25">
        <w:rPr>
          <w:rFonts w:ascii="Aptos" w:eastAsia="Cambria" w:hAnsi="Aptos" w:cs="Cambria"/>
          <w:color w:val="000000" w:themeColor="text1"/>
        </w:rPr>
        <w:t xml:space="preserve">consistent with the 111 GHG </w:t>
      </w:r>
      <w:r w:rsidR="00E30940">
        <w:rPr>
          <w:rFonts w:ascii="Aptos" w:eastAsia="Cambria" w:hAnsi="Aptos" w:cs="Cambria"/>
          <w:color w:val="000000" w:themeColor="text1"/>
        </w:rPr>
        <w:t>R</w:t>
      </w:r>
      <w:r w:rsidR="00E30940" w:rsidRPr="2E396D25">
        <w:rPr>
          <w:rFonts w:ascii="Aptos" w:eastAsia="Cambria" w:hAnsi="Aptos" w:cs="Cambria"/>
          <w:color w:val="000000" w:themeColor="text1"/>
        </w:rPr>
        <w:t>ules</w:t>
      </w:r>
      <w:r w:rsidR="1588178D" w:rsidRPr="2E396D25">
        <w:rPr>
          <w:rFonts w:ascii="Aptos" w:eastAsia="Cambria" w:hAnsi="Aptos" w:cs="Cambria"/>
          <w:color w:val="000000" w:themeColor="text1"/>
        </w:rPr>
        <w:t xml:space="preserve">, </w:t>
      </w:r>
      <w:r w:rsidR="004A3C64" w:rsidRPr="00BD49A6">
        <w:rPr>
          <w:rFonts w:ascii="Aptos" w:eastAsia="Cambria" w:hAnsi="Aptos" w:cs="Cambria"/>
          <w:color w:val="000000" w:themeColor="text1"/>
        </w:rPr>
        <w:t>includes</w:t>
      </w:r>
      <w:r w:rsidRPr="00BD49A6">
        <w:rPr>
          <w:rFonts w:ascii="Aptos" w:eastAsia="Cambria" w:hAnsi="Aptos" w:cs="Cambria"/>
          <w:color w:val="000000" w:themeColor="text1"/>
        </w:rPr>
        <w:t xml:space="preserve"> the </w:t>
      </w:r>
      <w:r w:rsidRPr="00BD49A6">
        <w:rPr>
          <w:rFonts w:ascii="Aptos" w:eastAsia="Cambria" w:hAnsi="Aptos" w:cs="Cambria"/>
          <w:i/>
          <w:color w:val="000000" w:themeColor="text1"/>
        </w:rPr>
        <w:t>Tech Portfolio</w:t>
      </w:r>
      <w:r w:rsidRPr="00BD49A6">
        <w:rPr>
          <w:rFonts w:ascii="Aptos" w:eastAsia="Cambria" w:hAnsi="Aptos" w:cs="Cambria"/>
          <w:color w:val="000000" w:themeColor="text1"/>
        </w:rPr>
        <w:t xml:space="preserve"> view of future cost and performance of technologies, the </w:t>
      </w:r>
      <w:r w:rsidRPr="00BD49A6">
        <w:rPr>
          <w:rFonts w:ascii="Aptos" w:eastAsia="Cambria" w:hAnsi="Aptos" w:cs="Cambria"/>
          <w:i/>
          <w:color w:val="000000" w:themeColor="text1"/>
        </w:rPr>
        <w:t>Standard</w:t>
      </w:r>
      <w:r w:rsidRPr="00BD49A6">
        <w:rPr>
          <w:rFonts w:ascii="Aptos" w:eastAsia="Cambria" w:hAnsi="Aptos" w:cs="Cambria"/>
          <w:color w:val="000000" w:themeColor="text1"/>
        </w:rPr>
        <w:t xml:space="preserve"> load forecast </w:t>
      </w:r>
      <w:r w:rsidR="5D0635EB" w:rsidRPr="59059E53">
        <w:rPr>
          <w:rFonts w:ascii="Aptos" w:eastAsia="Cambria" w:hAnsi="Aptos" w:cs="Cambria"/>
          <w:color w:val="000000" w:themeColor="text1"/>
        </w:rPr>
        <w:t>view</w:t>
      </w:r>
      <w:r w:rsidR="003F7CF4">
        <w:rPr>
          <w:rFonts w:ascii="Aptos" w:eastAsia="Cambria" w:hAnsi="Aptos" w:cs="Cambria"/>
          <w:color w:val="000000" w:themeColor="text1"/>
        </w:rPr>
        <w:t>,</w:t>
      </w:r>
      <w:r w:rsidR="5D0635EB" w:rsidRPr="59059E53">
        <w:rPr>
          <w:rFonts w:ascii="Aptos" w:eastAsia="Cambria" w:hAnsi="Aptos" w:cs="Cambria"/>
          <w:color w:val="000000" w:themeColor="text1"/>
        </w:rPr>
        <w:t xml:space="preserve"> </w:t>
      </w:r>
      <w:r w:rsidRPr="00A55B44">
        <w:rPr>
          <w:rFonts w:ascii="Aptos" w:eastAsia="Cambria" w:hAnsi="Aptos" w:cs="Cambria"/>
          <w:color w:val="000000" w:themeColor="text1"/>
        </w:rPr>
        <w:t xml:space="preserve">and the </w:t>
      </w:r>
      <w:r w:rsidRPr="00A55B44">
        <w:rPr>
          <w:rFonts w:ascii="Aptos" w:eastAsia="Cambria" w:hAnsi="Aptos" w:cs="Cambria"/>
          <w:i/>
          <w:color w:val="000000" w:themeColor="text1"/>
        </w:rPr>
        <w:t>Moderate</w:t>
      </w:r>
      <w:r w:rsidRPr="00A55B44">
        <w:rPr>
          <w:rFonts w:ascii="Aptos" w:eastAsia="Cambria" w:hAnsi="Aptos" w:cs="Cambria"/>
          <w:color w:val="000000" w:themeColor="text1"/>
        </w:rPr>
        <w:t xml:space="preserve"> view </w:t>
      </w:r>
      <w:r w:rsidR="00D022FB">
        <w:rPr>
          <w:rFonts w:ascii="Aptos" w:eastAsia="Cambria" w:hAnsi="Aptos" w:cs="Cambria"/>
          <w:color w:val="000000" w:themeColor="text1"/>
        </w:rPr>
        <w:t>of</w:t>
      </w:r>
      <w:r w:rsidRPr="00A55B44">
        <w:rPr>
          <w:rFonts w:ascii="Aptos" w:eastAsia="Cambria" w:hAnsi="Aptos" w:cs="Cambria"/>
          <w:color w:val="000000" w:themeColor="text1"/>
        </w:rPr>
        <w:t xml:space="preserve"> future fuel prices. </w:t>
      </w:r>
    </w:p>
    <w:p w14:paraId="3594D9D9" w14:textId="06BBF5F7" w:rsidR="00EC58BB" w:rsidRPr="0051012D" w:rsidRDefault="014259A8" w:rsidP="00A55B44">
      <w:pPr>
        <w:keepNext/>
        <w:jc w:val="center"/>
      </w:pPr>
      <w:r w:rsidRPr="00EF0244">
        <w:rPr>
          <w:i/>
        </w:rPr>
        <w:t xml:space="preserve">Table </w:t>
      </w:r>
      <w:r w:rsidR="005C3F2D">
        <w:rPr>
          <w:i/>
        </w:rPr>
        <w:t>3.</w:t>
      </w:r>
      <w:r w:rsidR="00303E2B">
        <w:rPr>
          <w:i/>
        </w:rPr>
        <w:t>3</w:t>
      </w:r>
      <w:r w:rsidRPr="00EF0244">
        <w:rPr>
          <w:i/>
        </w:rPr>
        <w:t>: B2025 Scenario Design</w:t>
      </w:r>
      <w:r w:rsidR="7FF5924C">
        <w:rPr>
          <w:noProof/>
        </w:rPr>
        <w:drawing>
          <wp:inline distT="0" distB="0" distL="0" distR="0" wp14:anchorId="5282CD90" wp14:editId="600D2B8A">
            <wp:extent cx="5943600" cy="2552700"/>
            <wp:effectExtent l="0" t="0" r="0" b="0"/>
            <wp:docPr id="2048566139" name="Picture 2048566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2552700"/>
                    </a:xfrm>
                    <a:prstGeom prst="rect">
                      <a:avLst/>
                    </a:prstGeom>
                  </pic:spPr>
                </pic:pic>
              </a:graphicData>
            </a:graphic>
          </wp:inline>
        </w:drawing>
      </w:r>
    </w:p>
    <w:p w14:paraId="01B21AC4" w14:textId="785EA8B9" w:rsidR="00EC58BB" w:rsidRPr="007B5596" w:rsidRDefault="00403B2C" w:rsidP="0DAA066A">
      <w:pPr>
        <w:rPr>
          <w:rFonts w:ascii="Aptos" w:eastAsia="Cambria" w:hAnsi="Aptos" w:cs="Cambria"/>
          <w:color w:val="000000" w:themeColor="text1"/>
        </w:rPr>
      </w:pPr>
      <w:r w:rsidRPr="007B5596">
        <w:rPr>
          <w:rFonts w:ascii="Aptos" w:eastAsia="Cambria" w:hAnsi="Aptos" w:cs="Cambria"/>
          <w:color w:val="000000" w:themeColor="text1"/>
        </w:rPr>
        <w:t>The description</w:t>
      </w:r>
      <w:r w:rsidR="00055779" w:rsidRPr="007B5596">
        <w:rPr>
          <w:rFonts w:ascii="Aptos" w:eastAsia="Cambria" w:hAnsi="Aptos" w:cs="Cambria"/>
          <w:color w:val="000000" w:themeColor="text1"/>
        </w:rPr>
        <w:t xml:space="preserve"> of the assumptions and details</w:t>
      </w:r>
      <w:r w:rsidR="014259A8" w:rsidRPr="007B5596">
        <w:rPr>
          <w:rFonts w:ascii="Aptos" w:eastAsia="Cambria" w:hAnsi="Aptos" w:cs="Cambria"/>
          <w:color w:val="000000" w:themeColor="text1"/>
        </w:rPr>
        <w:t xml:space="preserve"> of these different views are provided in the Scenario Views section below.</w:t>
      </w:r>
    </w:p>
    <w:p w14:paraId="521D0A4F" w14:textId="2CDF6201" w:rsidR="00EC58BB" w:rsidRPr="003F7CF4" w:rsidRDefault="014259A8" w:rsidP="007B5596">
      <w:pPr>
        <w:jc w:val="both"/>
        <w:rPr>
          <w:rFonts w:ascii="Aptos" w:eastAsia="Cambria" w:hAnsi="Aptos" w:cs="Cambria"/>
          <w:color w:val="000000" w:themeColor="text1"/>
        </w:rPr>
      </w:pPr>
      <w:r w:rsidRPr="007B5596">
        <w:rPr>
          <w:rFonts w:ascii="Aptos" w:eastAsia="Cambria" w:hAnsi="Aptos" w:cs="Cambria"/>
          <w:color w:val="000000" w:themeColor="text1"/>
        </w:rPr>
        <w:t xml:space="preserve">The B2025 scenario design recognizes future pressure on </w:t>
      </w:r>
      <w:r w:rsidR="0064104F">
        <w:rPr>
          <w:rFonts w:ascii="Aptos" w:eastAsia="Cambria" w:hAnsi="Aptos" w:cs="Cambria"/>
          <w:color w:val="000000" w:themeColor="text1"/>
        </w:rPr>
        <w:t>CO</w:t>
      </w:r>
      <w:r w:rsidR="0064104F" w:rsidRPr="00AE4AED">
        <w:rPr>
          <w:rFonts w:ascii="Aptos" w:eastAsia="Cambria" w:hAnsi="Aptos" w:cs="Cambria"/>
          <w:color w:val="000000" w:themeColor="text1"/>
          <w:vertAlign w:val="subscript"/>
        </w:rPr>
        <w:t>2</w:t>
      </w:r>
      <w:r w:rsidRPr="007B5596">
        <w:rPr>
          <w:rFonts w:ascii="Aptos" w:eastAsia="Cambria" w:hAnsi="Aptos" w:cs="Cambria"/>
          <w:color w:val="000000" w:themeColor="text1"/>
        </w:rPr>
        <w:t xml:space="preserve"> emissions as a key driver of the Company’s long-term planning. In constructing each scenario, views in each of the other areas—technology, load, and fuels—were assembled to be consistent with the view of GHG pressure in the scenario. For example, the technology view is designed so that availability of IRA tax credits is assumed to</w:t>
      </w:r>
      <w:r w:rsidRPr="69A6A14A">
        <w:rPr>
          <w:rFonts w:ascii="Aptos" w:eastAsia="Cambria" w:hAnsi="Aptos" w:cs="Cambria"/>
          <w:color w:val="000000" w:themeColor="text1"/>
        </w:rPr>
        <w:t xml:space="preserve"> </w:t>
      </w:r>
      <w:r w:rsidR="56C30332" w:rsidRPr="69A6A14A">
        <w:rPr>
          <w:rFonts w:ascii="Aptos" w:eastAsia="Cambria" w:hAnsi="Aptos" w:cs="Cambria"/>
          <w:color w:val="000000" w:themeColor="text1"/>
        </w:rPr>
        <w:t xml:space="preserve">continue until the end of the modeling horizon in scenarios with the </w:t>
      </w:r>
      <w:r w:rsidR="5D3371CD" w:rsidRPr="007B5596">
        <w:rPr>
          <w:rFonts w:ascii="Aptos" w:eastAsia="Cambria" w:hAnsi="Aptos" w:cs="Cambria"/>
          <w:i/>
          <w:color w:val="000000" w:themeColor="text1"/>
        </w:rPr>
        <w:t>111</w:t>
      </w:r>
      <w:r w:rsidR="5D3371CD" w:rsidRPr="69A6A14A">
        <w:rPr>
          <w:rFonts w:ascii="Aptos" w:eastAsia="Cambria" w:hAnsi="Aptos" w:cs="Cambria"/>
          <w:color w:val="000000" w:themeColor="text1"/>
        </w:rPr>
        <w:t xml:space="preserve"> or </w:t>
      </w:r>
      <w:r w:rsidR="56C30332" w:rsidRPr="007B5596">
        <w:rPr>
          <w:rFonts w:ascii="Aptos" w:eastAsia="Cambria" w:hAnsi="Aptos" w:cs="Cambria"/>
          <w:i/>
          <w:color w:val="000000" w:themeColor="text1"/>
        </w:rPr>
        <w:t>Lower</w:t>
      </w:r>
      <w:r w:rsidR="56C30332" w:rsidRPr="69A6A14A">
        <w:rPr>
          <w:rFonts w:ascii="Aptos" w:eastAsia="Cambria" w:hAnsi="Aptos" w:cs="Cambria"/>
          <w:color w:val="000000" w:themeColor="text1"/>
        </w:rPr>
        <w:t xml:space="preserve"> </w:t>
      </w:r>
      <w:r w:rsidR="56C30332" w:rsidRPr="45E5D49B">
        <w:rPr>
          <w:rFonts w:ascii="Aptos" w:eastAsia="Cambria" w:hAnsi="Aptos" w:cs="Cambria"/>
          <w:color w:val="000000" w:themeColor="text1"/>
        </w:rPr>
        <w:t>view</w:t>
      </w:r>
      <w:r w:rsidR="2D2F6F2E" w:rsidRPr="45E5D49B">
        <w:rPr>
          <w:rFonts w:ascii="Aptos" w:eastAsia="Cambria" w:hAnsi="Aptos" w:cs="Cambria"/>
          <w:color w:val="000000" w:themeColor="text1"/>
        </w:rPr>
        <w:t>s</w:t>
      </w:r>
      <w:r w:rsidR="56C30332" w:rsidRPr="69A6A14A">
        <w:rPr>
          <w:rFonts w:ascii="Aptos" w:eastAsia="Cambria" w:hAnsi="Aptos" w:cs="Cambria"/>
          <w:color w:val="000000" w:themeColor="text1"/>
        </w:rPr>
        <w:t xml:space="preserve"> of future GHG pressure and to end earlier otherwise.</w:t>
      </w:r>
      <w:r w:rsidRPr="007B5596">
        <w:rPr>
          <w:rFonts w:ascii="Aptos" w:eastAsia="Cambria" w:hAnsi="Aptos" w:cs="Cambria"/>
          <w:color w:val="000000" w:themeColor="text1"/>
        </w:rPr>
        <w:t xml:space="preserve"> In the Tech Portfolio view the IRA tax credits are assumed to be available throughout the modeling horizon. In Table </w:t>
      </w:r>
      <w:r w:rsidR="001F035B">
        <w:rPr>
          <w:rFonts w:ascii="Aptos" w:eastAsia="Cambria" w:hAnsi="Aptos" w:cs="Cambria"/>
          <w:color w:val="000000" w:themeColor="text1"/>
        </w:rPr>
        <w:t>3.</w:t>
      </w:r>
      <w:r w:rsidR="00153F62">
        <w:rPr>
          <w:rFonts w:ascii="Aptos" w:eastAsia="Cambria" w:hAnsi="Aptos" w:cs="Cambria"/>
          <w:color w:val="000000" w:themeColor="text1"/>
        </w:rPr>
        <w:t>3</w:t>
      </w:r>
      <w:r w:rsidR="01BFDAFB" w:rsidRPr="1BAE5722">
        <w:rPr>
          <w:rFonts w:ascii="Aptos" w:eastAsia="Cambria" w:hAnsi="Aptos" w:cs="Cambria"/>
          <w:color w:val="000000" w:themeColor="text1"/>
        </w:rPr>
        <w:t>,</w:t>
      </w:r>
      <w:r w:rsidRPr="007B5596">
        <w:rPr>
          <w:rFonts w:ascii="Aptos" w:eastAsia="Cambria" w:hAnsi="Aptos" w:cs="Cambria"/>
          <w:color w:val="000000" w:themeColor="text1"/>
        </w:rPr>
        <w:t xml:space="preserve"> “IRA 20xx” indicates the last begin-construction year</w:t>
      </w:r>
      <w:r w:rsidR="007560FE">
        <w:rPr>
          <w:rFonts w:ascii="Aptos" w:eastAsia="Cambria" w:hAnsi="Aptos" w:cs="Cambria"/>
          <w:color w:val="000000" w:themeColor="text1"/>
        </w:rPr>
        <w:t xml:space="preserve"> assumed</w:t>
      </w:r>
      <w:r w:rsidRPr="007B5596">
        <w:rPr>
          <w:rFonts w:ascii="Aptos" w:eastAsia="Cambria" w:hAnsi="Aptos" w:cs="Cambria"/>
          <w:color w:val="000000" w:themeColor="text1"/>
        </w:rPr>
        <w:t xml:space="preserve"> for the IRA tax credit availability. </w:t>
      </w:r>
    </w:p>
    <w:p w14:paraId="3A4BBEA4" w14:textId="05446DA4" w:rsidR="00EC58BB" w:rsidRPr="003F7CF4" w:rsidRDefault="014259A8" w:rsidP="007B5596">
      <w:pPr>
        <w:jc w:val="both"/>
        <w:rPr>
          <w:rFonts w:ascii="Aptos" w:eastAsia="Cambria" w:hAnsi="Aptos" w:cs="Cambria"/>
          <w:color w:val="000000" w:themeColor="text1"/>
        </w:rPr>
      </w:pPr>
      <w:r w:rsidRPr="003F7CF4">
        <w:rPr>
          <w:rFonts w:ascii="Aptos" w:eastAsia="Cambria" w:hAnsi="Aptos" w:cs="Cambria"/>
          <w:color w:val="000000" w:themeColor="text1"/>
        </w:rPr>
        <w:t xml:space="preserve">The B2025 scenario design reflects an appropriately </w:t>
      </w:r>
      <w:r w:rsidR="00966D3C" w:rsidRPr="003F7CF4">
        <w:rPr>
          <w:rFonts w:ascii="Aptos" w:eastAsia="Cambria" w:hAnsi="Aptos" w:cs="Cambria"/>
          <w:color w:val="000000" w:themeColor="text1"/>
        </w:rPr>
        <w:t>diverse</w:t>
      </w:r>
      <w:r w:rsidRPr="003F7CF4">
        <w:rPr>
          <w:rFonts w:ascii="Aptos" w:eastAsia="Cambria" w:hAnsi="Aptos" w:cs="Cambria"/>
          <w:color w:val="000000" w:themeColor="text1"/>
        </w:rPr>
        <w:t xml:space="preserve"> set of plausible, meaningfully different views of the future evolution of the key </w:t>
      </w:r>
      <w:r w:rsidR="00966D3C" w:rsidRPr="003F7CF4">
        <w:rPr>
          <w:rFonts w:ascii="Aptos" w:eastAsia="Cambria" w:hAnsi="Aptos" w:cs="Cambria"/>
          <w:color w:val="000000" w:themeColor="text1"/>
        </w:rPr>
        <w:t xml:space="preserve">resource </w:t>
      </w:r>
      <w:r w:rsidRPr="003F7CF4">
        <w:rPr>
          <w:rFonts w:ascii="Aptos" w:eastAsia="Cambria" w:hAnsi="Aptos" w:cs="Cambria"/>
          <w:color w:val="000000" w:themeColor="text1"/>
        </w:rPr>
        <w:t>planning drivers.</w:t>
      </w:r>
    </w:p>
    <w:p w14:paraId="492C6860" w14:textId="39DE8526" w:rsidR="00EC58BB" w:rsidRPr="00D87017" w:rsidRDefault="0029074D" w:rsidP="00AC50F0">
      <w:pPr>
        <w:pStyle w:val="Heading2"/>
        <w:rPr>
          <w:rFonts w:ascii="Aptos" w:eastAsia="Cambria" w:hAnsi="Aptos" w:cs="Cambria"/>
          <w:color w:val="000000" w:themeColor="text1"/>
          <w:u w:val="single"/>
        </w:rPr>
      </w:pPr>
      <w:bookmarkStart w:id="20" w:name="_Toc189122746"/>
      <w:r>
        <w:lastRenderedPageBreak/>
        <w:t>3.</w:t>
      </w:r>
      <w:r w:rsidR="00303E2B">
        <w:t>4</w:t>
      </w:r>
      <w:r>
        <w:t xml:space="preserve"> </w:t>
      </w:r>
      <w:r w:rsidR="00C00F4D">
        <w:t xml:space="preserve">– </w:t>
      </w:r>
      <w:r w:rsidR="014259A8" w:rsidRPr="00D87017">
        <w:t>Scenario Views</w:t>
      </w:r>
      <w:bookmarkEnd w:id="20"/>
    </w:p>
    <w:p w14:paraId="387D2D3D" w14:textId="264C1F24" w:rsidR="00EC58BB" w:rsidRPr="003F7CF4" w:rsidRDefault="4905E234" w:rsidP="00BF4818">
      <w:pPr>
        <w:keepNext/>
        <w:keepLines/>
        <w:jc w:val="both"/>
        <w:rPr>
          <w:rFonts w:ascii="Aptos" w:eastAsia="Cambria" w:hAnsi="Aptos" w:cs="Cambria"/>
          <w:color w:val="000000" w:themeColor="text1"/>
        </w:rPr>
      </w:pPr>
      <w:r w:rsidRPr="5DB97BA8">
        <w:rPr>
          <w:rFonts w:ascii="Aptos" w:eastAsia="Cambria" w:hAnsi="Aptos" w:cs="Cambria"/>
          <w:color w:val="000000" w:themeColor="text1"/>
        </w:rPr>
        <w:t xml:space="preserve">As </w:t>
      </w:r>
      <w:r w:rsidR="47D81192" w:rsidRPr="27FC2D6E">
        <w:rPr>
          <w:rFonts w:ascii="Aptos" w:eastAsia="Cambria" w:hAnsi="Aptos" w:cs="Cambria"/>
          <w:color w:val="000000" w:themeColor="text1"/>
        </w:rPr>
        <w:t xml:space="preserve">shown </w:t>
      </w:r>
      <w:r w:rsidR="59F6ABF8" w:rsidRPr="27FC2D6E">
        <w:rPr>
          <w:rFonts w:ascii="Aptos" w:eastAsia="Cambria" w:hAnsi="Aptos" w:cs="Cambria"/>
          <w:color w:val="000000" w:themeColor="text1"/>
        </w:rPr>
        <w:t>in</w:t>
      </w:r>
      <w:r w:rsidRPr="5DB97BA8">
        <w:rPr>
          <w:rFonts w:ascii="Aptos" w:eastAsia="Cambria" w:hAnsi="Aptos" w:cs="Cambria"/>
          <w:color w:val="000000" w:themeColor="text1"/>
        </w:rPr>
        <w:t xml:space="preserve"> Table </w:t>
      </w:r>
      <w:r w:rsidR="0066281D">
        <w:rPr>
          <w:rFonts w:ascii="Aptos" w:eastAsia="Cambria" w:hAnsi="Aptos" w:cs="Cambria"/>
          <w:color w:val="000000" w:themeColor="text1"/>
        </w:rPr>
        <w:t>3.</w:t>
      </w:r>
      <w:r w:rsidR="00153F62">
        <w:rPr>
          <w:rFonts w:ascii="Aptos" w:eastAsia="Cambria" w:hAnsi="Aptos" w:cs="Cambria"/>
          <w:color w:val="000000" w:themeColor="text1"/>
        </w:rPr>
        <w:t>3</w:t>
      </w:r>
      <w:r w:rsidRPr="5DB97BA8">
        <w:rPr>
          <w:rFonts w:ascii="Aptos" w:eastAsia="Cambria" w:hAnsi="Aptos" w:cs="Cambria"/>
          <w:color w:val="000000" w:themeColor="text1"/>
        </w:rPr>
        <w:t xml:space="preserve">, the Company divided its scenarios into two </w:t>
      </w:r>
      <w:r w:rsidR="55DA4EFA" w:rsidRPr="5DB97BA8">
        <w:rPr>
          <w:rFonts w:ascii="Aptos" w:eastAsia="Cambria" w:hAnsi="Aptos" w:cs="Cambria"/>
          <w:color w:val="000000" w:themeColor="text1"/>
        </w:rPr>
        <w:t>sets. The first set adopts the view that the recently finalized rules associated wit</w:t>
      </w:r>
      <w:r w:rsidR="02074057" w:rsidRPr="5DB97BA8">
        <w:rPr>
          <w:rFonts w:ascii="Aptos" w:eastAsia="Cambria" w:hAnsi="Aptos" w:cs="Cambria"/>
          <w:color w:val="000000" w:themeColor="text1"/>
        </w:rPr>
        <w:t>h GHG emissions under sections 111(b) and 111(d) of the Clean Air Act remain in effect</w:t>
      </w:r>
      <w:r w:rsidR="7F0F72D8" w:rsidRPr="5DB97BA8">
        <w:rPr>
          <w:rFonts w:ascii="Aptos" w:eastAsia="Cambria" w:hAnsi="Aptos" w:cs="Cambria"/>
          <w:color w:val="000000" w:themeColor="text1"/>
        </w:rPr>
        <w:t xml:space="preserve">. There are three scenarios in this set. The other set of scenarios adopts the view that the 111 </w:t>
      </w:r>
      <w:r w:rsidR="00373366">
        <w:rPr>
          <w:rFonts w:ascii="Aptos" w:eastAsia="Cambria" w:hAnsi="Aptos" w:cs="Cambria"/>
          <w:color w:val="000000" w:themeColor="text1"/>
        </w:rPr>
        <w:t xml:space="preserve">GHG </w:t>
      </w:r>
      <w:r w:rsidR="00E30940">
        <w:rPr>
          <w:rFonts w:ascii="Aptos" w:eastAsia="Cambria" w:hAnsi="Aptos" w:cs="Cambria"/>
          <w:color w:val="000000" w:themeColor="text1"/>
        </w:rPr>
        <w:t>R</w:t>
      </w:r>
      <w:r w:rsidR="00E30940" w:rsidRPr="5DB97BA8">
        <w:rPr>
          <w:rFonts w:ascii="Aptos" w:eastAsia="Cambria" w:hAnsi="Aptos" w:cs="Cambria"/>
          <w:color w:val="000000" w:themeColor="text1"/>
        </w:rPr>
        <w:t xml:space="preserve">ules </w:t>
      </w:r>
      <w:r w:rsidR="7F0F72D8" w:rsidRPr="5DB97BA8">
        <w:rPr>
          <w:rFonts w:ascii="Aptos" w:eastAsia="Cambria" w:hAnsi="Aptos" w:cs="Cambria"/>
          <w:color w:val="000000" w:themeColor="text1"/>
        </w:rPr>
        <w:t>do not remain in effect. There are s</w:t>
      </w:r>
      <w:r w:rsidR="4EE28653" w:rsidRPr="5DB97BA8">
        <w:rPr>
          <w:rFonts w:ascii="Aptos" w:eastAsia="Cambria" w:hAnsi="Aptos" w:cs="Cambria"/>
          <w:color w:val="000000" w:themeColor="text1"/>
        </w:rPr>
        <w:t xml:space="preserve">ix scenarios in this set. All nine scenarios differ </w:t>
      </w:r>
      <w:r w:rsidR="703F8D18" w:rsidRPr="5DB97BA8">
        <w:rPr>
          <w:rFonts w:ascii="Aptos" w:eastAsia="Cambria" w:hAnsi="Aptos" w:cs="Cambria"/>
          <w:color w:val="000000" w:themeColor="text1"/>
        </w:rPr>
        <w:t xml:space="preserve">from one another </w:t>
      </w:r>
      <w:r w:rsidR="4EE28653" w:rsidRPr="5DB97BA8">
        <w:rPr>
          <w:rFonts w:ascii="Aptos" w:eastAsia="Cambria" w:hAnsi="Aptos" w:cs="Cambria"/>
          <w:color w:val="000000" w:themeColor="text1"/>
        </w:rPr>
        <w:t>by adopting different combinations of</w:t>
      </w:r>
      <w:r w:rsidR="014259A8" w:rsidRPr="5DB97BA8">
        <w:rPr>
          <w:rFonts w:ascii="Aptos" w:eastAsia="Cambria" w:hAnsi="Aptos" w:cs="Cambria"/>
          <w:color w:val="000000" w:themeColor="text1"/>
        </w:rPr>
        <w:t xml:space="preserve"> views in four </w:t>
      </w:r>
      <w:r w:rsidR="00F14569">
        <w:rPr>
          <w:rFonts w:ascii="Aptos" w:eastAsia="Cambria" w:hAnsi="Aptos" w:cs="Cambria"/>
          <w:color w:val="000000" w:themeColor="text1"/>
        </w:rPr>
        <w:t xml:space="preserve">key </w:t>
      </w:r>
      <w:r w:rsidR="014259A8" w:rsidRPr="5DB97BA8">
        <w:rPr>
          <w:rFonts w:ascii="Aptos" w:eastAsia="Cambria" w:hAnsi="Aptos" w:cs="Cambria"/>
          <w:color w:val="000000" w:themeColor="text1"/>
        </w:rPr>
        <w:t xml:space="preserve">areas: the future degree of </w:t>
      </w:r>
      <w:r w:rsidR="00884E75">
        <w:rPr>
          <w:rFonts w:ascii="Aptos" w:eastAsia="Cambria" w:hAnsi="Aptos" w:cs="Cambria"/>
          <w:color w:val="000000" w:themeColor="text1"/>
        </w:rPr>
        <w:t>GHG</w:t>
      </w:r>
      <w:r w:rsidR="014259A8" w:rsidRPr="5DB97BA8">
        <w:rPr>
          <w:rFonts w:ascii="Aptos" w:eastAsia="Cambria" w:hAnsi="Aptos" w:cs="Cambria"/>
          <w:color w:val="000000" w:themeColor="text1"/>
        </w:rPr>
        <w:t xml:space="preserve"> pressure</w:t>
      </w:r>
      <w:r w:rsidR="00A67EF9">
        <w:rPr>
          <w:rFonts w:ascii="Aptos" w:eastAsia="Cambria" w:hAnsi="Aptos" w:cs="Cambria"/>
          <w:color w:val="000000" w:themeColor="text1"/>
        </w:rPr>
        <w:t>;</w:t>
      </w:r>
      <w:r w:rsidR="014259A8" w:rsidRPr="5DB97BA8">
        <w:rPr>
          <w:rFonts w:ascii="Aptos" w:eastAsia="Cambria" w:hAnsi="Aptos" w:cs="Cambria"/>
          <w:color w:val="000000" w:themeColor="text1"/>
        </w:rPr>
        <w:t xml:space="preserve"> the future cost and performance of generating and storage technologies</w:t>
      </w:r>
      <w:r w:rsidR="00A67EF9">
        <w:rPr>
          <w:rFonts w:ascii="Aptos" w:eastAsia="Cambria" w:hAnsi="Aptos" w:cs="Cambria"/>
          <w:color w:val="000000" w:themeColor="text1"/>
        </w:rPr>
        <w:t>;</w:t>
      </w:r>
      <w:r w:rsidR="014259A8" w:rsidRPr="5DB97BA8">
        <w:rPr>
          <w:rFonts w:ascii="Aptos" w:eastAsia="Cambria" w:hAnsi="Aptos" w:cs="Cambria"/>
          <w:color w:val="000000" w:themeColor="text1"/>
        </w:rPr>
        <w:t xml:space="preserve"> future load growth</w:t>
      </w:r>
      <w:r w:rsidR="00A67EF9">
        <w:rPr>
          <w:rFonts w:ascii="Aptos" w:eastAsia="Cambria" w:hAnsi="Aptos" w:cs="Cambria"/>
          <w:color w:val="000000" w:themeColor="text1"/>
        </w:rPr>
        <w:t>;</w:t>
      </w:r>
      <w:r w:rsidR="014259A8" w:rsidRPr="5DB97BA8">
        <w:rPr>
          <w:rFonts w:ascii="Aptos" w:eastAsia="Cambria" w:hAnsi="Aptos" w:cs="Cambria"/>
          <w:color w:val="000000" w:themeColor="text1"/>
        </w:rPr>
        <w:t xml:space="preserve"> and future price of fuels</w:t>
      </w:r>
      <w:r w:rsidR="014259A8" w:rsidRPr="3E9DADF2">
        <w:rPr>
          <w:rFonts w:ascii="Aptos" w:eastAsia="Cambria" w:hAnsi="Aptos" w:cs="Cambria"/>
          <w:color w:val="000000" w:themeColor="text1"/>
        </w:rPr>
        <w:t xml:space="preserve">. </w:t>
      </w:r>
      <w:r w:rsidR="00AD4BC9">
        <w:rPr>
          <w:rFonts w:ascii="Aptos" w:eastAsia="Cambria" w:hAnsi="Aptos" w:cs="Cambria"/>
          <w:color w:val="000000" w:themeColor="text1"/>
        </w:rPr>
        <w:t>The description and</w:t>
      </w:r>
      <w:r w:rsidR="014259A8" w:rsidRPr="007B5596">
        <w:rPr>
          <w:rFonts w:ascii="Aptos" w:eastAsia="Cambria" w:hAnsi="Aptos" w:cs="Cambria"/>
          <w:color w:val="000000" w:themeColor="text1"/>
        </w:rPr>
        <w:t xml:space="preserve"> details</w:t>
      </w:r>
      <w:r w:rsidR="014259A8">
        <w:rPr>
          <w:rFonts w:ascii="Aptos" w:eastAsia="Cambria" w:hAnsi="Aptos" w:cs="Cambria"/>
          <w:color w:val="000000" w:themeColor="text1"/>
        </w:rPr>
        <w:t xml:space="preserve"> </w:t>
      </w:r>
      <w:r w:rsidR="00AD4BC9">
        <w:rPr>
          <w:rFonts w:ascii="Aptos" w:eastAsia="Cambria" w:hAnsi="Aptos" w:cs="Cambria"/>
          <w:color w:val="000000" w:themeColor="text1"/>
        </w:rPr>
        <w:t>of each of these four key areas</w:t>
      </w:r>
      <w:r w:rsidR="014259A8" w:rsidDel="00AD4BC9">
        <w:rPr>
          <w:rFonts w:ascii="Aptos" w:eastAsia="Cambria" w:hAnsi="Aptos" w:cs="Cambria"/>
          <w:color w:val="000000" w:themeColor="text1"/>
        </w:rPr>
        <w:t xml:space="preserve"> </w:t>
      </w:r>
      <w:r w:rsidR="014259A8" w:rsidRPr="003F7CF4">
        <w:rPr>
          <w:rFonts w:ascii="Aptos" w:eastAsia="Cambria" w:hAnsi="Aptos" w:cs="Cambria"/>
          <w:color w:val="000000" w:themeColor="text1"/>
        </w:rPr>
        <w:t>are discussed in the following sections.</w:t>
      </w:r>
    </w:p>
    <w:p w14:paraId="155D9427" w14:textId="04F13DFB" w:rsidR="00EC58BB" w:rsidRPr="003F7CF4" w:rsidRDefault="00315BC2" w:rsidP="00E04485">
      <w:pPr>
        <w:pStyle w:val="Heading3"/>
        <w:rPr>
          <w:rFonts w:ascii="Aptos" w:eastAsia="Cambria" w:hAnsi="Aptos" w:cs="Cambria"/>
          <w:color w:val="000000" w:themeColor="text1"/>
        </w:rPr>
      </w:pPr>
      <w:r>
        <w:t>3.</w:t>
      </w:r>
      <w:r w:rsidR="00303E2B">
        <w:t>4</w:t>
      </w:r>
      <w:r>
        <w:t xml:space="preserve">.1 – </w:t>
      </w:r>
      <w:r w:rsidR="014259A8" w:rsidRPr="003F7CF4">
        <w:t>Greenhouse Gas Pressure</w:t>
      </w:r>
    </w:p>
    <w:p w14:paraId="030BB795" w14:textId="2137CB23" w:rsidR="00EC58BB" w:rsidRPr="003F7CF4" w:rsidRDefault="014259A8" w:rsidP="00BF4818">
      <w:pPr>
        <w:jc w:val="both"/>
        <w:rPr>
          <w:rFonts w:ascii="Aptos" w:eastAsia="Cambria" w:hAnsi="Aptos" w:cs="Cambria"/>
          <w:color w:val="000000" w:themeColor="text1"/>
        </w:rPr>
      </w:pPr>
      <w:r w:rsidRPr="003F7CF4">
        <w:rPr>
          <w:rFonts w:ascii="Aptos" w:eastAsia="Cambria" w:hAnsi="Aptos" w:cs="Cambria"/>
          <w:color w:val="000000" w:themeColor="text1"/>
        </w:rPr>
        <w:t xml:space="preserve">The degree of pressure on </w:t>
      </w:r>
      <w:r w:rsidR="00884E75">
        <w:rPr>
          <w:rFonts w:ascii="Aptos" w:eastAsia="Cambria" w:hAnsi="Aptos" w:cs="Cambria"/>
          <w:color w:val="000000" w:themeColor="text1"/>
        </w:rPr>
        <w:t>GHG</w:t>
      </w:r>
      <w:r w:rsidRPr="003F7CF4">
        <w:rPr>
          <w:rFonts w:ascii="Aptos" w:eastAsia="Cambria" w:hAnsi="Aptos" w:cs="Cambria"/>
          <w:color w:val="000000" w:themeColor="text1"/>
        </w:rPr>
        <w:t xml:space="preserve"> emissions in the future is uncertain.</w:t>
      </w:r>
      <w:r w:rsidR="00F67EA9">
        <w:rPr>
          <w:rStyle w:val="FootnoteReference"/>
          <w:rFonts w:ascii="Aptos" w:eastAsia="Cambria" w:hAnsi="Aptos" w:cs="Cambria"/>
          <w:color w:val="000000" w:themeColor="text1"/>
        </w:rPr>
        <w:footnoteReference w:id="11"/>
      </w:r>
      <w:r w:rsidRPr="003F7CF4">
        <w:rPr>
          <w:rFonts w:ascii="Aptos" w:eastAsia="Cambria" w:hAnsi="Aptos" w:cs="Cambria"/>
          <w:color w:val="000000" w:themeColor="text1"/>
        </w:rPr>
        <w:t xml:space="preserve"> The </w:t>
      </w:r>
      <w:r w:rsidR="00AD4BC9">
        <w:rPr>
          <w:rFonts w:ascii="Aptos" w:eastAsia="Cambria" w:hAnsi="Aptos" w:cs="Cambria"/>
          <w:color w:val="000000" w:themeColor="text1"/>
        </w:rPr>
        <w:t>C</w:t>
      </w:r>
      <w:r w:rsidRPr="003F7CF4">
        <w:rPr>
          <w:rFonts w:ascii="Aptos" w:eastAsia="Cambria" w:hAnsi="Aptos" w:cs="Cambria"/>
          <w:color w:val="000000" w:themeColor="text1"/>
        </w:rPr>
        <w:t xml:space="preserve">ompany considered </w:t>
      </w:r>
      <w:r w:rsidR="425087F1" w:rsidRPr="3E9DADF2">
        <w:rPr>
          <w:rFonts w:ascii="Aptos" w:eastAsia="Cambria" w:hAnsi="Aptos" w:cs="Cambria"/>
          <w:color w:val="000000" w:themeColor="text1"/>
        </w:rPr>
        <w:t>six</w:t>
      </w:r>
      <w:r w:rsidRPr="3E9DADF2">
        <w:rPr>
          <w:rFonts w:ascii="Aptos" w:eastAsia="Cambria" w:hAnsi="Aptos" w:cs="Cambria"/>
          <w:color w:val="000000" w:themeColor="text1"/>
        </w:rPr>
        <w:t xml:space="preserve"> </w:t>
      </w:r>
      <w:r w:rsidRPr="003F7CF4">
        <w:rPr>
          <w:rFonts w:ascii="Aptos" w:eastAsia="Cambria" w:hAnsi="Aptos" w:cs="Cambria"/>
          <w:color w:val="000000" w:themeColor="text1"/>
        </w:rPr>
        <w:t xml:space="preserve">different views of how </w:t>
      </w:r>
      <w:r w:rsidR="00884E75">
        <w:rPr>
          <w:rFonts w:ascii="Aptos" w:eastAsia="Cambria" w:hAnsi="Aptos" w:cs="Cambria"/>
          <w:color w:val="000000" w:themeColor="text1"/>
        </w:rPr>
        <w:t>GHG</w:t>
      </w:r>
      <w:r w:rsidRPr="003F7CF4">
        <w:rPr>
          <w:rFonts w:ascii="Aptos" w:eastAsia="Cambria" w:hAnsi="Aptos" w:cs="Cambria"/>
          <w:color w:val="000000" w:themeColor="text1"/>
        </w:rPr>
        <w:t xml:space="preserve"> pressure could evolve. </w:t>
      </w:r>
      <w:r w:rsidR="00443F51">
        <w:rPr>
          <w:rFonts w:ascii="Aptos" w:eastAsia="Cambria" w:hAnsi="Aptos" w:cs="Cambria"/>
          <w:color w:val="000000" w:themeColor="text1"/>
        </w:rPr>
        <w:t>The first view</w:t>
      </w:r>
      <w:r w:rsidR="2AB28D3A" w:rsidRPr="6FA71CC0">
        <w:rPr>
          <w:rFonts w:ascii="Aptos" w:eastAsia="Cambria" w:hAnsi="Aptos" w:cs="Cambria"/>
          <w:color w:val="000000" w:themeColor="text1"/>
        </w:rPr>
        <w:t xml:space="preserve"> is that </w:t>
      </w:r>
      <w:r w:rsidR="3C85E3C0" w:rsidRPr="7B66DE83">
        <w:rPr>
          <w:rFonts w:ascii="Aptos" w:eastAsia="Cambria" w:hAnsi="Aptos" w:cs="Cambria"/>
          <w:color w:val="000000" w:themeColor="text1"/>
        </w:rPr>
        <w:t>GHG</w:t>
      </w:r>
      <w:r w:rsidRPr="003F7CF4">
        <w:rPr>
          <w:rFonts w:ascii="Aptos" w:eastAsia="Cambria" w:hAnsi="Aptos" w:cs="Cambria"/>
          <w:color w:val="000000" w:themeColor="text1"/>
        </w:rPr>
        <w:t xml:space="preserve"> pressure remains unchanged from where it is today (</w:t>
      </w:r>
      <w:r w:rsidR="6B78ED24" w:rsidRPr="003F7CF4">
        <w:rPr>
          <w:rFonts w:ascii="Aptos" w:eastAsia="Cambria" w:hAnsi="Aptos" w:cs="Cambria"/>
          <w:i/>
          <w:color w:val="000000" w:themeColor="text1"/>
        </w:rPr>
        <w:t>111</w:t>
      </w:r>
      <w:r w:rsidRPr="3E9DADF2">
        <w:rPr>
          <w:rFonts w:ascii="Aptos" w:eastAsia="Cambria" w:hAnsi="Aptos" w:cs="Cambria"/>
          <w:color w:val="000000" w:themeColor="text1"/>
        </w:rPr>
        <w:t xml:space="preserve"> </w:t>
      </w:r>
      <w:r w:rsidRPr="003F7CF4">
        <w:rPr>
          <w:rFonts w:ascii="Aptos" w:eastAsia="Cambria" w:hAnsi="Aptos" w:cs="Cambria"/>
          <w:color w:val="000000" w:themeColor="text1"/>
        </w:rPr>
        <w:t xml:space="preserve">view). The second </w:t>
      </w:r>
      <w:r w:rsidR="00047AE3">
        <w:rPr>
          <w:rFonts w:ascii="Aptos" w:eastAsia="Cambria" w:hAnsi="Aptos" w:cs="Cambria"/>
          <w:color w:val="000000" w:themeColor="text1"/>
        </w:rPr>
        <w:t>view</w:t>
      </w:r>
      <w:r w:rsidRPr="003F7CF4">
        <w:rPr>
          <w:rFonts w:ascii="Aptos" w:eastAsia="Cambria" w:hAnsi="Aptos" w:cs="Cambria"/>
          <w:color w:val="000000" w:themeColor="text1"/>
        </w:rPr>
        <w:t xml:space="preserve"> </w:t>
      </w:r>
      <w:r w:rsidR="4A821F82" w:rsidRPr="6FA71CC0">
        <w:rPr>
          <w:rFonts w:ascii="Aptos" w:eastAsia="Cambria" w:hAnsi="Aptos" w:cs="Cambria"/>
          <w:color w:val="000000" w:themeColor="text1"/>
        </w:rPr>
        <w:t xml:space="preserve">is that in addition to the 111 </w:t>
      </w:r>
      <w:r w:rsidR="008A0151">
        <w:rPr>
          <w:rFonts w:ascii="Aptos" w:eastAsia="Cambria" w:hAnsi="Aptos" w:cs="Cambria"/>
          <w:color w:val="000000" w:themeColor="text1"/>
        </w:rPr>
        <w:t>GHG R</w:t>
      </w:r>
      <w:r w:rsidR="4A821F82" w:rsidRPr="6FA71CC0">
        <w:rPr>
          <w:rFonts w:ascii="Aptos" w:eastAsia="Cambria" w:hAnsi="Aptos" w:cs="Cambria"/>
          <w:color w:val="000000" w:themeColor="text1"/>
        </w:rPr>
        <w:t xml:space="preserve">ules remaining in place, </w:t>
      </w:r>
      <w:r w:rsidR="4A821F82" w:rsidRPr="0478F5EF">
        <w:rPr>
          <w:rFonts w:ascii="Aptos" w:eastAsia="Cambria" w:hAnsi="Aptos" w:cs="Cambria"/>
          <w:color w:val="000000" w:themeColor="text1"/>
        </w:rPr>
        <w:t xml:space="preserve">a </w:t>
      </w:r>
      <w:r w:rsidR="72722C94" w:rsidRPr="0478F5EF">
        <w:rPr>
          <w:rFonts w:ascii="Aptos" w:eastAsia="Cambria" w:hAnsi="Aptos" w:cs="Cambria"/>
          <w:color w:val="000000" w:themeColor="text1"/>
        </w:rPr>
        <w:t>h</w:t>
      </w:r>
      <w:r w:rsidR="4A821F82" w:rsidRPr="0478F5EF">
        <w:rPr>
          <w:rFonts w:ascii="Aptos" w:eastAsia="Cambria" w:hAnsi="Aptos" w:cs="Cambria"/>
          <w:color w:val="000000" w:themeColor="text1"/>
        </w:rPr>
        <w:t>igher</w:t>
      </w:r>
      <w:r w:rsidR="204AA706" w:rsidRPr="0478F5EF">
        <w:rPr>
          <w:rFonts w:ascii="Aptos" w:eastAsia="Cambria" w:hAnsi="Aptos" w:cs="Cambria"/>
          <w:color w:val="000000" w:themeColor="text1"/>
        </w:rPr>
        <w:t xml:space="preserve"> degree of </w:t>
      </w:r>
      <w:r w:rsidR="0865CE29" w:rsidRPr="578BCD4F">
        <w:rPr>
          <w:rFonts w:ascii="Aptos" w:eastAsia="Cambria" w:hAnsi="Aptos" w:cs="Cambria"/>
          <w:color w:val="000000" w:themeColor="text1"/>
        </w:rPr>
        <w:t>GHG</w:t>
      </w:r>
      <w:r w:rsidR="204AA706" w:rsidRPr="0478F5EF">
        <w:rPr>
          <w:rFonts w:ascii="Aptos" w:eastAsia="Cambria" w:hAnsi="Aptos" w:cs="Cambria"/>
          <w:color w:val="000000" w:themeColor="text1"/>
        </w:rPr>
        <w:t xml:space="preserve"> pressure </w:t>
      </w:r>
      <w:r w:rsidR="3356D660" w:rsidRPr="578BCD4F">
        <w:rPr>
          <w:rFonts w:ascii="Aptos" w:eastAsia="Cambria" w:hAnsi="Aptos" w:cs="Cambria"/>
          <w:color w:val="000000" w:themeColor="text1"/>
        </w:rPr>
        <w:t xml:space="preserve">is exerted on the Company’s emissions </w:t>
      </w:r>
      <w:r w:rsidR="5C7D3104" w:rsidRPr="578BCD4F">
        <w:rPr>
          <w:rFonts w:ascii="Aptos" w:eastAsia="Cambria" w:hAnsi="Aptos" w:cs="Cambria"/>
          <w:color w:val="000000" w:themeColor="text1"/>
        </w:rPr>
        <w:t>(</w:t>
      </w:r>
      <w:r w:rsidR="5C7D3104" w:rsidRPr="003F7CF4">
        <w:rPr>
          <w:rFonts w:ascii="Aptos" w:eastAsia="Cambria" w:hAnsi="Aptos" w:cs="Cambria"/>
          <w:i/>
          <w:color w:val="000000" w:themeColor="text1"/>
        </w:rPr>
        <w:t>111 + Higher</w:t>
      </w:r>
      <w:r w:rsidR="5C7D3104" w:rsidRPr="578BCD4F">
        <w:rPr>
          <w:rFonts w:ascii="Aptos" w:eastAsia="Cambria" w:hAnsi="Aptos" w:cs="Cambria"/>
          <w:color w:val="000000" w:themeColor="text1"/>
        </w:rPr>
        <w:t xml:space="preserve"> view). </w:t>
      </w:r>
      <w:r w:rsidR="441D654E" w:rsidRPr="578BCD4F">
        <w:rPr>
          <w:rFonts w:ascii="Aptos" w:eastAsia="Cambria" w:hAnsi="Aptos" w:cs="Cambria"/>
          <w:color w:val="000000" w:themeColor="text1"/>
        </w:rPr>
        <w:t xml:space="preserve">The third view is that the 111 </w:t>
      </w:r>
      <w:r w:rsidR="008A0151">
        <w:rPr>
          <w:rFonts w:ascii="Aptos" w:eastAsia="Cambria" w:hAnsi="Aptos" w:cs="Cambria"/>
          <w:color w:val="000000" w:themeColor="text1"/>
        </w:rPr>
        <w:t>GHG Rule</w:t>
      </w:r>
      <w:r w:rsidR="00DB1FE7">
        <w:rPr>
          <w:rFonts w:ascii="Aptos" w:eastAsia="Cambria" w:hAnsi="Aptos" w:cs="Cambria"/>
          <w:color w:val="000000" w:themeColor="text1"/>
        </w:rPr>
        <w:t>s</w:t>
      </w:r>
      <w:r w:rsidR="00E21DE4">
        <w:rPr>
          <w:rFonts w:ascii="Aptos" w:eastAsia="Cambria" w:hAnsi="Aptos" w:cs="Cambria"/>
          <w:color w:val="000000" w:themeColor="text1"/>
        </w:rPr>
        <w:t xml:space="preserve"> </w:t>
      </w:r>
      <w:r w:rsidR="441D654E" w:rsidRPr="578BCD4F">
        <w:rPr>
          <w:rFonts w:ascii="Aptos" w:eastAsia="Cambria" w:hAnsi="Aptos" w:cs="Cambria"/>
          <w:color w:val="000000" w:themeColor="text1"/>
        </w:rPr>
        <w:t>requirements do not remain in place</w:t>
      </w:r>
      <w:r w:rsidR="00C75577">
        <w:rPr>
          <w:rFonts w:ascii="Aptos" w:eastAsia="Cambria" w:hAnsi="Aptos" w:cs="Cambria"/>
          <w:color w:val="000000" w:themeColor="text1"/>
        </w:rPr>
        <w:t>,</w:t>
      </w:r>
      <w:r w:rsidR="441D654E" w:rsidRPr="578BCD4F">
        <w:rPr>
          <w:rFonts w:ascii="Aptos" w:eastAsia="Cambria" w:hAnsi="Aptos" w:cs="Cambria"/>
          <w:color w:val="000000" w:themeColor="text1"/>
        </w:rPr>
        <w:t xml:space="preserve"> and no </w:t>
      </w:r>
      <w:r w:rsidR="00095134">
        <w:rPr>
          <w:rFonts w:ascii="Aptos" w:eastAsia="Cambria" w:hAnsi="Aptos" w:cs="Cambria"/>
          <w:color w:val="000000" w:themeColor="text1"/>
        </w:rPr>
        <w:t>additional</w:t>
      </w:r>
      <w:r w:rsidR="441D654E" w:rsidRPr="578BCD4F">
        <w:rPr>
          <w:rFonts w:ascii="Aptos" w:eastAsia="Cambria" w:hAnsi="Aptos" w:cs="Cambria"/>
          <w:color w:val="000000" w:themeColor="text1"/>
        </w:rPr>
        <w:t xml:space="preserve"> </w:t>
      </w:r>
      <w:r w:rsidR="441D654E" w:rsidRPr="50A34C68">
        <w:rPr>
          <w:rFonts w:ascii="Aptos" w:eastAsia="Cambria" w:hAnsi="Aptos" w:cs="Cambria"/>
          <w:color w:val="000000" w:themeColor="text1"/>
        </w:rPr>
        <w:t>pressure takes their place (</w:t>
      </w:r>
      <w:r w:rsidR="441D654E" w:rsidRPr="003F7CF4">
        <w:rPr>
          <w:rFonts w:ascii="Aptos" w:eastAsia="Cambria" w:hAnsi="Aptos" w:cs="Cambria"/>
          <w:i/>
          <w:color w:val="000000" w:themeColor="text1"/>
        </w:rPr>
        <w:t>Lower</w:t>
      </w:r>
      <w:r w:rsidR="441D654E" w:rsidRPr="50A34C68">
        <w:rPr>
          <w:rFonts w:ascii="Aptos" w:eastAsia="Cambria" w:hAnsi="Aptos" w:cs="Cambria"/>
          <w:color w:val="000000" w:themeColor="text1"/>
        </w:rPr>
        <w:t xml:space="preserve"> view). </w:t>
      </w:r>
      <w:r w:rsidR="7E99AFD5" w:rsidRPr="50A34C68">
        <w:rPr>
          <w:rFonts w:ascii="Aptos" w:eastAsia="Cambria" w:hAnsi="Aptos" w:cs="Cambria"/>
          <w:color w:val="000000" w:themeColor="text1"/>
        </w:rPr>
        <w:t xml:space="preserve">The fourth view is that the 111 </w:t>
      </w:r>
      <w:r w:rsidR="00E21DE4">
        <w:rPr>
          <w:rFonts w:ascii="Aptos" w:eastAsia="Cambria" w:hAnsi="Aptos" w:cs="Cambria"/>
          <w:color w:val="000000" w:themeColor="text1"/>
        </w:rPr>
        <w:t>GHG R</w:t>
      </w:r>
      <w:r w:rsidR="39CE90BE" w:rsidRPr="29B274C2">
        <w:rPr>
          <w:rFonts w:ascii="Aptos" w:eastAsia="Cambria" w:hAnsi="Aptos" w:cs="Cambria"/>
          <w:color w:val="000000" w:themeColor="text1"/>
        </w:rPr>
        <w:t>u</w:t>
      </w:r>
      <w:r w:rsidR="7E99AFD5" w:rsidRPr="29B274C2">
        <w:rPr>
          <w:rFonts w:ascii="Aptos" w:eastAsia="Cambria" w:hAnsi="Aptos" w:cs="Cambria"/>
          <w:color w:val="000000" w:themeColor="text1"/>
        </w:rPr>
        <w:t>les</w:t>
      </w:r>
      <w:r w:rsidR="7E99AFD5" w:rsidRPr="50A34C68">
        <w:rPr>
          <w:rFonts w:ascii="Aptos" w:eastAsia="Cambria" w:hAnsi="Aptos" w:cs="Cambria"/>
          <w:color w:val="000000" w:themeColor="text1"/>
        </w:rPr>
        <w:t xml:space="preserve"> do not remain in place</w:t>
      </w:r>
      <w:r w:rsidR="00C75577">
        <w:rPr>
          <w:rFonts w:ascii="Aptos" w:eastAsia="Cambria" w:hAnsi="Aptos" w:cs="Cambria"/>
          <w:color w:val="000000" w:themeColor="text1"/>
        </w:rPr>
        <w:t>,</w:t>
      </w:r>
      <w:r w:rsidR="7E99AFD5" w:rsidRPr="50A34C68">
        <w:rPr>
          <w:rFonts w:ascii="Aptos" w:eastAsia="Cambria" w:hAnsi="Aptos" w:cs="Cambria"/>
          <w:color w:val="000000" w:themeColor="text1"/>
        </w:rPr>
        <w:t xml:space="preserve"> and a moderate degree of GHG pressure is exerted on the Company’s emissions (</w:t>
      </w:r>
      <w:r w:rsidR="7E99AFD5" w:rsidRPr="003F7CF4">
        <w:rPr>
          <w:rFonts w:ascii="Aptos" w:eastAsia="Cambria" w:hAnsi="Aptos" w:cs="Cambria"/>
          <w:i/>
          <w:color w:val="000000" w:themeColor="text1"/>
        </w:rPr>
        <w:t>Moderate</w:t>
      </w:r>
      <w:r w:rsidR="7E99AFD5" w:rsidRPr="50A34C68">
        <w:rPr>
          <w:rFonts w:ascii="Aptos" w:eastAsia="Cambria" w:hAnsi="Aptos" w:cs="Cambria"/>
          <w:color w:val="000000" w:themeColor="text1"/>
        </w:rPr>
        <w:t xml:space="preserve"> view). The</w:t>
      </w:r>
      <w:r w:rsidR="4B22EBA3" w:rsidRPr="50A34C68">
        <w:rPr>
          <w:rFonts w:ascii="Aptos" w:eastAsia="Cambria" w:hAnsi="Aptos" w:cs="Cambria"/>
          <w:color w:val="000000" w:themeColor="text1"/>
        </w:rPr>
        <w:t xml:space="preserve"> fifth view is that the 111 </w:t>
      </w:r>
      <w:r w:rsidR="00E21DE4">
        <w:rPr>
          <w:rFonts w:ascii="Aptos" w:eastAsia="Cambria" w:hAnsi="Aptos" w:cs="Cambria"/>
          <w:color w:val="000000" w:themeColor="text1"/>
        </w:rPr>
        <w:t>GHG R</w:t>
      </w:r>
      <w:r w:rsidR="4B22EBA3" w:rsidRPr="50A34C68">
        <w:rPr>
          <w:rFonts w:ascii="Aptos" w:eastAsia="Cambria" w:hAnsi="Aptos" w:cs="Cambria"/>
          <w:color w:val="000000" w:themeColor="text1"/>
        </w:rPr>
        <w:t>ules do not remain in place</w:t>
      </w:r>
      <w:r w:rsidR="008F5EBF">
        <w:rPr>
          <w:rFonts w:ascii="Aptos" w:eastAsia="Cambria" w:hAnsi="Aptos" w:cs="Cambria"/>
          <w:color w:val="000000" w:themeColor="text1"/>
        </w:rPr>
        <w:t>,</w:t>
      </w:r>
      <w:r w:rsidR="4B22EBA3" w:rsidRPr="50A34C68">
        <w:rPr>
          <w:rFonts w:ascii="Aptos" w:eastAsia="Cambria" w:hAnsi="Aptos" w:cs="Cambria"/>
          <w:color w:val="000000" w:themeColor="text1"/>
        </w:rPr>
        <w:t xml:space="preserve"> </w:t>
      </w:r>
      <w:r w:rsidR="4B22EBA3" w:rsidRPr="29B274C2">
        <w:rPr>
          <w:rFonts w:ascii="Aptos" w:eastAsia="Cambria" w:hAnsi="Aptos" w:cs="Cambria"/>
          <w:color w:val="000000" w:themeColor="text1"/>
        </w:rPr>
        <w:t>and a higher degree of GHG pressure is exerted on the Company’s emissions (</w:t>
      </w:r>
      <w:r w:rsidR="4B22EBA3" w:rsidRPr="003F7CF4">
        <w:rPr>
          <w:rFonts w:ascii="Aptos" w:eastAsia="Cambria" w:hAnsi="Aptos" w:cs="Cambria"/>
          <w:i/>
          <w:color w:val="000000" w:themeColor="text1"/>
        </w:rPr>
        <w:t>Higher</w:t>
      </w:r>
      <w:r w:rsidR="4B22EBA3" w:rsidRPr="29B274C2">
        <w:rPr>
          <w:rFonts w:ascii="Aptos" w:eastAsia="Cambria" w:hAnsi="Aptos" w:cs="Cambria"/>
          <w:color w:val="000000" w:themeColor="text1"/>
        </w:rPr>
        <w:t xml:space="preserve"> view). </w:t>
      </w:r>
      <w:r w:rsidR="008F5EBF">
        <w:rPr>
          <w:rFonts w:ascii="Aptos" w:eastAsia="Cambria" w:hAnsi="Aptos" w:cs="Cambria"/>
          <w:color w:val="000000" w:themeColor="text1"/>
        </w:rPr>
        <w:t>Finally,</w:t>
      </w:r>
      <w:r w:rsidR="7086E8BD" w:rsidRPr="29B274C2">
        <w:rPr>
          <w:rFonts w:ascii="Aptos" w:eastAsia="Cambria" w:hAnsi="Aptos" w:cs="Cambria"/>
          <w:color w:val="000000" w:themeColor="text1"/>
        </w:rPr>
        <w:t xml:space="preserve"> the sixth view is that</w:t>
      </w:r>
      <w:r w:rsidRPr="6322964C">
        <w:rPr>
          <w:rFonts w:ascii="Aptos" w:eastAsia="Cambria" w:hAnsi="Aptos" w:cs="Cambria"/>
          <w:color w:val="000000" w:themeColor="text1"/>
        </w:rPr>
        <w:t xml:space="preserve"> </w:t>
      </w:r>
      <w:r w:rsidRPr="003F7CF4">
        <w:rPr>
          <w:rFonts w:ascii="Aptos" w:eastAsia="Cambria" w:hAnsi="Aptos" w:cs="Cambria"/>
          <w:color w:val="000000" w:themeColor="text1"/>
        </w:rPr>
        <w:t xml:space="preserve">a limit </w:t>
      </w:r>
      <w:r w:rsidR="00C80DBC">
        <w:rPr>
          <w:rFonts w:ascii="Aptos" w:eastAsia="Cambria" w:hAnsi="Aptos" w:cs="Cambria"/>
          <w:color w:val="000000" w:themeColor="text1"/>
        </w:rPr>
        <w:t>is plac</w:t>
      </w:r>
      <w:r w:rsidR="00B452E3">
        <w:rPr>
          <w:rFonts w:ascii="Aptos" w:eastAsia="Cambria" w:hAnsi="Aptos" w:cs="Cambria"/>
          <w:color w:val="000000" w:themeColor="text1"/>
        </w:rPr>
        <w:t xml:space="preserve">ed </w:t>
      </w:r>
      <w:r w:rsidRPr="003F7CF4">
        <w:rPr>
          <w:rFonts w:ascii="Aptos" w:eastAsia="Cambria" w:hAnsi="Aptos" w:cs="Cambria"/>
          <w:color w:val="000000" w:themeColor="text1"/>
        </w:rPr>
        <w:t xml:space="preserve">on the </w:t>
      </w:r>
      <w:r w:rsidR="00B452E3">
        <w:rPr>
          <w:rFonts w:ascii="Aptos" w:eastAsia="Cambria" w:hAnsi="Aptos" w:cs="Cambria"/>
          <w:color w:val="000000" w:themeColor="text1"/>
        </w:rPr>
        <w:t>C</w:t>
      </w:r>
      <w:r w:rsidRPr="003F7CF4">
        <w:rPr>
          <w:rFonts w:ascii="Aptos" w:eastAsia="Cambria" w:hAnsi="Aptos" w:cs="Cambria"/>
          <w:color w:val="000000" w:themeColor="text1"/>
        </w:rPr>
        <w:t>ompany’s aggregate emissions (</w:t>
      </w:r>
      <w:r w:rsidRPr="003F7CF4">
        <w:rPr>
          <w:rFonts w:ascii="Aptos" w:eastAsia="Cambria" w:hAnsi="Aptos" w:cs="Cambria"/>
          <w:i/>
          <w:color w:val="000000" w:themeColor="text1"/>
        </w:rPr>
        <w:t>Emissions Limit</w:t>
      </w:r>
      <w:r w:rsidRPr="003F7CF4">
        <w:rPr>
          <w:rFonts w:ascii="Aptos" w:eastAsia="Cambria" w:hAnsi="Aptos" w:cs="Cambria"/>
          <w:color w:val="000000" w:themeColor="text1"/>
        </w:rPr>
        <w:t xml:space="preserve"> view). These views have been chosen to span a range of currently plausible outcomes.</w:t>
      </w:r>
    </w:p>
    <w:p w14:paraId="42188C8C" w14:textId="6FB9C457" w:rsidR="00A271C0" w:rsidRDefault="14920596" w:rsidP="000311FB">
      <w:pPr>
        <w:jc w:val="both"/>
        <w:rPr>
          <w:rFonts w:eastAsia="Cambria" w:cs="Cambria"/>
          <w:color w:val="000000" w:themeColor="text1"/>
        </w:rPr>
      </w:pPr>
      <w:r w:rsidRPr="12410F0B">
        <w:rPr>
          <w:rFonts w:eastAsia="Cambria" w:cs="Cambria"/>
          <w:color w:val="000000" w:themeColor="text1"/>
        </w:rPr>
        <w:t xml:space="preserve">Under </w:t>
      </w:r>
      <w:r w:rsidR="00B97925" w:rsidRPr="000311FB">
        <w:rPr>
          <w:rFonts w:eastAsia="Cambria" w:cs="Cambria"/>
          <w:color w:val="000000" w:themeColor="text1"/>
        </w:rPr>
        <w:t>EPA’s 111 GHG Rules</w:t>
      </w:r>
      <w:r w:rsidR="436B0DB4" w:rsidRPr="12410F0B">
        <w:rPr>
          <w:rFonts w:eastAsia="Cambria" w:cs="Cambria"/>
          <w:color w:val="000000" w:themeColor="text1"/>
        </w:rPr>
        <w:t xml:space="preserve">, </w:t>
      </w:r>
      <w:r w:rsidR="78ABE66D" w:rsidRPr="05A028B6">
        <w:rPr>
          <w:rFonts w:eastAsia="Cambria" w:cs="Cambria"/>
          <w:color w:val="000000" w:themeColor="text1"/>
        </w:rPr>
        <w:t xml:space="preserve">beginning January 1, 2032, </w:t>
      </w:r>
      <w:r w:rsidR="436B0DB4" w:rsidRPr="12410F0B">
        <w:rPr>
          <w:rFonts w:eastAsia="Cambria" w:cs="Cambria"/>
          <w:color w:val="000000" w:themeColor="text1"/>
        </w:rPr>
        <w:t xml:space="preserve">new natural gas </w:t>
      </w:r>
      <w:r w:rsidR="00CC5486">
        <w:rPr>
          <w:rFonts w:eastAsia="Cambria" w:cs="Cambria"/>
          <w:color w:val="000000" w:themeColor="text1"/>
        </w:rPr>
        <w:t>combined cycle (“NGCC”)</w:t>
      </w:r>
      <w:r w:rsidR="00CC5486" w:rsidRPr="12410F0B">
        <w:rPr>
          <w:rFonts w:eastAsia="Cambria" w:cs="Cambria"/>
          <w:color w:val="000000" w:themeColor="text1"/>
        </w:rPr>
        <w:t xml:space="preserve"> </w:t>
      </w:r>
      <w:r w:rsidR="436B0DB4" w:rsidRPr="12410F0B">
        <w:rPr>
          <w:rFonts w:eastAsia="Cambria" w:cs="Cambria"/>
          <w:color w:val="000000" w:themeColor="text1"/>
        </w:rPr>
        <w:t>units must</w:t>
      </w:r>
      <w:r w:rsidR="36909CB3" w:rsidRPr="05A028B6">
        <w:rPr>
          <w:rFonts w:eastAsia="Cambria" w:cs="Cambria"/>
          <w:color w:val="000000" w:themeColor="text1"/>
        </w:rPr>
        <w:t xml:space="preserve"> </w:t>
      </w:r>
      <w:r w:rsidR="436B0DB4" w:rsidRPr="12410F0B">
        <w:rPr>
          <w:rFonts w:eastAsia="Cambria" w:cs="Cambria"/>
          <w:color w:val="000000" w:themeColor="text1"/>
        </w:rPr>
        <w:t xml:space="preserve">either capture </w:t>
      </w:r>
      <w:r w:rsidR="04AF85F0" w:rsidRPr="05A028B6">
        <w:rPr>
          <w:rFonts w:eastAsia="Cambria" w:cs="Cambria"/>
          <w:color w:val="000000" w:themeColor="text1"/>
        </w:rPr>
        <w:t xml:space="preserve">and sequester </w:t>
      </w:r>
      <w:r w:rsidR="436B0DB4" w:rsidRPr="565E26D8">
        <w:rPr>
          <w:rFonts w:eastAsia="Cambria" w:cs="Cambria"/>
          <w:color w:val="000000" w:themeColor="text1"/>
        </w:rPr>
        <w:t>at least 90% of their GHG emissions</w:t>
      </w:r>
      <w:r w:rsidR="00B97925" w:rsidRPr="000311FB">
        <w:rPr>
          <w:rFonts w:eastAsia="Cambria" w:cs="Cambria"/>
          <w:color w:val="000000" w:themeColor="text1"/>
        </w:rPr>
        <w:t xml:space="preserve"> </w:t>
      </w:r>
      <w:r w:rsidR="00B97925" w:rsidRPr="6334251D">
        <w:rPr>
          <w:rFonts w:eastAsia="Cambria" w:cs="Cambria"/>
          <w:color w:val="000000" w:themeColor="text1"/>
        </w:rPr>
        <w:t>or</w:t>
      </w:r>
      <w:r w:rsidR="00B97925" w:rsidRPr="003F7CF4">
        <w:rPr>
          <w:rFonts w:eastAsia="Cambria" w:cs="Cambria"/>
          <w:color w:val="000000" w:themeColor="text1"/>
        </w:rPr>
        <w:t xml:space="preserve"> operate </w:t>
      </w:r>
      <w:r w:rsidR="42880273" w:rsidRPr="7F2DE2BB">
        <w:rPr>
          <w:rFonts w:eastAsia="Cambria" w:cs="Cambria"/>
          <w:color w:val="000000" w:themeColor="text1"/>
        </w:rPr>
        <w:t xml:space="preserve">with an annual average capacity factor of </w:t>
      </w:r>
      <w:r w:rsidR="00B97925" w:rsidRPr="003F7CF4">
        <w:rPr>
          <w:rFonts w:eastAsia="Cambria" w:cs="Cambria"/>
          <w:color w:val="000000" w:themeColor="text1"/>
        </w:rPr>
        <w:t>40%</w:t>
      </w:r>
      <w:r w:rsidR="007229F3">
        <w:rPr>
          <w:rFonts w:eastAsia="Cambria" w:cs="Cambria"/>
          <w:color w:val="000000" w:themeColor="text1"/>
        </w:rPr>
        <w:t xml:space="preserve"> or less</w:t>
      </w:r>
      <w:r w:rsidR="00B97925" w:rsidRPr="003F7CF4">
        <w:rPr>
          <w:rFonts w:eastAsia="Cambria" w:cs="Cambria"/>
          <w:color w:val="000000" w:themeColor="text1"/>
        </w:rPr>
        <w:t xml:space="preserve">. </w:t>
      </w:r>
      <w:r w:rsidR="186DDD48" w:rsidRPr="02966FE8">
        <w:rPr>
          <w:rFonts w:eastAsia="Cambria" w:cs="Cambria"/>
          <w:color w:val="000000" w:themeColor="text1"/>
        </w:rPr>
        <w:t>Existing c</w:t>
      </w:r>
      <w:r w:rsidR="00B97925" w:rsidRPr="000311FB">
        <w:rPr>
          <w:rFonts w:eastAsia="Cambria" w:cs="Cambria"/>
          <w:color w:val="000000" w:themeColor="text1"/>
        </w:rPr>
        <w:t>oal units</w:t>
      </w:r>
      <w:r w:rsidR="00B97925" w:rsidRPr="6334251D">
        <w:rPr>
          <w:rFonts w:eastAsia="Cambria" w:cs="Cambria"/>
          <w:color w:val="000000" w:themeColor="text1"/>
        </w:rPr>
        <w:t xml:space="preserve"> </w:t>
      </w:r>
      <w:r w:rsidR="00A271C0" w:rsidRPr="6334251D">
        <w:rPr>
          <w:rFonts w:eastAsia="Cambria" w:cs="Cambria"/>
          <w:color w:val="000000" w:themeColor="text1"/>
        </w:rPr>
        <w:t>have</w:t>
      </w:r>
      <w:r w:rsidR="00B97925" w:rsidRPr="6334251D">
        <w:rPr>
          <w:rFonts w:eastAsia="Cambria" w:cs="Cambria"/>
          <w:color w:val="000000" w:themeColor="text1"/>
        </w:rPr>
        <w:t xml:space="preserve"> three </w:t>
      </w:r>
      <w:r w:rsidR="1C4FFDA9" w:rsidRPr="6334251D">
        <w:rPr>
          <w:rFonts w:eastAsia="Cambria" w:cs="Cambria"/>
          <w:color w:val="000000" w:themeColor="text1"/>
        </w:rPr>
        <w:t>options</w:t>
      </w:r>
      <w:r w:rsidR="00B97925" w:rsidRPr="003F7CF4">
        <w:rPr>
          <w:rFonts w:eastAsia="Cambria" w:cs="Cambria"/>
          <w:color w:val="000000" w:themeColor="text1"/>
        </w:rPr>
        <w:t xml:space="preserve">: </w:t>
      </w:r>
      <w:r w:rsidR="00085447">
        <w:rPr>
          <w:rFonts w:eastAsia="Cambria" w:cs="Cambria"/>
          <w:color w:val="000000" w:themeColor="text1"/>
        </w:rPr>
        <w:t>(</w:t>
      </w:r>
      <w:r w:rsidR="00B97925" w:rsidRPr="00545998">
        <w:rPr>
          <w:rFonts w:eastAsia="Cambria" w:cs="Cambria"/>
          <w:color w:val="000000" w:themeColor="text1"/>
        </w:rPr>
        <w:t xml:space="preserve">1) retire by January 1, 2032; </w:t>
      </w:r>
      <w:r w:rsidR="00085447">
        <w:rPr>
          <w:rFonts w:eastAsia="Cambria" w:cs="Cambria"/>
          <w:color w:val="000000" w:themeColor="text1"/>
        </w:rPr>
        <w:t>(</w:t>
      </w:r>
      <w:r w:rsidR="00B97925" w:rsidRPr="00545998">
        <w:rPr>
          <w:rFonts w:eastAsia="Cambria" w:cs="Cambria"/>
          <w:color w:val="000000" w:themeColor="text1"/>
        </w:rPr>
        <w:t xml:space="preserve">2) </w:t>
      </w:r>
      <w:r w:rsidR="3A155C83" w:rsidRPr="6A3A53B1">
        <w:rPr>
          <w:rFonts w:eastAsia="Cambria" w:cs="Cambria"/>
          <w:color w:val="000000" w:themeColor="text1"/>
        </w:rPr>
        <w:t xml:space="preserve">capture </w:t>
      </w:r>
      <w:r w:rsidR="674AB39F" w:rsidRPr="6A3A53B1">
        <w:rPr>
          <w:rFonts w:eastAsia="Cambria" w:cs="Cambria"/>
          <w:color w:val="000000" w:themeColor="text1"/>
        </w:rPr>
        <w:t xml:space="preserve">and sequester </w:t>
      </w:r>
      <w:r w:rsidR="3A155C83" w:rsidRPr="6A3A53B1">
        <w:rPr>
          <w:rFonts w:eastAsia="Cambria" w:cs="Cambria"/>
          <w:color w:val="000000" w:themeColor="text1"/>
        </w:rPr>
        <w:t xml:space="preserve">90% of their GHG </w:t>
      </w:r>
      <w:r w:rsidR="3A155C83" w:rsidRPr="50B2CBE5">
        <w:rPr>
          <w:rFonts w:eastAsia="Cambria" w:cs="Cambria"/>
          <w:color w:val="000000" w:themeColor="text1"/>
        </w:rPr>
        <w:t>emissio</w:t>
      </w:r>
      <w:r w:rsidR="00CD7923">
        <w:rPr>
          <w:rFonts w:eastAsia="Cambria" w:cs="Cambria"/>
          <w:color w:val="000000" w:themeColor="text1"/>
        </w:rPr>
        <w:t>n</w:t>
      </w:r>
      <w:r w:rsidR="3A155C83" w:rsidRPr="50B2CBE5">
        <w:rPr>
          <w:rFonts w:eastAsia="Cambria" w:cs="Cambria"/>
          <w:color w:val="000000" w:themeColor="text1"/>
        </w:rPr>
        <w:t>s</w:t>
      </w:r>
      <w:r w:rsidR="3A155C83" w:rsidRPr="6A3A53B1">
        <w:rPr>
          <w:rFonts w:eastAsia="Cambria" w:cs="Cambria"/>
          <w:color w:val="000000" w:themeColor="text1"/>
        </w:rPr>
        <w:t xml:space="preserve"> </w:t>
      </w:r>
      <w:r w:rsidR="39862D4B" w:rsidRPr="50B2CBE5">
        <w:rPr>
          <w:rFonts w:eastAsia="Cambria" w:cs="Cambria"/>
          <w:color w:val="000000" w:themeColor="text1"/>
        </w:rPr>
        <w:t>beginning</w:t>
      </w:r>
      <w:r w:rsidR="00B97925" w:rsidRPr="00545998">
        <w:rPr>
          <w:rFonts w:eastAsia="Cambria" w:cs="Cambria"/>
          <w:color w:val="000000" w:themeColor="text1"/>
        </w:rPr>
        <w:t xml:space="preserve"> January 1, 2032; or </w:t>
      </w:r>
      <w:r w:rsidR="00085447">
        <w:rPr>
          <w:rFonts w:eastAsia="Cambria" w:cs="Cambria"/>
          <w:color w:val="000000" w:themeColor="text1"/>
        </w:rPr>
        <w:t>(</w:t>
      </w:r>
      <w:r w:rsidR="00B97925" w:rsidRPr="00C07A91">
        <w:rPr>
          <w:rFonts w:eastAsia="Cambria" w:cs="Cambria"/>
          <w:color w:val="000000" w:themeColor="text1"/>
        </w:rPr>
        <w:t xml:space="preserve">3) </w:t>
      </w:r>
      <w:r w:rsidR="06245219" w:rsidRPr="6A3A53B1">
        <w:rPr>
          <w:rFonts w:eastAsia="Cambria" w:cs="Cambria"/>
          <w:color w:val="000000" w:themeColor="text1"/>
        </w:rPr>
        <w:t xml:space="preserve">generate at least </w:t>
      </w:r>
      <w:r w:rsidR="00B97925" w:rsidRPr="004E1AE3">
        <w:rPr>
          <w:rFonts w:eastAsia="Cambria" w:cs="Cambria"/>
          <w:color w:val="000000" w:themeColor="text1"/>
        </w:rPr>
        <w:t>40%</w:t>
      </w:r>
      <w:r w:rsidR="4AD20BCA" w:rsidRPr="6A3A53B1">
        <w:rPr>
          <w:rFonts w:eastAsia="Cambria" w:cs="Cambria"/>
          <w:color w:val="000000" w:themeColor="text1"/>
        </w:rPr>
        <w:t xml:space="preserve"> of their energy using </w:t>
      </w:r>
      <w:r w:rsidR="00B97925" w:rsidRPr="003F7CF4">
        <w:rPr>
          <w:rFonts w:eastAsia="Cambria" w:cs="Cambria"/>
          <w:color w:val="000000" w:themeColor="text1"/>
        </w:rPr>
        <w:t xml:space="preserve">natural gas </w:t>
      </w:r>
      <w:r w:rsidR="0210BE79" w:rsidRPr="1B95F45D">
        <w:rPr>
          <w:rFonts w:eastAsia="Cambria" w:cs="Cambria"/>
          <w:color w:val="000000" w:themeColor="text1"/>
        </w:rPr>
        <w:t xml:space="preserve">beginning </w:t>
      </w:r>
      <w:r w:rsidR="00B97925" w:rsidRPr="003F7CF4">
        <w:rPr>
          <w:rFonts w:eastAsia="Cambria" w:cs="Cambria"/>
          <w:color w:val="000000" w:themeColor="text1"/>
        </w:rPr>
        <w:t>January 1, 2030</w:t>
      </w:r>
      <w:r w:rsidR="00F71634">
        <w:rPr>
          <w:rFonts w:eastAsia="Cambria" w:cs="Cambria"/>
          <w:color w:val="000000" w:themeColor="text1"/>
        </w:rPr>
        <w:t>,</w:t>
      </w:r>
      <w:r w:rsidR="00B97925" w:rsidRPr="003F7CF4">
        <w:rPr>
          <w:rFonts w:eastAsia="Cambria" w:cs="Cambria"/>
          <w:color w:val="000000" w:themeColor="text1"/>
        </w:rPr>
        <w:t xml:space="preserve"> and retire by January 1, 2039. </w:t>
      </w:r>
      <w:r w:rsidR="00D85329">
        <w:rPr>
          <w:rFonts w:eastAsia="Cambria" w:cs="Cambria"/>
          <w:color w:val="000000" w:themeColor="text1"/>
        </w:rPr>
        <w:t xml:space="preserve">The Company’s </w:t>
      </w:r>
      <w:r w:rsidR="00D85329" w:rsidRPr="00545998">
        <w:rPr>
          <w:rFonts w:eastAsia="Cambria" w:cs="Cambria"/>
          <w:i/>
          <w:color w:val="000000" w:themeColor="text1"/>
        </w:rPr>
        <w:t>111</w:t>
      </w:r>
      <w:r w:rsidR="00D85329">
        <w:rPr>
          <w:rFonts w:eastAsia="Cambria" w:cs="Cambria"/>
          <w:color w:val="000000" w:themeColor="text1"/>
        </w:rPr>
        <w:t xml:space="preserve"> view </w:t>
      </w:r>
      <w:r w:rsidR="00A93FB5">
        <w:rPr>
          <w:rFonts w:eastAsia="Cambria" w:cs="Cambria"/>
          <w:color w:val="000000" w:themeColor="text1"/>
        </w:rPr>
        <w:t>requires compliance</w:t>
      </w:r>
      <w:r w:rsidR="00B30786">
        <w:rPr>
          <w:rFonts w:eastAsia="Cambria" w:cs="Cambria"/>
          <w:color w:val="000000" w:themeColor="text1"/>
        </w:rPr>
        <w:t xml:space="preserve"> with the provisions of th</w:t>
      </w:r>
      <w:r w:rsidR="000F3505">
        <w:rPr>
          <w:rFonts w:eastAsia="Cambria" w:cs="Cambria"/>
          <w:color w:val="000000" w:themeColor="text1"/>
        </w:rPr>
        <w:t>ese rules.</w:t>
      </w:r>
    </w:p>
    <w:p w14:paraId="17ABCE96" w14:textId="3BC8857C" w:rsidR="00CD7923" w:rsidRPr="00545998" w:rsidRDefault="00CD7923" w:rsidP="000311FB">
      <w:pPr>
        <w:jc w:val="both"/>
        <w:rPr>
          <w:rFonts w:eastAsia="Cambria" w:cs="Cambria"/>
          <w:color w:val="000000" w:themeColor="text1"/>
        </w:rPr>
      </w:pPr>
      <w:r>
        <w:rPr>
          <w:rFonts w:eastAsia="Cambria" w:cs="Cambria"/>
          <w:color w:val="000000" w:themeColor="text1"/>
        </w:rPr>
        <w:t xml:space="preserve">In addition to the 111 </w:t>
      </w:r>
      <w:r w:rsidR="00E21DE4">
        <w:rPr>
          <w:rFonts w:eastAsia="Cambria" w:cs="Cambria"/>
          <w:color w:val="000000" w:themeColor="text1"/>
        </w:rPr>
        <w:t>GHG Rule</w:t>
      </w:r>
      <w:r>
        <w:rPr>
          <w:rFonts w:eastAsia="Cambria" w:cs="Cambria"/>
          <w:color w:val="000000" w:themeColor="text1"/>
        </w:rPr>
        <w:t xml:space="preserve"> requirements, </w:t>
      </w:r>
      <w:r w:rsidR="00A87593">
        <w:rPr>
          <w:rFonts w:eastAsia="Cambria" w:cs="Cambria"/>
          <w:color w:val="000000" w:themeColor="text1"/>
        </w:rPr>
        <w:t xml:space="preserve">the Company’s </w:t>
      </w:r>
      <w:r w:rsidR="001C1B63" w:rsidRPr="00545998">
        <w:rPr>
          <w:rFonts w:eastAsia="Cambria" w:cs="Cambria"/>
          <w:i/>
          <w:color w:val="000000" w:themeColor="text1"/>
        </w:rPr>
        <w:t>111 + Higher</w:t>
      </w:r>
      <w:r w:rsidR="001C1B63">
        <w:rPr>
          <w:rFonts w:eastAsia="Cambria" w:cs="Cambria"/>
          <w:color w:val="000000" w:themeColor="text1"/>
        </w:rPr>
        <w:t xml:space="preserve"> view of future GHG pressure </w:t>
      </w:r>
      <w:r w:rsidR="007B5A82">
        <w:rPr>
          <w:rFonts w:eastAsia="Cambria" w:cs="Cambria"/>
          <w:color w:val="000000" w:themeColor="text1"/>
        </w:rPr>
        <w:t>imposes a higher degree of CO</w:t>
      </w:r>
      <w:r w:rsidR="007B5A82" w:rsidRPr="00B832C1">
        <w:rPr>
          <w:rFonts w:eastAsia="Cambria" w:cs="Cambria"/>
          <w:color w:val="000000" w:themeColor="text1"/>
          <w:vertAlign w:val="subscript"/>
        </w:rPr>
        <w:t>2</w:t>
      </w:r>
      <w:r w:rsidR="007B5A82">
        <w:rPr>
          <w:rFonts w:eastAsia="Cambria" w:cs="Cambria"/>
          <w:color w:val="000000" w:themeColor="text1"/>
        </w:rPr>
        <w:t xml:space="preserve"> pressure in the form of a </w:t>
      </w:r>
      <w:r w:rsidR="009A13BA">
        <w:rPr>
          <w:rFonts w:eastAsia="Cambria" w:cs="Cambria"/>
          <w:color w:val="000000" w:themeColor="text1"/>
        </w:rPr>
        <w:t xml:space="preserve">fee on GHG emission from the Company’s </w:t>
      </w:r>
      <w:r w:rsidR="00052C02">
        <w:rPr>
          <w:rFonts w:eastAsia="Cambria" w:cs="Cambria"/>
          <w:color w:val="000000" w:themeColor="text1"/>
        </w:rPr>
        <w:t>facilities</w:t>
      </w:r>
      <w:r w:rsidR="00C21DBB">
        <w:rPr>
          <w:rFonts w:eastAsia="Cambria" w:cs="Cambria"/>
          <w:color w:val="000000" w:themeColor="text1"/>
        </w:rPr>
        <w:t>. The fee begins</w:t>
      </w:r>
      <w:r w:rsidR="002351DF">
        <w:rPr>
          <w:rFonts w:eastAsia="Cambria" w:cs="Cambria"/>
          <w:color w:val="000000" w:themeColor="text1"/>
        </w:rPr>
        <w:t xml:space="preserve"> in 2035</w:t>
      </w:r>
      <w:r w:rsidR="00C21DBB">
        <w:rPr>
          <w:rFonts w:eastAsia="Cambria" w:cs="Cambria"/>
          <w:color w:val="000000" w:themeColor="text1"/>
        </w:rPr>
        <w:t xml:space="preserve"> at $50 </w:t>
      </w:r>
      <w:r w:rsidR="002351DF">
        <w:rPr>
          <w:rFonts w:eastAsia="Cambria" w:cs="Cambria"/>
          <w:color w:val="000000" w:themeColor="text1"/>
        </w:rPr>
        <w:t xml:space="preserve">(2023$) </w:t>
      </w:r>
      <w:r w:rsidR="00C21DBB">
        <w:rPr>
          <w:rFonts w:eastAsia="Cambria" w:cs="Cambria"/>
          <w:color w:val="000000" w:themeColor="text1"/>
        </w:rPr>
        <w:t>per metric ton of CO</w:t>
      </w:r>
      <w:r w:rsidR="00C21DBB" w:rsidRPr="00545998">
        <w:rPr>
          <w:rFonts w:eastAsia="Cambria" w:cs="Cambria"/>
          <w:color w:val="000000" w:themeColor="text1"/>
          <w:vertAlign w:val="subscript"/>
        </w:rPr>
        <w:t>2</w:t>
      </w:r>
      <w:r w:rsidR="00393403">
        <w:rPr>
          <w:rFonts w:eastAsia="Cambria" w:cs="Cambria"/>
          <w:color w:val="000000" w:themeColor="text1"/>
        </w:rPr>
        <w:t xml:space="preserve"> </w:t>
      </w:r>
      <w:r w:rsidR="002351DF">
        <w:rPr>
          <w:rFonts w:eastAsia="Cambria" w:cs="Cambria"/>
          <w:color w:val="000000" w:themeColor="text1"/>
        </w:rPr>
        <w:t>and rises at 7% above</w:t>
      </w:r>
      <w:r w:rsidR="00F57813">
        <w:rPr>
          <w:rFonts w:eastAsia="Cambria" w:cs="Cambria"/>
          <w:color w:val="000000" w:themeColor="text1"/>
        </w:rPr>
        <w:t xml:space="preserve"> </w:t>
      </w:r>
      <w:r w:rsidR="002351DF">
        <w:rPr>
          <w:rFonts w:eastAsia="Cambria" w:cs="Cambria"/>
          <w:color w:val="000000" w:themeColor="text1"/>
        </w:rPr>
        <w:t>inflation</w:t>
      </w:r>
      <w:r w:rsidR="00F00E0F">
        <w:rPr>
          <w:rFonts w:eastAsia="Cambria" w:cs="Cambria"/>
          <w:color w:val="000000" w:themeColor="text1"/>
        </w:rPr>
        <w:t xml:space="preserve"> through the modeling horizon</w:t>
      </w:r>
      <w:r w:rsidR="002351DF">
        <w:rPr>
          <w:rFonts w:eastAsia="Cambria" w:cs="Cambria"/>
          <w:color w:val="000000" w:themeColor="text1"/>
        </w:rPr>
        <w:t>.</w:t>
      </w:r>
      <w:r w:rsidR="00F40A5A">
        <w:rPr>
          <w:rFonts w:eastAsia="Cambria" w:cs="Cambria"/>
          <w:color w:val="000000" w:themeColor="text1"/>
        </w:rPr>
        <w:t xml:space="preserve"> The fee is </w:t>
      </w:r>
      <w:r w:rsidR="00783120">
        <w:rPr>
          <w:rFonts w:eastAsia="Cambria" w:cs="Cambria"/>
          <w:color w:val="000000" w:themeColor="text1"/>
        </w:rPr>
        <w:t xml:space="preserve">a proxy for </w:t>
      </w:r>
      <w:r w:rsidR="00C417A9">
        <w:rPr>
          <w:rFonts w:eastAsia="Cambria" w:cs="Cambria"/>
          <w:color w:val="000000" w:themeColor="text1"/>
        </w:rPr>
        <w:t>various forms of pressure</w:t>
      </w:r>
      <w:r w:rsidR="00547EE3">
        <w:rPr>
          <w:rFonts w:eastAsia="Cambria" w:cs="Cambria"/>
          <w:color w:val="000000" w:themeColor="text1"/>
        </w:rPr>
        <w:t xml:space="preserve"> includ</w:t>
      </w:r>
      <w:r w:rsidR="002618F9">
        <w:rPr>
          <w:rFonts w:eastAsia="Cambria" w:cs="Cambria"/>
          <w:color w:val="000000" w:themeColor="text1"/>
        </w:rPr>
        <w:t xml:space="preserve">ing regulatory or legislative </w:t>
      </w:r>
      <w:r w:rsidR="008D1BC5">
        <w:rPr>
          <w:rFonts w:eastAsia="Cambria" w:cs="Cambria"/>
          <w:color w:val="000000" w:themeColor="text1"/>
        </w:rPr>
        <w:t>policy,</w:t>
      </w:r>
      <w:r w:rsidR="007E104F">
        <w:rPr>
          <w:rFonts w:eastAsia="Cambria" w:cs="Cambria"/>
          <w:color w:val="000000" w:themeColor="text1"/>
        </w:rPr>
        <w:t xml:space="preserve"> or</w:t>
      </w:r>
      <w:r w:rsidR="00D244F6">
        <w:rPr>
          <w:rFonts w:eastAsia="Cambria" w:cs="Cambria"/>
          <w:color w:val="000000" w:themeColor="text1"/>
        </w:rPr>
        <w:t xml:space="preserve"> pressure</w:t>
      </w:r>
      <w:r w:rsidR="007E104F">
        <w:rPr>
          <w:rFonts w:eastAsia="Cambria" w:cs="Cambria"/>
          <w:color w:val="000000" w:themeColor="text1"/>
        </w:rPr>
        <w:t xml:space="preserve"> from</w:t>
      </w:r>
      <w:r w:rsidR="008D1BC5">
        <w:rPr>
          <w:rFonts w:eastAsia="Cambria" w:cs="Cambria"/>
          <w:color w:val="000000" w:themeColor="text1"/>
        </w:rPr>
        <w:t xml:space="preserve"> </w:t>
      </w:r>
      <w:r w:rsidR="00662012">
        <w:rPr>
          <w:rFonts w:eastAsia="Cambria" w:cs="Cambria"/>
          <w:color w:val="000000" w:themeColor="text1"/>
        </w:rPr>
        <w:t>customer</w:t>
      </w:r>
      <w:r w:rsidR="007E104F">
        <w:rPr>
          <w:rFonts w:eastAsia="Cambria" w:cs="Cambria"/>
          <w:color w:val="000000" w:themeColor="text1"/>
        </w:rPr>
        <w:t>s</w:t>
      </w:r>
      <w:r w:rsidR="00E237D0">
        <w:rPr>
          <w:rFonts w:eastAsia="Cambria" w:cs="Cambria"/>
          <w:color w:val="000000" w:themeColor="text1"/>
        </w:rPr>
        <w:t xml:space="preserve"> </w:t>
      </w:r>
      <w:r w:rsidR="007E104F">
        <w:rPr>
          <w:rFonts w:eastAsia="Cambria" w:cs="Cambria"/>
          <w:color w:val="000000" w:themeColor="text1"/>
        </w:rPr>
        <w:t xml:space="preserve">or </w:t>
      </w:r>
      <w:r w:rsidR="004564BB">
        <w:rPr>
          <w:rFonts w:eastAsia="Cambria" w:cs="Cambria"/>
          <w:color w:val="000000" w:themeColor="text1"/>
        </w:rPr>
        <w:t>investor</w:t>
      </w:r>
      <w:r w:rsidR="007E104F">
        <w:rPr>
          <w:rFonts w:eastAsia="Cambria" w:cs="Cambria"/>
          <w:color w:val="000000" w:themeColor="text1"/>
        </w:rPr>
        <w:t>s.</w:t>
      </w:r>
    </w:p>
    <w:p w14:paraId="6A9F9F44" w14:textId="68DAADE3" w:rsidR="00EC58BB" w:rsidRPr="00303E0D" w:rsidRDefault="00570EB0" w:rsidP="000311FB">
      <w:pPr>
        <w:jc w:val="both"/>
        <w:rPr>
          <w:rFonts w:eastAsia="Cambria" w:cs="Cambria"/>
          <w:color w:val="000000" w:themeColor="text1"/>
        </w:rPr>
      </w:pPr>
      <w:r>
        <w:rPr>
          <w:rFonts w:eastAsia="Cambria" w:cs="Cambria"/>
          <w:color w:val="000000" w:themeColor="text1"/>
        </w:rPr>
        <w:t>In t</w:t>
      </w:r>
      <w:r w:rsidR="014259A8" w:rsidRPr="003F7CF4">
        <w:rPr>
          <w:rFonts w:eastAsia="Cambria" w:cs="Cambria"/>
          <w:color w:val="000000" w:themeColor="text1"/>
        </w:rPr>
        <w:t xml:space="preserve">he </w:t>
      </w:r>
      <w:r w:rsidR="00085447">
        <w:rPr>
          <w:rFonts w:eastAsia="Cambria" w:cs="Cambria"/>
          <w:color w:val="000000" w:themeColor="text1"/>
        </w:rPr>
        <w:t>C</w:t>
      </w:r>
      <w:r w:rsidR="014259A8" w:rsidRPr="00DD682F">
        <w:rPr>
          <w:rFonts w:eastAsia="Cambria" w:cs="Cambria"/>
          <w:color w:val="000000" w:themeColor="text1"/>
        </w:rPr>
        <w:t xml:space="preserve">ompany’s </w:t>
      </w:r>
      <w:r w:rsidR="014259A8" w:rsidRPr="00DD682F">
        <w:rPr>
          <w:rFonts w:eastAsia="Cambria" w:cs="Cambria"/>
          <w:i/>
          <w:color w:val="000000" w:themeColor="text1"/>
        </w:rPr>
        <w:t>Lower</w:t>
      </w:r>
      <w:r w:rsidR="014259A8" w:rsidRPr="00DD682F">
        <w:rPr>
          <w:rFonts w:eastAsia="Cambria" w:cs="Cambria"/>
          <w:color w:val="000000" w:themeColor="text1"/>
        </w:rPr>
        <w:t xml:space="preserve"> view</w:t>
      </w:r>
      <w:r w:rsidR="00B832C1">
        <w:rPr>
          <w:rFonts w:eastAsia="Cambria" w:cs="Cambria"/>
          <w:color w:val="000000" w:themeColor="text1"/>
        </w:rPr>
        <w:t>,</w:t>
      </w:r>
      <w:r w:rsidR="014259A8" w:rsidRPr="00DD682F">
        <w:rPr>
          <w:rFonts w:eastAsia="Cambria" w:cs="Cambria"/>
          <w:color w:val="000000" w:themeColor="text1"/>
        </w:rPr>
        <w:t xml:space="preserve"> </w:t>
      </w:r>
      <w:r>
        <w:rPr>
          <w:rFonts w:eastAsia="Cambria" w:cs="Cambria"/>
          <w:color w:val="000000" w:themeColor="text1"/>
        </w:rPr>
        <w:t xml:space="preserve">the 111 </w:t>
      </w:r>
      <w:r w:rsidR="00E21DE4">
        <w:rPr>
          <w:rFonts w:eastAsia="Cambria" w:cs="Cambria"/>
          <w:color w:val="000000" w:themeColor="text1"/>
        </w:rPr>
        <w:t>GHG R</w:t>
      </w:r>
      <w:r w:rsidR="008B7CAA">
        <w:rPr>
          <w:rFonts w:eastAsia="Cambria" w:cs="Cambria"/>
          <w:color w:val="000000" w:themeColor="text1"/>
        </w:rPr>
        <w:t>ules do not remain i</w:t>
      </w:r>
      <w:r w:rsidR="00754286">
        <w:rPr>
          <w:rFonts w:eastAsia="Cambria" w:cs="Cambria"/>
          <w:color w:val="000000" w:themeColor="text1"/>
        </w:rPr>
        <w:t xml:space="preserve">n effect. </w:t>
      </w:r>
      <w:r w:rsidR="001635AF">
        <w:rPr>
          <w:rFonts w:eastAsia="Cambria" w:cs="Cambria"/>
          <w:color w:val="000000" w:themeColor="text1"/>
        </w:rPr>
        <w:t xml:space="preserve">The </w:t>
      </w:r>
      <w:r w:rsidR="001635AF" w:rsidRPr="00726D68">
        <w:rPr>
          <w:rFonts w:eastAsia="Cambria" w:cs="Cambria"/>
          <w:i/>
          <w:color w:val="000000" w:themeColor="text1"/>
        </w:rPr>
        <w:t>Lower</w:t>
      </w:r>
      <w:r w:rsidR="001635AF">
        <w:rPr>
          <w:rFonts w:eastAsia="Cambria" w:cs="Cambria"/>
          <w:color w:val="000000" w:themeColor="text1"/>
        </w:rPr>
        <w:t xml:space="preserve"> view</w:t>
      </w:r>
      <w:r w:rsidR="014259A8" w:rsidRPr="00303E0D">
        <w:rPr>
          <w:rFonts w:eastAsia="Cambria" w:cs="Cambria"/>
          <w:color w:val="000000" w:themeColor="text1"/>
        </w:rPr>
        <w:t xml:space="preserve"> </w:t>
      </w:r>
      <w:r w:rsidR="00A6463A">
        <w:rPr>
          <w:rFonts w:eastAsia="Cambria" w:cs="Cambria"/>
          <w:color w:val="000000" w:themeColor="text1"/>
        </w:rPr>
        <w:t>assumes</w:t>
      </w:r>
      <w:r w:rsidR="014259A8" w:rsidRPr="00303E0D">
        <w:rPr>
          <w:rFonts w:eastAsia="Cambria" w:cs="Cambria"/>
          <w:color w:val="000000" w:themeColor="text1"/>
        </w:rPr>
        <w:t xml:space="preserve"> no </w:t>
      </w:r>
      <w:r w:rsidR="00465399">
        <w:rPr>
          <w:rFonts w:eastAsia="Cambria" w:cs="Cambria"/>
          <w:color w:val="000000" w:themeColor="text1"/>
        </w:rPr>
        <w:t>fee</w:t>
      </w:r>
      <w:r w:rsidR="014259A8" w:rsidRPr="003F7CF4">
        <w:rPr>
          <w:rFonts w:eastAsia="Cambria" w:cs="Cambria"/>
          <w:color w:val="000000" w:themeColor="text1"/>
        </w:rPr>
        <w:t xml:space="preserve"> on CO</w:t>
      </w:r>
      <w:r w:rsidR="014259A8" w:rsidRPr="003F7CF4">
        <w:rPr>
          <w:rFonts w:eastAsia="Cambria" w:cs="Cambria"/>
          <w:color w:val="000000" w:themeColor="text1"/>
          <w:vertAlign w:val="subscript"/>
        </w:rPr>
        <w:t>2</w:t>
      </w:r>
      <w:r w:rsidR="014259A8" w:rsidRPr="003F7CF4">
        <w:rPr>
          <w:rFonts w:eastAsia="Cambria" w:cs="Cambria"/>
          <w:color w:val="000000" w:themeColor="text1"/>
        </w:rPr>
        <w:t xml:space="preserve"> emissions but does require carbon capture at all new </w:t>
      </w:r>
      <w:r w:rsidR="004B5601">
        <w:rPr>
          <w:rFonts w:eastAsia="Cambria" w:cs="Cambria"/>
          <w:color w:val="000000" w:themeColor="text1"/>
        </w:rPr>
        <w:t>NG</w:t>
      </w:r>
      <w:r w:rsidR="00DC498D">
        <w:rPr>
          <w:rFonts w:eastAsia="Cambria" w:cs="Cambria"/>
          <w:color w:val="000000" w:themeColor="text1"/>
        </w:rPr>
        <w:t>CC</w:t>
      </w:r>
      <w:r w:rsidR="014259A8" w:rsidRPr="003F7CF4">
        <w:rPr>
          <w:rFonts w:eastAsia="Cambria" w:cs="Cambria"/>
          <w:color w:val="000000" w:themeColor="text1"/>
        </w:rPr>
        <w:t xml:space="preserve"> units that become operational in 2040 and after. </w:t>
      </w:r>
      <w:r w:rsidR="00A6463A">
        <w:rPr>
          <w:rFonts w:eastAsia="Cambria" w:cs="Cambria"/>
          <w:color w:val="000000" w:themeColor="text1"/>
        </w:rPr>
        <w:t xml:space="preserve">The </w:t>
      </w:r>
      <w:r w:rsidR="00774704">
        <w:rPr>
          <w:rFonts w:eastAsia="Cambria" w:cs="Cambria"/>
          <w:color w:val="000000" w:themeColor="text1"/>
        </w:rPr>
        <w:t>assumed carbon capture requirement</w:t>
      </w:r>
      <w:r w:rsidR="014259A8">
        <w:rPr>
          <w:rFonts w:eastAsia="Cambria" w:cs="Cambria"/>
          <w:color w:val="000000" w:themeColor="text1"/>
        </w:rPr>
        <w:t xml:space="preserve"> </w:t>
      </w:r>
      <w:r w:rsidR="014259A8" w:rsidRPr="00DD682F">
        <w:rPr>
          <w:rFonts w:eastAsia="Cambria" w:cs="Cambria"/>
          <w:color w:val="000000" w:themeColor="text1"/>
        </w:rPr>
        <w:t xml:space="preserve">date </w:t>
      </w:r>
      <w:r w:rsidR="001A2FF4">
        <w:rPr>
          <w:rFonts w:eastAsia="Cambria" w:cs="Cambria"/>
          <w:color w:val="000000" w:themeColor="text1"/>
        </w:rPr>
        <w:t>reflects</w:t>
      </w:r>
      <w:r w:rsidR="00DF7E7E">
        <w:rPr>
          <w:rFonts w:eastAsia="Cambria" w:cs="Cambria"/>
          <w:color w:val="000000" w:themeColor="text1"/>
        </w:rPr>
        <w:t xml:space="preserve"> uncertainty in the legal outcome of the existing rules</w:t>
      </w:r>
      <w:r w:rsidR="00C71042">
        <w:rPr>
          <w:rFonts w:eastAsia="Cambria" w:cs="Cambria"/>
          <w:color w:val="000000" w:themeColor="text1"/>
        </w:rPr>
        <w:t>,</w:t>
      </w:r>
      <w:r w:rsidR="00DF7E7E">
        <w:rPr>
          <w:rFonts w:eastAsia="Cambria" w:cs="Cambria"/>
          <w:color w:val="000000" w:themeColor="text1"/>
        </w:rPr>
        <w:t xml:space="preserve"> </w:t>
      </w:r>
      <w:r w:rsidR="002E1941">
        <w:rPr>
          <w:rFonts w:eastAsia="Cambria" w:cs="Cambria"/>
          <w:color w:val="000000" w:themeColor="text1"/>
        </w:rPr>
        <w:t xml:space="preserve">as well as </w:t>
      </w:r>
      <w:r w:rsidR="00130084">
        <w:rPr>
          <w:rFonts w:eastAsia="Cambria" w:cs="Cambria"/>
          <w:color w:val="000000" w:themeColor="text1"/>
        </w:rPr>
        <w:t xml:space="preserve">the pace of </w:t>
      </w:r>
      <w:r w:rsidR="002E1941">
        <w:rPr>
          <w:rFonts w:eastAsia="Cambria" w:cs="Cambria"/>
          <w:color w:val="000000" w:themeColor="text1"/>
        </w:rPr>
        <w:t xml:space="preserve">technology </w:t>
      </w:r>
      <w:r w:rsidR="00E939AA">
        <w:rPr>
          <w:rFonts w:eastAsia="Cambria" w:cs="Cambria"/>
          <w:color w:val="000000" w:themeColor="text1"/>
        </w:rPr>
        <w:t>advancement</w:t>
      </w:r>
      <w:r w:rsidR="00C71042">
        <w:rPr>
          <w:rFonts w:eastAsia="Cambria" w:cs="Cambria"/>
          <w:color w:val="000000" w:themeColor="text1"/>
        </w:rPr>
        <w:t>,</w:t>
      </w:r>
      <w:r w:rsidR="00E939AA">
        <w:rPr>
          <w:rFonts w:eastAsia="Cambria" w:cs="Cambria"/>
          <w:color w:val="000000" w:themeColor="text1"/>
        </w:rPr>
        <w:t xml:space="preserve"> </w:t>
      </w:r>
      <w:r w:rsidR="00DF7E7E">
        <w:rPr>
          <w:rFonts w:eastAsia="Cambria" w:cs="Cambria"/>
          <w:color w:val="000000" w:themeColor="text1"/>
        </w:rPr>
        <w:t xml:space="preserve">but considers that EPA is required to review </w:t>
      </w:r>
      <w:r w:rsidR="002E1941">
        <w:rPr>
          <w:rFonts w:eastAsia="Cambria" w:cs="Cambria"/>
          <w:color w:val="000000" w:themeColor="text1"/>
        </w:rPr>
        <w:t>and potentially update the GHG emission standards on a regular basis</w:t>
      </w:r>
      <w:r w:rsidR="014259A8" w:rsidRPr="00303E0D">
        <w:rPr>
          <w:rFonts w:eastAsia="Cambria" w:cs="Cambria"/>
          <w:color w:val="000000" w:themeColor="text1"/>
        </w:rPr>
        <w:t>.</w:t>
      </w:r>
    </w:p>
    <w:p w14:paraId="31344AB1" w14:textId="76C4DFAD" w:rsidR="00EC58BB" w:rsidRPr="00EF0244" w:rsidRDefault="014259A8" w:rsidP="000311FB">
      <w:pPr>
        <w:jc w:val="both"/>
        <w:rPr>
          <w:rFonts w:eastAsia="Cambria" w:cs="Cambria"/>
          <w:color w:val="000000" w:themeColor="text1"/>
        </w:rPr>
      </w:pPr>
      <w:r w:rsidRPr="00303E0D">
        <w:rPr>
          <w:rFonts w:eastAsia="Cambria" w:cs="Cambria"/>
          <w:color w:val="000000" w:themeColor="text1"/>
        </w:rPr>
        <w:lastRenderedPageBreak/>
        <w:t xml:space="preserve">The </w:t>
      </w:r>
      <w:r w:rsidR="00631558">
        <w:rPr>
          <w:rFonts w:eastAsia="Cambria" w:cs="Cambria"/>
          <w:color w:val="000000" w:themeColor="text1"/>
        </w:rPr>
        <w:t>C</w:t>
      </w:r>
      <w:r w:rsidRPr="00EF0244">
        <w:rPr>
          <w:rFonts w:eastAsia="Cambria" w:cs="Cambria"/>
          <w:color w:val="000000" w:themeColor="text1"/>
        </w:rPr>
        <w:t xml:space="preserve">ompany’s </w:t>
      </w:r>
      <w:r w:rsidRPr="00EF0244">
        <w:rPr>
          <w:rFonts w:eastAsia="Cambria" w:cs="Cambria"/>
          <w:i/>
          <w:color w:val="000000" w:themeColor="text1"/>
        </w:rPr>
        <w:t>Moderate</w:t>
      </w:r>
      <w:r w:rsidRPr="00EF0244">
        <w:rPr>
          <w:rFonts w:eastAsia="Cambria" w:cs="Cambria"/>
          <w:color w:val="000000" w:themeColor="text1"/>
        </w:rPr>
        <w:t xml:space="preserve"> view</w:t>
      </w:r>
      <w:r>
        <w:rPr>
          <w:rFonts w:eastAsia="Cambria" w:cs="Cambria"/>
          <w:color w:val="000000" w:themeColor="text1"/>
        </w:rPr>
        <w:t xml:space="preserve"> </w:t>
      </w:r>
      <w:r w:rsidR="00EB2EAD">
        <w:rPr>
          <w:rFonts w:eastAsia="Cambria" w:cs="Cambria"/>
          <w:color w:val="000000" w:themeColor="text1"/>
        </w:rPr>
        <w:t xml:space="preserve">adds </w:t>
      </w:r>
      <w:r w:rsidR="007D6F1A">
        <w:rPr>
          <w:rFonts w:eastAsia="Cambria" w:cs="Cambria"/>
          <w:color w:val="000000" w:themeColor="text1"/>
        </w:rPr>
        <w:t xml:space="preserve">to the </w:t>
      </w:r>
      <w:r w:rsidRPr="00EF0244">
        <w:rPr>
          <w:rFonts w:eastAsia="Cambria" w:cs="Cambria"/>
          <w:i/>
          <w:color w:val="000000" w:themeColor="text1"/>
        </w:rPr>
        <w:t>Lower</w:t>
      </w:r>
      <w:r w:rsidRPr="00EF0244">
        <w:rPr>
          <w:rFonts w:eastAsia="Cambria" w:cs="Cambria"/>
          <w:color w:val="000000" w:themeColor="text1"/>
        </w:rPr>
        <w:t xml:space="preserve"> view</w:t>
      </w:r>
      <w:r>
        <w:rPr>
          <w:rFonts w:eastAsia="Cambria" w:cs="Cambria"/>
          <w:color w:val="000000" w:themeColor="text1"/>
        </w:rPr>
        <w:t xml:space="preserve"> </w:t>
      </w:r>
      <w:r w:rsidRPr="00EF0244">
        <w:rPr>
          <w:rFonts w:eastAsia="Cambria" w:cs="Cambria"/>
          <w:color w:val="000000" w:themeColor="text1"/>
        </w:rPr>
        <w:t>a fee on CO</w:t>
      </w:r>
      <w:r w:rsidRPr="00EF0244">
        <w:rPr>
          <w:rFonts w:eastAsia="Cambria" w:cs="Cambria"/>
          <w:color w:val="000000" w:themeColor="text1"/>
          <w:vertAlign w:val="subscript"/>
        </w:rPr>
        <w:t>2</w:t>
      </w:r>
      <w:r w:rsidRPr="00EF0244">
        <w:rPr>
          <w:rFonts w:eastAsia="Cambria" w:cs="Cambria"/>
          <w:color w:val="000000" w:themeColor="text1"/>
        </w:rPr>
        <w:t xml:space="preserve"> emissions that begins in 2030 at $20 (2023$) per metric ton of CO</w:t>
      </w:r>
      <w:r w:rsidRPr="00EF0244">
        <w:rPr>
          <w:rFonts w:eastAsia="Cambria" w:cs="Cambria"/>
          <w:color w:val="000000" w:themeColor="text1"/>
          <w:vertAlign w:val="subscript"/>
        </w:rPr>
        <w:t>2</w:t>
      </w:r>
      <w:r w:rsidRPr="00EF0244">
        <w:rPr>
          <w:rFonts w:eastAsia="Cambria" w:cs="Cambria"/>
          <w:color w:val="000000" w:themeColor="text1"/>
        </w:rPr>
        <w:t xml:space="preserve"> and grows at 5% above inflation through the modeling horizon. This fee </w:t>
      </w:r>
      <w:r w:rsidR="00F067AD">
        <w:rPr>
          <w:rFonts w:eastAsia="Cambria" w:cs="Cambria"/>
          <w:color w:val="000000" w:themeColor="text1"/>
        </w:rPr>
        <w:t xml:space="preserve">is a proxy for various forms of pressure </w:t>
      </w:r>
      <w:r w:rsidR="008C2D17">
        <w:rPr>
          <w:rFonts w:eastAsia="Cambria" w:cs="Cambria"/>
          <w:color w:val="000000" w:themeColor="text1"/>
        </w:rPr>
        <w:t>on the Company’s GHG emissions</w:t>
      </w:r>
      <w:r w:rsidR="00BC56C8">
        <w:rPr>
          <w:rFonts w:eastAsia="Cambria" w:cs="Cambria"/>
          <w:color w:val="000000" w:themeColor="text1"/>
        </w:rPr>
        <w:t>,</w:t>
      </w:r>
      <w:r w:rsidR="008C2D17">
        <w:rPr>
          <w:rFonts w:eastAsia="Cambria" w:cs="Cambria"/>
          <w:color w:val="000000" w:themeColor="text1"/>
        </w:rPr>
        <w:t xml:space="preserve"> including regulatory or legislative policy, or pressure from customers or investors.</w:t>
      </w:r>
      <w:r>
        <w:rPr>
          <w:rFonts w:eastAsia="Cambria" w:cs="Cambria"/>
          <w:color w:val="000000" w:themeColor="text1"/>
        </w:rPr>
        <w:t xml:space="preserve"> </w:t>
      </w:r>
      <w:r w:rsidRPr="00EF0244">
        <w:rPr>
          <w:rFonts w:eastAsia="Cambria" w:cs="Cambria"/>
          <w:color w:val="000000" w:themeColor="text1"/>
        </w:rPr>
        <w:t xml:space="preserve">The </w:t>
      </w:r>
      <w:r w:rsidR="00806B8C">
        <w:rPr>
          <w:rFonts w:eastAsia="Cambria" w:cs="Cambria"/>
          <w:color w:val="000000" w:themeColor="text1"/>
        </w:rPr>
        <w:t>assumed 2030</w:t>
      </w:r>
      <w:r>
        <w:rPr>
          <w:rFonts w:eastAsia="Cambria" w:cs="Cambria"/>
          <w:color w:val="000000" w:themeColor="text1"/>
        </w:rPr>
        <w:t xml:space="preserve"> </w:t>
      </w:r>
      <w:r w:rsidRPr="000311FB">
        <w:rPr>
          <w:rFonts w:eastAsia="Cambria" w:cs="Cambria"/>
          <w:color w:val="000000" w:themeColor="text1"/>
        </w:rPr>
        <w:t>start year is consistent with</w:t>
      </w:r>
      <w:r w:rsidR="004B5B17">
        <w:rPr>
          <w:rFonts w:eastAsia="Cambria" w:cs="Cambria"/>
          <w:color w:val="000000" w:themeColor="text1"/>
        </w:rPr>
        <w:t xml:space="preserve"> a projected compliance horizon </w:t>
      </w:r>
      <w:r w:rsidR="00D21378">
        <w:rPr>
          <w:rFonts w:eastAsia="Cambria" w:cs="Cambria"/>
          <w:color w:val="000000" w:themeColor="text1"/>
        </w:rPr>
        <w:t>for future regulation or legislation</w:t>
      </w:r>
      <w:r w:rsidR="000E44BB">
        <w:rPr>
          <w:rFonts w:eastAsia="Cambria" w:cs="Cambria"/>
          <w:color w:val="000000" w:themeColor="text1"/>
        </w:rPr>
        <w:t xml:space="preserve">. </w:t>
      </w:r>
      <w:r w:rsidR="00923BAF">
        <w:rPr>
          <w:rFonts w:eastAsia="Cambria" w:cs="Cambria"/>
          <w:color w:val="000000" w:themeColor="text1"/>
        </w:rPr>
        <w:t>In t</w:t>
      </w:r>
      <w:r w:rsidR="000E44BB">
        <w:rPr>
          <w:rFonts w:eastAsia="Cambria" w:cs="Cambria"/>
          <w:color w:val="000000" w:themeColor="text1"/>
        </w:rPr>
        <w:t xml:space="preserve">his view </w:t>
      </w:r>
      <w:r w:rsidR="00923BAF">
        <w:rPr>
          <w:rFonts w:eastAsia="Cambria" w:cs="Cambria"/>
          <w:color w:val="000000" w:themeColor="text1"/>
        </w:rPr>
        <w:t xml:space="preserve">it is </w:t>
      </w:r>
      <w:r w:rsidR="00D21378">
        <w:rPr>
          <w:rFonts w:eastAsia="Cambria" w:cs="Cambria"/>
          <w:color w:val="000000" w:themeColor="text1"/>
        </w:rPr>
        <w:t>also assume</w:t>
      </w:r>
      <w:r w:rsidR="00923BAF">
        <w:rPr>
          <w:rFonts w:eastAsia="Cambria" w:cs="Cambria"/>
          <w:color w:val="000000" w:themeColor="text1"/>
        </w:rPr>
        <w:t>d</w:t>
      </w:r>
      <w:r w:rsidR="00D21378">
        <w:rPr>
          <w:rFonts w:eastAsia="Cambria" w:cs="Cambria"/>
          <w:color w:val="000000" w:themeColor="text1"/>
        </w:rPr>
        <w:t xml:space="preserve"> </w:t>
      </w:r>
      <w:r w:rsidR="00923BAF">
        <w:rPr>
          <w:rFonts w:eastAsia="Cambria" w:cs="Cambria"/>
          <w:color w:val="000000" w:themeColor="text1"/>
        </w:rPr>
        <w:t>that</w:t>
      </w:r>
      <w:r w:rsidR="00D21378">
        <w:rPr>
          <w:rFonts w:eastAsia="Cambria" w:cs="Cambria"/>
          <w:color w:val="000000" w:themeColor="text1"/>
        </w:rPr>
        <w:t xml:space="preserve"> </w:t>
      </w:r>
      <w:r w:rsidR="006F589A">
        <w:rPr>
          <w:rFonts w:eastAsia="Cambria" w:cs="Cambria"/>
          <w:color w:val="000000" w:themeColor="text1"/>
        </w:rPr>
        <w:t>c</w:t>
      </w:r>
      <w:r w:rsidRPr="00EF0244">
        <w:rPr>
          <w:rFonts w:eastAsia="Cambria" w:cs="Cambria"/>
          <w:color w:val="000000" w:themeColor="text1"/>
        </w:rPr>
        <w:t xml:space="preserve">arbon capture is required at all new </w:t>
      </w:r>
      <w:r w:rsidR="004B5601">
        <w:rPr>
          <w:rFonts w:eastAsia="Cambria" w:cs="Cambria"/>
          <w:color w:val="000000" w:themeColor="text1"/>
        </w:rPr>
        <w:t>NG</w:t>
      </w:r>
      <w:r w:rsidR="00DC498D">
        <w:rPr>
          <w:rFonts w:eastAsia="Cambria" w:cs="Cambria"/>
          <w:color w:val="000000" w:themeColor="text1"/>
        </w:rPr>
        <w:t>CC</w:t>
      </w:r>
      <w:r w:rsidRPr="00EF0244">
        <w:rPr>
          <w:rFonts w:eastAsia="Cambria" w:cs="Cambria"/>
          <w:color w:val="000000" w:themeColor="text1"/>
        </w:rPr>
        <w:t xml:space="preserve"> units beginning in </w:t>
      </w:r>
      <w:r w:rsidR="00946581" w:rsidRPr="00EF0244">
        <w:rPr>
          <w:rFonts w:eastAsia="Cambria" w:cs="Cambria"/>
          <w:color w:val="000000" w:themeColor="text1"/>
        </w:rPr>
        <w:t>203</w:t>
      </w:r>
      <w:r w:rsidR="00946581">
        <w:rPr>
          <w:rFonts w:eastAsia="Cambria" w:cs="Cambria"/>
          <w:color w:val="000000" w:themeColor="text1"/>
        </w:rPr>
        <w:t>7</w:t>
      </w:r>
      <w:r w:rsidRPr="00EF0244">
        <w:rPr>
          <w:rFonts w:eastAsia="Cambria" w:cs="Cambria"/>
          <w:color w:val="000000" w:themeColor="text1"/>
        </w:rPr>
        <w:t>. Th</w:t>
      </w:r>
      <w:r w:rsidR="00C47C21">
        <w:rPr>
          <w:rFonts w:eastAsia="Cambria" w:cs="Cambria"/>
          <w:color w:val="000000" w:themeColor="text1"/>
        </w:rPr>
        <w:t>ese</w:t>
      </w:r>
      <w:r w:rsidRPr="00303E0D">
        <w:rPr>
          <w:rFonts w:eastAsia="Cambria" w:cs="Cambria"/>
          <w:color w:val="000000" w:themeColor="text1"/>
        </w:rPr>
        <w:t xml:space="preserve"> date</w:t>
      </w:r>
      <w:r w:rsidR="000017AB">
        <w:rPr>
          <w:rFonts w:eastAsia="Cambria" w:cs="Cambria"/>
          <w:color w:val="000000" w:themeColor="text1"/>
        </w:rPr>
        <w:t xml:space="preserve">s are </w:t>
      </w:r>
      <w:r w:rsidRPr="00EF0244">
        <w:rPr>
          <w:rFonts w:eastAsia="Cambria" w:cs="Cambria"/>
          <w:color w:val="000000" w:themeColor="text1"/>
        </w:rPr>
        <w:t xml:space="preserve">uncertain but </w:t>
      </w:r>
      <w:r w:rsidR="000017AB">
        <w:rPr>
          <w:rFonts w:eastAsia="Cambria" w:cs="Cambria"/>
          <w:color w:val="000000" w:themeColor="text1"/>
        </w:rPr>
        <w:t xml:space="preserve">reflect </w:t>
      </w:r>
      <w:r w:rsidR="005F34F6">
        <w:rPr>
          <w:rFonts w:eastAsia="Cambria" w:cs="Cambria"/>
          <w:color w:val="000000" w:themeColor="text1"/>
        </w:rPr>
        <w:t xml:space="preserve">potential outcomes from future policies and/or </w:t>
      </w:r>
      <w:r w:rsidRPr="00EF0244">
        <w:rPr>
          <w:rFonts w:eastAsia="Cambria" w:cs="Cambria"/>
          <w:color w:val="000000" w:themeColor="text1"/>
        </w:rPr>
        <w:t>reviews required under the Clean Air Act.</w:t>
      </w:r>
    </w:p>
    <w:p w14:paraId="05609B74" w14:textId="355893F4" w:rsidR="00595E36" w:rsidRDefault="00595E36">
      <w:pPr>
        <w:jc w:val="both"/>
        <w:rPr>
          <w:rFonts w:eastAsia="Cambria" w:cs="Cambria"/>
          <w:color w:val="000000" w:themeColor="text1"/>
        </w:rPr>
      </w:pPr>
      <w:r w:rsidRPr="006F63B3">
        <w:rPr>
          <w:rFonts w:eastAsia="Cambria" w:cs="Cambria"/>
          <w:color w:val="000000" w:themeColor="text1"/>
        </w:rPr>
        <w:t xml:space="preserve">The </w:t>
      </w:r>
      <w:r>
        <w:rPr>
          <w:rFonts w:eastAsia="Cambria" w:cs="Cambria"/>
          <w:color w:val="000000" w:themeColor="text1"/>
        </w:rPr>
        <w:t>C</w:t>
      </w:r>
      <w:r w:rsidRPr="006F63B3">
        <w:rPr>
          <w:rFonts w:eastAsia="Cambria" w:cs="Cambria"/>
          <w:color w:val="000000" w:themeColor="text1"/>
        </w:rPr>
        <w:t xml:space="preserve">ompany’s </w:t>
      </w:r>
      <w:r w:rsidRPr="000311FB">
        <w:rPr>
          <w:rFonts w:eastAsia="Cambria" w:cs="Cambria"/>
          <w:i/>
          <w:color w:val="000000" w:themeColor="text1"/>
        </w:rPr>
        <w:t>Higher</w:t>
      </w:r>
      <w:r w:rsidRPr="006F63B3">
        <w:rPr>
          <w:rFonts w:eastAsia="Cambria" w:cs="Cambria"/>
          <w:color w:val="000000" w:themeColor="text1"/>
        </w:rPr>
        <w:t xml:space="preserve"> view</w:t>
      </w:r>
      <w:r>
        <w:rPr>
          <w:rFonts w:eastAsia="Cambria" w:cs="Cambria"/>
          <w:color w:val="000000" w:themeColor="text1"/>
        </w:rPr>
        <w:t xml:space="preserve"> builds on</w:t>
      </w:r>
      <w:r w:rsidRPr="006F63B3">
        <w:rPr>
          <w:rFonts w:eastAsia="Cambria" w:cs="Cambria"/>
          <w:color w:val="000000" w:themeColor="text1"/>
        </w:rPr>
        <w:t xml:space="preserve"> the requirements of the </w:t>
      </w:r>
      <w:r w:rsidRPr="009C1064">
        <w:rPr>
          <w:rFonts w:eastAsia="Cambria" w:cs="Cambria"/>
          <w:i/>
          <w:color w:val="000000" w:themeColor="text1"/>
        </w:rPr>
        <w:t>Lower</w:t>
      </w:r>
      <w:r>
        <w:rPr>
          <w:rFonts w:eastAsia="Cambria" w:cs="Cambria"/>
          <w:color w:val="000000" w:themeColor="text1"/>
        </w:rPr>
        <w:t xml:space="preserve"> and </w:t>
      </w:r>
      <w:r w:rsidRPr="009C1064">
        <w:rPr>
          <w:rFonts w:eastAsia="Cambria" w:cs="Cambria"/>
          <w:i/>
          <w:color w:val="000000" w:themeColor="text1"/>
        </w:rPr>
        <w:t>Moderate</w:t>
      </w:r>
      <w:r w:rsidRPr="006F63B3">
        <w:rPr>
          <w:rFonts w:eastAsia="Cambria" w:cs="Cambria"/>
          <w:color w:val="000000" w:themeColor="text1"/>
        </w:rPr>
        <w:t xml:space="preserve"> view</w:t>
      </w:r>
      <w:r>
        <w:rPr>
          <w:rFonts w:eastAsia="Cambria" w:cs="Cambria"/>
          <w:color w:val="000000" w:themeColor="text1"/>
        </w:rPr>
        <w:t>s and</w:t>
      </w:r>
      <w:r w:rsidRPr="006F63B3">
        <w:rPr>
          <w:rFonts w:eastAsia="Cambria" w:cs="Cambria"/>
          <w:color w:val="000000" w:themeColor="text1"/>
        </w:rPr>
        <w:t xml:space="preserve"> adopts a fee on CO</w:t>
      </w:r>
      <w:r w:rsidRPr="006F63B3">
        <w:rPr>
          <w:rFonts w:eastAsia="Cambria" w:cs="Cambria"/>
          <w:color w:val="000000" w:themeColor="text1"/>
          <w:vertAlign w:val="subscript"/>
        </w:rPr>
        <w:t>2</w:t>
      </w:r>
      <w:r w:rsidRPr="006F63B3">
        <w:rPr>
          <w:rFonts w:eastAsia="Cambria" w:cs="Cambria"/>
          <w:color w:val="000000" w:themeColor="text1"/>
        </w:rPr>
        <w:t xml:space="preserve"> emissions that begins in 2030 at $50 (2023$) per metric ton of CO</w:t>
      </w:r>
      <w:r w:rsidRPr="006F63B3">
        <w:rPr>
          <w:rFonts w:eastAsia="Cambria" w:cs="Cambria"/>
          <w:color w:val="000000" w:themeColor="text1"/>
          <w:vertAlign w:val="subscript"/>
        </w:rPr>
        <w:t>2</w:t>
      </w:r>
      <w:r w:rsidRPr="006F63B3">
        <w:rPr>
          <w:rFonts w:eastAsia="Cambria" w:cs="Cambria"/>
          <w:color w:val="000000" w:themeColor="text1"/>
        </w:rPr>
        <w:t xml:space="preserve"> </w:t>
      </w:r>
      <w:r>
        <w:rPr>
          <w:rFonts w:eastAsia="Cambria" w:cs="Cambria"/>
          <w:color w:val="000000" w:themeColor="text1"/>
        </w:rPr>
        <w:t>that</w:t>
      </w:r>
      <w:r w:rsidRPr="006F63B3">
        <w:rPr>
          <w:rFonts w:eastAsia="Cambria" w:cs="Cambria"/>
          <w:color w:val="000000" w:themeColor="text1"/>
        </w:rPr>
        <w:t xml:space="preserve"> grows at 7% above inflation through the modeling horizon</w:t>
      </w:r>
      <w:r w:rsidR="00FC53C4">
        <w:rPr>
          <w:rFonts w:eastAsia="Cambria" w:cs="Cambria"/>
          <w:color w:val="000000" w:themeColor="text1"/>
        </w:rPr>
        <w:t>.</w:t>
      </w:r>
      <w:r w:rsidR="009668EF">
        <w:rPr>
          <w:rFonts w:eastAsia="Cambria" w:cs="Cambria"/>
          <w:color w:val="000000" w:themeColor="text1"/>
        </w:rPr>
        <w:t xml:space="preserve"> </w:t>
      </w:r>
      <w:r w:rsidR="009668EF" w:rsidRPr="00C95EE9">
        <w:rPr>
          <w:rFonts w:eastAsia="Cambria" w:cs="Cambria"/>
          <w:color w:val="000000" w:themeColor="text1"/>
        </w:rPr>
        <w:t xml:space="preserve">The </w:t>
      </w:r>
      <w:r w:rsidR="009668EF">
        <w:rPr>
          <w:rFonts w:eastAsia="Cambria" w:cs="Cambria"/>
          <w:color w:val="000000" w:themeColor="text1"/>
        </w:rPr>
        <w:t xml:space="preserve">assumed 2030 </w:t>
      </w:r>
      <w:r w:rsidR="009668EF" w:rsidRPr="00C95EE9">
        <w:rPr>
          <w:rFonts w:eastAsia="Cambria" w:cs="Cambria"/>
          <w:color w:val="000000" w:themeColor="text1"/>
        </w:rPr>
        <w:t>start year is consistent with</w:t>
      </w:r>
      <w:r w:rsidR="009668EF">
        <w:rPr>
          <w:rFonts w:eastAsia="Cambria" w:cs="Cambria"/>
          <w:color w:val="000000" w:themeColor="text1"/>
        </w:rPr>
        <w:t xml:space="preserve"> a projected compliance horizon for future regulation or legislation </w:t>
      </w:r>
      <w:r w:rsidR="009668EF" w:rsidDel="00A404DF">
        <w:rPr>
          <w:rFonts w:eastAsia="Cambria" w:cs="Cambria"/>
          <w:color w:val="000000" w:themeColor="text1"/>
        </w:rPr>
        <w:t xml:space="preserve">and </w:t>
      </w:r>
      <w:r w:rsidR="009668EF">
        <w:rPr>
          <w:rFonts w:eastAsia="Cambria" w:cs="Cambria"/>
          <w:color w:val="000000" w:themeColor="text1"/>
        </w:rPr>
        <w:t>assumes c</w:t>
      </w:r>
      <w:r w:rsidR="009668EF" w:rsidRPr="00C95EE9">
        <w:rPr>
          <w:rFonts w:eastAsia="Cambria" w:cs="Cambria"/>
          <w:color w:val="000000" w:themeColor="text1"/>
        </w:rPr>
        <w:t xml:space="preserve">arbon capture is required at all new gas </w:t>
      </w:r>
      <w:r w:rsidR="00DC498D">
        <w:rPr>
          <w:rFonts w:eastAsia="Cambria" w:cs="Cambria"/>
          <w:color w:val="000000" w:themeColor="text1"/>
        </w:rPr>
        <w:t>CC</w:t>
      </w:r>
      <w:r w:rsidR="009668EF" w:rsidRPr="00C95EE9">
        <w:rPr>
          <w:rFonts w:eastAsia="Cambria" w:cs="Cambria"/>
          <w:color w:val="000000" w:themeColor="text1"/>
        </w:rPr>
        <w:t xml:space="preserve"> units beginning in </w:t>
      </w:r>
      <w:r w:rsidR="00946581" w:rsidRPr="00C95EE9">
        <w:rPr>
          <w:rFonts w:eastAsia="Cambria" w:cs="Cambria"/>
          <w:color w:val="000000" w:themeColor="text1"/>
        </w:rPr>
        <w:t>203</w:t>
      </w:r>
      <w:r w:rsidR="00946581">
        <w:rPr>
          <w:rFonts w:eastAsia="Cambria" w:cs="Cambria"/>
          <w:color w:val="000000" w:themeColor="text1"/>
        </w:rPr>
        <w:t>7</w:t>
      </w:r>
      <w:r w:rsidR="009668EF" w:rsidRPr="00C95EE9">
        <w:rPr>
          <w:rFonts w:eastAsia="Cambria" w:cs="Cambria"/>
          <w:color w:val="000000" w:themeColor="text1"/>
        </w:rPr>
        <w:t>.</w:t>
      </w:r>
    </w:p>
    <w:p w14:paraId="5D47EAF7" w14:textId="3F6552ED" w:rsidR="00EC58BB" w:rsidRPr="00EF0244" w:rsidRDefault="014259A8" w:rsidP="00545998">
      <w:pPr>
        <w:jc w:val="both"/>
        <w:rPr>
          <w:rFonts w:eastAsia="Cambria" w:cs="Cambria"/>
          <w:color w:val="000000" w:themeColor="text1"/>
        </w:rPr>
      </w:pPr>
      <w:r w:rsidRPr="00EF0244">
        <w:rPr>
          <w:rFonts w:eastAsia="Cambria" w:cs="Cambria"/>
          <w:color w:val="000000" w:themeColor="text1"/>
        </w:rPr>
        <w:t xml:space="preserve">The </w:t>
      </w:r>
      <w:r w:rsidR="00806B8C">
        <w:rPr>
          <w:rFonts w:eastAsia="Cambria" w:cs="Cambria"/>
          <w:color w:val="000000" w:themeColor="text1"/>
        </w:rPr>
        <w:t>C</w:t>
      </w:r>
      <w:r w:rsidRPr="00EF0244">
        <w:rPr>
          <w:rFonts w:eastAsia="Cambria" w:cs="Cambria"/>
          <w:color w:val="000000" w:themeColor="text1"/>
        </w:rPr>
        <w:t>ompany’s CO</w:t>
      </w:r>
      <w:r w:rsidRPr="00EF0244">
        <w:rPr>
          <w:rFonts w:eastAsia="Cambria" w:cs="Cambria"/>
          <w:color w:val="000000" w:themeColor="text1"/>
          <w:vertAlign w:val="subscript"/>
        </w:rPr>
        <w:t>2</w:t>
      </w:r>
      <w:r w:rsidRPr="00EF0244">
        <w:rPr>
          <w:rFonts w:eastAsia="Cambria" w:cs="Cambria"/>
          <w:color w:val="000000" w:themeColor="text1"/>
        </w:rPr>
        <w:t xml:space="preserve"> </w:t>
      </w:r>
      <w:r w:rsidRPr="00EF0244">
        <w:rPr>
          <w:rFonts w:eastAsia="Cambria" w:cs="Cambria"/>
          <w:i/>
          <w:color w:val="000000" w:themeColor="text1"/>
        </w:rPr>
        <w:t>Emissions Limit</w:t>
      </w:r>
      <w:r w:rsidRPr="00EF0244">
        <w:rPr>
          <w:rFonts w:eastAsia="Cambria" w:cs="Cambria"/>
          <w:color w:val="000000" w:themeColor="text1"/>
        </w:rPr>
        <w:t xml:space="preserve"> view imposes a requirement that the </w:t>
      </w:r>
      <w:r w:rsidR="00527CFC">
        <w:rPr>
          <w:rFonts w:eastAsia="Cambria" w:cs="Cambria"/>
          <w:color w:val="000000" w:themeColor="text1"/>
        </w:rPr>
        <w:t>C</w:t>
      </w:r>
      <w:r w:rsidRPr="00EF0244">
        <w:rPr>
          <w:rFonts w:eastAsia="Cambria" w:cs="Cambria"/>
          <w:color w:val="000000" w:themeColor="text1"/>
        </w:rPr>
        <w:t>ompany’s annual aggregate CO</w:t>
      </w:r>
      <w:r w:rsidRPr="00EF0244">
        <w:rPr>
          <w:rFonts w:eastAsia="Cambria" w:cs="Cambria"/>
          <w:color w:val="000000" w:themeColor="text1"/>
          <w:vertAlign w:val="subscript"/>
        </w:rPr>
        <w:t>2</w:t>
      </w:r>
      <w:r w:rsidRPr="00EF0244">
        <w:rPr>
          <w:rFonts w:eastAsia="Cambria" w:cs="Cambria"/>
          <w:color w:val="000000" w:themeColor="text1"/>
        </w:rPr>
        <w:t xml:space="preserve"> emissions fall to 10% of current levels by 2050. (Relative to 2007 emissions, this is a 95% reduction.)</w:t>
      </w:r>
      <w:r>
        <w:rPr>
          <w:rFonts w:eastAsia="Cambria" w:cs="Cambria"/>
          <w:color w:val="000000" w:themeColor="text1"/>
        </w:rPr>
        <w:t xml:space="preserve"> </w:t>
      </w:r>
      <w:r w:rsidRPr="00EF0244">
        <w:rPr>
          <w:rFonts w:eastAsia="Cambria" w:cs="Cambria"/>
          <w:color w:val="000000" w:themeColor="text1"/>
        </w:rPr>
        <w:t>This view is implemented in the</w:t>
      </w:r>
      <w:r>
        <w:rPr>
          <w:rFonts w:eastAsia="Cambria" w:cs="Cambria"/>
          <w:color w:val="000000" w:themeColor="text1"/>
        </w:rPr>
        <w:t xml:space="preserve"> </w:t>
      </w:r>
      <w:r w:rsidR="00527CFC">
        <w:rPr>
          <w:rFonts w:eastAsia="Cambria" w:cs="Cambria"/>
          <w:color w:val="000000" w:themeColor="text1"/>
        </w:rPr>
        <w:t>Company’s</w:t>
      </w:r>
      <w:r w:rsidRPr="00EF0244">
        <w:rPr>
          <w:rFonts w:eastAsia="Cambria" w:cs="Cambria"/>
          <w:color w:val="000000" w:themeColor="text1"/>
        </w:rPr>
        <w:t xml:space="preserve"> Aurora</w:t>
      </w:r>
      <w:r w:rsidR="00A477FF">
        <w:rPr>
          <w:rFonts w:eastAsia="Cambria" w:cs="Cambria"/>
          <w:color w:val="000000" w:themeColor="text1"/>
        </w:rPr>
        <w:t xml:space="preserve"> </w:t>
      </w:r>
      <w:r w:rsidR="00D629EC">
        <w:rPr>
          <w:rFonts w:eastAsia="Cambria" w:cs="Cambria"/>
          <w:color w:val="000000" w:themeColor="text1"/>
        </w:rPr>
        <w:t>e</w:t>
      </w:r>
      <w:r w:rsidR="00A477FF">
        <w:rPr>
          <w:rFonts w:eastAsia="Cambria" w:cs="Cambria"/>
          <w:color w:val="000000" w:themeColor="text1"/>
        </w:rPr>
        <w:t xml:space="preserve">xpansion </w:t>
      </w:r>
      <w:r w:rsidR="00D629EC">
        <w:rPr>
          <w:rFonts w:eastAsia="Cambria" w:cs="Cambria"/>
          <w:color w:val="000000" w:themeColor="text1"/>
        </w:rPr>
        <w:t>p</w:t>
      </w:r>
      <w:r w:rsidR="00A477FF">
        <w:rPr>
          <w:rFonts w:eastAsia="Cambria" w:cs="Cambria"/>
          <w:color w:val="000000" w:themeColor="text1"/>
        </w:rPr>
        <w:t>lan</w:t>
      </w:r>
      <w:r w:rsidRPr="00545998">
        <w:rPr>
          <w:rFonts w:eastAsia="Cambria" w:cs="Cambria"/>
          <w:color w:val="000000" w:themeColor="text1"/>
        </w:rPr>
        <w:t xml:space="preserve"> modeling with a CO</w:t>
      </w:r>
      <w:r w:rsidRPr="00545998">
        <w:rPr>
          <w:rFonts w:eastAsia="Cambria" w:cs="Cambria"/>
          <w:color w:val="000000" w:themeColor="text1"/>
          <w:vertAlign w:val="subscript"/>
        </w:rPr>
        <w:t>2</w:t>
      </w:r>
      <w:r w:rsidRPr="00545998">
        <w:rPr>
          <w:rFonts w:eastAsia="Cambria" w:cs="Cambria"/>
          <w:color w:val="000000" w:themeColor="text1"/>
        </w:rPr>
        <w:t xml:space="preserve"> price trajectory</w:t>
      </w:r>
      <w:r w:rsidRPr="00EF0244">
        <w:rPr>
          <w:rFonts w:eastAsia="Cambria" w:cs="Cambria"/>
          <w:color w:val="000000" w:themeColor="text1"/>
        </w:rPr>
        <w:t>.</w:t>
      </w:r>
    </w:p>
    <w:p w14:paraId="0FA44A9C" w14:textId="7C5B8C8F" w:rsidR="00EC58BB" w:rsidRPr="00EF0244" w:rsidRDefault="014259A8" w:rsidP="00EA3009">
      <w:pPr>
        <w:jc w:val="both"/>
        <w:rPr>
          <w:rFonts w:eastAsia="Cambria" w:cs="Cambria"/>
          <w:color w:val="000000" w:themeColor="text1"/>
        </w:rPr>
      </w:pPr>
      <w:r w:rsidRPr="5E14C5E1">
        <w:rPr>
          <w:rFonts w:eastAsia="Cambria" w:cs="Cambria"/>
          <w:color w:val="000000" w:themeColor="text1"/>
        </w:rPr>
        <w:t>The</w:t>
      </w:r>
      <w:r w:rsidR="6958C421" w:rsidRPr="5E14C5E1">
        <w:rPr>
          <w:rFonts w:eastAsia="Cambria" w:cs="Cambria"/>
          <w:color w:val="000000" w:themeColor="text1"/>
        </w:rPr>
        <w:t xml:space="preserve"> price paths</w:t>
      </w:r>
      <w:r w:rsidRPr="00EF0244">
        <w:rPr>
          <w:rFonts w:eastAsia="Cambria" w:cs="Cambria"/>
          <w:color w:val="000000" w:themeColor="text1"/>
        </w:rPr>
        <w:t xml:space="preserve"> views are illustrated in Figure </w:t>
      </w:r>
      <w:r w:rsidR="00EE1B5E">
        <w:rPr>
          <w:rFonts w:eastAsia="Cambria" w:cs="Cambria"/>
          <w:color w:val="000000" w:themeColor="text1"/>
        </w:rPr>
        <w:t>3.</w:t>
      </w:r>
      <w:r w:rsidR="00956013">
        <w:rPr>
          <w:rFonts w:eastAsia="Cambria" w:cs="Cambria"/>
          <w:color w:val="000000" w:themeColor="text1"/>
        </w:rPr>
        <w:t>4</w:t>
      </w:r>
      <w:r w:rsidR="00D22602">
        <w:rPr>
          <w:rFonts w:eastAsia="Cambria" w:cs="Cambria"/>
          <w:color w:val="000000" w:themeColor="text1"/>
        </w:rPr>
        <w:t>A</w:t>
      </w:r>
      <w:r w:rsidRPr="00EF0244">
        <w:rPr>
          <w:rFonts w:eastAsia="Cambria" w:cs="Cambria"/>
          <w:color w:val="000000" w:themeColor="text1"/>
        </w:rPr>
        <w:t>.</w:t>
      </w:r>
    </w:p>
    <w:p w14:paraId="59F46B5D" w14:textId="5750C9AB" w:rsidR="00EC58BB" w:rsidRPr="00EF0244" w:rsidRDefault="014259A8" w:rsidP="008F0CD7">
      <w:pPr>
        <w:keepNext/>
        <w:jc w:val="center"/>
        <w:rPr>
          <w:i/>
        </w:rPr>
      </w:pPr>
      <w:r w:rsidRPr="00EF0244">
        <w:rPr>
          <w:i/>
        </w:rPr>
        <w:t xml:space="preserve">Figure </w:t>
      </w:r>
      <w:r w:rsidR="00EE1B5E">
        <w:rPr>
          <w:i/>
          <w:iCs/>
        </w:rPr>
        <w:t>3.</w:t>
      </w:r>
      <w:r w:rsidR="00956013">
        <w:rPr>
          <w:i/>
          <w:iCs/>
        </w:rPr>
        <w:t>4</w:t>
      </w:r>
      <w:r w:rsidR="00EE1B5E">
        <w:rPr>
          <w:i/>
          <w:iCs/>
        </w:rPr>
        <w:t>A</w:t>
      </w:r>
      <w:r w:rsidRPr="00EF0244">
        <w:rPr>
          <w:i/>
        </w:rPr>
        <w:t xml:space="preserve">: Views of future </w:t>
      </w:r>
      <w:r w:rsidR="13DB76ED" w:rsidRPr="5E14C5E1">
        <w:rPr>
          <w:i/>
          <w:iCs/>
        </w:rPr>
        <w:t xml:space="preserve">price </w:t>
      </w:r>
      <w:r w:rsidRPr="00EF0244">
        <w:rPr>
          <w:i/>
        </w:rPr>
        <w:t>pressure on CO</w:t>
      </w:r>
      <w:r w:rsidRPr="00F04FB1">
        <w:rPr>
          <w:i/>
          <w:vertAlign w:val="subscript"/>
        </w:rPr>
        <w:t>2</w:t>
      </w:r>
      <w:r w:rsidRPr="00EF0244">
        <w:rPr>
          <w:i/>
        </w:rPr>
        <w:t xml:space="preserve"> emissions</w:t>
      </w:r>
    </w:p>
    <w:p w14:paraId="722279FF" w14:textId="2CDB0697" w:rsidR="00EC58BB" w:rsidRPr="0079064E" w:rsidRDefault="18BE5A6B" w:rsidP="00126F71">
      <w:pPr>
        <w:jc w:val="center"/>
        <w:rPr>
          <w:rFonts w:ascii="Cambria" w:eastAsia="Cambria" w:hAnsi="Cambria" w:cs="Cambria"/>
          <w:color w:val="000000" w:themeColor="text1"/>
        </w:rPr>
      </w:pPr>
      <w:r>
        <w:rPr>
          <w:noProof/>
        </w:rPr>
        <w:drawing>
          <wp:inline distT="0" distB="0" distL="0" distR="0" wp14:anchorId="6ABEE780" wp14:editId="11C3BE33">
            <wp:extent cx="4572398" cy="2743438"/>
            <wp:effectExtent l="0" t="0" r="0" b="0"/>
            <wp:docPr id="1240170115" name="Picture 1240170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4572398" cy="2743438"/>
                    </a:xfrm>
                    <a:prstGeom prst="rect">
                      <a:avLst/>
                    </a:prstGeom>
                  </pic:spPr>
                </pic:pic>
              </a:graphicData>
            </a:graphic>
          </wp:inline>
        </w:drawing>
      </w:r>
    </w:p>
    <w:p w14:paraId="20DF7C3D" w14:textId="28D1BC64" w:rsidR="0079064E" w:rsidRDefault="0079064E" w:rsidP="0079064E">
      <w:pPr>
        <w:pStyle w:val="Heading3"/>
      </w:pPr>
      <w:r>
        <w:t>3.4.2 – Technology Cost and Performance</w:t>
      </w:r>
    </w:p>
    <w:p w14:paraId="6FCA8D09" w14:textId="30293818" w:rsidR="00EC58BB" w:rsidRPr="008F0CD7" w:rsidRDefault="014259A8" w:rsidP="008F0CD7">
      <w:pPr>
        <w:jc w:val="both"/>
        <w:rPr>
          <w:rFonts w:eastAsia="Cambria" w:cs="Cambria"/>
          <w:color w:val="000000" w:themeColor="text1"/>
        </w:rPr>
      </w:pPr>
      <w:r w:rsidRPr="008F0CD7">
        <w:rPr>
          <w:rFonts w:eastAsia="Cambria" w:cs="Cambria"/>
          <w:color w:val="000000" w:themeColor="text1"/>
        </w:rPr>
        <w:t>Electricity generating technology is always evolving</w:t>
      </w:r>
      <w:r w:rsidR="00E90EC4">
        <w:rPr>
          <w:rFonts w:eastAsia="Cambria" w:cs="Cambria"/>
          <w:color w:val="000000" w:themeColor="text1"/>
        </w:rPr>
        <w:t>,</w:t>
      </w:r>
      <w:r w:rsidRPr="008F0CD7">
        <w:rPr>
          <w:rFonts w:eastAsia="Cambria" w:cs="Cambria"/>
          <w:color w:val="000000" w:themeColor="text1"/>
        </w:rPr>
        <w:t xml:space="preserve"> and there are </w:t>
      </w:r>
      <w:r w:rsidR="002934A3">
        <w:rPr>
          <w:rFonts w:eastAsia="Cambria" w:cs="Cambria"/>
          <w:color w:val="000000" w:themeColor="text1"/>
        </w:rPr>
        <w:t xml:space="preserve">numerous </w:t>
      </w:r>
      <w:r w:rsidRPr="008F0CD7">
        <w:rPr>
          <w:rFonts w:eastAsia="Cambria" w:cs="Cambria"/>
          <w:color w:val="000000" w:themeColor="text1"/>
        </w:rPr>
        <w:t xml:space="preserve">resources that can contribute to meeting the demand for electricity. The pace and direction of the evolution of each of these resources is uncertain. The Company maintains a technology screening process that evaluates a wide portfolio of technologies at varying levels of development for inclusion in </w:t>
      </w:r>
      <w:r w:rsidR="00793EE6">
        <w:rPr>
          <w:rFonts w:eastAsia="Cambria" w:cs="Cambria"/>
          <w:color w:val="000000" w:themeColor="text1"/>
        </w:rPr>
        <w:t xml:space="preserve">its </w:t>
      </w:r>
      <w:r w:rsidRPr="008F0CD7">
        <w:rPr>
          <w:rFonts w:eastAsia="Cambria" w:cs="Cambria"/>
          <w:color w:val="000000" w:themeColor="text1"/>
        </w:rPr>
        <w:t xml:space="preserve">planning scenarios. This screening process characterizes technologies that are currently commercially </w:t>
      </w:r>
      <w:r w:rsidRPr="008F0CD7">
        <w:rPr>
          <w:rFonts w:eastAsia="Cambria" w:cs="Cambria"/>
          <w:color w:val="000000" w:themeColor="text1"/>
        </w:rPr>
        <w:lastRenderedPageBreak/>
        <w:t xml:space="preserve">available as well as those that are expected to be commercially available at some point during the </w:t>
      </w:r>
      <w:r w:rsidR="002934A3">
        <w:rPr>
          <w:rFonts w:eastAsia="Cambria" w:cs="Cambria"/>
          <w:color w:val="000000" w:themeColor="text1"/>
        </w:rPr>
        <w:t xml:space="preserve">IRP’s </w:t>
      </w:r>
      <w:r w:rsidR="00591402">
        <w:rPr>
          <w:rFonts w:eastAsia="Cambria" w:cs="Cambria"/>
          <w:color w:val="000000" w:themeColor="text1"/>
        </w:rPr>
        <w:t xml:space="preserve">20-year </w:t>
      </w:r>
      <w:r w:rsidRPr="008F0CD7">
        <w:rPr>
          <w:rFonts w:eastAsia="Cambria" w:cs="Cambria"/>
          <w:color w:val="000000" w:themeColor="text1"/>
        </w:rPr>
        <w:t>planning horizon.</w:t>
      </w:r>
    </w:p>
    <w:p w14:paraId="146B5485" w14:textId="20BEFCDE" w:rsidR="00EC58BB" w:rsidRPr="008F0CD7" w:rsidRDefault="014259A8" w:rsidP="008F0CD7">
      <w:pPr>
        <w:jc w:val="both"/>
        <w:rPr>
          <w:rFonts w:eastAsia="Cambria" w:cs="Cambria"/>
          <w:color w:val="000000" w:themeColor="text1"/>
        </w:rPr>
      </w:pPr>
      <w:r w:rsidRPr="008F0CD7">
        <w:rPr>
          <w:rFonts w:eastAsia="Cambria" w:cs="Cambria"/>
          <w:color w:val="000000" w:themeColor="text1"/>
        </w:rPr>
        <w:t>Currently available commercial technologies included</w:t>
      </w:r>
      <w:r>
        <w:rPr>
          <w:rFonts w:eastAsia="Cambria" w:cs="Cambria"/>
          <w:color w:val="000000" w:themeColor="text1"/>
        </w:rPr>
        <w:t xml:space="preserve"> </w:t>
      </w:r>
      <w:r w:rsidR="00591402">
        <w:rPr>
          <w:rFonts w:eastAsia="Cambria" w:cs="Cambria"/>
          <w:color w:val="000000" w:themeColor="text1"/>
        </w:rPr>
        <w:t>in the Company’s planning scenarios</w:t>
      </w:r>
      <w:r w:rsidRPr="008F0CD7">
        <w:rPr>
          <w:rFonts w:eastAsia="Cambria" w:cs="Cambria"/>
          <w:color w:val="000000" w:themeColor="text1"/>
        </w:rPr>
        <w:t xml:space="preserve"> are deployed, tested, and monitored to such a degree as to be considered generic and repeatable. </w:t>
      </w:r>
      <w:r w:rsidR="00306B4E">
        <w:rPr>
          <w:rFonts w:eastAsia="Cambria" w:cs="Cambria"/>
          <w:color w:val="000000" w:themeColor="text1"/>
        </w:rPr>
        <w:t xml:space="preserve">The </w:t>
      </w:r>
      <w:r w:rsidRPr="008F0CD7">
        <w:rPr>
          <w:rFonts w:eastAsia="Cambria" w:cs="Cambria"/>
          <w:color w:val="000000" w:themeColor="text1"/>
        </w:rPr>
        <w:t xml:space="preserve">pre-commercial technologies </w:t>
      </w:r>
      <w:r w:rsidR="00306B4E">
        <w:rPr>
          <w:rFonts w:eastAsia="Cambria" w:cs="Cambria"/>
          <w:color w:val="000000" w:themeColor="text1"/>
        </w:rPr>
        <w:t xml:space="preserve">included in the Company’s planning scenarios </w:t>
      </w:r>
      <w:r w:rsidRPr="008F0CD7">
        <w:rPr>
          <w:rFonts w:eastAsia="Cambria" w:cs="Cambria"/>
          <w:color w:val="000000" w:themeColor="text1"/>
        </w:rPr>
        <w:t>are at various stages of their developmental process</w:t>
      </w:r>
      <w:r w:rsidR="00306B4E">
        <w:rPr>
          <w:rFonts w:eastAsia="Cambria" w:cs="Cambria"/>
          <w:color w:val="000000" w:themeColor="text1"/>
        </w:rPr>
        <w:t>es</w:t>
      </w:r>
      <w:r w:rsidRPr="008F0CD7">
        <w:rPr>
          <w:rFonts w:eastAsia="Cambria" w:cs="Cambria"/>
          <w:color w:val="000000" w:themeColor="text1"/>
        </w:rPr>
        <w:t xml:space="preserve">. The </w:t>
      </w:r>
      <w:r w:rsidR="00306B4E">
        <w:rPr>
          <w:rFonts w:eastAsia="Cambria" w:cs="Cambria"/>
          <w:color w:val="000000" w:themeColor="text1"/>
        </w:rPr>
        <w:t>C</w:t>
      </w:r>
      <w:r w:rsidRPr="008F0CD7">
        <w:rPr>
          <w:rFonts w:eastAsia="Cambria" w:cs="Cambria"/>
          <w:color w:val="000000" w:themeColor="text1"/>
        </w:rPr>
        <w:t xml:space="preserve">ompany bases </w:t>
      </w:r>
      <w:r w:rsidR="00126614">
        <w:rPr>
          <w:rFonts w:eastAsia="Cambria" w:cs="Cambria"/>
          <w:color w:val="000000" w:themeColor="text1"/>
        </w:rPr>
        <w:t>its</w:t>
      </w:r>
      <w:r w:rsidRPr="008F0CD7">
        <w:rPr>
          <w:rFonts w:eastAsia="Cambria" w:cs="Cambria"/>
          <w:color w:val="000000" w:themeColor="text1"/>
        </w:rPr>
        <w:t xml:space="preserve"> assessment of these technologies on engagement with a variety of manufacturers, labs, and other organizations. The </w:t>
      </w:r>
      <w:r w:rsidR="00306B4E">
        <w:rPr>
          <w:rFonts w:eastAsia="Cambria" w:cs="Cambria"/>
          <w:color w:val="000000" w:themeColor="text1"/>
        </w:rPr>
        <w:t>C</w:t>
      </w:r>
      <w:r w:rsidRPr="008F0CD7">
        <w:rPr>
          <w:rFonts w:eastAsia="Cambria" w:cs="Cambria"/>
          <w:color w:val="000000" w:themeColor="text1"/>
        </w:rPr>
        <w:t xml:space="preserve">ompany develops representative cost and performance information for technologies that are expected to become commercially available during the planning horizon. </w:t>
      </w:r>
      <w:r w:rsidR="00306B4E">
        <w:rPr>
          <w:rFonts w:eastAsia="Cambria" w:cs="Cambria"/>
          <w:color w:val="000000" w:themeColor="text1"/>
        </w:rPr>
        <w:t>Since</w:t>
      </w:r>
      <w:r w:rsidRPr="008F0CD7">
        <w:rPr>
          <w:rFonts w:eastAsia="Cambria" w:cs="Cambria"/>
          <w:color w:val="000000" w:themeColor="text1"/>
        </w:rPr>
        <w:t xml:space="preserve"> the pre-commercial technology portfolio represents estimates of cost and performance for technologies in development, the </w:t>
      </w:r>
      <w:r w:rsidR="00306B4E">
        <w:rPr>
          <w:rFonts w:eastAsia="Cambria" w:cs="Cambria"/>
          <w:color w:val="000000" w:themeColor="text1"/>
        </w:rPr>
        <w:t>C</w:t>
      </w:r>
      <w:r w:rsidRPr="008F0CD7">
        <w:rPr>
          <w:rFonts w:eastAsia="Cambria" w:cs="Cambria"/>
          <w:color w:val="000000" w:themeColor="text1"/>
        </w:rPr>
        <w:t xml:space="preserve">ompany </w:t>
      </w:r>
      <w:r w:rsidR="00C07684">
        <w:rPr>
          <w:rFonts w:eastAsia="Cambria" w:cs="Cambria"/>
          <w:color w:val="000000" w:themeColor="text1"/>
        </w:rPr>
        <w:t>has</w:t>
      </w:r>
      <w:r w:rsidRPr="00EF0244">
        <w:rPr>
          <w:rFonts w:eastAsia="Cambria" w:cs="Cambria"/>
          <w:color w:val="000000" w:themeColor="text1"/>
        </w:rPr>
        <w:t xml:space="preserve"> less confiden</w:t>
      </w:r>
      <w:r w:rsidR="00C07684">
        <w:rPr>
          <w:rFonts w:eastAsia="Cambria" w:cs="Cambria"/>
          <w:color w:val="000000" w:themeColor="text1"/>
        </w:rPr>
        <w:t>ce in</w:t>
      </w:r>
      <w:r w:rsidRPr="00EF0244">
        <w:rPr>
          <w:rFonts w:eastAsia="Cambria" w:cs="Cambria"/>
          <w:color w:val="000000" w:themeColor="text1"/>
        </w:rPr>
        <w:t xml:space="preserve"> </w:t>
      </w:r>
      <w:r w:rsidR="00C07684">
        <w:rPr>
          <w:rFonts w:eastAsia="Cambria" w:cs="Cambria"/>
          <w:color w:val="000000" w:themeColor="text1"/>
        </w:rPr>
        <w:t>its</w:t>
      </w:r>
      <w:r w:rsidRPr="008F0CD7">
        <w:rPr>
          <w:rFonts w:eastAsia="Cambria" w:cs="Cambria"/>
          <w:color w:val="000000" w:themeColor="text1"/>
        </w:rPr>
        <w:t xml:space="preserve"> cost and </w:t>
      </w:r>
      <w:r w:rsidR="00C07684">
        <w:rPr>
          <w:rFonts w:eastAsia="Cambria" w:cs="Cambria"/>
          <w:color w:val="000000" w:themeColor="text1"/>
        </w:rPr>
        <w:t xml:space="preserve">performance estimates </w:t>
      </w:r>
      <w:r w:rsidR="001403AC">
        <w:rPr>
          <w:rFonts w:eastAsia="Cambria" w:cs="Cambria"/>
          <w:color w:val="000000" w:themeColor="text1"/>
        </w:rPr>
        <w:t>for</w:t>
      </w:r>
      <w:r w:rsidR="00306B4E">
        <w:rPr>
          <w:rFonts w:eastAsia="Cambria" w:cs="Cambria"/>
          <w:color w:val="000000" w:themeColor="text1"/>
        </w:rPr>
        <w:t xml:space="preserve"> these technologies </w:t>
      </w:r>
      <w:r w:rsidRPr="008F0CD7">
        <w:rPr>
          <w:rFonts w:eastAsia="Cambria" w:cs="Cambria"/>
          <w:color w:val="000000" w:themeColor="text1"/>
        </w:rPr>
        <w:t>than</w:t>
      </w:r>
      <w:r>
        <w:rPr>
          <w:rFonts w:eastAsia="Cambria" w:cs="Cambria"/>
          <w:color w:val="000000" w:themeColor="text1"/>
        </w:rPr>
        <w:t xml:space="preserve"> </w:t>
      </w:r>
      <w:r w:rsidRPr="008F0CD7">
        <w:rPr>
          <w:rFonts w:eastAsia="Cambria" w:cs="Cambria"/>
          <w:color w:val="000000" w:themeColor="text1"/>
        </w:rPr>
        <w:t>the</w:t>
      </w:r>
      <w:r w:rsidR="00306B4E">
        <w:rPr>
          <w:rFonts w:eastAsia="Cambria" w:cs="Cambria"/>
          <w:color w:val="000000" w:themeColor="text1"/>
        </w:rPr>
        <w:t xml:space="preserve"> resource technologies included in </w:t>
      </w:r>
      <w:r>
        <w:rPr>
          <w:rFonts w:eastAsia="Cambria" w:cs="Cambria"/>
          <w:color w:val="000000" w:themeColor="text1"/>
        </w:rPr>
        <w:t>the</w:t>
      </w:r>
      <w:r w:rsidRPr="008F0CD7">
        <w:rPr>
          <w:rFonts w:eastAsia="Cambria" w:cs="Cambria"/>
          <w:color w:val="000000" w:themeColor="text1"/>
        </w:rPr>
        <w:t xml:space="preserve"> commercial portfolio. </w:t>
      </w:r>
      <w:r w:rsidR="00C66EAE">
        <w:rPr>
          <w:rFonts w:eastAsia="Cambria" w:cs="Cambria"/>
          <w:color w:val="000000" w:themeColor="text1"/>
        </w:rPr>
        <w:t>T</w:t>
      </w:r>
      <w:r w:rsidRPr="008F0CD7">
        <w:rPr>
          <w:rFonts w:eastAsia="Cambria" w:cs="Cambria"/>
          <w:color w:val="000000" w:themeColor="text1"/>
        </w:rPr>
        <w:t xml:space="preserve">he </w:t>
      </w:r>
      <w:r w:rsidR="00306B4E">
        <w:rPr>
          <w:rFonts w:eastAsia="Cambria" w:cs="Cambria"/>
          <w:color w:val="000000" w:themeColor="text1"/>
        </w:rPr>
        <w:t>C</w:t>
      </w:r>
      <w:r w:rsidRPr="008F0CD7">
        <w:rPr>
          <w:rFonts w:eastAsia="Cambria" w:cs="Cambria"/>
          <w:color w:val="000000" w:themeColor="text1"/>
        </w:rPr>
        <w:t xml:space="preserve">ompany is including </w:t>
      </w:r>
      <w:r w:rsidR="00D677FD" w:rsidRPr="24E36627">
        <w:rPr>
          <w:rFonts w:eastAsia="Cambria" w:cs="Cambria"/>
          <w:color w:val="000000" w:themeColor="text1"/>
        </w:rPr>
        <w:t xml:space="preserve">these technologies </w:t>
      </w:r>
      <w:r w:rsidRPr="008F0CD7">
        <w:rPr>
          <w:rFonts w:eastAsia="Cambria" w:cs="Cambria"/>
          <w:color w:val="000000" w:themeColor="text1"/>
        </w:rPr>
        <w:t xml:space="preserve">in </w:t>
      </w:r>
      <w:r w:rsidR="00306B4E">
        <w:rPr>
          <w:rFonts w:eastAsia="Cambria" w:cs="Cambria"/>
          <w:color w:val="000000" w:themeColor="text1"/>
        </w:rPr>
        <w:t xml:space="preserve">its </w:t>
      </w:r>
      <w:r w:rsidR="001C3B0E">
        <w:rPr>
          <w:rFonts w:eastAsia="Cambria" w:cs="Cambria"/>
          <w:color w:val="000000" w:themeColor="text1"/>
        </w:rPr>
        <w:t>planning</w:t>
      </w:r>
      <w:r w:rsidRPr="008F0CD7">
        <w:rPr>
          <w:rFonts w:eastAsia="Cambria" w:cs="Cambria"/>
          <w:color w:val="000000" w:themeColor="text1"/>
        </w:rPr>
        <w:t xml:space="preserve"> analyses</w:t>
      </w:r>
      <w:r w:rsidR="00C66EAE">
        <w:rPr>
          <w:rFonts w:eastAsia="Cambria" w:cs="Cambria"/>
          <w:color w:val="000000" w:themeColor="text1"/>
        </w:rPr>
        <w:t xml:space="preserve"> even though they </w:t>
      </w:r>
      <w:r w:rsidR="00D677FD" w:rsidRPr="24E36627">
        <w:rPr>
          <w:rFonts w:eastAsia="Cambria" w:cs="Cambria"/>
          <w:color w:val="000000" w:themeColor="text1"/>
        </w:rPr>
        <w:t>are not yet commercially available</w:t>
      </w:r>
      <w:r w:rsidRPr="008F0CD7">
        <w:rPr>
          <w:rFonts w:eastAsia="Cambria" w:cs="Cambria"/>
          <w:color w:val="000000" w:themeColor="text1"/>
        </w:rPr>
        <w:t>.</w:t>
      </w:r>
    </w:p>
    <w:p w14:paraId="53DFD7FB" w14:textId="5C496C08" w:rsidR="00EC58BB" w:rsidRPr="008F0CD7" w:rsidRDefault="014259A8" w:rsidP="008F0CD7">
      <w:pPr>
        <w:jc w:val="both"/>
        <w:rPr>
          <w:rFonts w:eastAsia="Cambria" w:cs="Cambria"/>
          <w:color w:val="000000" w:themeColor="text1"/>
        </w:rPr>
      </w:pPr>
      <w:r w:rsidRPr="008F0CD7">
        <w:rPr>
          <w:rFonts w:eastAsia="Cambria" w:cs="Cambria"/>
          <w:color w:val="000000" w:themeColor="text1"/>
        </w:rPr>
        <w:t xml:space="preserve">For </w:t>
      </w:r>
      <w:r w:rsidR="00B80424">
        <w:rPr>
          <w:rFonts w:eastAsia="Cambria" w:cs="Cambria"/>
          <w:color w:val="000000" w:themeColor="text1"/>
        </w:rPr>
        <w:t>the</w:t>
      </w:r>
      <w:r w:rsidRPr="008F0CD7">
        <w:rPr>
          <w:rFonts w:eastAsia="Cambria" w:cs="Cambria"/>
          <w:color w:val="000000" w:themeColor="text1"/>
        </w:rPr>
        <w:t xml:space="preserve"> B2025 IRP analyses</w:t>
      </w:r>
      <w:r w:rsidR="00AC55B4" w:rsidRPr="00AC55B4">
        <w:rPr>
          <w:rFonts w:eastAsia="Cambria" w:cs="Cambria"/>
          <w:color w:val="000000" w:themeColor="text1"/>
        </w:rPr>
        <w:t xml:space="preserve"> </w:t>
      </w:r>
      <w:r w:rsidR="00AC55B4" w:rsidRPr="008F0CD7">
        <w:rPr>
          <w:rFonts w:eastAsia="Cambria" w:cs="Cambria"/>
          <w:color w:val="000000" w:themeColor="text1"/>
        </w:rPr>
        <w:t xml:space="preserve">the technologies that passed initial screening, indicating their potential cost-effectiveness, </w:t>
      </w:r>
      <w:r w:rsidR="00AC55B4">
        <w:rPr>
          <w:rFonts w:eastAsia="Cambria" w:cs="Cambria"/>
          <w:color w:val="000000" w:themeColor="text1"/>
        </w:rPr>
        <w:t>include NGCC</w:t>
      </w:r>
      <w:r w:rsidR="00AC55B4" w:rsidRPr="008F0CD7">
        <w:rPr>
          <w:rFonts w:eastAsia="Cambria" w:cs="Cambria"/>
          <w:color w:val="000000" w:themeColor="text1"/>
        </w:rPr>
        <w:t>,</w:t>
      </w:r>
      <w:r w:rsidRPr="008F0CD7">
        <w:rPr>
          <w:rFonts w:eastAsia="Cambria" w:cs="Cambria"/>
          <w:color w:val="000000" w:themeColor="text1"/>
        </w:rPr>
        <w:t xml:space="preserve"> dual-fuel </w:t>
      </w:r>
      <w:r w:rsidR="008F6E79">
        <w:rPr>
          <w:rFonts w:eastAsia="Cambria" w:cs="Cambria"/>
          <w:color w:val="000000" w:themeColor="text1"/>
        </w:rPr>
        <w:t>CT</w:t>
      </w:r>
      <w:r w:rsidRPr="008F0CD7">
        <w:rPr>
          <w:rFonts w:eastAsia="Cambria" w:cs="Cambria"/>
          <w:color w:val="000000" w:themeColor="text1"/>
        </w:rPr>
        <w:t xml:space="preserve"> with </w:t>
      </w:r>
      <w:r w:rsidR="00FC57CA" w:rsidRPr="00FC57CA">
        <w:rPr>
          <w:rFonts w:eastAsia="Cambria" w:cs="Cambria"/>
          <w:color w:val="000000" w:themeColor="text1"/>
        </w:rPr>
        <w:t xml:space="preserve">selective catalytic reduction </w:t>
      </w:r>
      <w:r w:rsidR="00FC57CA">
        <w:rPr>
          <w:rFonts w:eastAsia="Cambria" w:cs="Cambria"/>
          <w:color w:val="000000" w:themeColor="text1"/>
        </w:rPr>
        <w:t>(“</w:t>
      </w:r>
      <w:r w:rsidRPr="008F0CD7">
        <w:rPr>
          <w:rFonts w:eastAsia="Cambria" w:cs="Cambria"/>
          <w:color w:val="000000" w:themeColor="text1"/>
        </w:rPr>
        <w:t>SCR</w:t>
      </w:r>
      <w:r w:rsidR="00FC57CA">
        <w:rPr>
          <w:rFonts w:eastAsia="Cambria" w:cs="Cambria"/>
          <w:color w:val="000000" w:themeColor="text1"/>
        </w:rPr>
        <w:t>”)</w:t>
      </w:r>
      <w:r w:rsidRPr="008F0CD7">
        <w:rPr>
          <w:rFonts w:eastAsia="Cambria" w:cs="Cambria"/>
          <w:color w:val="000000" w:themeColor="text1"/>
        </w:rPr>
        <w:t xml:space="preserve"> (oil-fueled in winter</w:t>
      </w:r>
      <w:r w:rsidR="009259C2">
        <w:rPr>
          <w:rFonts w:eastAsia="Cambria" w:cs="Cambria"/>
          <w:color w:val="000000" w:themeColor="text1"/>
        </w:rPr>
        <w:t>, natural gas otherwise</w:t>
      </w:r>
      <w:r w:rsidRPr="008F0CD7">
        <w:rPr>
          <w:rFonts w:eastAsia="Cambria" w:cs="Cambria"/>
          <w:color w:val="000000" w:themeColor="text1"/>
        </w:rPr>
        <w:t>), solar photovoltaic</w:t>
      </w:r>
      <w:r w:rsidR="006F1326">
        <w:rPr>
          <w:rFonts w:eastAsia="Cambria" w:cs="Cambria"/>
          <w:color w:val="000000" w:themeColor="text1"/>
        </w:rPr>
        <w:t xml:space="preserve"> (“PV”)</w:t>
      </w:r>
      <w:r w:rsidRPr="008F0CD7">
        <w:rPr>
          <w:rFonts w:eastAsia="Cambria" w:cs="Cambria"/>
          <w:color w:val="000000" w:themeColor="text1"/>
        </w:rPr>
        <w:t xml:space="preserve">, wind, nuclear (AP-1000), lithium-ion battery storage, and </w:t>
      </w:r>
      <w:r w:rsidR="00E52785">
        <w:rPr>
          <w:rFonts w:eastAsia="Cambria" w:cs="Cambria"/>
          <w:color w:val="000000" w:themeColor="text1"/>
        </w:rPr>
        <w:t xml:space="preserve">compressed air or </w:t>
      </w:r>
      <w:r w:rsidRPr="008F0CD7">
        <w:rPr>
          <w:rFonts w:eastAsia="Cambria" w:cs="Cambria"/>
          <w:color w:val="000000" w:themeColor="text1"/>
        </w:rPr>
        <w:t>pumped thermal energy storage.</w:t>
      </w:r>
      <w:r w:rsidR="00BB41A4">
        <w:rPr>
          <w:rFonts w:eastAsia="Cambria" w:cs="Cambria"/>
          <w:color w:val="000000" w:themeColor="text1"/>
        </w:rPr>
        <w:t xml:space="preserve"> In addition, NGCC with CCS also passed initial screening based on an assumed trajectory of technology and infrastructure development towards future commercial availability. While this trajectory and ultimate costs remain highly uncertain, the inclusion of NGCC with CCS allows the Company to evaluate scenarios for this potential future resource option.</w:t>
      </w:r>
      <w:r w:rsidR="5587D8B4" w:rsidRPr="008F0CD7">
        <w:rPr>
          <w:rFonts w:eastAsia="Cambria" w:cs="Cambria"/>
          <w:color w:val="000000" w:themeColor="text1"/>
        </w:rPr>
        <w:t xml:space="preserve"> Please see C</w:t>
      </w:r>
      <w:r w:rsidR="00113D81">
        <w:rPr>
          <w:rFonts w:eastAsia="Cambria" w:cs="Cambria"/>
          <w:color w:val="000000" w:themeColor="text1"/>
        </w:rPr>
        <w:t>hapter</w:t>
      </w:r>
      <w:r w:rsidR="5587D8B4" w:rsidRPr="008F0CD7">
        <w:rPr>
          <w:rFonts w:eastAsia="Cambria" w:cs="Cambria"/>
          <w:color w:val="000000" w:themeColor="text1"/>
        </w:rPr>
        <w:t xml:space="preserve"> 8 </w:t>
      </w:r>
      <w:r w:rsidR="00113D81">
        <w:rPr>
          <w:rFonts w:eastAsia="Cambria" w:cs="Cambria"/>
          <w:color w:val="000000" w:themeColor="text1"/>
        </w:rPr>
        <w:t>and the Resource Mix Study in Technical Appendix Volume 2</w:t>
      </w:r>
      <w:r w:rsidR="5587D8B4" w:rsidRPr="008F0CD7">
        <w:rPr>
          <w:rFonts w:eastAsia="Cambria" w:cs="Cambria"/>
          <w:color w:val="000000" w:themeColor="text1"/>
        </w:rPr>
        <w:t xml:space="preserve"> for more information on technology screening and candidate expansion planning units.</w:t>
      </w:r>
    </w:p>
    <w:p w14:paraId="0CAF04D8" w14:textId="4110DCA8" w:rsidR="1DF835FB" w:rsidRDefault="1DF835FB" w:rsidP="35D23A9A">
      <w:pPr>
        <w:jc w:val="both"/>
        <w:rPr>
          <w:rFonts w:eastAsia="Cambria" w:cs="Cambria"/>
          <w:color w:val="000000" w:themeColor="text1"/>
        </w:rPr>
      </w:pPr>
      <w:r w:rsidRPr="35D23A9A">
        <w:rPr>
          <w:rFonts w:eastAsia="Cambria" w:cs="Cambria"/>
          <w:color w:val="000000" w:themeColor="text1"/>
        </w:rPr>
        <w:t xml:space="preserve">The </w:t>
      </w:r>
      <w:r w:rsidR="6C54CC14" w:rsidRPr="4A371843">
        <w:rPr>
          <w:rFonts w:eastAsia="Cambria" w:cs="Cambria"/>
          <w:color w:val="000000" w:themeColor="text1"/>
        </w:rPr>
        <w:t xml:space="preserve">net </w:t>
      </w:r>
      <w:r w:rsidRPr="4A371843">
        <w:rPr>
          <w:rFonts w:eastAsia="Cambria" w:cs="Cambria"/>
          <w:color w:val="000000" w:themeColor="text1"/>
        </w:rPr>
        <w:t xml:space="preserve">cost </w:t>
      </w:r>
      <w:r w:rsidR="169802DB" w:rsidRPr="4A371843">
        <w:rPr>
          <w:rFonts w:eastAsia="Cambria" w:cs="Cambria"/>
          <w:color w:val="000000" w:themeColor="text1"/>
        </w:rPr>
        <w:t>to customers</w:t>
      </w:r>
      <w:r w:rsidRPr="35D23A9A">
        <w:rPr>
          <w:rFonts w:eastAsia="Cambria" w:cs="Cambria"/>
          <w:color w:val="000000" w:themeColor="text1"/>
        </w:rPr>
        <w:t xml:space="preserve"> of some resources can be significantly affected by </w:t>
      </w:r>
      <w:r w:rsidR="00476513">
        <w:rPr>
          <w:rFonts w:eastAsia="Cambria" w:cs="Cambria"/>
          <w:color w:val="000000" w:themeColor="text1"/>
        </w:rPr>
        <w:t xml:space="preserve">applicable </w:t>
      </w:r>
      <w:r w:rsidRPr="35D23A9A">
        <w:rPr>
          <w:rFonts w:eastAsia="Cambria" w:cs="Cambria"/>
          <w:color w:val="000000" w:themeColor="text1"/>
        </w:rPr>
        <w:t xml:space="preserve">tax credits. </w:t>
      </w:r>
      <w:r w:rsidR="293B5AD8" w:rsidRPr="35D23A9A">
        <w:rPr>
          <w:rFonts w:eastAsia="Cambria" w:cs="Cambria"/>
          <w:color w:val="000000" w:themeColor="text1"/>
        </w:rPr>
        <w:t>The IRA</w:t>
      </w:r>
      <w:r w:rsidR="293B5AD8" w:rsidRPr="214A5C58">
        <w:rPr>
          <w:rFonts w:eastAsia="Cambria" w:cs="Cambria"/>
          <w:color w:val="000000" w:themeColor="text1"/>
        </w:rPr>
        <w:t xml:space="preserve"> </w:t>
      </w:r>
      <w:r w:rsidR="200C1E36" w:rsidRPr="4A371843">
        <w:rPr>
          <w:rFonts w:eastAsia="Cambria" w:cs="Cambria"/>
          <w:color w:val="000000" w:themeColor="text1"/>
        </w:rPr>
        <w:t xml:space="preserve">includes </w:t>
      </w:r>
      <w:r w:rsidR="00704B99">
        <w:rPr>
          <w:rFonts w:eastAsia="Cambria" w:cs="Cambria"/>
          <w:color w:val="000000" w:themeColor="text1"/>
        </w:rPr>
        <w:t>numerous</w:t>
      </w:r>
      <w:r w:rsidR="200C1E36" w:rsidRPr="4A371843">
        <w:rPr>
          <w:rFonts w:eastAsia="Cambria" w:cs="Cambria"/>
          <w:color w:val="000000" w:themeColor="text1"/>
        </w:rPr>
        <w:t xml:space="preserve"> tax</w:t>
      </w:r>
      <w:r w:rsidR="33ACFBD7" w:rsidRPr="4D4A39B0">
        <w:rPr>
          <w:rFonts w:eastAsia="Cambria" w:cs="Cambria"/>
          <w:color w:val="000000" w:themeColor="text1"/>
        </w:rPr>
        <w:t>-</w:t>
      </w:r>
      <w:r w:rsidR="200C1E36" w:rsidRPr="4A371843">
        <w:rPr>
          <w:rFonts w:eastAsia="Cambria" w:cs="Cambria"/>
          <w:color w:val="000000" w:themeColor="text1"/>
        </w:rPr>
        <w:t>crediting provisions</w:t>
      </w:r>
      <w:r w:rsidR="4AB1FBD2" w:rsidRPr="5611C884">
        <w:rPr>
          <w:rFonts w:eastAsia="Cambria" w:cs="Cambria"/>
          <w:color w:val="000000" w:themeColor="text1"/>
        </w:rPr>
        <w:t xml:space="preserve"> that significantly reduce the net cost to customers of technologies that emit low or no CO</w:t>
      </w:r>
      <w:r w:rsidR="4AB1FBD2" w:rsidRPr="00264D65">
        <w:rPr>
          <w:rFonts w:eastAsia="Cambria" w:cs="Cambria"/>
          <w:color w:val="000000" w:themeColor="text1"/>
          <w:vertAlign w:val="subscript"/>
        </w:rPr>
        <w:t>2</w:t>
      </w:r>
      <w:r w:rsidR="00F345B0">
        <w:rPr>
          <w:rFonts w:eastAsia="Cambria" w:cs="Cambria"/>
          <w:color w:val="000000" w:themeColor="text1"/>
          <w:vertAlign w:val="subscript"/>
        </w:rPr>
        <w:t>,</w:t>
      </w:r>
      <w:r w:rsidR="4AB1FBD2" w:rsidRPr="5611C884">
        <w:rPr>
          <w:rFonts w:eastAsia="Cambria" w:cs="Cambria"/>
          <w:color w:val="000000" w:themeColor="text1"/>
        </w:rPr>
        <w:t xml:space="preserve"> including </w:t>
      </w:r>
      <w:r w:rsidR="40963346" w:rsidRPr="5611C884">
        <w:rPr>
          <w:rFonts w:eastAsia="Cambria" w:cs="Cambria"/>
          <w:color w:val="000000" w:themeColor="text1"/>
        </w:rPr>
        <w:t>solar, wind, storage, nuclear</w:t>
      </w:r>
      <w:r w:rsidR="00CD3455">
        <w:rPr>
          <w:rFonts w:eastAsia="Cambria" w:cs="Cambria"/>
          <w:color w:val="000000" w:themeColor="text1"/>
        </w:rPr>
        <w:t>,</w:t>
      </w:r>
      <w:r w:rsidR="40963346" w:rsidRPr="5611C884">
        <w:rPr>
          <w:rFonts w:eastAsia="Cambria" w:cs="Cambria"/>
          <w:color w:val="000000" w:themeColor="text1"/>
        </w:rPr>
        <w:t xml:space="preserve"> and gas with CCS</w:t>
      </w:r>
      <w:r w:rsidR="200C1E36" w:rsidRPr="5611C884">
        <w:rPr>
          <w:rFonts w:eastAsia="Cambria" w:cs="Cambria"/>
          <w:color w:val="000000" w:themeColor="text1"/>
        </w:rPr>
        <w:t>.</w:t>
      </w:r>
      <w:r w:rsidR="200C1E36" w:rsidRPr="4A371843">
        <w:rPr>
          <w:rFonts w:eastAsia="Cambria" w:cs="Cambria"/>
          <w:color w:val="000000" w:themeColor="text1"/>
        </w:rPr>
        <w:t xml:space="preserve"> </w:t>
      </w:r>
      <w:r w:rsidR="362343DC" w:rsidRPr="583F873E">
        <w:rPr>
          <w:rFonts w:eastAsia="Cambria" w:cs="Cambria"/>
          <w:color w:val="000000" w:themeColor="text1"/>
        </w:rPr>
        <w:t>Many</w:t>
      </w:r>
      <w:r w:rsidR="662B2B9E" w:rsidRPr="08738778">
        <w:rPr>
          <w:rFonts w:eastAsia="Cambria" w:cs="Cambria"/>
          <w:color w:val="000000" w:themeColor="text1"/>
        </w:rPr>
        <w:t xml:space="preserve"> of these provisions end at the la</w:t>
      </w:r>
      <w:r w:rsidR="001A0775">
        <w:rPr>
          <w:rFonts w:eastAsia="Cambria" w:cs="Cambria"/>
          <w:color w:val="000000" w:themeColor="text1"/>
        </w:rPr>
        <w:t>t</w:t>
      </w:r>
      <w:r w:rsidR="662B2B9E" w:rsidRPr="08738778">
        <w:rPr>
          <w:rFonts w:eastAsia="Cambria" w:cs="Cambria"/>
          <w:color w:val="000000" w:themeColor="text1"/>
        </w:rPr>
        <w:t xml:space="preserve">er of two dates—the year 2032 </w:t>
      </w:r>
      <w:r w:rsidR="05142126" w:rsidRPr="583F873E">
        <w:rPr>
          <w:rFonts w:eastAsia="Cambria" w:cs="Cambria"/>
          <w:color w:val="000000" w:themeColor="text1"/>
        </w:rPr>
        <w:t>or</w:t>
      </w:r>
      <w:r w:rsidR="662B2B9E" w:rsidRPr="08738778">
        <w:rPr>
          <w:rFonts w:eastAsia="Cambria" w:cs="Cambria"/>
          <w:color w:val="000000" w:themeColor="text1"/>
        </w:rPr>
        <w:t xml:space="preserve"> the year i</w:t>
      </w:r>
      <w:r w:rsidR="0E9A0628" w:rsidRPr="08738778">
        <w:rPr>
          <w:rFonts w:eastAsia="Cambria" w:cs="Cambria"/>
          <w:color w:val="000000" w:themeColor="text1"/>
        </w:rPr>
        <w:t xml:space="preserve">n which </w:t>
      </w:r>
      <w:r w:rsidR="550A7BE2" w:rsidRPr="7F8A894F">
        <w:rPr>
          <w:rFonts w:eastAsia="Cambria" w:cs="Cambria"/>
          <w:color w:val="000000" w:themeColor="text1"/>
        </w:rPr>
        <w:t>total</w:t>
      </w:r>
      <w:r w:rsidR="0E9A0628" w:rsidRPr="08738778">
        <w:rPr>
          <w:rFonts w:eastAsia="Cambria" w:cs="Cambria"/>
          <w:color w:val="000000" w:themeColor="text1"/>
        </w:rPr>
        <w:t xml:space="preserve"> CO</w:t>
      </w:r>
      <w:r w:rsidR="0E9A0628" w:rsidRPr="00264D65">
        <w:rPr>
          <w:rFonts w:eastAsia="Cambria" w:cs="Cambria"/>
          <w:color w:val="000000" w:themeColor="text1"/>
          <w:vertAlign w:val="subscript"/>
        </w:rPr>
        <w:t>2</w:t>
      </w:r>
      <w:r w:rsidR="0E9A0628" w:rsidRPr="08738778">
        <w:rPr>
          <w:rFonts w:eastAsia="Cambria" w:cs="Cambria"/>
          <w:color w:val="000000" w:themeColor="text1"/>
        </w:rPr>
        <w:t xml:space="preserve"> emissions from electricity </w:t>
      </w:r>
      <w:r w:rsidR="6D2BFC5D" w:rsidRPr="08738778">
        <w:rPr>
          <w:rFonts w:eastAsia="Cambria" w:cs="Cambria"/>
          <w:color w:val="000000" w:themeColor="text1"/>
        </w:rPr>
        <w:t xml:space="preserve">production </w:t>
      </w:r>
      <w:r w:rsidR="0E9A0628" w:rsidRPr="08738778">
        <w:rPr>
          <w:rFonts w:eastAsia="Cambria" w:cs="Cambria"/>
          <w:color w:val="000000" w:themeColor="text1"/>
        </w:rPr>
        <w:t>in the U</w:t>
      </w:r>
      <w:r w:rsidR="00F17619">
        <w:rPr>
          <w:rFonts w:eastAsia="Cambria" w:cs="Cambria"/>
          <w:color w:val="000000" w:themeColor="text1"/>
        </w:rPr>
        <w:t>.</w:t>
      </w:r>
      <w:r w:rsidR="0E9A0628" w:rsidRPr="08738778">
        <w:rPr>
          <w:rFonts w:eastAsia="Cambria" w:cs="Cambria"/>
          <w:color w:val="000000" w:themeColor="text1"/>
        </w:rPr>
        <w:t>S</w:t>
      </w:r>
      <w:r w:rsidR="00F17619">
        <w:rPr>
          <w:rFonts w:eastAsia="Cambria" w:cs="Cambria"/>
          <w:color w:val="000000" w:themeColor="text1"/>
        </w:rPr>
        <w:t>.</w:t>
      </w:r>
      <w:r w:rsidR="0E9A0628" w:rsidRPr="08738778">
        <w:rPr>
          <w:rFonts w:eastAsia="Cambria" w:cs="Cambria"/>
          <w:color w:val="000000" w:themeColor="text1"/>
        </w:rPr>
        <w:t xml:space="preserve"> </w:t>
      </w:r>
      <w:r w:rsidR="391CD6B9" w:rsidRPr="583F873E">
        <w:rPr>
          <w:rFonts w:eastAsia="Cambria" w:cs="Cambria"/>
          <w:color w:val="000000" w:themeColor="text1"/>
        </w:rPr>
        <w:t>decline</w:t>
      </w:r>
      <w:r w:rsidR="401D5E0F" w:rsidRPr="08738778">
        <w:rPr>
          <w:rFonts w:eastAsia="Cambria" w:cs="Cambria"/>
          <w:color w:val="000000" w:themeColor="text1"/>
        </w:rPr>
        <w:t xml:space="preserve"> to 25% of the 2022 </w:t>
      </w:r>
      <w:r w:rsidR="54EBFB8C" w:rsidRPr="7F8A894F">
        <w:rPr>
          <w:rFonts w:eastAsia="Cambria" w:cs="Cambria"/>
          <w:color w:val="000000" w:themeColor="text1"/>
        </w:rPr>
        <w:t>total.</w:t>
      </w:r>
      <w:r w:rsidR="59B55899" w:rsidRPr="7F8A894F">
        <w:rPr>
          <w:rFonts w:eastAsia="Cambria" w:cs="Cambria"/>
          <w:color w:val="000000" w:themeColor="text1"/>
        </w:rPr>
        <w:t xml:space="preserve"> </w:t>
      </w:r>
      <w:r w:rsidR="59B55899" w:rsidRPr="66E105FF">
        <w:rPr>
          <w:rFonts w:eastAsia="Cambria" w:cs="Cambria"/>
          <w:color w:val="000000" w:themeColor="text1"/>
        </w:rPr>
        <w:t>A</w:t>
      </w:r>
      <w:r w:rsidR="61D65F34" w:rsidRPr="66E105FF">
        <w:rPr>
          <w:rFonts w:eastAsia="Cambria" w:cs="Cambria"/>
          <w:color w:val="000000" w:themeColor="text1"/>
        </w:rPr>
        <w:t>s the latter</w:t>
      </w:r>
      <w:r w:rsidR="61D65F34" w:rsidRPr="2E08BE45">
        <w:rPr>
          <w:rFonts w:eastAsia="Cambria" w:cs="Cambria"/>
          <w:color w:val="000000" w:themeColor="text1"/>
        </w:rPr>
        <w:t xml:space="preserve"> year </w:t>
      </w:r>
      <w:r w:rsidR="61D65F34" w:rsidRPr="66E105FF">
        <w:rPr>
          <w:rFonts w:eastAsia="Cambria" w:cs="Cambria"/>
          <w:color w:val="000000" w:themeColor="text1"/>
        </w:rPr>
        <w:t>is</w:t>
      </w:r>
      <w:r w:rsidR="61D65F34" w:rsidRPr="2E08BE45">
        <w:rPr>
          <w:rFonts w:eastAsia="Cambria" w:cs="Cambria"/>
          <w:color w:val="000000" w:themeColor="text1"/>
        </w:rPr>
        <w:t xml:space="preserve"> unknown</w:t>
      </w:r>
      <w:r w:rsidR="0F5CAC4E" w:rsidRPr="583F873E">
        <w:rPr>
          <w:rFonts w:eastAsia="Cambria" w:cs="Cambria"/>
          <w:color w:val="000000" w:themeColor="text1"/>
        </w:rPr>
        <w:t xml:space="preserve"> and impactful</w:t>
      </w:r>
      <w:r w:rsidR="61D65F34" w:rsidRPr="2E08BE45">
        <w:rPr>
          <w:rFonts w:eastAsia="Cambria" w:cs="Cambria"/>
          <w:color w:val="000000" w:themeColor="text1"/>
        </w:rPr>
        <w:t xml:space="preserve">, the Company considers three different views of </w:t>
      </w:r>
      <w:r w:rsidR="1269D736" w:rsidRPr="66E105FF">
        <w:rPr>
          <w:rFonts w:eastAsia="Cambria" w:cs="Cambria"/>
          <w:color w:val="000000" w:themeColor="text1"/>
        </w:rPr>
        <w:t xml:space="preserve">it. In the Company’s </w:t>
      </w:r>
      <w:r w:rsidR="5290D3CD" w:rsidRPr="00264D65">
        <w:rPr>
          <w:rFonts w:eastAsia="Cambria" w:cs="Cambria"/>
          <w:i/>
          <w:color w:val="000000" w:themeColor="text1"/>
        </w:rPr>
        <w:t>Tech Portfolio</w:t>
      </w:r>
      <w:r w:rsidR="1269D736" w:rsidRPr="66E105FF">
        <w:rPr>
          <w:rFonts w:eastAsia="Cambria" w:cs="Cambria"/>
          <w:color w:val="000000" w:themeColor="text1"/>
        </w:rPr>
        <w:t xml:space="preserve"> view of future technology cost and performance, the IRA </w:t>
      </w:r>
      <w:r w:rsidR="00D204BE">
        <w:rPr>
          <w:rFonts w:eastAsia="Cambria" w:cs="Cambria"/>
          <w:color w:val="000000" w:themeColor="text1"/>
        </w:rPr>
        <w:t xml:space="preserve">clean electricity </w:t>
      </w:r>
      <w:r w:rsidR="00F31B5C">
        <w:rPr>
          <w:rFonts w:eastAsia="Cambria" w:cs="Cambria"/>
          <w:color w:val="000000" w:themeColor="text1"/>
        </w:rPr>
        <w:t xml:space="preserve">production </w:t>
      </w:r>
      <w:r w:rsidR="004F130D">
        <w:rPr>
          <w:rFonts w:eastAsia="Cambria" w:cs="Cambria"/>
          <w:color w:val="000000" w:themeColor="text1"/>
        </w:rPr>
        <w:t>tax credits</w:t>
      </w:r>
      <w:r w:rsidR="00F31B5C">
        <w:rPr>
          <w:rFonts w:eastAsia="Cambria" w:cs="Cambria"/>
          <w:color w:val="000000" w:themeColor="text1"/>
        </w:rPr>
        <w:t xml:space="preserve"> </w:t>
      </w:r>
      <w:r w:rsidR="004F130D">
        <w:rPr>
          <w:rFonts w:eastAsia="Cambria" w:cs="Cambria"/>
          <w:color w:val="000000" w:themeColor="text1"/>
        </w:rPr>
        <w:t xml:space="preserve">(“PTC”) </w:t>
      </w:r>
      <w:r w:rsidR="00F31B5C">
        <w:rPr>
          <w:rFonts w:eastAsia="Cambria" w:cs="Cambria"/>
          <w:color w:val="000000" w:themeColor="text1"/>
        </w:rPr>
        <w:t xml:space="preserve">and </w:t>
      </w:r>
      <w:r w:rsidR="000B093C">
        <w:rPr>
          <w:rFonts w:eastAsia="Cambria" w:cs="Cambria"/>
          <w:color w:val="000000" w:themeColor="text1"/>
        </w:rPr>
        <w:t xml:space="preserve">investment </w:t>
      </w:r>
      <w:r w:rsidR="1269D736" w:rsidRPr="66E105FF">
        <w:rPr>
          <w:rFonts w:eastAsia="Cambria" w:cs="Cambria"/>
          <w:color w:val="000000" w:themeColor="text1"/>
        </w:rPr>
        <w:t xml:space="preserve">tax credits </w:t>
      </w:r>
      <w:r w:rsidR="004F130D">
        <w:rPr>
          <w:rFonts w:eastAsia="Cambria" w:cs="Cambria"/>
          <w:color w:val="000000" w:themeColor="text1"/>
        </w:rPr>
        <w:t>(“ITC”)</w:t>
      </w:r>
      <w:r w:rsidR="1269D736" w:rsidRPr="66E105FF">
        <w:rPr>
          <w:rFonts w:eastAsia="Cambria" w:cs="Cambria"/>
          <w:color w:val="000000" w:themeColor="text1"/>
        </w:rPr>
        <w:t xml:space="preserve"> are assumed to las</w:t>
      </w:r>
      <w:r w:rsidR="138AB061" w:rsidRPr="66E105FF">
        <w:rPr>
          <w:rFonts w:eastAsia="Cambria" w:cs="Cambria"/>
          <w:color w:val="000000" w:themeColor="text1"/>
        </w:rPr>
        <w:t xml:space="preserve">t for the duration of the modeling horizon. </w:t>
      </w:r>
      <w:r w:rsidR="138AB061" w:rsidRPr="4B90FFA0">
        <w:rPr>
          <w:rFonts w:eastAsia="Cambria" w:cs="Cambria"/>
          <w:color w:val="000000" w:themeColor="text1"/>
        </w:rPr>
        <w:t>In the Company’s</w:t>
      </w:r>
      <w:r w:rsidR="1269D736" w:rsidRPr="4B90FFA0">
        <w:rPr>
          <w:rFonts w:eastAsia="Cambria" w:cs="Cambria"/>
          <w:color w:val="000000" w:themeColor="text1"/>
        </w:rPr>
        <w:t xml:space="preserve"> </w:t>
      </w:r>
      <w:r w:rsidR="6D99AA83" w:rsidRPr="00264D65">
        <w:rPr>
          <w:rFonts w:eastAsia="Cambria" w:cs="Cambria"/>
          <w:i/>
          <w:color w:val="000000" w:themeColor="text1"/>
        </w:rPr>
        <w:t>IRA 2045</w:t>
      </w:r>
      <w:r w:rsidR="6D99AA83" w:rsidRPr="4B90FFA0">
        <w:rPr>
          <w:rFonts w:eastAsia="Cambria" w:cs="Cambria"/>
          <w:color w:val="000000" w:themeColor="text1"/>
        </w:rPr>
        <w:t xml:space="preserve"> view, the</w:t>
      </w:r>
      <w:r w:rsidR="00753721">
        <w:rPr>
          <w:rFonts w:eastAsia="Cambria" w:cs="Cambria"/>
          <w:color w:val="000000" w:themeColor="text1"/>
        </w:rPr>
        <w:t>se</w:t>
      </w:r>
      <w:r w:rsidR="6D99AA83" w:rsidRPr="4B90FFA0">
        <w:rPr>
          <w:rFonts w:eastAsia="Cambria" w:cs="Cambria"/>
          <w:color w:val="000000" w:themeColor="text1"/>
        </w:rPr>
        <w:t xml:space="preserve"> tax credits are assumed to </w:t>
      </w:r>
      <w:r w:rsidR="00B550F1">
        <w:rPr>
          <w:rFonts w:eastAsia="Cambria" w:cs="Cambria"/>
          <w:color w:val="000000" w:themeColor="text1"/>
        </w:rPr>
        <w:t xml:space="preserve">phase </w:t>
      </w:r>
      <w:r w:rsidR="00B550F1" w:rsidRPr="640871F0">
        <w:rPr>
          <w:rFonts w:eastAsia="Cambria" w:cs="Cambria"/>
          <w:color w:val="000000" w:themeColor="text1"/>
        </w:rPr>
        <w:t>out</w:t>
      </w:r>
      <w:r w:rsidR="6D99AA83" w:rsidRPr="30D441A0">
        <w:rPr>
          <w:rFonts w:eastAsia="Cambria" w:cs="Cambria"/>
          <w:color w:val="000000" w:themeColor="text1"/>
        </w:rPr>
        <w:t xml:space="preserve"> in 2045. </w:t>
      </w:r>
      <w:r w:rsidR="00F41043">
        <w:rPr>
          <w:rFonts w:eastAsia="Cambria" w:cs="Cambria"/>
          <w:color w:val="000000" w:themeColor="text1"/>
        </w:rPr>
        <w:t>I</w:t>
      </w:r>
      <w:r w:rsidR="6D99AA83" w:rsidRPr="30D441A0">
        <w:rPr>
          <w:rFonts w:eastAsia="Cambria" w:cs="Cambria"/>
          <w:color w:val="000000" w:themeColor="text1"/>
        </w:rPr>
        <w:t xml:space="preserve">n the Company’s </w:t>
      </w:r>
      <w:r w:rsidR="6D99AA83" w:rsidRPr="00264D65">
        <w:rPr>
          <w:rFonts w:eastAsia="Cambria" w:cs="Cambria"/>
          <w:i/>
          <w:color w:val="000000" w:themeColor="text1"/>
        </w:rPr>
        <w:t>IRA 2035</w:t>
      </w:r>
      <w:r w:rsidR="6D99AA83" w:rsidRPr="30D441A0">
        <w:rPr>
          <w:rFonts w:eastAsia="Cambria" w:cs="Cambria"/>
          <w:color w:val="000000" w:themeColor="text1"/>
        </w:rPr>
        <w:t xml:space="preserve"> view, the</w:t>
      </w:r>
      <w:r w:rsidR="00753721">
        <w:rPr>
          <w:rFonts w:eastAsia="Cambria" w:cs="Cambria"/>
          <w:color w:val="000000" w:themeColor="text1"/>
        </w:rPr>
        <w:t>se</w:t>
      </w:r>
      <w:r w:rsidR="6D99AA83" w:rsidRPr="30D441A0">
        <w:rPr>
          <w:rFonts w:eastAsia="Cambria" w:cs="Cambria"/>
          <w:color w:val="000000" w:themeColor="text1"/>
        </w:rPr>
        <w:t xml:space="preserve"> </w:t>
      </w:r>
      <w:r w:rsidR="219A163B" w:rsidRPr="787C9447">
        <w:rPr>
          <w:rFonts w:eastAsia="Cambria" w:cs="Cambria"/>
          <w:color w:val="000000" w:themeColor="text1"/>
        </w:rPr>
        <w:t xml:space="preserve">tax credits are assumed to </w:t>
      </w:r>
      <w:r w:rsidR="00B550F1">
        <w:rPr>
          <w:rFonts w:eastAsia="Cambria" w:cs="Cambria"/>
          <w:color w:val="000000" w:themeColor="text1"/>
        </w:rPr>
        <w:t>phase out</w:t>
      </w:r>
      <w:r w:rsidR="00B550F1" w:rsidRPr="787C9447">
        <w:rPr>
          <w:rFonts w:eastAsia="Cambria" w:cs="Cambria"/>
          <w:color w:val="000000" w:themeColor="text1"/>
        </w:rPr>
        <w:t xml:space="preserve"> </w:t>
      </w:r>
      <w:r w:rsidR="219A163B" w:rsidRPr="787C9447">
        <w:rPr>
          <w:rFonts w:eastAsia="Cambria" w:cs="Cambria"/>
          <w:color w:val="000000" w:themeColor="text1"/>
        </w:rPr>
        <w:t xml:space="preserve">in 2035. </w:t>
      </w:r>
      <w:r w:rsidR="42F3CA29" w:rsidRPr="787C9447">
        <w:rPr>
          <w:rFonts w:eastAsia="Cambria" w:cs="Cambria"/>
          <w:color w:val="000000" w:themeColor="text1"/>
        </w:rPr>
        <w:t>A</w:t>
      </w:r>
      <w:r w:rsidR="219A163B" w:rsidRPr="787C9447">
        <w:rPr>
          <w:rFonts w:eastAsia="Cambria" w:cs="Cambria"/>
          <w:color w:val="000000" w:themeColor="text1"/>
        </w:rPr>
        <w:t>nalysis by the U</w:t>
      </w:r>
      <w:r w:rsidR="00F17619">
        <w:rPr>
          <w:rFonts w:eastAsia="Cambria" w:cs="Cambria"/>
          <w:color w:val="000000" w:themeColor="text1"/>
        </w:rPr>
        <w:t>.</w:t>
      </w:r>
      <w:r w:rsidR="219A163B" w:rsidRPr="787C9447">
        <w:rPr>
          <w:rFonts w:eastAsia="Cambria" w:cs="Cambria"/>
          <w:color w:val="000000" w:themeColor="text1"/>
        </w:rPr>
        <w:t>S</w:t>
      </w:r>
      <w:r w:rsidR="00F17619">
        <w:rPr>
          <w:rFonts w:eastAsia="Cambria" w:cs="Cambria"/>
          <w:color w:val="000000" w:themeColor="text1"/>
        </w:rPr>
        <w:t>.</w:t>
      </w:r>
      <w:r w:rsidR="219A163B" w:rsidRPr="787C9447">
        <w:rPr>
          <w:rFonts w:eastAsia="Cambria" w:cs="Cambria"/>
          <w:color w:val="000000" w:themeColor="text1"/>
        </w:rPr>
        <w:t xml:space="preserve"> Energy Information Administration</w:t>
      </w:r>
      <w:r w:rsidR="006E6F00">
        <w:rPr>
          <w:rFonts w:eastAsia="Cambria" w:cs="Cambria"/>
          <w:color w:val="000000" w:themeColor="text1"/>
        </w:rPr>
        <w:t xml:space="preserve"> (“EIA”)</w:t>
      </w:r>
      <w:r w:rsidR="70492E72" w:rsidRPr="787C9447">
        <w:rPr>
          <w:rFonts w:eastAsia="Cambria" w:cs="Cambria"/>
          <w:color w:val="000000" w:themeColor="text1"/>
        </w:rPr>
        <w:t xml:space="preserve"> suggests that</w:t>
      </w:r>
      <w:r w:rsidR="70492E72" w:rsidRPr="451B8976">
        <w:rPr>
          <w:rFonts w:eastAsia="Cambria" w:cs="Cambria"/>
          <w:color w:val="000000" w:themeColor="text1"/>
        </w:rPr>
        <w:t xml:space="preserve"> </w:t>
      </w:r>
      <w:r w:rsidR="6369BAE1" w:rsidRPr="451B8976">
        <w:rPr>
          <w:rFonts w:eastAsia="Cambria" w:cs="Cambria"/>
          <w:color w:val="000000" w:themeColor="text1"/>
        </w:rPr>
        <w:t>absent additional pressure on CO</w:t>
      </w:r>
      <w:r w:rsidR="6369BAE1" w:rsidRPr="00264D65">
        <w:rPr>
          <w:rFonts w:eastAsia="Cambria" w:cs="Cambria"/>
          <w:color w:val="000000" w:themeColor="text1"/>
          <w:vertAlign w:val="subscript"/>
        </w:rPr>
        <w:t>2</w:t>
      </w:r>
      <w:r w:rsidR="6369BAE1" w:rsidRPr="451B8976">
        <w:rPr>
          <w:rFonts w:eastAsia="Cambria" w:cs="Cambria"/>
          <w:color w:val="000000" w:themeColor="text1"/>
        </w:rPr>
        <w:t xml:space="preserve"> emissions</w:t>
      </w:r>
      <w:r w:rsidR="006E6F00">
        <w:rPr>
          <w:rFonts w:eastAsia="Cambria" w:cs="Cambria"/>
          <w:color w:val="000000" w:themeColor="text1"/>
        </w:rPr>
        <w:t>,</w:t>
      </w:r>
      <w:r w:rsidR="70492E72" w:rsidRPr="68C0A0DA">
        <w:rPr>
          <w:rFonts w:eastAsia="Cambria" w:cs="Cambria"/>
          <w:color w:val="000000" w:themeColor="text1"/>
        </w:rPr>
        <w:t xml:space="preserve"> the IRA tax credit</w:t>
      </w:r>
      <w:r w:rsidR="00B817C7">
        <w:rPr>
          <w:rFonts w:eastAsia="Cambria" w:cs="Cambria"/>
          <w:color w:val="000000" w:themeColor="text1"/>
        </w:rPr>
        <w:t>s</w:t>
      </w:r>
      <w:r w:rsidR="70492E72" w:rsidRPr="68C0A0DA">
        <w:rPr>
          <w:rFonts w:eastAsia="Cambria" w:cs="Cambria"/>
          <w:color w:val="000000" w:themeColor="text1"/>
        </w:rPr>
        <w:t xml:space="preserve"> </w:t>
      </w:r>
      <w:r w:rsidR="40938EFD" w:rsidRPr="28DBDDC1">
        <w:rPr>
          <w:rFonts w:eastAsia="Cambria" w:cs="Cambria"/>
          <w:color w:val="000000" w:themeColor="text1"/>
        </w:rPr>
        <w:t>alone</w:t>
      </w:r>
      <w:r w:rsidR="70492E72" w:rsidRPr="28DBDDC1">
        <w:rPr>
          <w:rFonts w:eastAsia="Cambria" w:cs="Cambria"/>
          <w:color w:val="000000" w:themeColor="text1"/>
        </w:rPr>
        <w:t xml:space="preserve"> </w:t>
      </w:r>
      <w:r w:rsidR="40938EFD" w:rsidRPr="49051F4A">
        <w:rPr>
          <w:rFonts w:eastAsia="Cambria" w:cs="Cambria"/>
          <w:color w:val="000000" w:themeColor="text1"/>
        </w:rPr>
        <w:t>are not sufficient to drive</w:t>
      </w:r>
      <w:r w:rsidR="70492E72" w:rsidRPr="68C0A0DA">
        <w:rPr>
          <w:rFonts w:eastAsia="Cambria" w:cs="Cambria"/>
          <w:color w:val="000000" w:themeColor="text1"/>
        </w:rPr>
        <w:t xml:space="preserve"> </w:t>
      </w:r>
      <w:r w:rsidR="4C9492C7" w:rsidRPr="68C0A0DA">
        <w:rPr>
          <w:rFonts w:eastAsia="Cambria" w:cs="Cambria"/>
          <w:color w:val="000000" w:themeColor="text1"/>
        </w:rPr>
        <w:t>total U</w:t>
      </w:r>
      <w:r w:rsidR="00F17619">
        <w:rPr>
          <w:rFonts w:eastAsia="Cambria" w:cs="Cambria"/>
          <w:color w:val="000000" w:themeColor="text1"/>
        </w:rPr>
        <w:t>.</w:t>
      </w:r>
      <w:r w:rsidR="4C9492C7" w:rsidRPr="68C0A0DA">
        <w:rPr>
          <w:rFonts w:eastAsia="Cambria" w:cs="Cambria"/>
          <w:color w:val="000000" w:themeColor="text1"/>
        </w:rPr>
        <w:t>S</w:t>
      </w:r>
      <w:r w:rsidR="00F17619">
        <w:rPr>
          <w:rFonts w:eastAsia="Cambria" w:cs="Cambria"/>
          <w:color w:val="000000" w:themeColor="text1"/>
        </w:rPr>
        <w:t>.</w:t>
      </w:r>
      <w:r w:rsidR="4C9492C7" w:rsidRPr="68C0A0DA">
        <w:rPr>
          <w:rFonts w:eastAsia="Cambria" w:cs="Cambria"/>
          <w:color w:val="000000" w:themeColor="text1"/>
        </w:rPr>
        <w:t xml:space="preserve"> electricity CO</w:t>
      </w:r>
      <w:r w:rsidR="4C9492C7" w:rsidRPr="00264D65">
        <w:rPr>
          <w:rFonts w:eastAsia="Cambria" w:cs="Cambria"/>
          <w:color w:val="000000" w:themeColor="text1"/>
          <w:vertAlign w:val="subscript"/>
        </w:rPr>
        <w:t>2</w:t>
      </w:r>
      <w:r w:rsidR="4C9492C7" w:rsidRPr="68C0A0DA">
        <w:rPr>
          <w:rFonts w:eastAsia="Cambria" w:cs="Cambria"/>
          <w:color w:val="000000" w:themeColor="text1"/>
        </w:rPr>
        <w:t xml:space="preserve"> emissions</w:t>
      </w:r>
      <w:r w:rsidR="70492E72" w:rsidRPr="787C9447">
        <w:rPr>
          <w:rFonts w:eastAsia="Cambria" w:cs="Cambria"/>
          <w:color w:val="000000" w:themeColor="text1"/>
        </w:rPr>
        <w:t xml:space="preserve"> </w:t>
      </w:r>
      <w:r w:rsidR="6BF984B1" w:rsidRPr="49051F4A">
        <w:rPr>
          <w:rFonts w:eastAsia="Cambria" w:cs="Cambria"/>
          <w:color w:val="000000" w:themeColor="text1"/>
        </w:rPr>
        <w:t>down</w:t>
      </w:r>
      <w:r w:rsidR="4C9492C7" w:rsidRPr="68C0A0DA">
        <w:rPr>
          <w:rFonts w:eastAsia="Cambria" w:cs="Cambria"/>
          <w:color w:val="000000" w:themeColor="text1"/>
        </w:rPr>
        <w:t xml:space="preserve"> to 25</w:t>
      </w:r>
      <w:r w:rsidR="4C9492C7" w:rsidRPr="62E22922">
        <w:rPr>
          <w:rFonts w:eastAsia="Cambria" w:cs="Cambria"/>
          <w:color w:val="000000" w:themeColor="text1"/>
        </w:rPr>
        <w:t xml:space="preserve">% of 2022 levels through </w:t>
      </w:r>
      <w:r w:rsidR="006E6F00">
        <w:rPr>
          <w:rFonts w:eastAsia="Cambria" w:cs="Cambria"/>
          <w:color w:val="000000" w:themeColor="text1"/>
        </w:rPr>
        <w:t>the</w:t>
      </w:r>
      <w:r w:rsidR="006E6F00" w:rsidRPr="62E22922">
        <w:rPr>
          <w:rFonts w:eastAsia="Cambria" w:cs="Cambria"/>
          <w:color w:val="000000" w:themeColor="text1"/>
        </w:rPr>
        <w:t xml:space="preserve"> </w:t>
      </w:r>
      <w:r w:rsidR="4C9492C7" w:rsidRPr="62E22922">
        <w:rPr>
          <w:rFonts w:eastAsia="Cambria" w:cs="Cambria"/>
          <w:color w:val="000000" w:themeColor="text1"/>
        </w:rPr>
        <w:t xml:space="preserve">modeling horizon. </w:t>
      </w:r>
      <w:r w:rsidR="393304CE" w:rsidRPr="12FF27CB">
        <w:rPr>
          <w:rFonts w:eastAsia="Cambria" w:cs="Cambria"/>
          <w:color w:val="000000" w:themeColor="text1"/>
        </w:rPr>
        <w:t xml:space="preserve">In its scenario analysis, the Company </w:t>
      </w:r>
      <w:r w:rsidR="393304CE" w:rsidRPr="451B8976">
        <w:rPr>
          <w:rFonts w:eastAsia="Cambria" w:cs="Cambria"/>
          <w:color w:val="000000" w:themeColor="text1"/>
        </w:rPr>
        <w:t>adopts</w:t>
      </w:r>
      <w:r w:rsidR="393304CE" w:rsidRPr="12FF27CB">
        <w:rPr>
          <w:rFonts w:eastAsia="Cambria" w:cs="Cambria"/>
          <w:color w:val="000000" w:themeColor="text1"/>
        </w:rPr>
        <w:t xml:space="preserve"> this view in </w:t>
      </w:r>
      <w:r w:rsidR="393304CE" w:rsidRPr="451B8976">
        <w:rPr>
          <w:rFonts w:eastAsia="Cambria" w:cs="Cambria"/>
          <w:color w:val="000000" w:themeColor="text1"/>
        </w:rPr>
        <w:t xml:space="preserve">scenarios that have </w:t>
      </w:r>
      <w:r w:rsidR="393304CE" w:rsidRPr="00264D65">
        <w:rPr>
          <w:rFonts w:eastAsia="Cambria" w:cs="Cambria"/>
          <w:i/>
          <w:color w:val="000000" w:themeColor="text1"/>
        </w:rPr>
        <w:t>Lower</w:t>
      </w:r>
      <w:r w:rsidR="393304CE" w:rsidRPr="451B8976">
        <w:rPr>
          <w:rFonts w:eastAsia="Cambria" w:cs="Cambria"/>
          <w:color w:val="000000" w:themeColor="text1"/>
        </w:rPr>
        <w:t xml:space="preserve"> pressure on future CO</w:t>
      </w:r>
      <w:r w:rsidR="393304CE" w:rsidRPr="00264D65">
        <w:rPr>
          <w:rFonts w:eastAsia="Cambria" w:cs="Cambria"/>
          <w:color w:val="000000" w:themeColor="text1"/>
          <w:vertAlign w:val="subscript"/>
        </w:rPr>
        <w:t>2</w:t>
      </w:r>
      <w:r w:rsidR="393304CE" w:rsidRPr="451B8976">
        <w:rPr>
          <w:rFonts w:eastAsia="Cambria" w:cs="Cambria"/>
          <w:color w:val="000000" w:themeColor="text1"/>
        </w:rPr>
        <w:t xml:space="preserve"> emissions.</w:t>
      </w:r>
      <w:r w:rsidR="77D679F7" w:rsidRPr="46F9F50D">
        <w:rPr>
          <w:rFonts w:eastAsia="Cambria" w:cs="Cambria"/>
          <w:color w:val="000000" w:themeColor="text1"/>
        </w:rPr>
        <w:t xml:space="preserve"> In the scenarios with </w:t>
      </w:r>
      <w:r w:rsidR="77D679F7" w:rsidRPr="00264D65">
        <w:rPr>
          <w:rFonts w:eastAsia="Cambria" w:cs="Cambria"/>
          <w:i/>
          <w:color w:val="000000" w:themeColor="text1"/>
        </w:rPr>
        <w:t>Moderate</w:t>
      </w:r>
      <w:r w:rsidR="77D679F7" w:rsidRPr="46F9F50D">
        <w:rPr>
          <w:rFonts w:eastAsia="Cambria" w:cs="Cambria"/>
          <w:color w:val="000000" w:themeColor="text1"/>
        </w:rPr>
        <w:t xml:space="preserve"> </w:t>
      </w:r>
      <w:r w:rsidR="5F4BA098" w:rsidRPr="151491D0">
        <w:rPr>
          <w:rFonts w:eastAsia="Cambria" w:cs="Cambria"/>
          <w:color w:val="000000" w:themeColor="text1"/>
        </w:rPr>
        <w:t xml:space="preserve">or </w:t>
      </w:r>
      <w:r w:rsidR="5F4BA098" w:rsidRPr="00264D65">
        <w:rPr>
          <w:rFonts w:eastAsia="Cambria" w:cs="Cambria"/>
          <w:i/>
          <w:color w:val="000000" w:themeColor="text1"/>
        </w:rPr>
        <w:t>Emissions Limit</w:t>
      </w:r>
      <w:r w:rsidR="77D679F7" w:rsidRPr="46F9F50D">
        <w:rPr>
          <w:rFonts w:eastAsia="Cambria" w:cs="Cambria"/>
          <w:color w:val="000000" w:themeColor="text1"/>
        </w:rPr>
        <w:t xml:space="preserve"> pressure on future CO</w:t>
      </w:r>
      <w:r w:rsidR="77D679F7" w:rsidRPr="00264D65">
        <w:rPr>
          <w:rFonts w:eastAsia="Cambria" w:cs="Cambria"/>
          <w:color w:val="000000" w:themeColor="text1"/>
          <w:vertAlign w:val="subscript"/>
        </w:rPr>
        <w:t>2</w:t>
      </w:r>
      <w:r w:rsidR="77D679F7" w:rsidRPr="46F9F50D">
        <w:rPr>
          <w:rFonts w:eastAsia="Cambria" w:cs="Cambria"/>
          <w:color w:val="000000" w:themeColor="text1"/>
        </w:rPr>
        <w:t xml:space="preserve"> emissions, the Company adopts the view </w:t>
      </w:r>
      <w:r w:rsidR="77D679F7" w:rsidRPr="151491D0">
        <w:rPr>
          <w:rFonts w:eastAsia="Cambria" w:cs="Cambria"/>
          <w:color w:val="000000" w:themeColor="text1"/>
        </w:rPr>
        <w:t xml:space="preserve">that the IRA tax credits will </w:t>
      </w:r>
      <w:r w:rsidR="002B1235">
        <w:rPr>
          <w:rFonts w:eastAsia="Cambria" w:cs="Cambria"/>
          <w:color w:val="000000" w:themeColor="text1"/>
        </w:rPr>
        <w:t>phase out in</w:t>
      </w:r>
      <w:r w:rsidR="77D679F7" w:rsidRPr="151491D0">
        <w:rPr>
          <w:rFonts w:eastAsia="Cambria" w:cs="Cambria"/>
          <w:color w:val="000000" w:themeColor="text1"/>
        </w:rPr>
        <w:t xml:space="preserve"> 2045. </w:t>
      </w:r>
      <w:r w:rsidR="00B70F80">
        <w:rPr>
          <w:rFonts w:eastAsia="Cambria" w:cs="Cambria"/>
          <w:color w:val="000000" w:themeColor="text1"/>
        </w:rPr>
        <w:t>I</w:t>
      </w:r>
      <w:r w:rsidR="77D679F7" w:rsidRPr="17903849">
        <w:rPr>
          <w:rFonts w:eastAsia="Cambria" w:cs="Cambria"/>
          <w:color w:val="000000" w:themeColor="text1"/>
        </w:rPr>
        <w:t xml:space="preserve">n scenarios with </w:t>
      </w:r>
      <w:r w:rsidR="77D679F7" w:rsidRPr="00264D65">
        <w:rPr>
          <w:rFonts w:eastAsia="Cambria" w:cs="Cambria"/>
          <w:i/>
          <w:color w:val="000000" w:themeColor="text1"/>
        </w:rPr>
        <w:t xml:space="preserve">Higher </w:t>
      </w:r>
      <w:r w:rsidR="0E6C5680" w:rsidRPr="17903849">
        <w:rPr>
          <w:rFonts w:eastAsia="Cambria" w:cs="Cambria"/>
          <w:color w:val="000000" w:themeColor="text1"/>
        </w:rPr>
        <w:t>pressure on future CO</w:t>
      </w:r>
      <w:r w:rsidR="0E6C5680" w:rsidRPr="00264D65">
        <w:rPr>
          <w:rFonts w:eastAsia="Cambria" w:cs="Cambria"/>
          <w:color w:val="000000" w:themeColor="text1"/>
          <w:vertAlign w:val="subscript"/>
        </w:rPr>
        <w:t>2</w:t>
      </w:r>
      <w:r w:rsidR="0E6C5680" w:rsidRPr="17903849">
        <w:rPr>
          <w:rFonts w:eastAsia="Cambria" w:cs="Cambria"/>
          <w:color w:val="000000" w:themeColor="text1"/>
        </w:rPr>
        <w:t xml:space="preserve"> emissions, the Company adopts the view that the IRA tax credits will </w:t>
      </w:r>
      <w:r w:rsidR="002B1235">
        <w:rPr>
          <w:rFonts w:eastAsia="Cambria" w:cs="Cambria"/>
          <w:color w:val="000000" w:themeColor="text1"/>
        </w:rPr>
        <w:t>phase out</w:t>
      </w:r>
      <w:r w:rsidR="002B1235" w:rsidRPr="17903849">
        <w:rPr>
          <w:rFonts w:eastAsia="Cambria" w:cs="Cambria"/>
          <w:color w:val="000000" w:themeColor="text1"/>
        </w:rPr>
        <w:t xml:space="preserve"> </w:t>
      </w:r>
      <w:r w:rsidR="0E6C5680" w:rsidRPr="17903849">
        <w:rPr>
          <w:rFonts w:eastAsia="Cambria" w:cs="Cambria"/>
          <w:color w:val="000000" w:themeColor="text1"/>
        </w:rPr>
        <w:t>in 2035.</w:t>
      </w:r>
    </w:p>
    <w:p w14:paraId="063DBBE8" w14:textId="39C425D5" w:rsidR="00EC58BB" w:rsidRPr="00EA3009" w:rsidRDefault="00315BC2" w:rsidP="000E35F7">
      <w:pPr>
        <w:pStyle w:val="Heading3"/>
        <w:rPr>
          <w:rFonts w:eastAsia="Cambria" w:cs="Cambria"/>
          <w:color w:val="000000" w:themeColor="text1"/>
        </w:rPr>
      </w:pPr>
      <w:r>
        <w:lastRenderedPageBreak/>
        <w:t>3.</w:t>
      </w:r>
      <w:r w:rsidR="00303E2B">
        <w:t>4</w:t>
      </w:r>
      <w:r>
        <w:t xml:space="preserve">.3 – </w:t>
      </w:r>
      <w:r w:rsidR="014259A8" w:rsidRPr="00EA3009">
        <w:t>Load Growth</w:t>
      </w:r>
    </w:p>
    <w:p w14:paraId="24863E88" w14:textId="7B9295D0" w:rsidR="00EC58BB" w:rsidRPr="00EF0244" w:rsidRDefault="00CC4060" w:rsidP="00EA3009">
      <w:pPr>
        <w:jc w:val="both"/>
        <w:rPr>
          <w:rFonts w:eastAsia="Cambria" w:cs="Cambria"/>
          <w:color w:val="000000" w:themeColor="text1"/>
        </w:rPr>
      </w:pPr>
      <w:r>
        <w:rPr>
          <w:rFonts w:eastAsia="Cambria" w:cs="Cambria"/>
          <w:color w:val="000000" w:themeColor="text1"/>
        </w:rPr>
        <w:t>To assess f</w:t>
      </w:r>
      <w:r w:rsidR="014259A8" w:rsidRPr="00EA3009">
        <w:rPr>
          <w:rFonts w:eastAsia="Cambria" w:cs="Cambria"/>
          <w:color w:val="000000" w:themeColor="text1"/>
        </w:rPr>
        <w:t>uture electricity consumption</w:t>
      </w:r>
      <w:r>
        <w:rPr>
          <w:rFonts w:eastAsia="Cambria" w:cs="Cambria"/>
          <w:color w:val="000000" w:themeColor="text1"/>
        </w:rPr>
        <w:t>, t</w:t>
      </w:r>
      <w:r w:rsidR="014259A8" w:rsidRPr="00EA3009">
        <w:rPr>
          <w:rFonts w:eastAsia="Cambria" w:cs="Cambria"/>
          <w:color w:val="000000" w:themeColor="text1"/>
        </w:rPr>
        <w:t xml:space="preserve">he </w:t>
      </w:r>
      <w:r w:rsidR="004C70FC">
        <w:rPr>
          <w:rFonts w:eastAsia="Cambria" w:cs="Cambria"/>
          <w:color w:val="000000" w:themeColor="text1"/>
        </w:rPr>
        <w:t>C</w:t>
      </w:r>
      <w:r w:rsidR="014259A8" w:rsidRPr="00EF0244">
        <w:rPr>
          <w:rFonts w:eastAsia="Cambria" w:cs="Cambria"/>
          <w:color w:val="000000" w:themeColor="text1"/>
        </w:rPr>
        <w:t xml:space="preserve">ompany considers </w:t>
      </w:r>
      <w:r w:rsidR="00BD2F1D" w:rsidRPr="00EA3009">
        <w:rPr>
          <w:rFonts w:eastAsia="Cambria" w:cs="Cambria"/>
          <w:color w:val="000000" w:themeColor="text1"/>
        </w:rPr>
        <w:t>two</w:t>
      </w:r>
      <w:r w:rsidR="014259A8" w:rsidRPr="00EA3009">
        <w:rPr>
          <w:rFonts w:eastAsia="Cambria" w:cs="Cambria"/>
          <w:color w:val="000000" w:themeColor="text1"/>
        </w:rPr>
        <w:t xml:space="preserve"> different views of future load growth</w:t>
      </w:r>
      <w:r w:rsidR="00AF606D">
        <w:rPr>
          <w:rFonts w:eastAsia="Cambria" w:cs="Cambria"/>
          <w:color w:val="000000" w:themeColor="text1"/>
        </w:rPr>
        <w:t xml:space="preserve"> in its planning scenarios</w:t>
      </w:r>
      <w:r w:rsidR="005C2A60">
        <w:rPr>
          <w:rFonts w:eastAsia="Cambria" w:cs="Cambria"/>
          <w:color w:val="000000" w:themeColor="text1"/>
        </w:rPr>
        <w:t>.</w:t>
      </w:r>
      <w:r w:rsidR="014259A8" w:rsidRPr="00EA3009">
        <w:rPr>
          <w:rFonts w:eastAsia="Cambria" w:cs="Cambria"/>
          <w:color w:val="000000" w:themeColor="text1"/>
        </w:rPr>
        <w:t xml:space="preserve"> </w:t>
      </w:r>
      <w:r w:rsidR="005C2A60">
        <w:rPr>
          <w:rFonts w:eastAsia="Cambria" w:cs="Cambria"/>
          <w:color w:val="000000" w:themeColor="text1"/>
        </w:rPr>
        <w:t>One is</w:t>
      </w:r>
      <w:r w:rsidR="014259A8" w:rsidRPr="00EA3009">
        <w:rPr>
          <w:rFonts w:eastAsia="Cambria" w:cs="Cambria"/>
          <w:color w:val="000000" w:themeColor="text1"/>
        </w:rPr>
        <w:t xml:space="preserve"> a </w:t>
      </w:r>
      <w:r w:rsidR="014259A8" w:rsidRPr="00EA3009">
        <w:rPr>
          <w:rFonts w:eastAsia="Cambria" w:cs="Cambria"/>
          <w:i/>
          <w:color w:val="000000" w:themeColor="text1"/>
        </w:rPr>
        <w:t>Standard</w:t>
      </w:r>
      <w:r w:rsidR="014259A8" w:rsidRPr="00EA3009">
        <w:rPr>
          <w:rFonts w:eastAsia="Cambria" w:cs="Cambria"/>
          <w:color w:val="000000" w:themeColor="text1"/>
        </w:rPr>
        <w:t xml:space="preserve"> view</w:t>
      </w:r>
      <w:r w:rsidR="00820B58">
        <w:rPr>
          <w:rFonts w:eastAsia="Cambria" w:cs="Cambria"/>
          <w:color w:val="000000" w:themeColor="text1"/>
        </w:rPr>
        <w:t xml:space="preserve"> </w:t>
      </w:r>
      <w:r w:rsidR="00BD2F1D" w:rsidRPr="00EA3009">
        <w:rPr>
          <w:rFonts w:eastAsia="Cambria" w:cs="Cambria"/>
          <w:color w:val="000000" w:themeColor="text1"/>
        </w:rPr>
        <w:t xml:space="preserve">and </w:t>
      </w:r>
      <w:r w:rsidR="00820B58">
        <w:rPr>
          <w:rFonts w:eastAsia="Cambria" w:cs="Cambria"/>
          <w:color w:val="000000" w:themeColor="text1"/>
        </w:rPr>
        <w:t>the other is</w:t>
      </w:r>
      <w:r w:rsidR="00BD2F1D" w:rsidRPr="00EA3009">
        <w:rPr>
          <w:rFonts w:eastAsia="Cambria" w:cs="Cambria"/>
          <w:color w:val="000000" w:themeColor="text1"/>
        </w:rPr>
        <w:t xml:space="preserve"> </w:t>
      </w:r>
      <w:r w:rsidR="014259A8" w:rsidRPr="00EA3009">
        <w:rPr>
          <w:rFonts w:eastAsia="Cambria" w:cs="Cambria"/>
          <w:color w:val="000000" w:themeColor="text1"/>
        </w:rPr>
        <w:t xml:space="preserve">a view consistent with </w:t>
      </w:r>
      <w:r w:rsidR="001B463F">
        <w:rPr>
          <w:rFonts w:eastAsia="Cambria" w:cs="Cambria"/>
          <w:color w:val="000000" w:themeColor="text1"/>
        </w:rPr>
        <w:t xml:space="preserve">lower loads due to </w:t>
      </w:r>
      <w:r w:rsidR="014259A8" w:rsidRPr="00EA3009">
        <w:rPr>
          <w:rFonts w:eastAsia="Cambria" w:cs="Cambria"/>
          <w:color w:val="000000" w:themeColor="text1"/>
        </w:rPr>
        <w:t>higher future natural gas price</w:t>
      </w:r>
      <w:r w:rsidR="004C70FC">
        <w:rPr>
          <w:rFonts w:eastAsia="Cambria" w:cs="Cambria"/>
          <w:color w:val="000000" w:themeColor="text1"/>
        </w:rPr>
        <w:t>s</w:t>
      </w:r>
      <w:r w:rsidR="014259A8" w:rsidRPr="00EA3009">
        <w:rPr>
          <w:rFonts w:eastAsia="Cambria" w:cs="Cambria"/>
          <w:color w:val="000000" w:themeColor="text1"/>
        </w:rPr>
        <w:t xml:space="preserve"> (</w:t>
      </w:r>
      <w:r w:rsidR="014259A8" w:rsidRPr="00EA3009">
        <w:rPr>
          <w:rFonts w:eastAsia="Cambria" w:cs="Cambria"/>
          <w:i/>
          <w:color w:val="000000" w:themeColor="text1"/>
        </w:rPr>
        <w:t xml:space="preserve">Standard </w:t>
      </w:r>
      <w:r w:rsidR="00372620">
        <w:rPr>
          <w:rFonts w:eastAsia="Cambria" w:cs="Cambria"/>
          <w:i/>
          <w:color w:val="000000" w:themeColor="text1"/>
        </w:rPr>
        <w:t>w/</w:t>
      </w:r>
      <w:r w:rsidR="014259A8" w:rsidRPr="00EF0244">
        <w:rPr>
          <w:rFonts w:eastAsia="Cambria" w:cs="Cambria"/>
          <w:i/>
          <w:color w:val="000000" w:themeColor="text1"/>
        </w:rPr>
        <w:t xml:space="preserve"> HG0 Delta</w:t>
      </w:r>
      <w:r w:rsidR="014259A8" w:rsidRPr="00EA3009">
        <w:rPr>
          <w:rFonts w:eastAsia="Cambria" w:cs="Cambria"/>
          <w:color w:val="000000" w:themeColor="text1"/>
        </w:rPr>
        <w:t>)</w:t>
      </w:r>
      <w:r w:rsidR="014259A8" w:rsidRPr="00EF0244">
        <w:rPr>
          <w:rFonts w:eastAsia="Cambria" w:cs="Cambria"/>
          <w:color w:val="000000" w:themeColor="text1"/>
        </w:rPr>
        <w:t>.</w:t>
      </w:r>
      <w:r w:rsidR="001B463F">
        <w:rPr>
          <w:rFonts w:eastAsia="Cambria" w:cs="Cambria"/>
          <w:color w:val="000000" w:themeColor="text1"/>
        </w:rPr>
        <w:t xml:space="preserve"> Additional load views are considered in the</w:t>
      </w:r>
      <w:r w:rsidR="00F72FBA">
        <w:rPr>
          <w:rFonts w:eastAsia="Cambria" w:cs="Cambria"/>
          <w:color w:val="000000" w:themeColor="text1"/>
        </w:rPr>
        <w:t xml:space="preserve"> B2025</w:t>
      </w:r>
      <w:r w:rsidR="001B463F">
        <w:rPr>
          <w:rFonts w:eastAsia="Cambria" w:cs="Cambria"/>
          <w:color w:val="000000" w:themeColor="text1"/>
        </w:rPr>
        <w:t xml:space="preserve"> Load &amp; Energy Forecast in Technical Appendix Volume 1 and in the Financial Review in Technical Appendix Volume 2.</w:t>
      </w:r>
    </w:p>
    <w:p w14:paraId="005F9EA3" w14:textId="6EDC0005" w:rsidR="00EC58BB" w:rsidRPr="00EF0244" w:rsidRDefault="014259A8" w:rsidP="009A12F5">
      <w:pPr>
        <w:pStyle w:val="ListParagraph"/>
        <w:numPr>
          <w:ilvl w:val="0"/>
          <w:numId w:val="33"/>
        </w:numPr>
        <w:spacing w:after="120"/>
        <w:contextualSpacing w:val="0"/>
        <w:jc w:val="both"/>
        <w:rPr>
          <w:rFonts w:eastAsia="Cambria" w:cs="Cambria"/>
          <w:color w:val="000000" w:themeColor="text1"/>
        </w:rPr>
      </w:pPr>
      <w:r w:rsidRPr="00EA3009">
        <w:rPr>
          <w:rFonts w:eastAsia="Cambria" w:cs="Cambria"/>
          <w:color w:val="000000" w:themeColor="text1"/>
          <w:u w:val="single"/>
        </w:rPr>
        <w:t>Standard</w:t>
      </w:r>
      <w:r w:rsidRPr="00C80041">
        <w:rPr>
          <w:rFonts w:eastAsia="Cambria" w:cs="Cambria"/>
          <w:color w:val="000000" w:themeColor="text1"/>
        </w:rPr>
        <w:t xml:space="preserve">. The Company updates annually its forecast of electricity consumption through the planning horizon. The </w:t>
      </w:r>
      <w:r w:rsidR="00246B66">
        <w:rPr>
          <w:rFonts w:eastAsia="Cambria" w:cs="Cambria"/>
          <w:color w:val="000000" w:themeColor="text1"/>
        </w:rPr>
        <w:t xml:space="preserve">load </w:t>
      </w:r>
      <w:r w:rsidRPr="00C80041">
        <w:rPr>
          <w:rFonts w:eastAsia="Cambria" w:cs="Cambria"/>
          <w:color w:val="000000" w:themeColor="text1"/>
        </w:rPr>
        <w:t xml:space="preserve">forecast is </w:t>
      </w:r>
      <w:r w:rsidR="00246B66">
        <w:rPr>
          <w:rFonts w:eastAsia="Cambria" w:cs="Cambria"/>
          <w:color w:val="000000" w:themeColor="text1"/>
        </w:rPr>
        <w:t>prepared</w:t>
      </w:r>
      <w:r w:rsidRPr="00C80041">
        <w:rPr>
          <w:rFonts w:eastAsia="Cambria" w:cs="Cambria"/>
          <w:color w:val="000000" w:themeColor="text1"/>
        </w:rPr>
        <w:t xml:space="preserve"> separately for each of the three types of customers</w:t>
      </w:r>
      <w:r w:rsidR="002562FE">
        <w:rPr>
          <w:rFonts w:eastAsia="Cambria" w:cs="Cambria"/>
          <w:color w:val="000000" w:themeColor="text1"/>
        </w:rPr>
        <w:t xml:space="preserve"> (i.e., </w:t>
      </w:r>
      <w:r w:rsidRPr="00C80041">
        <w:rPr>
          <w:rFonts w:eastAsia="Cambria" w:cs="Cambria"/>
          <w:color w:val="000000" w:themeColor="text1"/>
        </w:rPr>
        <w:t>residential, commercial, and industrial</w:t>
      </w:r>
      <w:r w:rsidR="00745789">
        <w:rPr>
          <w:rFonts w:eastAsia="Cambria" w:cs="Cambria"/>
          <w:color w:val="000000" w:themeColor="text1"/>
        </w:rPr>
        <w:t>)</w:t>
      </w:r>
      <w:r w:rsidR="002562FE">
        <w:rPr>
          <w:rFonts w:eastAsia="Cambria" w:cs="Cambria"/>
          <w:color w:val="000000" w:themeColor="text1"/>
        </w:rPr>
        <w:t xml:space="preserve"> </w:t>
      </w:r>
      <w:r w:rsidRPr="00C80041">
        <w:rPr>
          <w:rFonts w:eastAsia="Cambria" w:cs="Cambria"/>
          <w:color w:val="000000" w:themeColor="text1"/>
        </w:rPr>
        <w:t xml:space="preserve">for each of the three </w:t>
      </w:r>
      <w:r w:rsidR="00B74A01">
        <w:rPr>
          <w:rFonts w:eastAsia="Cambria" w:cs="Cambria"/>
          <w:color w:val="000000" w:themeColor="text1"/>
        </w:rPr>
        <w:t xml:space="preserve">retail </w:t>
      </w:r>
      <w:r w:rsidRPr="00C80041">
        <w:rPr>
          <w:rFonts w:eastAsia="Cambria" w:cs="Cambria"/>
          <w:color w:val="000000" w:themeColor="text1"/>
        </w:rPr>
        <w:t xml:space="preserve">operating companies and is aggregated into a </w:t>
      </w:r>
      <w:r w:rsidR="008E5699">
        <w:rPr>
          <w:rFonts w:eastAsia="Cambria" w:cs="Cambria"/>
          <w:color w:val="000000" w:themeColor="text1"/>
        </w:rPr>
        <w:t>S</w:t>
      </w:r>
      <w:r w:rsidRPr="00C80041">
        <w:rPr>
          <w:rFonts w:eastAsia="Cambria" w:cs="Cambria"/>
          <w:color w:val="000000" w:themeColor="text1"/>
        </w:rPr>
        <w:t xml:space="preserve">ystem total for expansion </w:t>
      </w:r>
      <w:r w:rsidR="00760B00">
        <w:rPr>
          <w:rFonts w:eastAsia="Cambria" w:cs="Cambria"/>
          <w:color w:val="000000" w:themeColor="text1"/>
        </w:rPr>
        <w:t>pla</w:t>
      </w:r>
      <w:r w:rsidR="006E76EC">
        <w:rPr>
          <w:rFonts w:eastAsia="Cambria" w:cs="Cambria"/>
          <w:color w:val="000000" w:themeColor="text1"/>
        </w:rPr>
        <w:t xml:space="preserve">nning </w:t>
      </w:r>
      <w:r w:rsidRPr="00C80041">
        <w:rPr>
          <w:rFonts w:eastAsia="Cambria" w:cs="Cambria"/>
          <w:color w:val="000000" w:themeColor="text1"/>
        </w:rPr>
        <w:t xml:space="preserve">modeling. This view of future load growth is used in most scenarios. This view includes significant growth of electricity consumption associated with commercial and industrial customers expected to initiate or expand operations as Company customers. </w:t>
      </w:r>
      <w:r w:rsidRPr="00EF0244">
        <w:rPr>
          <w:rFonts w:eastAsia="Cambria" w:cs="Cambria"/>
          <w:color w:val="000000" w:themeColor="text1"/>
        </w:rPr>
        <w:t xml:space="preserve">At present, the Company sees this significant growth occurring through </w:t>
      </w:r>
      <w:r w:rsidR="37475E0E" w:rsidRPr="6E2BDCE9">
        <w:rPr>
          <w:rFonts w:eastAsia="Cambria" w:cs="Cambria"/>
          <w:color w:val="000000" w:themeColor="text1"/>
        </w:rPr>
        <w:t>the mid-2030s</w:t>
      </w:r>
      <w:r w:rsidR="006E76EC" w:rsidRPr="6E2BDCE9">
        <w:rPr>
          <w:rFonts w:eastAsia="Cambria" w:cs="Cambria"/>
          <w:color w:val="000000" w:themeColor="text1"/>
        </w:rPr>
        <w:t>.</w:t>
      </w:r>
    </w:p>
    <w:p w14:paraId="6887C366" w14:textId="23C2AB03" w:rsidR="00EC58BB" w:rsidRPr="00C80041" w:rsidRDefault="014259A8" w:rsidP="009A12F5">
      <w:pPr>
        <w:pStyle w:val="ListParagraph"/>
        <w:numPr>
          <w:ilvl w:val="0"/>
          <w:numId w:val="33"/>
        </w:numPr>
        <w:spacing w:after="120"/>
        <w:jc w:val="both"/>
        <w:rPr>
          <w:rFonts w:eastAsia="Cambria" w:cs="Cambria"/>
          <w:color w:val="000000" w:themeColor="text1"/>
        </w:rPr>
      </w:pPr>
      <w:r w:rsidRPr="00C80041">
        <w:rPr>
          <w:rFonts w:eastAsia="Cambria" w:cs="Cambria"/>
          <w:color w:val="000000" w:themeColor="text1"/>
          <w:u w:val="single"/>
        </w:rPr>
        <w:t xml:space="preserve">Standard </w:t>
      </w:r>
      <w:r w:rsidR="00F5596B" w:rsidRPr="00130ECF">
        <w:rPr>
          <w:rFonts w:eastAsia="Cambria" w:cs="Cambria"/>
          <w:color w:val="000000" w:themeColor="text1"/>
          <w:u w:val="single"/>
        </w:rPr>
        <w:t>w/</w:t>
      </w:r>
      <w:r w:rsidRPr="00C80041">
        <w:rPr>
          <w:rFonts w:eastAsia="Cambria" w:cs="Cambria"/>
          <w:color w:val="000000" w:themeColor="text1"/>
          <w:u w:val="single"/>
        </w:rPr>
        <w:t xml:space="preserve"> HG0 Delta</w:t>
      </w:r>
      <w:r w:rsidRPr="00C80041">
        <w:rPr>
          <w:rFonts w:eastAsia="Cambria" w:cs="Cambria"/>
          <w:color w:val="000000" w:themeColor="text1"/>
        </w:rPr>
        <w:t xml:space="preserve">. </w:t>
      </w:r>
      <w:r w:rsidR="006E76EC">
        <w:rPr>
          <w:rFonts w:eastAsia="Cambria" w:cs="Cambria"/>
          <w:color w:val="000000" w:themeColor="text1"/>
        </w:rPr>
        <w:t xml:space="preserve">The </w:t>
      </w:r>
      <w:r w:rsidR="006E76EC" w:rsidRPr="006F5EE8">
        <w:rPr>
          <w:rFonts w:eastAsia="Cambria" w:cs="Cambria"/>
          <w:i/>
          <w:color w:val="000000" w:themeColor="text1"/>
        </w:rPr>
        <w:t xml:space="preserve">Standard </w:t>
      </w:r>
      <w:r w:rsidR="00F5596B" w:rsidRPr="006F5EE8">
        <w:rPr>
          <w:rFonts w:eastAsia="Cambria" w:cs="Cambria"/>
          <w:i/>
          <w:color w:val="000000" w:themeColor="text1"/>
        </w:rPr>
        <w:t>w/</w:t>
      </w:r>
      <w:r w:rsidR="008A2A50" w:rsidRPr="006F5EE8">
        <w:rPr>
          <w:rFonts w:eastAsia="Cambria" w:cs="Cambria"/>
          <w:i/>
          <w:color w:val="000000" w:themeColor="text1"/>
        </w:rPr>
        <w:t xml:space="preserve"> HG0 Delta</w:t>
      </w:r>
      <w:r w:rsidRPr="00C80041">
        <w:rPr>
          <w:rFonts w:eastAsia="Cambria" w:cs="Cambria"/>
          <w:color w:val="000000" w:themeColor="text1"/>
        </w:rPr>
        <w:t xml:space="preserve"> view recognizes the relationship between the future consumption of electricity and the future price of natural gas. This relationship is not straightforward because natural gas is both an input to electricity production and a substitute for electricity in some end uses. Thus, the </w:t>
      </w:r>
      <w:r w:rsidR="008A2A50">
        <w:rPr>
          <w:rFonts w:eastAsia="Cambria" w:cs="Cambria"/>
          <w:color w:val="000000" w:themeColor="text1"/>
        </w:rPr>
        <w:t>C</w:t>
      </w:r>
      <w:r w:rsidRPr="00C45864">
        <w:rPr>
          <w:rFonts w:eastAsia="Cambria" w:cs="Cambria"/>
          <w:color w:val="000000" w:themeColor="text1"/>
        </w:rPr>
        <w:t>ompany</w:t>
      </w:r>
      <w:r w:rsidRPr="00EA3009">
        <w:rPr>
          <w:rFonts w:eastAsia="Cambria" w:cs="Cambria"/>
          <w:color w:val="000000" w:themeColor="text1"/>
        </w:rPr>
        <w:t xml:space="preserve"> has developed a load growth adjustment used</w:t>
      </w:r>
      <w:r w:rsidR="00EA3009">
        <w:rPr>
          <w:rFonts w:eastAsia="Cambria" w:cs="Cambria"/>
          <w:color w:val="000000" w:themeColor="text1"/>
        </w:rPr>
        <w:t xml:space="preserve"> </w:t>
      </w:r>
      <w:r w:rsidRPr="00EA3009">
        <w:rPr>
          <w:rFonts w:eastAsia="Cambria" w:cs="Cambria"/>
          <w:color w:val="000000" w:themeColor="text1"/>
        </w:rPr>
        <w:t>in the scenario with higher future prices of natural</w:t>
      </w:r>
      <w:r w:rsidR="00EA3009">
        <w:rPr>
          <w:rFonts w:eastAsia="Cambria" w:cs="Cambria"/>
          <w:color w:val="000000" w:themeColor="text1"/>
        </w:rPr>
        <w:t xml:space="preserve"> </w:t>
      </w:r>
      <w:r w:rsidRPr="00EA3009">
        <w:rPr>
          <w:rFonts w:eastAsia="Cambria" w:cs="Cambria"/>
          <w:color w:val="000000" w:themeColor="text1"/>
        </w:rPr>
        <w:t>gas.</w:t>
      </w:r>
      <w:r w:rsidR="00EA3009">
        <w:rPr>
          <w:rFonts w:eastAsia="Cambria" w:cs="Cambria"/>
          <w:color w:val="000000" w:themeColor="text1"/>
        </w:rPr>
        <w:t xml:space="preserve"> </w:t>
      </w:r>
      <w:r w:rsidRPr="00EA3009">
        <w:rPr>
          <w:rFonts w:eastAsia="Cambria" w:cs="Cambria"/>
          <w:color w:val="000000" w:themeColor="text1"/>
        </w:rPr>
        <w:t xml:space="preserve">This load growth adjustment is derived from analyses done by the </w:t>
      </w:r>
      <w:r w:rsidRPr="00C45864">
        <w:rPr>
          <w:rFonts w:eastAsia="Cambria" w:cs="Cambria"/>
          <w:color w:val="000000" w:themeColor="text1"/>
        </w:rPr>
        <w:t>U</w:t>
      </w:r>
      <w:r w:rsidR="008A2A50">
        <w:rPr>
          <w:rFonts w:eastAsia="Cambria" w:cs="Cambria"/>
          <w:color w:val="000000" w:themeColor="text1"/>
        </w:rPr>
        <w:t>.</w:t>
      </w:r>
      <w:r w:rsidRPr="00C45864">
        <w:rPr>
          <w:rFonts w:eastAsia="Cambria" w:cs="Cambria"/>
          <w:color w:val="000000" w:themeColor="text1"/>
        </w:rPr>
        <w:t>S</w:t>
      </w:r>
      <w:r w:rsidR="008A2A50">
        <w:rPr>
          <w:rFonts w:eastAsia="Cambria" w:cs="Cambria"/>
          <w:color w:val="000000" w:themeColor="text1"/>
        </w:rPr>
        <w:t>.</w:t>
      </w:r>
      <w:r w:rsidRPr="00C80041">
        <w:rPr>
          <w:rFonts w:eastAsia="Cambria" w:cs="Cambria"/>
          <w:color w:val="000000" w:themeColor="text1"/>
        </w:rPr>
        <w:t xml:space="preserve"> </w:t>
      </w:r>
      <w:r w:rsidRPr="00C45864">
        <w:rPr>
          <w:rFonts w:eastAsia="Cambria" w:cs="Cambria"/>
          <w:color w:val="000000" w:themeColor="text1"/>
        </w:rPr>
        <w:t xml:space="preserve">EIA for its Annual Energy Outlook </w:t>
      </w:r>
      <w:r w:rsidRPr="00C80041">
        <w:rPr>
          <w:rFonts w:eastAsia="Cambria" w:cs="Cambria"/>
          <w:color w:val="000000" w:themeColor="text1"/>
        </w:rPr>
        <w:t>(</w:t>
      </w:r>
      <w:r w:rsidR="008A2A50">
        <w:rPr>
          <w:rFonts w:eastAsia="Cambria" w:cs="Cambria"/>
          <w:color w:val="000000" w:themeColor="text1"/>
        </w:rPr>
        <w:t>“</w:t>
      </w:r>
      <w:r w:rsidRPr="00C45864">
        <w:rPr>
          <w:rFonts w:eastAsia="Cambria" w:cs="Cambria"/>
          <w:color w:val="000000" w:themeColor="text1"/>
        </w:rPr>
        <w:t>AEO</w:t>
      </w:r>
      <w:r w:rsidR="008A2A50">
        <w:rPr>
          <w:rFonts w:eastAsia="Cambria" w:cs="Cambria"/>
          <w:color w:val="000000" w:themeColor="text1"/>
        </w:rPr>
        <w:t>”</w:t>
      </w:r>
      <w:r w:rsidRPr="00C45864">
        <w:rPr>
          <w:rFonts w:eastAsia="Cambria" w:cs="Cambria"/>
          <w:color w:val="000000" w:themeColor="text1"/>
        </w:rPr>
        <w:t>).</w:t>
      </w:r>
      <w:r w:rsidR="00C80041">
        <w:rPr>
          <w:rFonts w:eastAsia="Cambria" w:cs="Cambria"/>
          <w:color w:val="000000" w:themeColor="text1"/>
        </w:rPr>
        <w:t xml:space="preserve"> </w:t>
      </w:r>
      <w:r w:rsidRPr="00C80041">
        <w:rPr>
          <w:rFonts w:eastAsia="Cambria" w:cs="Cambria"/>
          <w:color w:val="000000" w:themeColor="text1"/>
        </w:rPr>
        <w:t xml:space="preserve">The AEO identifies a </w:t>
      </w:r>
      <w:r w:rsidR="005E212D">
        <w:rPr>
          <w:rFonts w:eastAsia="Cambria" w:cs="Cambria"/>
          <w:color w:val="000000" w:themeColor="text1"/>
        </w:rPr>
        <w:t>lower</w:t>
      </w:r>
      <w:r w:rsidR="005E212D" w:rsidRPr="00C80041">
        <w:rPr>
          <w:rFonts w:eastAsia="Cambria" w:cs="Cambria"/>
          <w:color w:val="000000" w:themeColor="text1"/>
        </w:rPr>
        <w:t xml:space="preserve"> </w:t>
      </w:r>
      <w:r w:rsidRPr="00C80041">
        <w:rPr>
          <w:rFonts w:eastAsia="Cambria" w:cs="Cambria"/>
          <w:color w:val="000000" w:themeColor="text1"/>
        </w:rPr>
        <w:t>electricity consumption path associated with higher future</w:t>
      </w:r>
      <w:r w:rsidR="008A2A50">
        <w:rPr>
          <w:rFonts w:eastAsia="Cambria" w:cs="Cambria"/>
          <w:color w:val="000000" w:themeColor="text1"/>
        </w:rPr>
        <w:t xml:space="preserve"> natural gas prices</w:t>
      </w:r>
      <w:r w:rsidRPr="00C80041">
        <w:rPr>
          <w:rFonts w:eastAsia="Cambria" w:cs="Cambria"/>
          <w:color w:val="000000" w:themeColor="text1"/>
        </w:rPr>
        <w:t>, reflecting the important feedback in the relationship between future natural gas prices and future load growth. </w:t>
      </w:r>
    </w:p>
    <w:p w14:paraId="0C1C77F7" w14:textId="2F8FCEA3" w:rsidR="00EC58BB" w:rsidRPr="00C45864" w:rsidRDefault="014259A8" w:rsidP="00524CDF">
      <w:pPr>
        <w:spacing w:after="120"/>
        <w:ind w:left="720"/>
        <w:jc w:val="both"/>
        <w:rPr>
          <w:rFonts w:eastAsia="Cambria" w:cs="Cambria"/>
          <w:color w:val="000000" w:themeColor="text1"/>
        </w:rPr>
      </w:pPr>
      <w:r w:rsidRPr="00C80041">
        <w:rPr>
          <w:rFonts w:eastAsia="Cambria" w:cs="Cambria"/>
          <w:color w:val="000000" w:themeColor="text1"/>
        </w:rPr>
        <w:t xml:space="preserve">For the B2025 planning process, the Company compared southeast </w:t>
      </w:r>
      <w:r w:rsidRPr="006F5EE8">
        <w:rPr>
          <w:rFonts w:eastAsia="Cambria" w:cs="Cambria"/>
          <w:color w:val="000000" w:themeColor="text1"/>
        </w:rPr>
        <w:t>U</w:t>
      </w:r>
      <w:r w:rsidR="008A2A50">
        <w:rPr>
          <w:rFonts w:eastAsia="Cambria" w:cs="Cambria"/>
          <w:color w:val="000000" w:themeColor="text1"/>
        </w:rPr>
        <w:t>.</w:t>
      </w:r>
      <w:r w:rsidRPr="006F5EE8">
        <w:rPr>
          <w:rFonts w:eastAsia="Cambria" w:cs="Cambria"/>
          <w:color w:val="000000" w:themeColor="text1"/>
        </w:rPr>
        <w:t>S</w:t>
      </w:r>
      <w:r w:rsidR="008A2A50">
        <w:rPr>
          <w:rFonts w:eastAsia="Cambria" w:cs="Cambria"/>
          <w:color w:val="000000" w:themeColor="text1"/>
        </w:rPr>
        <w:t>.</w:t>
      </w:r>
      <w:r w:rsidRPr="00C80041">
        <w:rPr>
          <w:rFonts w:eastAsia="Cambria" w:cs="Cambria"/>
          <w:color w:val="000000" w:themeColor="text1"/>
        </w:rPr>
        <w:t xml:space="preserve"> electricity load growth in the AEO 2023 case with a higher future price of natural gas to southeast </w:t>
      </w:r>
      <w:r w:rsidRPr="006F5EE8">
        <w:rPr>
          <w:rFonts w:eastAsia="Cambria" w:cs="Cambria"/>
          <w:color w:val="000000" w:themeColor="text1"/>
        </w:rPr>
        <w:t>U</w:t>
      </w:r>
      <w:r w:rsidR="00F112DD">
        <w:rPr>
          <w:rFonts w:eastAsia="Cambria" w:cs="Cambria"/>
          <w:color w:val="000000" w:themeColor="text1"/>
        </w:rPr>
        <w:t>.</w:t>
      </w:r>
      <w:r w:rsidRPr="006F5EE8">
        <w:rPr>
          <w:rFonts w:eastAsia="Cambria" w:cs="Cambria"/>
          <w:color w:val="000000" w:themeColor="text1"/>
        </w:rPr>
        <w:t>S</w:t>
      </w:r>
      <w:r w:rsidR="00F112DD">
        <w:rPr>
          <w:rFonts w:eastAsia="Cambria" w:cs="Cambria"/>
          <w:color w:val="000000" w:themeColor="text1"/>
        </w:rPr>
        <w:t>.</w:t>
      </w:r>
      <w:r w:rsidRPr="00C45864">
        <w:rPr>
          <w:rFonts w:eastAsia="Cambria" w:cs="Cambria"/>
          <w:color w:val="000000" w:themeColor="text1"/>
        </w:rPr>
        <w:t xml:space="preserve"> electricity load growth in the AEO 2023 Reference case. This difference was smoothed and then used as an adjustment to the </w:t>
      </w:r>
      <w:r w:rsidR="00F112DD">
        <w:rPr>
          <w:rFonts w:eastAsia="Cambria" w:cs="Cambria"/>
          <w:color w:val="000000" w:themeColor="text1"/>
        </w:rPr>
        <w:t>C</w:t>
      </w:r>
      <w:r w:rsidRPr="006F5EE8">
        <w:rPr>
          <w:rFonts w:eastAsia="Cambria" w:cs="Cambria"/>
          <w:color w:val="000000" w:themeColor="text1"/>
        </w:rPr>
        <w:t>ompany’s</w:t>
      </w:r>
      <w:r w:rsidRPr="00C45864">
        <w:rPr>
          <w:rFonts w:eastAsia="Cambria" w:cs="Cambria"/>
          <w:color w:val="000000" w:themeColor="text1"/>
        </w:rPr>
        <w:t xml:space="preserve"> Standard load growth view. </w:t>
      </w:r>
    </w:p>
    <w:p w14:paraId="561BE15F" w14:textId="43170EC9" w:rsidR="00EC58BB" w:rsidRPr="006F5EE8" w:rsidRDefault="014259A8" w:rsidP="008F7F75">
      <w:pPr>
        <w:jc w:val="both"/>
        <w:rPr>
          <w:rFonts w:eastAsia="Cambria" w:cs="Cambria"/>
          <w:color w:val="000000" w:themeColor="text1"/>
        </w:rPr>
      </w:pPr>
      <w:r w:rsidRPr="00C45864">
        <w:rPr>
          <w:rFonts w:eastAsia="Cambria" w:cs="Cambria"/>
          <w:color w:val="000000" w:themeColor="text1"/>
        </w:rPr>
        <w:t xml:space="preserve">These </w:t>
      </w:r>
      <w:r w:rsidR="00BD2F1D" w:rsidRPr="006F5EE8">
        <w:rPr>
          <w:rFonts w:eastAsia="Cambria" w:cs="Cambria"/>
          <w:color w:val="000000" w:themeColor="text1"/>
        </w:rPr>
        <w:t>two</w:t>
      </w:r>
      <w:r w:rsidRPr="00C45864">
        <w:rPr>
          <w:rFonts w:eastAsia="Cambria" w:cs="Cambria"/>
          <w:color w:val="000000" w:themeColor="text1"/>
        </w:rPr>
        <w:t xml:space="preserve"> different views of future load growth are illustrated in </w:t>
      </w:r>
      <w:r w:rsidR="00DA308C">
        <w:rPr>
          <w:rFonts w:eastAsia="Cambria" w:cs="Cambria"/>
          <w:color w:val="000000" w:themeColor="text1"/>
        </w:rPr>
        <w:t>Figures 3.4B</w:t>
      </w:r>
      <w:r w:rsidR="00065453">
        <w:rPr>
          <w:rFonts w:eastAsia="Cambria" w:cs="Cambria"/>
          <w:color w:val="000000" w:themeColor="text1"/>
        </w:rPr>
        <w:t>-</w:t>
      </w:r>
      <w:r w:rsidR="00EF3192">
        <w:rPr>
          <w:rFonts w:eastAsia="Cambria" w:cs="Cambria"/>
          <w:color w:val="000000" w:themeColor="text1"/>
        </w:rPr>
        <w:t>3.4D</w:t>
      </w:r>
      <w:r w:rsidRPr="00C45864">
        <w:rPr>
          <w:rFonts w:eastAsia="Cambria" w:cs="Cambria"/>
          <w:color w:val="000000" w:themeColor="text1"/>
        </w:rPr>
        <w:t xml:space="preserve">. They show forecasts of </w:t>
      </w:r>
      <w:r w:rsidR="0095116C">
        <w:rPr>
          <w:rFonts w:eastAsia="Cambria" w:cs="Cambria"/>
          <w:color w:val="000000" w:themeColor="text1"/>
        </w:rPr>
        <w:t xml:space="preserve">weather-normal </w:t>
      </w:r>
      <w:r w:rsidRPr="00AA472B">
        <w:rPr>
          <w:rFonts w:eastAsia="Cambria" w:cs="Cambria"/>
          <w:color w:val="000000" w:themeColor="text1"/>
        </w:rPr>
        <w:t>annual</w:t>
      </w:r>
      <w:r w:rsidRPr="20D5AC6B">
        <w:rPr>
          <w:rFonts w:eastAsia="Cambria" w:cs="Cambria"/>
          <w:color w:val="000000" w:themeColor="text1"/>
        </w:rPr>
        <w:t xml:space="preserve"> </w:t>
      </w:r>
      <w:r w:rsidR="5B1342F6" w:rsidRPr="20D5AC6B">
        <w:rPr>
          <w:rFonts w:eastAsia="Cambria" w:cs="Cambria"/>
          <w:color w:val="000000" w:themeColor="text1"/>
        </w:rPr>
        <w:t>system</w:t>
      </w:r>
      <w:r w:rsidRPr="00AA472B">
        <w:rPr>
          <w:rFonts w:eastAsia="Cambria" w:cs="Cambria"/>
          <w:color w:val="000000" w:themeColor="text1"/>
        </w:rPr>
        <w:t xml:space="preserve"> winter peak </w:t>
      </w:r>
      <w:r w:rsidR="006863A9">
        <w:rPr>
          <w:rFonts w:eastAsia="Cambria" w:cs="Cambria"/>
          <w:color w:val="000000" w:themeColor="text1"/>
        </w:rPr>
        <w:t>load</w:t>
      </w:r>
      <w:r w:rsidRPr="006F5EE8">
        <w:rPr>
          <w:rFonts w:eastAsia="Cambria" w:cs="Cambria"/>
          <w:color w:val="000000" w:themeColor="text1"/>
        </w:rPr>
        <w:t>, annual</w:t>
      </w:r>
      <w:r w:rsidRPr="20D5AC6B">
        <w:rPr>
          <w:rFonts w:eastAsia="Cambria" w:cs="Cambria"/>
          <w:color w:val="000000" w:themeColor="text1"/>
        </w:rPr>
        <w:t xml:space="preserve"> </w:t>
      </w:r>
      <w:r w:rsidR="351DCAEA" w:rsidRPr="20D5AC6B">
        <w:rPr>
          <w:rFonts w:eastAsia="Cambria" w:cs="Cambria"/>
          <w:color w:val="000000" w:themeColor="text1"/>
        </w:rPr>
        <w:t xml:space="preserve">system </w:t>
      </w:r>
      <w:r w:rsidRPr="006F5EE8">
        <w:rPr>
          <w:rFonts w:eastAsia="Cambria" w:cs="Cambria"/>
          <w:color w:val="000000" w:themeColor="text1"/>
        </w:rPr>
        <w:t>summer peak</w:t>
      </w:r>
      <w:r>
        <w:rPr>
          <w:rFonts w:eastAsia="Cambria" w:cs="Cambria"/>
          <w:color w:val="000000" w:themeColor="text1"/>
        </w:rPr>
        <w:t xml:space="preserve"> </w:t>
      </w:r>
      <w:r w:rsidR="006863A9">
        <w:rPr>
          <w:rFonts w:eastAsia="Cambria" w:cs="Cambria"/>
          <w:color w:val="000000" w:themeColor="text1"/>
        </w:rPr>
        <w:t>load</w:t>
      </w:r>
      <w:r w:rsidR="002D6443">
        <w:rPr>
          <w:rFonts w:eastAsia="Cambria" w:cs="Cambria"/>
          <w:color w:val="000000" w:themeColor="text1"/>
        </w:rPr>
        <w:t>,</w:t>
      </w:r>
      <w:r w:rsidRPr="006F5EE8">
        <w:rPr>
          <w:rFonts w:eastAsia="Cambria" w:cs="Cambria"/>
          <w:color w:val="000000" w:themeColor="text1"/>
        </w:rPr>
        <w:t xml:space="preserve"> and annual total </w:t>
      </w:r>
      <w:r w:rsidR="5E5E7E0D" w:rsidRPr="5001DDC7">
        <w:rPr>
          <w:rFonts w:eastAsia="Cambria" w:cs="Cambria"/>
          <w:color w:val="000000" w:themeColor="text1"/>
        </w:rPr>
        <w:t xml:space="preserve">system </w:t>
      </w:r>
      <w:r w:rsidRPr="006F5EE8">
        <w:rPr>
          <w:rFonts w:eastAsia="Cambria" w:cs="Cambria"/>
          <w:color w:val="000000" w:themeColor="text1"/>
        </w:rPr>
        <w:t>energy.</w:t>
      </w:r>
    </w:p>
    <w:p w14:paraId="48E8461C" w14:textId="21B74310" w:rsidR="00EC58BB" w:rsidRPr="00EF0244" w:rsidRDefault="014259A8" w:rsidP="6D4B205C">
      <w:pPr>
        <w:keepNext/>
        <w:jc w:val="center"/>
        <w:rPr>
          <w:i/>
          <w:iCs/>
        </w:rPr>
      </w:pPr>
      <w:r w:rsidRPr="00716741">
        <w:rPr>
          <w:i/>
        </w:rPr>
        <w:lastRenderedPageBreak/>
        <w:t xml:space="preserve">Figure </w:t>
      </w:r>
      <w:r w:rsidR="00EE1B5E" w:rsidRPr="00716741">
        <w:rPr>
          <w:i/>
        </w:rPr>
        <w:t>3.</w:t>
      </w:r>
      <w:r w:rsidR="00956013" w:rsidRPr="00716741">
        <w:rPr>
          <w:i/>
        </w:rPr>
        <w:t>4</w:t>
      </w:r>
      <w:r w:rsidR="00EE1B5E" w:rsidRPr="00716741">
        <w:rPr>
          <w:i/>
        </w:rPr>
        <w:t>B</w:t>
      </w:r>
      <w:r w:rsidRPr="00716741">
        <w:rPr>
          <w:i/>
        </w:rPr>
        <w:t xml:space="preserve">: </w:t>
      </w:r>
      <w:r w:rsidR="00EC79E7" w:rsidRPr="00716741">
        <w:rPr>
          <w:i/>
        </w:rPr>
        <w:t xml:space="preserve">System </w:t>
      </w:r>
      <w:r w:rsidRPr="00716741">
        <w:rPr>
          <w:i/>
        </w:rPr>
        <w:t xml:space="preserve">Winter Peak </w:t>
      </w:r>
      <w:r w:rsidR="004E66CC" w:rsidRPr="00716741">
        <w:rPr>
          <w:i/>
        </w:rPr>
        <w:t>Load</w:t>
      </w:r>
    </w:p>
    <w:p w14:paraId="1DC7183D" w14:textId="732F0C15" w:rsidR="00EC58BB" w:rsidRPr="007C7590" w:rsidRDefault="76DA5DEA" w:rsidP="1F2B754B">
      <w:pPr>
        <w:jc w:val="center"/>
        <w:rPr>
          <w:i/>
          <w:iCs/>
        </w:rPr>
      </w:pPr>
      <w:r>
        <w:rPr>
          <w:noProof/>
        </w:rPr>
        <w:drawing>
          <wp:inline distT="0" distB="0" distL="0" distR="0" wp14:anchorId="0BCBB470" wp14:editId="7438F200">
            <wp:extent cx="4572398" cy="2743438"/>
            <wp:effectExtent l="0" t="0" r="0" b="0"/>
            <wp:docPr id="756577560" name="Picture 756577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4572398" cy="2743438"/>
                    </a:xfrm>
                    <a:prstGeom prst="rect">
                      <a:avLst/>
                    </a:prstGeom>
                  </pic:spPr>
                </pic:pic>
              </a:graphicData>
            </a:graphic>
          </wp:inline>
        </w:drawing>
      </w:r>
    </w:p>
    <w:p w14:paraId="00E9CD00" w14:textId="2D2AD4DB" w:rsidR="7DBD29A9" w:rsidRDefault="7DBD29A9" w:rsidP="7DBD29A9">
      <w:pPr>
        <w:jc w:val="center"/>
        <w:rPr>
          <w:i/>
          <w:iCs/>
        </w:rPr>
      </w:pPr>
    </w:p>
    <w:p w14:paraId="273224A0" w14:textId="4284D139" w:rsidR="00EC58BB" w:rsidRPr="007C7590" w:rsidRDefault="014259A8" w:rsidP="00EE1B5E">
      <w:pPr>
        <w:jc w:val="center"/>
        <w:rPr>
          <w:i/>
        </w:rPr>
      </w:pPr>
      <w:r w:rsidRPr="00EF0244">
        <w:rPr>
          <w:i/>
        </w:rPr>
        <w:t xml:space="preserve">Figure </w:t>
      </w:r>
      <w:r w:rsidR="00EE1B5E">
        <w:rPr>
          <w:i/>
          <w:iCs/>
        </w:rPr>
        <w:t>3.</w:t>
      </w:r>
      <w:r w:rsidR="00956013">
        <w:rPr>
          <w:i/>
          <w:iCs/>
        </w:rPr>
        <w:t>4</w:t>
      </w:r>
      <w:r w:rsidR="00EE1B5E">
        <w:rPr>
          <w:i/>
          <w:iCs/>
        </w:rPr>
        <w:t>C</w:t>
      </w:r>
      <w:r w:rsidRPr="00EF0244">
        <w:rPr>
          <w:i/>
        </w:rPr>
        <w:t xml:space="preserve">: </w:t>
      </w:r>
      <w:r w:rsidR="005B6020" w:rsidRPr="00EF0244">
        <w:rPr>
          <w:i/>
        </w:rPr>
        <w:t xml:space="preserve">System </w:t>
      </w:r>
      <w:r w:rsidRPr="00EF0244">
        <w:rPr>
          <w:i/>
        </w:rPr>
        <w:t xml:space="preserve">Summer Peak </w:t>
      </w:r>
      <w:r w:rsidR="004E66CC" w:rsidRPr="00EF0244">
        <w:rPr>
          <w:i/>
          <w:iCs/>
        </w:rPr>
        <w:t>Load</w:t>
      </w:r>
    </w:p>
    <w:p w14:paraId="55B81548" w14:textId="2815E8F1" w:rsidR="066246D3" w:rsidRDefault="2F1DFB58" w:rsidP="23DF9961">
      <w:pPr>
        <w:jc w:val="center"/>
      </w:pPr>
      <w:r>
        <w:rPr>
          <w:noProof/>
        </w:rPr>
        <w:drawing>
          <wp:inline distT="0" distB="0" distL="0" distR="0" wp14:anchorId="57C127FE" wp14:editId="67C1C25B">
            <wp:extent cx="4572398" cy="2743438"/>
            <wp:effectExtent l="0" t="0" r="0" b="0"/>
            <wp:docPr id="1556331876" name="Picture 155633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4572398" cy="2743438"/>
                    </a:xfrm>
                    <a:prstGeom prst="rect">
                      <a:avLst/>
                    </a:prstGeom>
                  </pic:spPr>
                </pic:pic>
              </a:graphicData>
            </a:graphic>
          </wp:inline>
        </w:drawing>
      </w:r>
    </w:p>
    <w:p w14:paraId="628A6D26" w14:textId="4C7011A9" w:rsidR="00EC58BB" w:rsidRPr="00EF0244" w:rsidRDefault="014259A8" w:rsidP="00AA472B">
      <w:pPr>
        <w:keepNext/>
        <w:jc w:val="center"/>
        <w:rPr>
          <w:i/>
        </w:rPr>
      </w:pPr>
      <w:r w:rsidRPr="00EF0244">
        <w:rPr>
          <w:i/>
        </w:rPr>
        <w:lastRenderedPageBreak/>
        <w:t xml:space="preserve">Figure </w:t>
      </w:r>
      <w:r w:rsidR="00EE1B5E">
        <w:rPr>
          <w:i/>
          <w:iCs/>
        </w:rPr>
        <w:t>3.</w:t>
      </w:r>
      <w:r w:rsidR="00956013">
        <w:rPr>
          <w:i/>
          <w:iCs/>
        </w:rPr>
        <w:t>4</w:t>
      </w:r>
      <w:r w:rsidR="00EE1B5E">
        <w:rPr>
          <w:i/>
          <w:iCs/>
        </w:rPr>
        <w:t>D</w:t>
      </w:r>
      <w:r w:rsidRPr="00EF0244">
        <w:rPr>
          <w:i/>
        </w:rPr>
        <w:t xml:space="preserve">: </w:t>
      </w:r>
      <w:r w:rsidR="005B6020" w:rsidRPr="00EF0244">
        <w:rPr>
          <w:i/>
        </w:rPr>
        <w:t xml:space="preserve">Annual </w:t>
      </w:r>
      <w:r w:rsidR="005B6020" w:rsidRPr="00EF0244">
        <w:rPr>
          <w:i/>
          <w:iCs/>
        </w:rPr>
        <w:t>Total</w:t>
      </w:r>
      <w:r w:rsidR="005B6020" w:rsidRPr="00EF0244">
        <w:rPr>
          <w:i/>
        </w:rPr>
        <w:t xml:space="preserve"> System</w:t>
      </w:r>
      <w:r w:rsidRPr="00EF0244">
        <w:rPr>
          <w:i/>
        </w:rPr>
        <w:t xml:space="preserve"> Energy</w:t>
      </w:r>
    </w:p>
    <w:p w14:paraId="4E32F582" w14:textId="6B963679" w:rsidR="00EC58BB" w:rsidRPr="007C7590" w:rsidRDefault="7B57CF6E" w:rsidP="008B67B8">
      <w:pPr>
        <w:jc w:val="center"/>
      </w:pPr>
      <w:r>
        <w:rPr>
          <w:noProof/>
        </w:rPr>
        <w:drawing>
          <wp:inline distT="0" distB="0" distL="0" distR="0" wp14:anchorId="3371AD82" wp14:editId="6028FD8F">
            <wp:extent cx="4566300" cy="2743438"/>
            <wp:effectExtent l="0" t="0" r="0" b="0"/>
            <wp:docPr id="1825397570" name="Picture 1825397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4566300" cy="2743438"/>
                    </a:xfrm>
                    <a:prstGeom prst="rect">
                      <a:avLst/>
                    </a:prstGeom>
                  </pic:spPr>
                </pic:pic>
              </a:graphicData>
            </a:graphic>
          </wp:inline>
        </w:drawing>
      </w:r>
    </w:p>
    <w:p w14:paraId="316AB2EB" w14:textId="4FB14237" w:rsidR="00EC58BB" w:rsidRPr="00AA472B" w:rsidRDefault="00315BC2" w:rsidP="00EE7545">
      <w:pPr>
        <w:pStyle w:val="Heading3"/>
        <w:rPr>
          <w:rFonts w:asciiTheme="majorHAnsi" w:eastAsia="Cambria" w:hAnsiTheme="majorHAnsi" w:cs="Cambria"/>
          <w:color w:val="000000" w:themeColor="text1"/>
        </w:rPr>
      </w:pPr>
      <w:r>
        <w:t xml:space="preserve">3.4.4 – </w:t>
      </w:r>
      <w:r w:rsidR="014259A8" w:rsidRPr="00AA472B">
        <w:t>Fuel Prices</w:t>
      </w:r>
    </w:p>
    <w:p w14:paraId="01094695" w14:textId="6D0DDBAF" w:rsidR="00EC58BB" w:rsidRPr="00392336" w:rsidRDefault="014259A8" w:rsidP="00AA472B">
      <w:pPr>
        <w:jc w:val="both"/>
        <w:rPr>
          <w:rFonts w:eastAsia="Cambria" w:cs="Cambria"/>
          <w:color w:val="000000" w:themeColor="text1"/>
        </w:rPr>
      </w:pPr>
      <w:r w:rsidRPr="00AA472B">
        <w:rPr>
          <w:rFonts w:eastAsia="Cambria" w:cs="Cambria"/>
          <w:color w:val="000000" w:themeColor="text1"/>
        </w:rPr>
        <w:t xml:space="preserve">The </w:t>
      </w:r>
      <w:r w:rsidR="002D4B45">
        <w:rPr>
          <w:rFonts w:eastAsia="Cambria" w:cs="Cambria"/>
          <w:color w:val="000000" w:themeColor="text1"/>
        </w:rPr>
        <w:t>future</w:t>
      </w:r>
      <w:r w:rsidRPr="00AA472B">
        <w:rPr>
          <w:rFonts w:eastAsia="Cambria" w:cs="Cambria"/>
          <w:color w:val="000000" w:themeColor="text1"/>
        </w:rPr>
        <w:t xml:space="preserve"> price of fuel is unknown. For the B2025 planning process, the </w:t>
      </w:r>
      <w:r w:rsidR="002D6443">
        <w:rPr>
          <w:rFonts w:eastAsia="Cambria" w:cs="Cambria"/>
          <w:color w:val="000000" w:themeColor="text1"/>
        </w:rPr>
        <w:t>C</w:t>
      </w:r>
      <w:r w:rsidRPr="00AA472B">
        <w:rPr>
          <w:rFonts w:eastAsia="Cambria" w:cs="Cambria"/>
          <w:color w:val="000000" w:themeColor="text1"/>
        </w:rPr>
        <w:t xml:space="preserve">ompany considered three different views of how the long-term price of fuels could evolve: a </w:t>
      </w:r>
      <w:r w:rsidR="006B0035" w:rsidRPr="006B0035">
        <w:rPr>
          <w:rFonts w:eastAsia="Cambria" w:cs="Cambria"/>
          <w:i/>
          <w:iCs/>
          <w:color w:val="000000" w:themeColor="text1"/>
        </w:rPr>
        <w:t>Lower</w:t>
      </w:r>
      <w:r w:rsidRPr="00AA472B">
        <w:rPr>
          <w:rFonts w:eastAsia="Cambria" w:cs="Cambria"/>
          <w:color w:val="000000" w:themeColor="text1"/>
        </w:rPr>
        <w:t xml:space="preserve"> price path</w:t>
      </w:r>
      <w:r w:rsidR="00A44C24">
        <w:rPr>
          <w:rFonts w:eastAsia="Cambria" w:cs="Cambria"/>
          <w:color w:val="000000" w:themeColor="text1"/>
        </w:rPr>
        <w:t>;</w:t>
      </w:r>
      <w:r w:rsidRPr="00AA472B">
        <w:rPr>
          <w:rFonts w:eastAsia="Cambria" w:cs="Cambria"/>
          <w:color w:val="000000" w:themeColor="text1"/>
        </w:rPr>
        <w:t xml:space="preserve"> a </w:t>
      </w:r>
      <w:r w:rsidR="006B0035" w:rsidRPr="006B0035">
        <w:rPr>
          <w:rFonts w:eastAsia="Cambria" w:cs="Cambria"/>
          <w:i/>
          <w:iCs/>
          <w:color w:val="000000" w:themeColor="text1"/>
        </w:rPr>
        <w:t>Moderate</w:t>
      </w:r>
      <w:r w:rsidRPr="00AA472B">
        <w:rPr>
          <w:rFonts w:eastAsia="Cambria" w:cs="Cambria"/>
          <w:color w:val="000000" w:themeColor="text1"/>
        </w:rPr>
        <w:t xml:space="preserve"> price path</w:t>
      </w:r>
      <w:r w:rsidR="00A44C24">
        <w:rPr>
          <w:rFonts w:eastAsia="Cambria" w:cs="Cambria"/>
          <w:color w:val="000000" w:themeColor="text1"/>
        </w:rPr>
        <w:t>;</w:t>
      </w:r>
      <w:r w:rsidRPr="00AA472B">
        <w:rPr>
          <w:rFonts w:eastAsia="Cambria" w:cs="Cambria"/>
          <w:color w:val="000000" w:themeColor="text1"/>
        </w:rPr>
        <w:t xml:space="preserve"> and a </w:t>
      </w:r>
      <w:r w:rsidR="006B0035" w:rsidRPr="006B0035">
        <w:rPr>
          <w:rFonts w:eastAsia="Cambria" w:cs="Cambria"/>
          <w:i/>
          <w:iCs/>
          <w:color w:val="000000" w:themeColor="text1"/>
        </w:rPr>
        <w:t>H</w:t>
      </w:r>
      <w:r w:rsidRPr="006B0035">
        <w:rPr>
          <w:rFonts w:eastAsia="Cambria" w:cs="Cambria"/>
          <w:i/>
          <w:iCs/>
          <w:color w:val="000000" w:themeColor="text1"/>
        </w:rPr>
        <w:t>igher</w:t>
      </w:r>
      <w:r w:rsidRPr="00AA472B">
        <w:rPr>
          <w:rFonts w:eastAsia="Cambria" w:cs="Cambria"/>
          <w:color w:val="000000" w:themeColor="text1"/>
        </w:rPr>
        <w:t xml:space="preserve"> price path. For B2025, the </w:t>
      </w:r>
      <w:r w:rsidR="002D6443">
        <w:rPr>
          <w:rFonts w:eastAsia="Cambria" w:cs="Cambria"/>
          <w:color w:val="000000" w:themeColor="text1"/>
        </w:rPr>
        <w:t>C</w:t>
      </w:r>
      <w:r w:rsidRPr="00392336">
        <w:rPr>
          <w:rFonts w:eastAsia="Cambria" w:cs="Cambria"/>
          <w:color w:val="000000" w:themeColor="text1"/>
        </w:rPr>
        <w:t>ompany adopted paths produced by the U</w:t>
      </w:r>
      <w:r w:rsidR="002D6443">
        <w:rPr>
          <w:rFonts w:eastAsia="Cambria" w:cs="Cambria"/>
          <w:color w:val="000000" w:themeColor="text1"/>
        </w:rPr>
        <w:t>.</w:t>
      </w:r>
      <w:r w:rsidRPr="00392336">
        <w:rPr>
          <w:rFonts w:eastAsia="Cambria" w:cs="Cambria"/>
          <w:color w:val="000000" w:themeColor="text1"/>
        </w:rPr>
        <w:t>S</w:t>
      </w:r>
      <w:r w:rsidR="002D6443">
        <w:rPr>
          <w:rFonts w:eastAsia="Cambria" w:cs="Cambria"/>
          <w:color w:val="000000" w:themeColor="text1"/>
        </w:rPr>
        <w:t>.</w:t>
      </w:r>
      <w:r w:rsidRPr="00392336">
        <w:rPr>
          <w:rFonts w:eastAsia="Cambria" w:cs="Cambria"/>
          <w:color w:val="000000" w:themeColor="text1"/>
        </w:rPr>
        <w:t xml:space="preserve"> EIA in its 2023 AEO as its source for future prices of natural gas, coal, and oil. EIA did not produce a 2024</w:t>
      </w:r>
      <w:r w:rsidR="009B36FC">
        <w:rPr>
          <w:rFonts w:eastAsia="Cambria" w:cs="Cambria"/>
          <w:color w:val="000000" w:themeColor="text1"/>
        </w:rPr>
        <w:t xml:space="preserve"> AEO,</w:t>
      </w:r>
      <w:r w:rsidRPr="00392336">
        <w:rPr>
          <w:rFonts w:eastAsia="Cambria" w:cs="Cambria"/>
          <w:color w:val="000000" w:themeColor="text1"/>
        </w:rPr>
        <w:t xml:space="preserve"> so the 2023 AEO is EIA’s current view.</w:t>
      </w:r>
    </w:p>
    <w:p w14:paraId="50CBC86C" w14:textId="2063A524" w:rsidR="00EC58BB" w:rsidRPr="00392336" w:rsidRDefault="014259A8" w:rsidP="00AA472B">
      <w:pPr>
        <w:jc w:val="both"/>
        <w:rPr>
          <w:rFonts w:eastAsia="Cambria" w:cs="Cambria"/>
          <w:color w:val="000000" w:themeColor="text1"/>
        </w:rPr>
      </w:pPr>
      <w:r w:rsidRPr="00392336">
        <w:rPr>
          <w:rFonts w:eastAsia="Cambria" w:cs="Cambria"/>
          <w:color w:val="000000" w:themeColor="text1"/>
        </w:rPr>
        <w:t>The AEO is a major annual product of the EIA</w:t>
      </w:r>
      <w:r>
        <w:rPr>
          <w:rFonts w:eastAsia="Cambria" w:cs="Cambria"/>
          <w:color w:val="000000" w:themeColor="text1"/>
        </w:rPr>
        <w:t xml:space="preserve"> </w:t>
      </w:r>
      <w:r w:rsidR="00DD6598">
        <w:rPr>
          <w:rFonts w:eastAsia="Cambria" w:cs="Cambria"/>
          <w:color w:val="000000" w:themeColor="text1"/>
        </w:rPr>
        <w:t>and is</w:t>
      </w:r>
      <w:r w:rsidDel="00DD6598">
        <w:rPr>
          <w:rFonts w:eastAsia="Cambria" w:cs="Cambria"/>
          <w:color w:val="000000" w:themeColor="text1"/>
        </w:rPr>
        <w:t xml:space="preserve"> </w:t>
      </w:r>
      <w:r w:rsidR="00DD6598">
        <w:rPr>
          <w:rFonts w:eastAsia="Cambria" w:cs="Cambria"/>
          <w:color w:val="000000" w:themeColor="text1"/>
        </w:rPr>
        <w:t>publicly</w:t>
      </w:r>
      <w:r w:rsidRPr="00392336">
        <w:rPr>
          <w:rFonts w:eastAsia="Cambria" w:cs="Cambria"/>
          <w:color w:val="000000" w:themeColor="text1"/>
        </w:rPr>
        <w:t xml:space="preserve"> available on the EIA’s website (</w:t>
      </w:r>
      <w:hyperlink r:id="rId38" w:history="1">
        <w:r w:rsidRPr="00392336">
          <w:rPr>
            <w:rStyle w:val="Hyperlink"/>
            <w:rFonts w:eastAsia="Cambria" w:cs="Cambria"/>
          </w:rPr>
          <w:t>https://www.eia.gov</w:t>
        </w:r>
      </w:hyperlink>
      <w:r w:rsidRPr="00392336">
        <w:rPr>
          <w:rFonts w:eastAsia="Cambria" w:cs="Cambria"/>
          <w:color w:val="000000" w:themeColor="text1"/>
        </w:rPr>
        <w:t>). The analysis supporting the AEO uses the National Energy Modeling System (</w:t>
      </w:r>
      <w:r w:rsidR="00B41A8A">
        <w:rPr>
          <w:rFonts w:eastAsia="Cambria" w:cs="Cambria"/>
          <w:color w:val="000000" w:themeColor="text1"/>
        </w:rPr>
        <w:t>“</w:t>
      </w:r>
      <w:r w:rsidRPr="00392336">
        <w:rPr>
          <w:rFonts w:eastAsia="Cambria" w:cs="Cambria"/>
          <w:color w:val="000000" w:themeColor="text1"/>
        </w:rPr>
        <w:t>NEMS</w:t>
      </w:r>
      <w:r w:rsidR="00B41A8A">
        <w:rPr>
          <w:rFonts w:eastAsia="Cambria" w:cs="Cambria"/>
          <w:color w:val="000000" w:themeColor="text1"/>
        </w:rPr>
        <w:t>”</w:t>
      </w:r>
      <w:r w:rsidRPr="00392336">
        <w:rPr>
          <w:rFonts w:eastAsia="Cambria" w:cs="Cambria"/>
          <w:color w:val="000000" w:themeColor="text1"/>
        </w:rPr>
        <w:t>), EIA’s main modeling system of the U</w:t>
      </w:r>
      <w:r w:rsidR="00DD6598">
        <w:rPr>
          <w:rFonts w:eastAsia="Cambria" w:cs="Cambria"/>
          <w:color w:val="000000" w:themeColor="text1"/>
        </w:rPr>
        <w:t>.</w:t>
      </w:r>
      <w:r w:rsidRPr="00392336">
        <w:rPr>
          <w:rFonts w:eastAsia="Cambria" w:cs="Cambria"/>
          <w:color w:val="000000" w:themeColor="text1"/>
        </w:rPr>
        <w:t>S</w:t>
      </w:r>
      <w:r w:rsidR="00DD6598">
        <w:rPr>
          <w:rFonts w:eastAsia="Cambria" w:cs="Cambria"/>
          <w:color w:val="000000" w:themeColor="text1"/>
        </w:rPr>
        <w:t>.</w:t>
      </w:r>
      <w:r w:rsidRPr="00392336">
        <w:rPr>
          <w:rFonts w:eastAsia="Cambria" w:cs="Cambria"/>
          <w:color w:val="000000" w:themeColor="text1"/>
        </w:rPr>
        <w:t xml:space="preserve"> energy </w:t>
      </w:r>
      <w:r w:rsidRPr="02B670CB">
        <w:rPr>
          <w:rFonts w:eastAsia="Cambria" w:cs="Cambria"/>
          <w:color w:val="000000" w:themeColor="text1"/>
        </w:rPr>
        <w:t>economy</w:t>
      </w:r>
      <w:r w:rsidR="522B9CA4" w:rsidRPr="02B670CB">
        <w:rPr>
          <w:rFonts w:eastAsia="Cambria" w:cs="Cambria"/>
          <w:color w:val="000000" w:themeColor="text1"/>
        </w:rPr>
        <w:t>,</w:t>
      </w:r>
      <w:r>
        <w:rPr>
          <w:rFonts w:eastAsia="Cambria" w:cs="Cambria"/>
          <w:color w:val="000000" w:themeColor="text1"/>
        </w:rPr>
        <w:t xml:space="preserve"> </w:t>
      </w:r>
      <w:r w:rsidR="00DD6598">
        <w:rPr>
          <w:rFonts w:eastAsia="Cambria" w:cs="Cambria"/>
          <w:color w:val="000000" w:themeColor="text1"/>
        </w:rPr>
        <w:t>and</w:t>
      </w:r>
      <w:r w:rsidRPr="00392336">
        <w:rPr>
          <w:rFonts w:eastAsia="Cambria" w:cs="Cambria"/>
          <w:color w:val="000000" w:themeColor="text1"/>
        </w:rPr>
        <w:t xml:space="preserve"> is detailed and comprehensive</w:t>
      </w:r>
      <w:r w:rsidR="00DD6598">
        <w:rPr>
          <w:rFonts w:eastAsia="Cambria" w:cs="Cambria"/>
          <w:color w:val="000000" w:themeColor="text1"/>
        </w:rPr>
        <w:t>.</w:t>
      </w:r>
      <w:r w:rsidRPr="00392336">
        <w:rPr>
          <w:rFonts w:eastAsia="Cambria" w:cs="Cambria"/>
          <w:color w:val="000000" w:themeColor="text1"/>
        </w:rPr>
        <w:t xml:space="preserve"> </w:t>
      </w:r>
      <w:r w:rsidR="00DD6598">
        <w:rPr>
          <w:rFonts w:eastAsia="Cambria" w:cs="Cambria"/>
          <w:color w:val="000000" w:themeColor="text1"/>
        </w:rPr>
        <w:t>F</w:t>
      </w:r>
      <w:r w:rsidRPr="00EF0244">
        <w:rPr>
          <w:rFonts w:eastAsia="Cambria" w:cs="Cambria"/>
          <w:color w:val="000000" w:themeColor="text1"/>
        </w:rPr>
        <w:t>ull documentation</w:t>
      </w:r>
      <w:r>
        <w:rPr>
          <w:rFonts w:eastAsia="Cambria" w:cs="Cambria"/>
          <w:color w:val="000000" w:themeColor="text1"/>
        </w:rPr>
        <w:t xml:space="preserve"> </w:t>
      </w:r>
      <w:r w:rsidR="00DD6598">
        <w:rPr>
          <w:rFonts w:eastAsia="Cambria" w:cs="Cambria"/>
          <w:color w:val="000000" w:themeColor="text1"/>
        </w:rPr>
        <w:t>of NEMS</w:t>
      </w:r>
      <w:r w:rsidRPr="00392336">
        <w:rPr>
          <w:rFonts w:eastAsia="Cambria" w:cs="Cambria"/>
          <w:color w:val="000000" w:themeColor="text1"/>
        </w:rPr>
        <w:t xml:space="preserve"> </w:t>
      </w:r>
      <w:r w:rsidR="00EE1B5E">
        <w:rPr>
          <w:rFonts w:eastAsia="Cambria" w:cs="Cambria"/>
          <w:color w:val="000000" w:themeColor="text1"/>
        </w:rPr>
        <w:t xml:space="preserve">can be found </w:t>
      </w:r>
      <w:r w:rsidR="00987CE6">
        <w:rPr>
          <w:rFonts w:eastAsia="Cambria" w:cs="Cambria"/>
          <w:color w:val="000000" w:themeColor="text1"/>
        </w:rPr>
        <w:t>on the EIA’s website</w:t>
      </w:r>
      <w:r w:rsidRPr="00392336">
        <w:rPr>
          <w:rFonts w:eastAsia="Cambria" w:cs="Cambria"/>
          <w:color w:val="000000" w:themeColor="text1"/>
        </w:rPr>
        <w:t xml:space="preserve"> at </w:t>
      </w:r>
      <w:hyperlink r:id="rId39" w:history="1">
        <w:r w:rsidRPr="00392336">
          <w:rPr>
            <w:rStyle w:val="Hyperlink"/>
            <w:rFonts w:eastAsia="Cambria" w:cs="Cambria"/>
          </w:rPr>
          <w:t>https://www.eia.gov/outlooks/aeo/nems/documentation</w:t>
        </w:r>
      </w:hyperlink>
      <w:r w:rsidRPr="00392336">
        <w:rPr>
          <w:rFonts w:eastAsia="Cambria" w:cs="Cambria"/>
          <w:color w:val="000000" w:themeColor="text1"/>
        </w:rPr>
        <w:t>. In addition to producing the AEO, EIA uses NEMS to analyze the energy content of policy proposals as requested by Congress or the Administration.</w:t>
      </w:r>
    </w:p>
    <w:p w14:paraId="3030EDB7" w14:textId="7C2F00D6" w:rsidR="00EC58BB" w:rsidRPr="00392336" w:rsidRDefault="014259A8" w:rsidP="00AA472B">
      <w:pPr>
        <w:jc w:val="both"/>
        <w:rPr>
          <w:rFonts w:eastAsia="Cambria" w:cs="Cambria"/>
          <w:color w:val="000000" w:themeColor="text1"/>
        </w:rPr>
      </w:pPr>
      <w:r w:rsidRPr="00392336">
        <w:rPr>
          <w:rFonts w:eastAsia="Cambria" w:cs="Cambria"/>
          <w:color w:val="000000" w:themeColor="text1"/>
        </w:rPr>
        <w:t xml:space="preserve">EIA constructs several scenarios each year. For each scenario, NEMS is used to identify price paths for natural gas, coal, oil, gasoline, and many other goods and services, </w:t>
      </w:r>
      <w:r w:rsidR="003E5663">
        <w:rPr>
          <w:rFonts w:eastAsia="Cambria" w:cs="Cambria"/>
          <w:color w:val="000000" w:themeColor="text1"/>
        </w:rPr>
        <w:t>which</w:t>
      </w:r>
      <w:r w:rsidRPr="00392336">
        <w:rPr>
          <w:rFonts w:eastAsia="Cambria" w:cs="Cambria"/>
          <w:color w:val="000000" w:themeColor="text1"/>
        </w:rPr>
        <w:t xml:space="preserve"> are consistent with market conditions across the U</w:t>
      </w:r>
      <w:r w:rsidR="003E5663">
        <w:rPr>
          <w:rFonts w:eastAsia="Cambria" w:cs="Cambria"/>
          <w:color w:val="000000" w:themeColor="text1"/>
        </w:rPr>
        <w:t>.</w:t>
      </w:r>
      <w:r w:rsidRPr="00392336">
        <w:rPr>
          <w:rFonts w:eastAsia="Cambria" w:cs="Cambria"/>
          <w:color w:val="000000" w:themeColor="text1"/>
        </w:rPr>
        <w:t>S</w:t>
      </w:r>
      <w:r w:rsidR="003E5663">
        <w:rPr>
          <w:rFonts w:eastAsia="Cambria" w:cs="Cambria"/>
          <w:color w:val="000000" w:themeColor="text1"/>
        </w:rPr>
        <w:t>.</w:t>
      </w:r>
      <w:r w:rsidRPr="00392336">
        <w:rPr>
          <w:rFonts w:eastAsia="Cambria" w:cs="Cambria"/>
          <w:color w:val="000000" w:themeColor="text1"/>
        </w:rPr>
        <w:t xml:space="preserve"> energy economy in that scenario. All key assumptions and results from the NEMS analysis for the AEO are </w:t>
      </w:r>
      <w:r w:rsidR="00021AD6">
        <w:rPr>
          <w:rFonts w:eastAsia="Cambria" w:cs="Cambria"/>
          <w:color w:val="000000" w:themeColor="text1"/>
        </w:rPr>
        <w:t xml:space="preserve">publicly </w:t>
      </w:r>
      <w:r w:rsidRPr="00392336">
        <w:rPr>
          <w:rFonts w:eastAsia="Cambria" w:cs="Cambria"/>
          <w:color w:val="000000" w:themeColor="text1"/>
        </w:rPr>
        <w:t xml:space="preserve">available for viewing and downloading </w:t>
      </w:r>
      <w:r w:rsidR="003E5663">
        <w:rPr>
          <w:rFonts w:eastAsia="Cambria" w:cs="Cambria"/>
          <w:color w:val="000000" w:themeColor="text1"/>
        </w:rPr>
        <w:t>at</w:t>
      </w:r>
      <w:r w:rsidRPr="00392336">
        <w:rPr>
          <w:rFonts w:eastAsia="Cambria" w:cs="Cambria"/>
          <w:color w:val="000000" w:themeColor="text1"/>
        </w:rPr>
        <w:t xml:space="preserve"> no charge on EIA’s website. </w:t>
      </w:r>
      <w:r w:rsidR="003E5663">
        <w:rPr>
          <w:rFonts w:eastAsia="Cambria" w:cs="Cambria"/>
          <w:color w:val="000000" w:themeColor="text1"/>
        </w:rPr>
        <w:t>T</w:t>
      </w:r>
      <w:r w:rsidRPr="00392336">
        <w:rPr>
          <w:rFonts w:eastAsia="Cambria" w:cs="Cambria"/>
          <w:color w:val="000000" w:themeColor="text1"/>
        </w:rPr>
        <w:t>he AEO is highly regarded</w:t>
      </w:r>
      <w:r w:rsidR="003E5663">
        <w:rPr>
          <w:rFonts w:eastAsia="Cambria" w:cs="Cambria"/>
          <w:color w:val="000000" w:themeColor="text1"/>
        </w:rPr>
        <w:t>,</w:t>
      </w:r>
      <w:r w:rsidRPr="00392336">
        <w:rPr>
          <w:rFonts w:eastAsia="Cambria" w:cs="Cambria"/>
          <w:color w:val="000000" w:themeColor="text1"/>
        </w:rPr>
        <w:t xml:space="preserve"> </w:t>
      </w:r>
      <w:r w:rsidR="003E5663">
        <w:rPr>
          <w:rFonts w:eastAsia="Cambria" w:cs="Cambria"/>
          <w:color w:val="000000" w:themeColor="text1"/>
        </w:rPr>
        <w:t>r</w:t>
      </w:r>
      <w:r w:rsidRPr="00392336">
        <w:rPr>
          <w:rFonts w:eastAsia="Cambria" w:cs="Cambria"/>
          <w:color w:val="000000" w:themeColor="text1"/>
        </w:rPr>
        <w:t xml:space="preserve">eadily available, </w:t>
      </w:r>
      <w:r w:rsidR="003E5663">
        <w:rPr>
          <w:rFonts w:eastAsia="Cambria" w:cs="Cambria"/>
          <w:color w:val="000000" w:themeColor="text1"/>
        </w:rPr>
        <w:t>and</w:t>
      </w:r>
      <w:r w:rsidRPr="00EF0244">
        <w:rPr>
          <w:rFonts w:eastAsia="Cambria" w:cs="Cambria"/>
          <w:color w:val="000000" w:themeColor="text1"/>
        </w:rPr>
        <w:t xml:space="preserve"> often used as a reference in conversations about the future of energy in the </w:t>
      </w:r>
      <w:r w:rsidRPr="00392336">
        <w:rPr>
          <w:rFonts w:eastAsia="Cambria" w:cs="Cambria"/>
          <w:color w:val="000000" w:themeColor="text1"/>
        </w:rPr>
        <w:t>U</w:t>
      </w:r>
      <w:r w:rsidR="003E5663">
        <w:rPr>
          <w:rFonts w:eastAsia="Cambria" w:cs="Cambria"/>
          <w:color w:val="000000" w:themeColor="text1"/>
        </w:rPr>
        <w:t>.</w:t>
      </w:r>
      <w:r w:rsidRPr="00392336">
        <w:rPr>
          <w:rFonts w:eastAsia="Cambria" w:cs="Cambria"/>
          <w:color w:val="000000" w:themeColor="text1"/>
        </w:rPr>
        <w:t xml:space="preserve">S. </w:t>
      </w:r>
    </w:p>
    <w:p w14:paraId="37B59BB9" w14:textId="7CAEFAAE" w:rsidR="00EC58BB" w:rsidRPr="00392336" w:rsidRDefault="014259A8" w:rsidP="00AA472B">
      <w:pPr>
        <w:jc w:val="both"/>
        <w:rPr>
          <w:rFonts w:eastAsia="Cambria" w:cs="Cambria"/>
          <w:color w:val="000000" w:themeColor="text1"/>
        </w:rPr>
      </w:pPr>
      <w:r w:rsidRPr="00392336">
        <w:rPr>
          <w:rFonts w:eastAsia="Cambria" w:cs="Cambria"/>
          <w:color w:val="000000" w:themeColor="text1"/>
        </w:rPr>
        <w:t xml:space="preserve">In addition to providing thorough documentation, EIA invites </w:t>
      </w:r>
      <w:r w:rsidR="003E5663">
        <w:rPr>
          <w:rFonts w:eastAsia="Cambria" w:cs="Cambria"/>
          <w:color w:val="000000" w:themeColor="text1"/>
        </w:rPr>
        <w:t>utility</w:t>
      </w:r>
      <w:r w:rsidRPr="00392336">
        <w:rPr>
          <w:rFonts w:eastAsia="Cambria" w:cs="Cambria"/>
          <w:color w:val="000000" w:themeColor="text1"/>
        </w:rPr>
        <w:t xml:space="preserve"> participation in workshops at which EIA personnel discuss model issues and assumptions and solicit input for changes. Company personnel participate in these workshops as well as interact with EIA personnel as part of the Stanford Energy Modeling Forum and other venues. Through the years, the </w:t>
      </w:r>
      <w:r w:rsidR="003E5663">
        <w:rPr>
          <w:rFonts w:eastAsia="Cambria" w:cs="Cambria"/>
          <w:color w:val="000000" w:themeColor="text1"/>
        </w:rPr>
        <w:t>C</w:t>
      </w:r>
      <w:r w:rsidRPr="00392336">
        <w:rPr>
          <w:rFonts w:eastAsia="Cambria" w:cs="Cambria"/>
          <w:color w:val="000000" w:themeColor="text1"/>
        </w:rPr>
        <w:t>ompany has developed a solid relationship with key data, analyses, and analytical personnel at EIA, facilitating</w:t>
      </w:r>
      <w:r>
        <w:rPr>
          <w:rFonts w:eastAsia="Cambria" w:cs="Cambria"/>
          <w:color w:val="000000" w:themeColor="text1"/>
        </w:rPr>
        <w:t xml:space="preserve"> </w:t>
      </w:r>
      <w:r w:rsidR="00D623E5">
        <w:rPr>
          <w:rFonts w:eastAsia="Cambria" w:cs="Cambria"/>
          <w:color w:val="000000" w:themeColor="text1"/>
        </w:rPr>
        <w:t>greater</w:t>
      </w:r>
      <w:r w:rsidRPr="00392336">
        <w:rPr>
          <w:rFonts w:eastAsia="Cambria" w:cs="Cambria"/>
          <w:color w:val="000000" w:themeColor="text1"/>
        </w:rPr>
        <w:t xml:space="preserve"> understanding of what </w:t>
      </w:r>
      <w:r w:rsidR="00D623E5">
        <w:rPr>
          <w:rFonts w:eastAsia="Cambria" w:cs="Cambria"/>
          <w:color w:val="000000" w:themeColor="text1"/>
        </w:rPr>
        <w:t>is included in</w:t>
      </w:r>
      <w:r w:rsidRPr="00392336">
        <w:rPr>
          <w:rFonts w:eastAsia="Cambria" w:cs="Cambria"/>
          <w:color w:val="000000" w:themeColor="text1"/>
        </w:rPr>
        <w:t xml:space="preserve"> the price </w:t>
      </w:r>
      <w:r w:rsidR="00B200AB">
        <w:rPr>
          <w:rFonts w:eastAsia="Cambria" w:cs="Cambria"/>
          <w:color w:val="000000" w:themeColor="text1"/>
        </w:rPr>
        <w:t>projections</w:t>
      </w:r>
      <w:r w:rsidRPr="00392336">
        <w:rPr>
          <w:rFonts w:eastAsia="Cambria" w:cs="Cambria"/>
          <w:color w:val="000000" w:themeColor="text1"/>
        </w:rPr>
        <w:t xml:space="preserve"> that the </w:t>
      </w:r>
      <w:r w:rsidR="00D623E5">
        <w:rPr>
          <w:rFonts w:eastAsia="Cambria" w:cs="Cambria"/>
          <w:color w:val="000000" w:themeColor="text1"/>
        </w:rPr>
        <w:t>C</w:t>
      </w:r>
      <w:r w:rsidRPr="00392336">
        <w:rPr>
          <w:rFonts w:eastAsia="Cambria" w:cs="Cambria"/>
          <w:color w:val="000000" w:themeColor="text1"/>
        </w:rPr>
        <w:t>ompany adopts.</w:t>
      </w:r>
    </w:p>
    <w:p w14:paraId="2FB9705D" w14:textId="3C145D54" w:rsidR="00EC58BB" w:rsidRPr="00EF0244" w:rsidRDefault="014259A8" w:rsidP="00AA472B">
      <w:pPr>
        <w:jc w:val="both"/>
        <w:rPr>
          <w:rFonts w:eastAsia="Cambria" w:cs="Cambria"/>
          <w:color w:val="000000" w:themeColor="text1"/>
        </w:rPr>
      </w:pPr>
      <w:r w:rsidRPr="00392336">
        <w:rPr>
          <w:rFonts w:eastAsia="Cambria" w:cs="Cambria"/>
          <w:color w:val="000000" w:themeColor="text1"/>
        </w:rPr>
        <w:lastRenderedPageBreak/>
        <w:t xml:space="preserve">The </w:t>
      </w:r>
      <w:r w:rsidR="00D623E5">
        <w:rPr>
          <w:rFonts w:eastAsia="Cambria" w:cs="Cambria"/>
          <w:color w:val="000000" w:themeColor="text1"/>
        </w:rPr>
        <w:t>C</w:t>
      </w:r>
      <w:r w:rsidRPr="00EF0244">
        <w:rPr>
          <w:rFonts w:eastAsia="Cambria" w:cs="Cambria"/>
          <w:color w:val="000000" w:themeColor="text1"/>
        </w:rPr>
        <w:t xml:space="preserve">ompany also maintains familiarity with other sources of future fuel price estimates and the key assumptions behind those estimates. These other sources of information are used to help the </w:t>
      </w:r>
      <w:r w:rsidR="00414AD1">
        <w:rPr>
          <w:rFonts w:eastAsia="Cambria" w:cs="Cambria"/>
          <w:color w:val="000000" w:themeColor="text1"/>
        </w:rPr>
        <w:t>C</w:t>
      </w:r>
      <w:r w:rsidRPr="00EF0244">
        <w:rPr>
          <w:rFonts w:eastAsia="Cambria" w:cs="Cambria"/>
          <w:color w:val="000000" w:themeColor="text1"/>
        </w:rPr>
        <w:t xml:space="preserve">ompany understand the views of others and how they compare to the views adopted by EIA in producing the AEO. </w:t>
      </w:r>
    </w:p>
    <w:p w14:paraId="5913B306" w14:textId="3BF8932E" w:rsidR="00EC58BB" w:rsidRPr="00392336" w:rsidRDefault="00CD28BB" w:rsidP="00164B4E">
      <w:pPr>
        <w:pStyle w:val="Heading3"/>
        <w:rPr>
          <w:rFonts w:eastAsia="Cambria" w:cs="Cambria"/>
          <w:i w:val="0"/>
          <w:color w:val="000000" w:themeColor="text1"/>
        </w:rPr>
      </w:pPr>
      <w:r>
        <w:t>3.</w:t>
      </w:r>
      <w:r w:rsidR="00956013">
        <w:t>4</w:t>
      </w:r>
      <w:r>
        <w:t xml:space="preserve">.5 – </w:t>
      </w:r>
      <w:r w:rsidR="014259A8" w:rsidRPr="00392336">
        <w:t>Long-</w:t>
      </w:r>
      <w:r w:rsidR="00392336" w:rsidRPr="00987CE6">
        <w:t>T</w:t>
      </w:r>
      <w:r w:rsidR="014259A8" w:rsidRPr="00987CE6">
        <w:t xml:space="preserve">erm </w:t>
      </w:r>
      <w:r w:rsidR="00392336" w:rsidRPr="00987CE6">
        <w:t>F</w:t>
      </w:r>
      <w:r w:rsidR="014259A8" w:rsidRPr="00987CE6">
        <w:t xml:space="preserve">uture </w:t>
      </w:r>
      <w:r w:rsidR="00392336" w:rsidRPr="00987CE6">
        <w:t>N</w:t>
      </w:r>
      <w:r w:rsidR="014259A8" w:rsidRPr="00987CE6">
        <w:t xml:space="preserve">atural </w:t>
      </w:r>
      <w:r w:rsidR="00392336" w:rsidRPr="00987CE6">
        <w:t>G</w:t>
      </w:r>
      <w:r w:rsidR="014259A8" w:rsidRPr="00987CE6">
        <w:t xml:space="preserve">as </w:t>
      </w:r>
      <w:r w:rsidR="00392336" w:rsidRPr="00987CE6">
        <w:t>P</w:t>
      </w:r>
      <w:r w:rsidR="014259A8" w:rsidRPr="00987CE6">
        <w:t>rices</w:t>
      </w:r>
    </w:p>
    <w:p w14:paraId="28A0310D" w14:textId="6E727BAE" w:rsidR="00EC58BB" w:rsidRPr="00392336" w:rsidRDefault="014259A8" w:rsidP="00392336">
      <w:pPr>
        <w:jc w:val="both"/>
        <w:rPr>
          <w:rFonts w:eastAsia="Cambria" w:cs="Cambria"/>
          <w:color w:val="000000" w:themeColor="text1"/>
        </w:rPr>
      </w:pPr>
      <w:r w:rsidRPr="00392336">
        <w:rPr>
          <w:rFonts w:eastAsia="Cambria" w:cs="Cambria"/>
          <w:color w:val="000000" w:themeColor="text1"/>
        </w:rPr>
        <w:t>For B2025</w:t>
      </w:r>
      <w:r w:rsidR="00D623E5">
        <w:rPr>
          <w:rFonts w:eastAsia="Cambria" w:cs="Cambria"/>
          <w:color w:val="000000" w:themeColor="text1"/>
        </w:rPr>
        <w:t>,</w:t>
      </w:r>
      <w:r w:rsidRPr="00A83AFF">
        <w:rPr>
          <w:rFonts w:eastAsia="Cambria" w:cs="Cambria"/>
          <w:color w:val="000000" w:themeColor="text1"/>
        </w:rPr>
        <w:t xml:space="preserve"> the three different views of long-term future natural gas prices that the </w:t>
      </w:r>
      <w:r w:rsidR="00D623E5">
        <w:rPr>
          <w:rFonts w:eastAsia="Cambria" w:cs="Cambria"/>
          <w:color w:val="000000" w:themeColor="text1"/>
        </w:rPr>
        <w:t>C</w:t>
      </w:r>
      <w:r w:rsidRPr="00A83AFF">
        <w:rPr>
          <w:rFonts w:eastAsia="Cambria" w:cs="Cambria"/>
          <w:color w:val="000000" w:themeColor="text1"/>
        </w:rPr>
        <w:t>ompany</w:t>
      </w:r>
      <w:r w:rsidRPr="00392336">
        <w:rPr>
          <w:rFonts w:eastAsia="Cambria" w:cs="Cambria"/>
          <w:color w:val="000000" w:themeColor="text1"/>
        </w:rPr>
        <w:t xml:space="preserve"> adopted are: </w:t>
      </w:r>
    </w:p>
    <w:p w14:paraId="6A7CD1B5" w14:textId="70A5D2D3" w:rsidR="00EC58BB" w:rsidRPr="00392336" w:rsidRDefault="014259A8" w:rsidP="009A12F5">
      <w:pPr>
        <w:pStyle w:val="ListParagraph"/>
        <w:numPr>
          <w:ilvl w:val="0"/>
          <w:numId w:val="32"/>
        </w:numPr>
        <w:jc w:val="both"/>
        <w:rPr>
          <w:rFonts w:eastAsia="Cambria" w:cs="Cambria"/>
          <w:color w:val="000000" w:themeColor="text1"/>
        </w:rPr>
      </w:pPr>
      <w:r w:rsidRPr="0041154A">
        <w:rPr>
          <w:rFonts w:eastAsia="Cambria" w:cs="Cambria"/>
          <w:i/>
          <w:color w:val="000000" w:themeColor="text1"/>
        </w:rPr>
        <w:t>Lower</w:t>
      </w:r>
      <w:r w:rsidRPr="00392336">
        <w:rPr>
          <w:rFonts w:eastAsia="Cambria" w:cs="Cambria"/>
          <w:color w:val="000000" w:themeColor="text1"/>
        </w:rPr>
        <w:t xml:space="preserve"> price view: AEO’s High Oil and Gas Supply case</w:t>
      </w:r>
    </w:p>
    <w:p w14:paraId="2BD5733B" w14:textId="5DDDBFB4" w:rsidR="00EC58BB" w:rsidRPr="00392336" w:rsidRDefault="014259A8" w:rsidP="009A12F5">
      <w:pPr>
        <w:pStyle w:val="ListParagraph"/>
        <w:numPr>
          <w:ilvl w:val="0"/>
          <w:numId w:val="32"/>
        </w:numPr>
        <w:jc w:val="both"/>
        <w:rPr>
          <w:rFonts w:eastAsia="Cambria" w:cs="Cambria"/>
          <w:color w:val="000000" w:themeColor="text1"/>
        </w:rPr>
      </w:pPr>
      <w:r w:rsidRPr="0041154A">
        <w:rPr>
          <w:rFonts w:eastAsia="Cambria" w:cs="Cambria"/>
          <w:i/>
          <w:color w:val="000000" w:themeColor="text1"/>
        </w:rPr>
        <w:t>Moderate</w:t>
      </w:r>
      <w:r w:rsidRPr="00392336">
        <w:rPr>
          <w:rFonts w:eastAsia="Cambria" w:cs="Cambria"/>
          <w:color w:val="000000" w:themeColor="text1"/>
        </w:rPr>
        <w:t xml:space="preserve"> price view: AEO’s Reference case</w:t>
      </w:r>
    </w:p>
    <w:p w14:paraId="0872D420" w14:textId="3FA9D4C0" w:rsidR="00EC58BB" w:rsidRPr="00392336" w:rsidRDefault="014259A8" w:rsidP="009A12F5">
      <w:pPr>
        <w:pStyle w:val="ListParagraph"/>
        <w:numPr>
          <w:ilvl w:val="0"/>
          <w:numId w:val="32"/>
        </w:numPr>
        <w:jc w:val="both"/>
        <w:rPr>
          <w:rFonts w:eastAsia="Cambria" w:cs="Cambria"/>
          <w:color w:val="000000" w:themeColor="text1"/>
        </w:rPr>
      </w:pPr>
      <w:r w:rsidRPr="0041154A">
        <w:rPr>
          <w:rFonts w:eastAsia="Cambria" w:cs="Cambria"/>
          <w:i/>
          <w:color w:val="000000" w:themeColor="text1"/>
        </w:rPr>
        <w:t>Higher</w:t>
      </w:r>
      <w:r w:rsidRPr="00392336">
        <w:rPr>
          <w:rFonts w:eastAsia="Cambria" w:cs="Cambria"/>
          <w:color w:val="000000" w:themeColor="text1"/>
        </w:rPr>
        <w:t xml:space="preserve"> price view: AEO’s Low Oil and Gas Supply case</w:t>
      </w:r>
    </w:p>
    <w:p w14:paraId="31DA1CDE" w14:textId="1C503957" w:rsidR="00EC58BB" w:rsidRPr="00392336" w:rsidRDefault="014259A8" w:rsidP="00392336">
      <w:pPr>
        <w:jc w:val="both"/>
        <w:rPr>
          <w:rFonts w:eastAsia="Cambria" w:cs="Cambria"/>
          <w:color w:val="000000" w:themeColor="text1"/>
        </w:rPr>
      </w:pPr>
      <w:r w:rsidRPr="00392336">
        <w:rPr>
          <w:rFonts w:eastAsia="Cambria" w:cs="Cambria"/>
          <w:color w:val="000000" w:themeColor="text1"/>
        </w:rPr>
        <w:t xml:space="preserve">Estimates of technically recoverable tight/shale oil and natural gas resources are particularly uncertain and change over time as new information is gained through drilling, production, and technology development. </w:t>
      </w:r>
      <w:r w:rsidR="00A847AF">
        <w:rPr>
          <w:rFonts w:eastAsia="Cambria" w:cs="Cambria"/>
          <w:color w:val="000000" w:themeColor="text1"/>
        </w:rPr>
        <w:t>AEO’s</w:t>
      </w:r>
      <w:r w:rsidRPr="00392336">
        <w:rPr>
          <w:rFonts w:eastAsia="Cambria" w:cs="Cambria"/>
          <w:color w:val="000000" w:themeColor="text1"/>
        </w:rPr>
        <w:t xml:space="preserve"> “High Oil and Gas Supply” and “Low Oil and Gas Supply” views </w:t>
      </w:r>
      <w:r w:rsidR="00A847AF">
        <w:rPr>
          <w:rFonts w:eastAsia="Cambria" w:cs="Cambria"/>
          <w:color w:val="000000" w:themeColor="text1"/>
        </w:rPr>
        <w:t xml:space="preserve">appropriately </w:t>
      </w:r>
      <w:r w:rsidRPr="00392336">
        <w:rPr>
          <w:rFonts w:eastAsia="Cambria" w:cs="Cambria"/>
          <w:color w:val="000000" w:themeColor="text1"/>
        </w:rPr>
        <w:t xml:space="preserve">reflect this uncertainty. </w:t>
      </w:r>
    </w:p>
    <w:p w14:paraId="45FF44DC" w14:textId="6F9E7EE8" w:rsidR="00EC58BB" w:rsidRPr="00A83AFF" w:rsidRDefault="014259A8" w:rsidP="00392336">
      <w:pPr>
        <w:jc w:val="both"/>
        <w:rPr>
          <w:rFonts w:eastAsia="Cambria" w:cs="Cambria"/>
          <w:color w:val="000000" w:themeColor="text1"/>
        </w:rPr>
      </w:pPr>
      <w:r w:rsidRPr="00392336">
        <w:rPr>
          <w:rFonts w:eastAsia="Cambria" w:cs="Cambria"/>
          <w:color w:val="000000" w:themeColor="text1"/>
        </w:rPr>
        <w:t>In AEO’s Low Oil and Gas Supply case</w:t>
      </w:r>
      <w:r w:rsidR="00841FDA">
        <w:rPr>
          <w:rFonts w:eastAsia="Cambria" w:cs="Cambria"/>
          <w:color w:val="000000" w:themeColor="text1"/>
        </w:rPr>
        <w:t>,</w:t>
      </w:r>
      <w:r w:rsidRPr="00A83AFF">
        <w:rPr>
          <w:rFonts w:eastAsia="Cambria" w:cs="Cambria"/>
          <w:color w:val="000000" w:themeColor="text1"/>
        </w:rPr>
        <w:t xml:space="preserve"> the estimated ultimate recovery per well is assumed to be 50% </w:t>
      </w:r>
      <w:r w:rsidRPr="00A02E95">
        <w:rPr>
          <w:rFonts w:eastAsia="Cambria" w:cs="Cambria"/>
          <w:color w:val="000000" w:themeColor="text1"/>
        </w:rPr>
        <w:t>lower</w:t>
      </w:r>
      <w:r w:rsidRPr="00392336">
        <w:rPr>
          <w:rFonts w:eastAsia="Cambria" w:cs="Cambria"/>
          <w:color w:val="000000" w:themeColor="text1"/>
        </w:rPr>
        <w:t xml:space="preserve"> than in the Reference case for tight oil, tight gas, shale gas in the </w:t>
      </w:r>
      <w:r w:rsidR="00F87140">
        <w:rPr>
          <w:rFonts w:eastAsia="Cambria" w:cs="Cambria"/>
          <w:color w:val="000000" w:themeColor="text1"/>
        </w:rPr>
        <w:t>U.S.</w:t>
      </w:r>
      <w:r>
        <w:rPr>
          <w:rFonts w:eastAsia="Cambria" w:cs="Cambria"/>
          <w:color w:val="000000" w:themeColor="text1"/>
        </w:rPr>
        <w:t>,</w:t>
      </w:r>
      <w:r w:rsidR="0072703F">
        <w:rPr>
          <w:rFonts w:eastAsia="Cambria" w:cs="Cambria"/>
          <w:color w:val="000000" w:themeColor="text1"/>
        </w:rPr>
        <w:t xml:space="preserve"> for</w:t>
      </w:r>
      <w:r w:rsidRPr="00A83AFF">
        <w:rPr>
          <w:rFonts w:eastAsia="Cambria" w:cs="Cambria"/>
          <w:color w:val="000000" w:themeColor="text1"/>
        </w:rPr>
        <w:t xml:space="preserve"> undiscovered resources in Alaska</w:t>
      </w:r>
      <w:r w:rsidR="0072703F">
        <w:rPr>
          <w:rFonts w:eastAsia="Cambria" w:cs="Cambria"/>
          <w:color w:val="000000" w:themeColor="text1"/>
        </w:rPr>
        <w:t>,</w:t>
      </w:r>
      <w:r w:rsidRPr="00392336">
        <w:rPr>
          <w:rFonts w:eastAsia="Cambria" w:cs="Cambria"/>
          <w:color w:val="000000" w:themeColor="text1"/>
        </w:rPr>
        <w:t xml:space="preserve"> and </w:t>
      </w:r>
      <w:r w:rsidR="0072703F">
        <w:rPr>
          <w:rFonts w:eastAsia="Cambria" w:cs="Cambria"/>
          <w:color w:val="000000" w:themeColor="text1"/>
        </w:rPr>
        <w:t xml:space="preserve">for </w:t>
      </w:r>
      <w:r w:rsidR="0025370A">
        <w:rPr>
          <w:rFonts w:eastAsia="Cambria" w:cs="Cambria"/>
          <w:color w:val="000000" w:themeColor="text1"/>
        </w:rPr>
        <w:t xml:space="preserve">production </w:t>
      </w:r>
      <w:r w:rsidRPr="00392336">
        <w:rPr>
          <w:rFonts w:eastAsia="Cambria" w:cs="Cambria"/>
          <w:color w:val="000000" w:themeColor="text1"/>
        </w:rPr>
        <w:t xml:space="preserve">offshore </w:t>
      </w:r>
      <w:r w:rsidR="00585DD3">
        <w:rPr>
          <w:rFonts w:eastAsia="Cambria" w:cs="Cambria"/>
          <w:color w:val="000000" w:themeColor="text1"/>
        </w:rPr>
        <w:t xml:space="preserve">of the </w:t>
      </w:r>
      <w:r w:rsidRPr="00A83AFF">
        <w:rPr>
          <w:rFonts w:eastAsia="Cambria" w:cs="Cambria"/>
          <w:color w:val="000000" w:themeColor="text1"/>
        </w:rPr>
        <w:t>Lower 48 states</w:t>
      </w:r>
      <w:r w:rsidRPr="00392336">
        <w:rPr>
          <w:rFonts w:eastAsia="Cambria" w:cs="Cambria"/>
          <w:color w:val="000000" w:themeColor="text1"/>
        </w:rPr>
        <w:t xml:space="preserve">. Rates of technological improvement that reduce costs and increase productivity in the </w:t>
      </w:r>
      <w:r w:rsidR="00F87140">
        <w:rPr>
          <w:rFonts w:eastAsia="Cambria" w:cs="Cambria"/>
          <w:color w:val="000000" w:themeColor="text1"/>
        </w:rPr>
        <w:t>U.S.</w:t>
      </w:r>
      <w:r w:rsidRPr="00A83AFF">
        <w:rPr>
          <w:rFonts w:eastAsia="Cambria" w:cs="Cambria"/>
          <w:color w:val="000000" w:themeColor="text1"/>
        </w:rPr>
        <w:t xml:space="preserve"> are also 50% lower than in the Reference case. These assumptions increase the per-unit cost of crude oil and natural gas development in the </w:t>
      </w:r>
      <w:r w:rsidR="00F87140">
        <w:rPr>
          <w:rFonts w:eastAsia="Cambria" w:cs="Cambria"/>
          <w:color w:val="000000" w:themeColor="text1"/>
        </w:rPr>
        <w:t>U.S</w:t>
      </w:r>
      <w:r w:rsidRPr="00392336">
        <w:rPr>
          <w:rFonts w:eastAsia="Cambria" w:cs="Cambria"/>
          <w:color w:val="000000" w:themeColor="text1"/>
        </w:rPr>
        <w:t xml:space="preserve">. </w:t>
      </w:r>
    </w:p>
    <w:p w14:paraId="7E48821E" w14:textId="61BCE8FF" w:rsidR="00EC58BB" w:rsidRPr="00A83AFF" w:rsidRDefault="014259A8" w:rsidP="00392336">
      <w:pPr>
        <w:jc w:val="both"/>
        <w:rPr>
          <w:rFonts w:eastAsia="Arial" w:cs="Arial"/>
          <w:color w:val="333333"/>
        </w:rPr>
      </w:pPr>
      <w:r w:rsidRPr="00A83AFF">
        <w:rPr>
          <w:rFonts w:eastAsia="Cambria" w:cs="Cambria"/>
          <w:color w:val="000000" w:themeColor="text1"/>
        </w:rPr>
        <w:t>In AEO’s High Oil and Gas Supply case</w:t>
      </w:r>
      <w:r w:rsidR="00F87140">
        <w:rPr>
          <w:rFonts w:eastAsia="Cambria" w:cs="Cambria"/>
          <w:color w:val="000000" w:themeColor="text1"/>
        </w:rPr>
        <w:t>,</w:t>
      </w:r>
      <w:r w:rsidRPr="00A83AFF">
        <w:rPr>
          <w:rFonts w:eastAsia="Cambria" w:cs="Cambria"/>
          <w:color w:val="000000" w:themeColor="text1"/>
        </w:rPr>
        <w:t xml:space="preserve"> the estimated ultimate recovery per well is assumed to be 50% </w:t>
      </w:r>
      <w:r w:rsidRPr="00A02E95">
        <w:rPr>
          <w:rFonts w:eastAsia="Cambria" w:cs="Cambria"/>
          <w:color w:val="000000" w:themeColor="text1"/>
        </w:rPr>
        <w:t>higher</w:t>
      </w:r>
      <w:r w:rsidRPr="00A83AFF">
        <w:rPr>
          <w:rFonts w:eastAsia="Cambria" w:cs="Cambria"/>
          <w:color w:val="000000" w:themeColor="text1"/>
        </w:rPr>
        <w:t xml:space="preserve"> than in the Reference case for tight oil, tight gas, shale gas in the U</w:t>
      </w:r>
      <w:r w:rsidR="00A83AFF">
        <w:rPr>
          <w:rFonts w:eastAsia="Cambria" w:cs="Cambria"/>
          <w:color w:val="000000" w:themeColor="text1"/>
        </w:rPr>
        <w:t>.S</w:t>
      </w:r>
      <w:r w:rsidR="00EF0244">
        <w:rPr>
          <w:rFonts w:eastAsia="Cambria" w:cs="Cambria"/>
          <w:color w:val="000000" w:themeColor="text1"/>
        </w:rPr>
        <w:t>.</w:t>
      </w:r>
      <w:r w:rsidR="009077C5">
        <w:rPr>
          <w:rFonts w:eastAsia="Cambria" w:cs="Cambria"/>
          <w:color w:val="000000" w:themeColor="text1"/>
        </w:rPr>
        <w:t xml:space="preserve"> for</w:t>
      </w:r>
      <w:r>
        <w:rPr>
          <w:rFonts w:eastAsia="Cambria" w:cs="Cambria"/>
          <w:color w:val="000000" w:themeColor="text1"/>
        </w:rPr>
        <w:t xml:space="preserve"> </w:t>
      </w:r>
      <w:r w:rsidRPr="00A83AFF">
        <w:rPr>
          <w:rFonts w:eastAsia="Cambria" w:cs="Cambria"/>
          <w:color w:val="000000" w:themeColor="text1"/>
        </w:rPr>
        <w:t>undiscovered resources in Alaska</w:t>
      </w:r>
      <w:r w:rsidR="00B446F6">
        <w:rPr>
          <w:rFonts w:eastAsia="Cambria" w:cs="Cambria"/>
          <w:color w:val="000000" w:themeColor="text1"/>
        </w:rPr>
        <w:t>,</w:t>
      </w:r>
      <w:r w:rsidRPr="00A83AFF">
        <w:rPr>
          <w:rFonts w:eastAsia="Cambria" w:cs="Cambria"/>
          <w:color w:val="000000" w:themeColor="text1"/>
        </w:rPr>
        <w:t xml:space="preserve"> and </w:t>
      </w:r>
      <w:r w:rsidR="00B446F6">
        <w:rPr>
          <w:rFonts w:eastAsia="Cambria" w:cs="Cambria"/>
          <w:color w:val="000000" w:themeColor="text1"/>
        </w:rPr>
        <w:t xml:space="preserve">for </w:t>
      </w:r>
      <w:r w:rsidR="009E35F1">
        <w:rPr>
          <w:rFonts w:eastAsia="Cambria" w:cs="Cambria"/>
          <w:color w:val="000000" w:themeColor="text1"/>
        </w:rPr>
        <w:t xml:space="preserve">production </w:t>
      </w:r>
      <w:r w:rsidRPr="00A83AFF">
        <w:rPr>
          <w:rFonts w:eastAsia="Cambria" w:cs="Cambria"/>
          <w:color w:val="000000" w:themeColor="text1"/>
        </w:rPr>
        <w:t>offshore</w:t>
      </w:r>
      <w:r>
        <w:rPr>
          <w:rFonts w:eastAsia="Cambria" w:cs="Cambria"/>
          <w:color w:val="000000" w:themeColor="text1"/>
        </w:rPr>
        <w:t xml:space="preserve"> </w:t>
      </w:r>
      <w:r w:rsidR="009E35F1">
        <w:rPr>
          <w:rFonts w:eastAsia="Cambria" w:cs="Cambria"/>
          <w:color w:val="000000" w:themeColor="text1"/>
        </w:rPr>
        <w:t>of the</w:t>
      </w:r>
      <w:r w:rsidRPr="00A83AFF">
        <w:rPr>
          <w:rFonts w:eastAsia="Cambria" w:cs="Cambria"/>
          <w:color w:val="000000" w:themeColor="text1"/>
        </w:rPr>
        <w:t xml:space="preserve"> Lower 48 states. Rates of technological improvement that reduce costs and increase productivity in the </w:t>
      </w:r>
      <w:r w:rsidR="00726CC9">
        <w:rPr>
          <w:rFonts w:eastAsia="Cambria" w:cs="Cambria"/>
          <w:color w:val="000000" w:themeColor="text1"/>
        </w:rPr>
        <w:t>U.S.</w:t>
      </w:r>
      <w:r w:rsidRPr="00A83AFF">
        <w:rPr>
          <w:rFonts w:eastAsia="Cambria" w:cs="Cambria"/>
          <w:color w:val="000000" w:themeColor="text1"/>
        </w:rPr>
        <w:t xml:space="preserve"> are also 50% higher than in the Reference case. These assumptions decrease the per-unit cost of crude oil and natural gas development in the </w:t>
      </w:r>
      <w:r w:rsidR="00726CC9">
        <w:rPr>
          <w:rFonts w:eastAsia="Cambria" w:cs="Cambria"/>
          <w:color w:val="000000" w:themeColor="text1"/>
        </w:rPr>
        <w:t>U.S</w:t>
      </w:r>
      <w:r w:rsidRPr="00A83AFF">
        <w:rPr>
          <w:rFonts w:eastAsia="Cambria" w:cs="Cambria"/>
          <w:color w:val="000000" w:themeColor="text1"/>
        </w:rPr>
        <w:t>. In addition, tight oil and shale gas resources are added to reflect new prospects or the expansion of known prospects. Rates of technological improvement that reduce costs and increase productivity in the United States are also 50% higher than in the Reference case</w:t>
      </w:r>
      <w:r w:rsidRPr="00A83AFF">
        <w:rPr>
          <w:rFonts w:eastAsia="Arial" w:cs="Arial"/>
          <w:color w:val="333333"/>
        </w:rPr>
        <w:t xml:space="preserve">. </w:t>
      </w:r>
    </w:p>
    <w:p w14:paraId="22971542" w14:textId="5683631B" w:rsidR="00EC58BB" w:rsidRPr="00A83AFF" w:rsidRDefault="014259A8" w:rsidP="00392336">
      <w:pPr>
        <w:jc w:val="both"/>
        <w:rPr>
          <w:rFonts w:eastAsia="Cambria" w:cs="Cambria"/>
          <w:color w:val="000000" w:themeColor="text1"/>
        </w:rPr>
      </w:pPr>
      <w:r w:rsidRPr="00A83AFF">
        <w:rPr>
          <w:rFonts w:eastAsia="Cambria" w:cs="Cambria"/>
          <w:color w:val="000000" w:themeColor="text1"/>
        </w:rPr>
        <w:t>Some of the key drivers of the AEO change from year to year reflect</w:t>
      </w:r>
      <w:r w:rsidR="002E7954">
        <w:rPr>
          <w:rFonts w:eastAsia="Cambria" w:cs="Cambria"/>
          <w:color w:val="000000" w:themeColor="text1"/>
        </w:rPr>
        <w:t xml:space="preserve"> the</w:t>
      </w:r>
      <w:r w:rsidRPr="00A83AFF">
        <w:rPr>
          <w:rFonts w:eastAsia="Cambria" w:cs="Cambria"/>
          <w:color w:val="000000" w:themeColor="text1"/>
        </w:rPr>
        <w:t xml:space="preserve"> evolution of important information about the U</w:t>
      </w:r>
      <w:r w:rsidR="002E7954">
        <w:rPr>
          <w:rFonts w:eastAsia="Cambria" w:cs="Cambria"/>
          <w:color w:val="000000" w:themeColor="text1"/>
        </w:rPr>
        <w:t>.</w:t>
      </w:r>
      <w:r w:rsidRPr="00A83AFF">
        <w:rPr>
          <w:rFonts w:eastAsia="Cambria" w:cs="Cambria"/>
          <w:color w:val="000000" w:themeColor="text1"/>
        </w:rPr>
        <w:t>S</w:t>
      </w:r>
      <w:r w:rsidR="002E7954">
        <w:rPr>
          <w:rFonts w:eastAsia="Cambria" w:cs="Cambria"/>
          <w:color w:val="000000" w:themeColor="text1"/>
        </w:rPr>
        <w:t>.</w:t>
      </w:r>
      <w:r w:rsidRPr="00A83AFF">
        <w:rPr>
          <w:rFonts w:eastAsia="Cambria" w:cs="Cambria"/>
          <w:color w:val="000000" w:themeColor="text1"/>
        </w:rPr>
        <w:t xml:space="preserve"> energy economy. As an example of some of these changes, </w:t>
      </w:r>
      <w:r w:rsidR="00D371F1">
        <w:rPr>
          <w:rFonts w:eastAsia="Cambria" w:cs="Cambria"/>
          <w:color w:val="000000" w:themeColor="text1"/>
        </w:rPr>
        <w:t>Table 3.4 provides</w:t>
      </w:r>
      <w:r w:rsidRPr="00A83AFF">
        <w:rPr>
          <w:rFonts w:eastAsia="Cambria" w:cs="Cambria"/>
          <w:color w:val="000000" w:themeColor="text1"/>
        </w:rPr>
        <w:t xml:space="preserve"> some of the key assumption changes from AEO 2022 to AEO 2023.</w:t>
      </w:r>
    </w:p>
    <w:p w14:paraId="1119BC2E" w14:textId="77064C29" w:rsidR="00EC58BB" w:rsidRPr="009C70EF" w:rsidRDefault="014259A8" w:rsidP="009C70EF">
      <w:pPr>
        <w:keepNext/>
        <w:jc w:val="center"/>
        <w:rPr>
          <w:i/>
        </w:rPr>
      </w:pPr>
      <w:r w:rsidRPr="009C70EF">
        <w:rPr>
          <w:i/>
        </w:rPr>
        <w:lastRenderedPageBreak/>
        <w:t xml:space="preserve">Table </w:t>
      </w:r>
      <w:r w:rsidR="00987CE6">
        <w:rPr>
          <w:i/>
          <w:iCs/>
        </w:rPr>
        <w:t>3.</w:t>
      </w:r>
      <w:r w:rsidR="00956013">
        <w:rPr>
          <w:i/>
          <w:iCs/>
        </w:rPr>
        <w:t>4</w:t>
      </w:r>
      <w:r w:rsidRPr="009C70EF">
        <w:rPr>
          <w:i/>
        </w:rPr>
        <w:t xml:space="preserve">: Key Natural Gas Values for AEO 2023 Reference </w:t>
      </w:r>
      <w:r w:rsidR="00A83AFF" w:rsidRPr="009C70EF">
        <w:rPr>
          <w:i/>
        </w:rPr>
        <w:t>C</w:t>
      </w:r>
      <w:r w:rsidRPr="009C70EF">
        <w:rPr>
          <w:i/>
        </w:rPr>
        <w:t>ase</w:t>
      </w:r>
    </w:p>
    <w:tbl>
      <w:tblPr>
        <w:tblStyle w:val="TableGrid"/>
        <w:tblW w:w="0" w:type="auto"/>
        <w:jc w:val="center"/>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165"/>
        <w:gridCol w:w="6045"/>
      </w:tblGrid>
      <w:tr w:rsidR="50D9A631" w14:paraId="4EACCBAE" w14:textId="77777777" w:rsidTr="009C70EF">
        <w:trPr>
          <w:trHeight w:val="300"/>
          <w:jc w:val="center"/>
        </w:trPr>
        <w:tc>
          <w:tcPr>
            <w:tcW w:w="3165" w:type="dxa"/>
            <w:shd w:val="clear" w:color="auto" w:fill="548DD4"/>
            <w:tcMar>
              <w:left w:w="105" w:type="dxa"/>
              <w:right w:w="105" w:type="dxa"/>
            </w:tcMar>
          </w:tcPr>
          <w:p w14:paraId="46DBBD32" w14:textId="18A8C5EB" w:rsidR="50D9A631" w:rsidRPr="009E1D5B" w:rsidRDefault="50D9A631" w:rsidP="009C70EF">
            <w:pPr>
              <w:keepNext/>
              <w:jc w:val="center"/>
              <w:rPr>
                <w:rFonts w:asciiTheme="minorHAnsi" w:eastAsia="Calibri" w:hAnsiTheme="minorHAnsi" w:cs="Calibri"/>
                <w:color w:val="FFFFFF" w:themeColor="background1"/>
                <w:sz w:val="22"/>
                <w:szCs w:val="20"/>
              </w:rPr>
            </w:pPr>
            <w:r w:rsidRPr="009E1D5B">
              <w:rPr>
                <w:rFonts w:asciiTheme="minorHAnsi" w:eastAsia="Calibri" w:hAnsiTheme="minorHAnsi" w:cs="Calibri"/>
                <w:b/>
                <w:color w:val="FFFFFF" w:themeColor="background1"/>
                <w:sz w:val="22"/>
                <w:szCs w:val="20"/>
              </w:rPr>
              <w:t>Driver</w:t>
            </w:r>
          </w:p>
        </w:tc>
        <w:tc>
          <w:tcPr>
            <w:tcW w:w="6045" w:type="dxa"/>
            <w:shd w:val="clear" w:color="auto" w:fill="548DD4"/>
            <w:tcMar>
              <w:left w:w="105" w:type="dxa"/>
              <w:right w:w="105" w:type="dxa"/>
            </w:tcMar>
          </w:tcPr>
          <w:p w14:paraId="2193E3A9" w14:textId="0B69EDA3" w:rsidR="50D9A631" w:rsidRPr="009E1D5B" w:rsidRDefault="50D9A631" w:rsidP="009C70EF">
            <w:pPr>
              <w:keepNext/>
              <w:jc w:val="center"/>
              <w:rPr>
                <w:rFonts w:asciiTheme="minorHAnsi" w:eastAsia="Calibri" w:hAnsiTheme="minorHAnsi" w:cs="Calibri"/>
                <w:color w:val="FFFFFF" w:themeColor="background1"/>
                <w:sz w:val="22"/>
                <w:szCs w:val="20"/>
              </w:rPr>
            </w:pPr>
            <w:r w:rsidRPr="009E1D5B">
              <w:rPr>
                <w:rFonts w:asciiTheme="minorHAnsi" w:eastAsia="Calibri" w:hAnsiTheme="minorHAnsi" w:cs="Calibri"/>
                <w:b/>
                <w:color w:val="FFFFFF" w:themeColor="background1"/>
                <w:sz w:val="22"/>
                <w:szCs w:val="20"/>
              </w:rPr>
              <w:t xml:space="preserve">Key Values for AEO 2023 Reference </w:t>
            </w:r>
            <w:r w:rsidR="00A83AFF" w:rsidRPr="009E1D5B">
              <w:rPr>
                <w:rFonts w:asciiTheme="minorHAnsi" w:eastAsia="Calibri" w:hAnsiTheme="minorHAnsi" w:cs="Calibri"/>
                <w:b/>
                <w:color w:val="FFFFFF" w:themeColor="background1"/>
                <w:sz w:val="22"/>
                <w:szCs w:val="20"/>
              </w:rPr>
              <w:t>C</w:t>
            </w:r>
            <w:r w:rsidRPr="009E1D5B">
              <w:rPr>
                <w:rFonts w:asciiTheme="minorHAnsi" w:eastAsia="Calibri" w:hAnsiTheme="minorHAnsi" w:cs="Calibri"/>
                <w:b/>
                <w:color w:val="FFFFFF" w:themeColor="background1"/>
                <w:sz w:val="22"/>
                <w:szCs w:val="20"/>
              </w:rPr>
              <w:t>ase</w:t>
            </w:r>
          </w:p>
        </w:tc>
      </w:tr>
      <w:tr w:rsidR="50D9A631" w14:paraId="460DD091" w14:textId="77777777" w:rsidTr="009C70EF">
        <w:trPr>
          <w:trHeight w:val="300"/>
          <w:jc w:val="center"/>
        </w:trPr>
        <w:tc>
          <w:tcPr>
            <w:tcW w:w="3165" w:type="dxa"/>
            <w:tcMar>
              <w:left w:w="105" w:type="dxa"/>
              <w:right w:w="105" w:type="dxa"/>
            </w:tcMar>
          </w:tcPr>
          <w:p w14:paraId="7A914408" w14:textId="68A826AB" w:rsidR="50D9A631" w:rsidRPr="009E1D5B" w:rsidRDefault="50D9A631" w:rsidP="00A83AFF">
            <w:pPr>
              <w:keepNext/>
              <w:rPr>
                <w:rFonts w:asciiTheme="minorHAnsi" w:eastAsia="Calibri" w:hAnsiTheme="minorHAnsi" w:cs="Calibri"/>
                <w:sz w:val="22"/>
                <w:szCs w:val="20"/>
              </w:rPr>
            </w:pPr>
            <w:r w:rsidRPr="009E1D5B">
              <w:rPr>
                <w:rFonts w:asciiTheme="minorHAnsi" w:eastAsia="Calibri" w:hAnsiTheme="minorHAnsi" w:cs="Calibri"/>
                <w:b/>
                <w:sz w:val="22"/>
                <w:szCs w:val="20"/>
              </w:rPr>
              <w:t>Resource Size</w:t>
            </w:r>
          </w:p>
          <w:p w14:paraId="59BD2F9F" w14:textId="78D3E0C1" w:rsidR="50D9A631" w:rsidRPr="009E1D5B" w:rsidRDefault="50D9A631" w:rsidP="00A83AFF">
            <w:pPr>
              <w:keepNext/>
              <w:rPr>
                <w:rFonts w:asciiTheme="minorHAnsi" w:eastAsia="Cambria" w:hAnsiTheme="minorHAnsi" w:cs="Cambria"/>
                <w:sz w:val="22"/>
                <w:szCs w:val="20"/>
              </w:rPr>
            </w:pPr>
          </w:p>
        </w:tc>
        <w:tc>
          <w:tcPr>
            <w:tcW w:w="6045" w:type="dxa"/>
            <w:tcMar>
              <w:left w:w="105" w:type="dxa"/>
              <w:right w:w="105" w:type="dxa"/>
            </w:tcMar>
          </w:tcPr>
          <w:p w14:paraId="451C2F85" w14:textId="6A76EC99" w:rsidR="50D9A631" w:rsidRPr="009E1D5B" w:rsidRDefault="50D9A631" w:rsidP="009A12F5">
            <w:pPr>
              <w:pStyle w:val="ListParagraph"/>
              <w:keepNext/>
              <w:numPr>
                <w:ilvl w:val="0"/>
                <w:numId w:val="32"/>
              </w:numPr>
              <w:rPr>
                <w:rFonts w:asciiTheme="minorHAnsi" w:eastAsia="Calibri" w:hAnsiTheme="minorHAnsi" w:cs="Calibri"/>
                <w:sz w:val="22"/>
              </w:rPr>
            </w:pPr>
            <w:r w:rsidRPr="7A0F2C88">
              <w:rPr>
                <w:rFonts w:asciiTheme="minorHAnsi" w:eastAsia="Calibri" w:hAnsiTheme="minorHAnsi" w:cs="Calibri"/>
                <w:sz w:val="22"/>
              </w:rPr>
              <w:t xml:space="preserve">445.3 Tcf in proved shale reserves </w:t>
            </w:r>
          </w:p>
          <w:p w14:paraId="0F68EE5E" w14:textId="1C2C3F77" w:rsidR="50D9A631" w:rsidRPr="009E1D5B" w:rsidRDefault="50D9A631" w:rsidP="009C70EF">
            <w:pPr>
              <w:keepNext/>
              <w:ind w:left="720"/>
              <w:rPr>
                <w:rFonts w:asciiTheme="minorHAnsi" w:eastAsia="Calibri" w:hAnsiTheme="minorHAnsi" w:cs="Calibri"/>
                <w:sz w:val="22"/>
                <w:szCs w:val="20"/>
              </w:rPr>
            </w:pPr>
            <w:r w:rsidRPr="009E1D5B">
              <w:rPr>
                <w:rFonts w:asciiTheme="minorHAnsi" w:eastAsia="Calibri" w:hAnsiTheme="minorHAnsi" w:cs="Calibri"/>
                <w:sz w:val="22"/>
                <w:szCs w:val="20"/>
              </w:rPr>
              <w:t>(20.1 Tcf decrease from AEO 2022)</w:t>
            </w:r>
          </w:p>
          <w:p w14:paraId="113E3171" w14:textId="3F243BA0" w:rsidR="50D9A631" w:rsidRPr="009E1D5B" w:rsidRDefault="50D9A631" w:rsidP="009A12F5">
            <w:pPr>
              <w:pStyle w:val="ListParagraph"/>
              <w:keepNext/>
              <w:numPr>
                <w:ilvl w:val="0"/>
                <w:numId w:val="32"/>
              </w:numPr>
              <w:rPr>
                <w:rFonts w:asciiTheme="minorHAnsi" w:eastAsia="Calibri" w:hAnsiTheme="minorHAnsi" w:cs="Calibri"/>
                <w:sz w:val="22"/>
                <w:szCs w:val="20"/>
              </w:rPr>
            </w:pPr>
            <w:r w:rsidRPr="009E1D5B">
              <w:rPr>
                <w:rFonts w:asciiTheme="minorHAnsi" w:eastAsia="Calibri" w:hAnsiTheme="minorHAnsi" w:cs="Calibri"/>
                <w:sz w:val="22"/>
                <w:szCs w:val="20"/>
              </w:rPr>
              <w:t>2,973 Tcf in total technically recoverable (TTR) U.S</w:t>
            </w:r>
            <w:r w:rsidR="00FA50C1">
              <w:rPr>
                <w:rFonts w:asciiTheme="minorHAnsi" w:eastAsia="Calibri" w:hAnsiTheme="minorHAnsi" w:cs="Calibri"/>
                <w:sz w:val="22"/>
                <w:szCs w:val="20"/>
              </w:rPr>
              <w:t>.</w:t>
            </w:r>
            <w:r w:rsidRPr="009E1D5B">
              <w:rPr>
                <w:rFonts w:asciiTheme="minorHAnsi" w:eastAsia="Calibri" w:hAnsiTheme="minorHAnsi" w:cs="Calibri"/>
                <w:sz w:val="22"/>
                <w:szCs w:val="20"/>
              </w:rPr>
              <w:t xml:space="preserve"> dry natural gas resources</w:t>
            </w:r>
          </w:p>
          <w:p w14:paraId="3E688CCE" w14:textId="09B823D3" w:rsidR="50D9A631" w:rsidRPr="009E1D5B" w:rsidRDefault="50D9A631" w:rsidP="009C70EF">
            <w:pPr>
              <w:keepNext/>
              <w:ind w:left="720"/>
              <w:rPr>
                <w:rFonts w:asciiTheme="minorHAnsi" w:eastAsia="Calibri" w:hAnsiTheme="minorHAnsi" w:cs="Calibri"/>
                <w:sz w:val="22"/>
                <w:szCs w:val="20"/>
              </w:rPr>
            </w:pPr>
            <w:r w:rsidRPr="009E1D5B">
              <w:rPr>
                <w:rFonts w:asciiTheme="minorHAnsi" w:eastAsia="Calibri" w:hAnsiTheme="minorHAnsi" w:cs="Calibri"/>
                <w:sz w:val="22"/>
                <w:szCs w:val="20"/>
              </w:rPr>
              <w:t xml:space="preserve">(1.6% growth from AEO 2022 to AEO 2023) </w:t>
            </w:r>
          </w:p>
        </w:tc>
      </w:tr>
      <w:tr w:rsidR="50D9A631" w14:paraId="5AE9D9A4" w14:textId="77777777" w:rsidTr="009C70EF">
        <w:trPr>
          <w:trHeight w:val="300"/>
          <w:jc w:val="center"/>
        </w:trPr>
        <w:tc>
          <w:tcPr>
            <w:tcW w:w="3165" w:type="dxa"/>
            <w:tcMar>
              <w:left w:w="105" w:type="dxa"/>
              <w:right w:w="105" w:type="dxa"/>
            </w:tcMar>
          </w:tcPr>
          <w:p w14:paraId="51B644D7" w14:textId="4354741F" w:rsidR="50D9A631" w:rsidRPr="009E1D5B" w:rsidRDefault="50D9A631" w:rsidP="009C70EF">
            <w:pPr>
              <w:keepNext/>
              <w:rPr>
                <w:rFonts w:asciiTheme="minorHAnsi" w:eastAsia="Calibri" w:hAnsiTheme="minorHAnsi" w:cs="Calibri"/>
                <w:sz w:val="22"/>
                <w:szCs w:val="20"/>
              </w:rPr>
            </w:pPr>
            <w:r w:rsidRPr="009E1D5B">
              <w:rPr>
                <w:rFonts w:asciiTheme="minorHAnsi" w:eastAsia="Calibri" w:hAnsiTheme="minorHAnsi" w:cs="Calibri"/>
                <w:b/>
                <w:sz w:val="22"/>
                <w:szCs w:val="20"/>
              </w:rPr>
              <w:t>Technological Improvement</w:t>
            </w:r>
          </w:p>
        </w:tc>
        <w:tc>
          <w:tcPr>
            <w:tcW w:w="6045" w:type="dxa"/>
            <w:tcMar>
              <w:left w:w="105" w:type="dxa"/>
              <w:right w:w="105" w:type="dxa"/>
            </w:tcMar>
          </w:tcPr>
          <w:p w14:paraId="0CF5FD6D" w14:textId="31FA404E" w:rsidR="50D9A631" w:rsidRPr="009E1D5B" w:rsidRDefault="50D9A631" w:rsidP="009A12F5">
            <w:pPr>
              <w:pStyle w:val="ListParagraph"/>
              <w:keepNext/>
              <w:numPr>
                <w:ilvl w:val="0"/>
                <w:numId w:val="32"/>
              </w:numPr>
              <w:rPr>
                <w:rFonts w:asciiTheme="minorHAnsi" w:eastAsia="Calibri" w:hAnsiTheme="minorHAnsi" w:cs="Calibri"/>
                <w:sz w:val="22"/>
                <w:szCs w:val="20"/>
              </w:rPr>
            </w:pPr>
            <w:r w:rsidRPr="009E1D5B">
              <w:rPr>
                <w:rFonts w:asciiTheme="minorHAnsi" w:eastAsia="Calibri" w:hAnsiTheme="minorHAnsi" w:cs="Calibri"/>
                <w:sz w:val="22"/>
                <w:szCs w:val="20"/>
              </w:rPr>
              <w:t>Drilling costs fall by 1%/yr</w:t>
            </w:r>
          </w:p>
          <w:p w14:paraId="44761E29" w14:textId="0D91AFAA" w:rsidR="50D9A631" w:rsidRPr="009E1D5B" w:rsidRDefault="50D9A631" w:rsidP="009A12F5">
            <w:pPr>
              <w:pStyle w:val="ListParagraph"/>
              <w:keepNext/>
              <w:numPr>
                <w:ilvl w:val="0"/>
                <w:numId w:val="32"/>
              </w:numPr>
              <w:rPr>
                <w:rFonts w:asciiTheme="minorHAnsi" w:eastAsia="Calibri" w:hAnsiTheme="minorHAnsi" w:cs="Calibri"/>
                <w:sz w:val="22"/>
                <w:szCs w:val="20"/>
              </w:rPr>
            </w:pPr>
            <w:r w:rsidRPr="009E1D5B">
              <w:rPr>
                <w:rFonts w:asciiTheme="minorHAnsi" w:eastAsia="Calibri" w:hAnsiTheme="minorHAnsi" w:cs="Calibri"/>
                <w:sz w:val="22"/>
                <w:szCs w:val="20"/>
              </w:rPr>
              <w:t>Equipment costs fall by 0.5%/yr</w:t>
            </w:r>
          </w:p>
          <w:p w14:paraId="20C7631B" w14:textId="464514E3" w:rsidR="50D9A631" w:rsidRPr="009E1D5B" w:rsidRDefault="50D9A631" w:rsidP="009A12F5">
            <w:pPr>
              <w:pStyle w:val="ListParagraph"/>
              <w:keepNext/>
              <w:numPr>
                <w:ilvl w:val="0"/>
                <w:numId w:val="32"/>
              </w:numPr>
              <w:rPr>
                <w:rFonts w:asciiTheme="minorHAnsi" w:eastAsia="Calibri" w:hAnsiTheme="minorHAnsi" w:cs="Calibri"/>
                <w:sz w:val="22"/>
                <w:szCs w:val="20"/>
              </w:rPr>
            </w:pPr>
            <w:r w:rsidRPr="009E1D5B">
              <w:rPr>
                <w:rFonts w:asciiTheme="minorHAnsi" w:eastAsia="Calibri" w:hAnsiTheme="minorHAnsi" w:cs="Calibri"/>
                <w:sz w:val="22"/>
                <w:szCs w:val="20"/>
              </w:rPr>
              <w:t>Well productivity increase up to 4%/ yr</w:t>
            </w:r>
          </w:p>
        </w:tc>
      </w:tr>
    </w:tbl>
    <w:p w14:paraId="7500A63C" w14:textId="30CDBF03" w:rsidR="00EC58BB" w:rsidRPr="009C70EF" w:rsidRDefault="00EC58BB" w:rsidP="009E1D5B">
      <w:pPr>
        <w:keepNext/>
        <w:rPr>
          <w:rFonts w:eastAsia="Cambria" w:cs="Cambria"/>
          <w:color w:val="000000" w:themeColor="text1"/>
        </w:rPr>
      </w:pPr>
    </w:p>
    <w:p w14:paraId="431225E8" w14:textId="7950D8D7" w:rsidR="00EC58BB" w:rsidRPr="009C70EF" w:rsidRDefault="00CA2022" w:rsidP="0013420E">
      <w:pPr>
        <w:pStyle w:val="Heading3"/>
        <w:rPr>
          <w:rFonts w:eastAsia="Cambria" w:cs="Cambria"/>
          <w:color w:val="000000" w:themeColor="text1"/>
        </w:rPr>
      </w:pPr>
      <w:r>
        <w:t>3.</w:t>
      </w:r>
      <w:r w:rsidR="00956013">
        <w:t>4</w:t>
      </w:r>
      <w:r>
        <w:t xml:space="preserve">.6 – </w:t>
      </w:r>
      <w:r w:rsidR="014259A8" w:rsidRPr="009C70EF">
        <w:t>Short-</w:t>
      </w:r>
      <w:r w:rsidR="00A83AFF" w:rsidRPr="00256E33">
        <w:t>Term Future Natural Gas Prices and Prices Beyond 2050</w:t>
      </w:r>
    </w:p>
    <w:p w14:paraId="6DC60762" w14:textId="2204368D" w:rsidR="00EC58BB" w:rsidRPr="009C70EF" w:rsidRDefault="014259A8" w:rsidP="009C70EF">
      <w:pPr>
        <w:jc w:val="both"/>
        <w:rPr>
          <w:rFonts w:eastAsia="Cambria" w:cs="Cambria"/>
          <w:color w:val="000000" w:themeColor="text1"/>
        </w:rPr>
      </w:pPr>
      <w:r w:rsidRPr="009C70EF">
        <w:rPr>
          <w:rFonts w:eastAsia="Cambria" w:cs="Cambria"/>
          <w:color w:val="000000" w:themeColor="text1"/>
        </w:rPr>
        <w:t xml:space="preserve">The </w:t>
      </w:r>
      <w:r w:rsidR="00607FEB">
        <w:rPr>
          <w:rFonts w:eastAsia="Cambria" w:cs="Cambria"/>
          <w:color w:val="000000" w:themeColor="text1"/>
        </w:rPr>
        <w:t>C</w:t>
      </w:r>
      <w:r w:rsidRPr="009C70EF">
        <w:rPr>
          <w:rFonts w:eastAsia="Cambria" w:cs="Cambria"/>
          <w:color w:val="000000" w:themeColor="text1"/>
        </w:rPr>
        <w:t>ompany adopts average closing prices on the New York Mercantile Exchange (</w:t>
      </w:r>
      <w:r w:rsidR="00607FEB">
        <w:rPr>
          <w:rFonts w:eastAsia="Cambria" w:cs="Cambria"/>
          <w:color w:val="000000" w:themeColor="text1"/>
        </w:rPr>
        <w:t>“</w:t>
      </w:r>
      <w:r w:rsidRPr="009E1D5B">
        <w:rPr>
          <w:rFonts w:eastAsia="Cambria" w:cs="Cambria"/>
          <w:color w:val="000000" w:themeColor="text1"/>
        </w:rPr>
        <w:t>NYMEX</w:t>
      </w:r>
      <w:r w:rsidR="00607FEB">
        <w:rPr>
          <w:rFonts w:eastAsia="Cambria" w:cs="Cambria"/>
          <w:color w:val="000000" w:themeColor="text1"/>
        </w:rPr>
        <w:t>”</w:t>
      </w:r>
      <w:r w:rsidRPr="009C70EF">
        <w:rPr>
          <w:rFonts w:eastAsia="Cambria" w:cs="Cambria"/>
          <w:color w:val="000000" w:themeColor="text1"/>
        </w:rPr>
        <w:t>) of natural gas contracts for future delivery as its short-term natural gas price forecast</w:t>
      </w:r>
      <w:r w:rsidR="00F100EF">
        <w:rPr>
          <w:rFonts w:eastAsia="Cambria" w:cs="Cambria"/>
          <w:color w:val="000000" w:themeColor="text1"/>
        </w:rPr>
        <w:t>.</w:t>
      </w:r>
      <w:r w:rsidR="00437389">
        <w:rPr>
          <w:rFonts w:eastAsia="Cambria" w:cs="Cambria"/>
          <w:color w:val="000000" w:themeColor="text1"/>
        </w:rPr>
        <w:t xml:space="preserve"> </w:t>
      </w:r>
      <w:r w:rsidR="00502B02">
        <w:rPr>
          <w:rFonts w:eastAsia="Cambria" w:cs="Cambria"/>
          <w:color w:val="000000" w:themeColor="text1"/>
        </w:rPr>
        <w:t>For the analyses supporting this IRP, this applied to prices</w:t>
      </w:r>
      <w:r w:rsidRPr="009C70EF">
        <w:rPr>
          <w:rFonts w:eastAsia="Cambria" w:cs="Cambria"/>
          <w:color w:val="000000" w:themeColor="text1"/>
        </w:rPr>
        <w:t xml:space="preserve"> for the </w:t>
      </w:r>
      <w:r w:rsidR="00F100EF">
        <w:rPr>
          <w:rFonts w:eastAsia="Cambria" w:cs="Cambria"/>
          <w:color w:val="000000" w:themeColor="text1"/>
        </w:rPr>
        <w:t xml:space="preserve">remainder of </w:t>
      </w:r>
      <w:r w:rsidRPr="009C70EF">
        <w:rPr>
          <w:rFonts w:eastAsia="Cambria" w:cs="Cambria"/>
          <w:color w:val="000000" w:themeColor="text1"/>
        </w:rPr>
        <w:t>2024,</w:t>
      </w:r>
      <w:r>
        <w:rPr>
          <w:rFonts w:eastAsia="Cambria" w:cs="Cambria"/>
          <w:color w:val="000000" w:themeColor="text1"/>
        </w:rPr>
        <w:t xml:space="preserve"> </w:t>
      </w:r>
      <w:r w:rsidR="00F12FA7">
        <w:rPr>
          <w:rFonts w:eastAsia="Cambria" w:cs="Cambria"/>
          <w:color w:val="000000" w:themeColor="text1"/>
        </w:rPr>
        <w:t xml:space="preserve">for </w:t>
      </w:r>
      <w:r w:rsidRPr="009C70EF">
        <w:rPr>
          <w:rFonts w:eastAsia="Cambria" w:cs="Cambria"/>
          <w:color w:val="000000" w:themeColor="text1"/>
        </w:rPr>
        <w:t>2025</w:t>
      </w:r>
      <w:r w:rsidR="007F28B1">
        <w:rPr>
          <w:rFonts w:eastAsia="Cambria" w:cs="Cambria"/>
          <w:color w:val="000000" w:themeColor="text1"/>
        </w:rPr>
        <w:t>,</w:t>
      </w:r>
      <w:r w:rsidRPr="009C70EF">
        <w:rPr>
          <w:rFonts w:eastAsia="Cambria" w:cs="Cambria"/>
          <w:color w:val="000000" w:themeColor="text1"/>
        </w:rPr>
        <w:t xml:space="preserve"> and </w:t>
      </w:r>
      <w:r w:rsidR="00340686">
        <w:rPr>
          <w:rFonts w:eastAsia="Cambria" w:cs="Cambria"/>
          <w:color w:val="000000" w:themeColor="text1"/>
        </w:rPr>
        <w:t xml:space="preserve">for </w:t>
      </w:r>
      <w:r w:rsidRPr="009C70EF">
        <w:rPr>
          <w:rFonts w:eastAsia="Cambria" w:cs="Cambria"/>
          <w:color w:val="000000" w:themeColor="text1"/>
        </w:rPr>
        <w:t xml:space="preserve">2026. The </w:t>
      </w:r>
      <w:r w:rsidR="00FE7D85">
        <w:rPr>
          <w:rFonts w:eastAsia="Cambria" w:cs="Cambria"/>
          <w:color w:val="000000" w:themeColor="text1"/>
        </w:rPr>
        <w:t>C</w:t>
      </w:r>
      <w:r w:rsidRPr="009C70EF">
        <w:rPr>
          <w:rFonts w:eastAsia="Cambria" w:cs="Cambria"/>
          <w:color w:val="000000" w:themeColor="text1"/>
        </w:rPr>
        <w:t xml:space="preserve">ompany adopts only one short-term view of future natural gas prices. </w:t>
      </w:r>
    </w:p>
    <w:p w14:paraId="1481190A" w14:textId="737C2CAF" w:rsidR="00EC58BB" w:rsidRPr="009C70EF" w:rsidRDefault="014259A8" w:rsidP="009C70EF">
      <w:pPr>
        <w:jc w:val="both"/>
        <w:rPr>
          <w:rFonts w:eastAsia="Cambria" w:cs="Cambria"/>
          <w:color w:val="000000" w:themeColor="text1"/>
        </w:rPr>
      </w:pPr>
      <w:r w:rsidRPr="009C70EF">
        <w:rPr>
          <w:rFonts w:eastAsia="Cambria" w:cs="Cambria"/>
          <w:color w:val="000000" w:themeColor="text1"/>
        </w:rPr>
        <w:t xml:space="preserve">As described above, the </w:t>
      </w:r>
      <w:r w:rsidR="00FE7D85">
        <w:rPr>
          <w:rFonts w:eastAsia="Cambria" w:cs="Cambria"/>
          <w:color w:val="000000" w:themeColor="text1"/>
        </w:rPr>
        <w:t>C</w:t>
      </w:r>
      <w:r w:rsidRPr="009C70EF">
        <w:rPr>
          <w:rFonts w:eastAsia="Cambria" w:cs="Cambria"/>
          <w:color w:val="000000" w:themeColor="text1"/>
        </w:rPr>
        <w:t xml:space="preserve">ompany adopts the three different AEO </w:t>
      </w:r>
      <w:r w:rsidR="034329C0" w:rsidRPr="382B626F">
        <w:rPr>
          <w:rFonts w:eastAsia="Cambria" w:cs="Cambria"/>
          <w:color w:val="000000" w:themeColor="text1"/>
        </w:rPr>
        <w:t>projections</w:t>
      </w:r>
      <w:r w:rsidRPr="009C70EF">
        <w:rPr>
          <w:rFonts w:eastAsia="Cambria" w:cs="Cambria"/>
          <w:color w:val="000000" w:themeColor="text1"/>
        </w:rPr>
        <w:t xml:space="preserve"> described above for 2029 and beyond. The values for 2027 and 2028 are a linear interpolation between the 2026 and 2029 values. The AEO provides price paths through 2050. Beyond 2050, the </w:t>
      </w:r>
      <w:r w:rsidR="008E273C">
        <w:rPr>
          <w:rFonts w:eastAsia="Cambria" w:cs="Cambria"/>
          <w:color w:val="000000" w:themeColor="text1"/>
        </w:rPr>
        <w:t>C</w:t>
      </w:r>
      <w:r w:rsidRPr="009C70EF">
        <w:rPr>
          <w:rFonts w:eastAsia="Cambria" w:cs="Cambria"/>
          <w:color w:val="000000" w:themeColor="text1"/>
        </w:rPr>
        <w:t>ompany extrapolates the price path from its slope for its last 10 years</w:t>
      </w:r>
      <w:r w:rsidR="00FA50C1">
        <w:rPr>
          <w:rFonts w:eastAsia="Cambria" w:cs="Cambria"/>
          <w:color w:val="000000" w:themeColor="text1"/>
        </w:rPr>
        <w:t>, as</w:t>
      </w:r>
      <w:r w:rsidRPr="009C70EF">
        <w:rPr>
          <w:rFonts w:eastAsia="Cambria" w:cs="Cambria"/>
          <w:color w:val="000000" w:themeColor="text1"/>
        </w:rPr>
        <w:t xml:space="preserve"> illustrated in Figure </w:t>
      </w:r>
      <w:r w:rsidR="00256E33">
        <w:rPr>
          <w:rFonts w:eastAsia="Cambria" w:cs="Cambria"/>
          <w:color w:val="000000" w:themeColor="text1"/>
        </w:rPr>
        <w:t>3.</w:t>
      </w:r>
      <w:r w:rsidR="00E23D54">
        <w:rPr>
          <w:rFonts w:eastAsia="Cambria" w:cs="Cambria"/>
          <w:color w:val="000000" w:themeColor="text1"/>
        </w:rPr>
        <w:t>4</w:t>
      </w:r>
      <w:r w:rsidR="00256E33">
        <w:rPr>
          <w:rFonts w:eastAsia="Cambria" w:cs="Cambria"/>
          <w:color w:val="000000" w:themeColor="text1"/>
        </w:rPr>
        <w:t>E</w:t>
      </w:r>
      <w:r w:rsidRPr="009C70EF">
        <w:rPr>
          <w:rFonts w:eastAsia="Cambria" w:cs="Cambria"/>
          <w:color w:val="000000" w:themeColor="text1"/>
        </w:rPr>
        <w:t>.</w:t>
      </w:r>
    </w:p>
    <w:p w14:paraId="14823E6C" w14:textId="6EB73E1C" w:rsidR="1D3F2DD6" w:rsidRDefault="1D3F2DD6" w:rsidP="1D3F2DD6">
      <w:pPr>
        <w:jc w:val="both"/>
        <w:rPr>
          <w:rFonts w:eastAsia="Cambria" w:cs="Cambria"/>
          <w:color w:val="000000" w:themeColor="text1"/>
        </w:rPr>
      </w:pPr>
    </w:p>
    <w:p w14:paraId="62C39AFC" w14:textId="159D5BB0" w:rsidR="00EC58BB" w:rsidRPr="009E1D5B" w:rsidRDefault="014259A8" w:rsidP="009E1D5B">
      <w:pPr>
        <w:keepNext/>
        <w:jc w:val="center"/>
        <w:rPr>
          <w:i/>
        </w:rPr>
      </w:pPr>
      <w:r w:rsidRPr="009E1D5B">
        <w:rPr>
          <w:i/>
        </w:rPr>
        <w:lastRenderedPageBreak/>
        <w:t xml:space="preserve">Figure </w:t>
      </w:r>
      <w:r w:rsidR="00256E33">
        <w:rPr>
          <w:i/>
          <w:iCs/>
        </w:rPr>
        <w:t>3.</w:t>
      </w:r>
      <w:r w:rsidR="00956013">
        <w:rPr>
          <w:i/>
          <w:iCs/>
        </w:rPr>
        <w:t>4</w:t>
      </w:r>
      <w:r w:rsidR="00256E33">
        <w:rPr>
          <w:i/>
          <w:iCs/>
        </w:rPr>
        <w:t>E</w:t>
      </w:r>
      <w:r w:rsidRPr="009E1D5B">
        <w:rPr>
          <w:i/>
        </w:rPr>
        <w:t>: Views of future price of Natural Gas at Henry Hub</w:t>
      </w:r>
    </w:p>
    <w:p w14:paraId="010A3815" w14:textId="3E224B71" w:rsidR="00EC58BB" w:rsidRPr="007C7590" w:rsidRDefault="240531B1" w:rsidP="009C70EF">
      <w:pPr>
        <w:jc w:val="center"/>
      </w:pPr>
      <w:r>
        <w:rPr>
          <w:noProof/>
        </w:rPr>
        <w:drawing>
          <wp:inline distT="0" distB="0" distL="0" distR="0" wp14:anchorId="6C4A34B7" wp14:editId="53E97543">
            <wp:extent cx="5943600" cy="3524250"/>
            <wp:effectExtent l="0" t="0" r="0" b="0"/>
            <wp:docPr id="1530473180" name="Picture 153047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5943600" cy="3524250"/>
                    </a:xfrm>
                    <a:prstGeom prst="rect">
                      <a:avLst/>
                    </a:prstGeom>
                  </pic:spPr>
                </pic:pic>
              </a:graphicData>
            </a:graphic>
          </wp:inline>
        </w:drawing>
      </w:r>
    </w:p>
    <w:p w14:paraId="410C2A89" w14:textId="67B13415" w:rsidR="00EC58BB" w:rsidRPr="00256E33" w:rsidRDefault="00CA2022" w:rsidP="00547FAA">
      <w:pPr>
        <w:pStyle w:val="Heading3"/>
      </w:pPr>
      <w:r>
        <w:t>3.</w:t>
      </w:r>
      <w:r w:rsidR="00165D8F">
        <w:t>4</w:t>
      </w:r>
      <w:r>
        <w:t xml:space="preserve">.7 – </w:t>
      </w:r>
      <w:r w:rsidR="014259A8" w:rsidRPr="00547FAA">
        <w:t xml:space="preserve">Future </w:t>
      </w:r>
      <w:r w:rsidR="00537CA0" w:rsidRPr="00256E33">
        <w:t xml:space="preserve">Coal </w:t>
      </w:r>
      <w:r w:rsidR="014259A8" w:rsidRPr="00256E33">
        <w:t xml:space="preserve">and </w:t>
      </w:r>
      <w:r w:rsidR="00537CA0" w:rsidRPr="00256E33">
        <w:t>O</w:t>
      </w:r>
      <w:r w:rsidR="014259A8" w:rsidRPr="00256E33">
        <w:t xml:space="preserve">il </w:t>
      </w:r>
      <w:r w:rsidR="00537CA0" w:rsidRPr="00256E33">
        <w:t>P</w:t>
      </w:r>
      <w:r w:rsidR="014259A8" w:rsidRPr="00256E33">
        <w:t>rices</w:t>
      </w:r>
    </w:p>
    <w:p w14:paraId="0F36F0F0" w14:textId="3982B614" w:rsidR="00EC58BB" w:rsidRPr="009E1D5B" w:rsidRDefault="014259A8" w:rsidP="009E1D5B">
      <w:pPr>
        <w:jc w:val="both"/>
        <w:rPr>
          <w:rFonts w:eastAsia="Cambria" w:cs="Cambria"/>
          <w:color w:val="000000" w:themeColor="text1"/>
        </w:rPr>
      </w:pPr>
      <w:r w:rsidRPr="009E1D5B">
        <w:rPr>
          <w:rFonts w:eastAsia="Cambria" w:cs="Cambria"/>
          <w:color w:val="000000" w:themeColor="text1"/>
        </w:rPr>
        <w:t xml:space="preserve">The </w:t>
      </w:r>
      <w:r w:rsidR="0060624D">
        <w:rPr>
          <w:rFonts w:eastAsia="Cambria" w:cs="Cambria"/>
          <w:color w:val="000000" w:themeColor="text1"/>
        </w:rPr>
        <w:t>future</w:t>
      </w:r>
      <w:r w:rsidRPr="009E1D5B">
        <w:rPr>
          <w:rFonts w:eastAsia="Cambria" w:cs="Cambria"/>
          <w:color w:val="000000" w:themeColor="text1"/>
        </w:rPr>
        <w:t xml:space="preserve"> price of coal and oil is also uncertain. For </w:t>
      </w:r>
      <w:r w:rsidR="005B1C0D">
        <w:rPr>
          <w:rFonts w:eastAsia="Cambria" w:cs="Cambria"/>
          <w:color w:val="000000" w:themeColor="text1"/>
        </w:rPr>
        <w:t>B</w:t>
      </w:r>
      <w:r w:rsidRPr="009E1D5B">
        <w:rPr>
          <w:rFonts w:eastAsia="Cambria" w:cs="Cambria"/>
          <w:color w:val="000000" w:themeColor="text1"/>
        </w:rPr>
        <w:t xml:space="preserve">2025, the </w:t>
      </w:r>
      <w:r w:rsidR="005B1C0D">
        <w:rPr>
          <w:rFonts w:eastAsia="Cambria" w:cs="Cambria"/>
          <w:color w:val="000000" w:themeColor="text1"/>
        </w:rPr>
        <w:t>C</w:t>
      </w:r>
      <w:r w:rsidRPr="009E1D5B">
        <w:rPr>
          <w:rFonts w:eastAsia="Cambria" w:cs="Cambria"/>
          <w:color w:val="000000" w:themeColor="text1"/>
        </w:rPr>
        <w:t>ompany has adopted three different views of future coal prices and three different views of future oil prices. These views are the coal and oil price paths from the AEO 2023 Reference, High Oil and Gas Supply</w:t>
      </w:r>
      <w:r w:rsidR="005B1C0D">
        <w:rPr>
          <w:rFonts w:eastAsia="Cambria" w:cs="Cambria"/>
          <w:color w:val="000000" w:themeColor="text1"/>
        </w:rPr>
        <w:t>,</w:t>
      </w:r>
      <w:r w:rsidRPr="00B60B51">
        <w:rPr>
          <w:rFonts w:eastAsia="Cambria" w:cs="Cambria"/>
          <w:color w:val="000000" w:themeColor="text1"/>
        </w:rPr>
        <w:t xml:space="preserve"> and Low Oil and Gas Supply cases.</w:t>
      </w:r>
      <w:r>
        <w:rPr>
          <w:rFonts w:eastAsia="Cambria" w:cs="Cambria"/>
          <w:color w:val="000000" w:themeColor="text1"/>
        </w:rPr>
        <w:t xml:space="preserve"> </w:t>
      </w:r>
      <w:r w:rsidRPr="009E1D5B">
        <w:rPr>
          <w:rFonts w:eastAsia="Cambria" w:cs="Cambria"/>
          <w:color w:val="000000" w:themeColor="text1"/>
        </w:rPr>
        <w:t xml:space="preserve">These price paths are illustrated in Figures </w:t>
      </w:r>
      <w:r w:rsidR="00256E33">
        <w:rPr>
          <w:rFonts w:eastAsia="Cambria" w:cs="Cambria"/>
          <w:color w:val="000000" w:themeColor="text1"/>
        </w:rPr>
        <w:t>3.</w:t>
      </w:r>
      <w:r w:rsidR="00E23D54">
        <w:rPr>
          <w:rFonts w:eastAsia="Cambria" w:cs="Cambria"/>
          <w:color w:val="000000" w:themeColor="text1"/>
        </w:rPr>
        <w:t>4</w:t>
      </w:r>
      <w:r w:rsidR="00256E33">
        <w:rPr>
          <w:rFonts w:eastAsia="Cambria" w:cs="Cambria"/>
          <w:color w:val="000000" w:themeColor="text1"/>
        </w:rPr>
        <w:t>F-3.</w:t>
      </w:r>
      <w:r w:rsidR="00E23D54">
        <w:rPr>
          <w:rFonts w:eastAsia="Cambria" w:cs="Cambria"/>
          <w:color w:val="000000" w:themeColor="text1"/>
        </w:rPr>
        <w:t>4</w:t>
      </w:r>
      <w:r w:rsidR="00256E33">
        <w:rPr>
          <w:rFonts w:eastAsia="Cambria" w:cs="Cambria"/>
          <w:color w:val="000000" w:themeColor="text1"/>
        </w:rPr>
        <w:t>I</w:t>
      </w:r>
      <w:r w:rsidRPr="009E1D5B">
        <w:rPr>
          <w:rFonts w:eastAsia="Cambria" w:cs="Cambria"/>
          <w:color w:val="000000" w:themeColor="text1"/>
        </w:rPr>
        <w:t xml:space="preserve">. </w:t>
      </w:r>
    </w:p>
    <w:p w14:paraId="3555E41B" w14:textId="23FFF609" w:rsidR="00EC58BB" w:rsidRPr="009E1D5B" w:rsidRDefault="014259A8" w:rsidP="009E1D5B">
      <w:pPr>
        <w:jc w:val="both"/>
        <w:rPr>
          <w:rFonts w:eastAsia="Cambria" w:cs="Cambria"/>
          <w:color w:val="000000" w:themeColor="text1"/>
        </w:rPr>
      </w:pPr>
      <w:r w:rsidRPr="009E1D5B">
        <w:rPr>
          <w:rFonts w:eastAsia="Cambria" w:cs="Cambria"/>
          <w:color w:val="000000" w:themeColor="text1"/>
        </w:rPr>
        <w:t>The relationship between the future price of coal and the future supply of oil and gas is not straightforward. In general, coal and natural gas are substitutes for each other</w:t>
      </w:r>
      <w:r w:rsidR="00EB589C">
        <w:rPr>
          <w:rFonts w:eastAsia="Cambria" w:cs="Cambria"/>
          <w:color w:val="000000" w:themeColor="text1"/>
        </w:rPr>
        <w:t>,</w:t>
      </w:r>
      <w:r w:rsidRPr="009E1D5B">
        <w:rPr>
          <w:rFonts w:eastAsia="Cambria" w:cs="Cambria"/>
          <w:color w:val="000000" w:themeColor="text1"/>
        </w:rPr>
        <w:t xml:space="preserve"> so when the price of gas is higher, the quantity of coal demanded</w:t>
      </w:r>
      <w:r w:rsidR="00594031">
        <w:rPr>
          <w:rFonts w:eastAsia="Cambria" w:cs="Cambria"/>
          <w:color w:val="000000" w:themeColor="text1"/>
        </w:rPr>
        <w:t xml:space="preserve">, </w:t>
      </w:r>
      <w:r w:rsidRPr="009E1D5B">
        <w:rPr>
          <w:rFonts w:eastAsia="Cambria" w:cs="Cambria"/>
          <w:color w:val="000000" w:themeColor="text1"/>
        </w:rPr>
        <w:t>and thus its equilibrium price</w:t>
      </w:r>
      <w:r w:rsidR="00594031">
        <w:rPr>
          <w:rFonts w:eastAsia="Cambria" w:cs="Cambria"/>
          <w:color w:val="000000" w:themeColor="text1"/>
        </w:rPr>
        <w:t xml:space="preserve">, </w:t>
      </w:r>
      <w:r w:rsidRPr="009E1D5B">
        <w:rPr>
          <w:rFonts w:eastAsia="Cambria" w:cs="Cambria"/>
          <w:color w:val="000000" w:themeColor="text1"/>
        </w:rPr>
        <w:t>is higher. Because the overall growth of the U</w:t>
      </w:r>
      <w:r w:rsidR="005B1C0D">
        <w:rPr>
          <w:rFonts w:eastAsia="Cambria" w:cs="Cambria"/>
          <w:color w:val="000000" w:themeColor="text1"/>
        </w:rPr>
        <w:t>.</w:t>
      </w:r>
      <w:r w:rsidRPr="00B60B51">
        <w:rPr>
          <w:rFonts w:eastAsia="Cambria" w:cs="Cambria"/>
          <w:color w:val="000000" w:themeColor="text1"/>
        </w:rPr>
        <w:t>S</w:t>
      </w:r>
      <w:r w:rsidR="005B1C0D">
        <w:rPr>
          <w:rFonts w:eastAsia="Cambria" w:cs="Cambria"/>
          <w:color w:val="000000" w:themeColor="text1"/>
        </w:rPr>
        <w:t>.</w:t>
      </w:r>
      <w:r w:rsidRPr="009E1D5B">
        <w:rPr>
          <w:rFonts w:eastAsia="Cambria" w:cs="Cambria"/>
          <w:color w:val="000000" w:themeColor="text1"/>
        </w:rPr>
        <w:t xml:space="preserve"> economy can be sensitive to the price of oil and natural gas</w:t>
      </w:r>
      <w:r w:rsidR="006360F4">
        <w:rPr>
          <w:rFonts w:eastAsia="Cambria" w:cs="Cambria"/>
          <w:color w:val="000000" w:themeColor="text1"/>
        </w:rPr>
        <w:t>,</w:t>
      </w:r>
      <w:r w:rsidRPr="00B60B51">
        <w:rPr>
          <w:rFonts w:eastAsia="Cambria" w:cs="Cambria"/>
          <w:color w:val="000000" w:themeColor="text1"/>
        </w:rPr>
        <w:t xml:space="preserve"> however, lower future prices of natural gas can increase overall economic growth enough to increase the price of coal too. These competing effects can be seen in the coal </w:t>
      </w:r>
      <w:r w:rsidR="007F34DC">
        <w:rPr>
          <w:rFonts w:eastAsia="Cambria" w:cs="Cambria"/>
          <w:color w:val="000000" w:themeColor="text1"/>
        </w:rPr>
        <w:t xml:space="preserve">price </w:t>
      </w:r>
      <w:r w:rsidRPr="00B60B51">
        <w:rPr>
          <w:rFonts w:eastAsia="Cambria" w:cs="Cambria"/>
          <w:color w:val="000000" w:themeColor="text1"/>
        </w:rPr>
        <w:t xml:space="preserve">diagrams that follow. The </w:t>
      </w:r>
      <w:r w:rsidR="007F34DC">
        <w:rPr>
          <w:rFonts w:eastAsia="Cambria" w:cs="Cambria"/>
          <w:color w:val="000000" w:themeColor="text1"/>
        </w:rPr>
        <w:t>AEO</w:t>
      </w:r>
      <w:r w:rsidRPr="009E1D5B">
        <w:rPr>
          <w:rFonts w:eastAsia="Cambria" w:cs="Cambria"/>
          <w:color w:val="000000" w:themeColor="text1"/>
        </w:rPr>
        <w:t xml:space="preserve"> does not consider cases that directly involve higher or lower views of the future price of coal. </w:t>
      </w:r>
    </w:p>
    <w:p w14:paraId="6939D973" w14:textId="670D3A57" w:rsidR="00EC58BB" w:rsidRPr="009E1D5B" w:rsidRDefault="014259A8" w:rsidP="009E1D5B">
      <w:pPr>
        <w:keepNext/>
        <w:jc w:val="center"/>
        <w:rPr>
          <w:i/>
        </w:rPr>
      </w:pPr>
      <w:r w:rsidRPr="009E1D5B">
        <w:rPr>
          <w:i/>
        </w:rPr>
        <w:lastRenderedPageBreak/>
        <w:t xml:space="preserve">Figure </w:t>
      </w:r>
      <w:r w:rsidR="00256E33">
        <w:rPr>
          <w:i/>
          <w:iCs/>
        </w:rPr>
        <w:t>3.</w:t>
      </w:r>
      <w:r w:rsidR="00165D8F">
        <w:rPr>
          <w:i/>
          <w:iCs/>
        </w:rPr>
        <w:t>4</w:t>
      </w:r>
      <w:r w:rsidR="00256E33">
        <w:rPr>
          <w:i/>
          <w:iCs/>
        </w:rPr>
        <w:t>F</w:t>
      </w:r>
      <w:r w:rsidRPr="009E1D5B">
        <w:rPr>
          <w:i/>
        </w:rPr>
        <w:t xml:space="preserve">: Views of future price of coal at mine, by scenario, Central Appalachia: Medium Sulfur Bituminous </w:t>
      </w:r>
    </w:p>
    <w:p w14:paraId="248EF728" w14:textId="449119D9" w:rsidR="00EC58BB" w:rsidRPr="007C7590" w:rsidRDefault="3C223F3D" w:rsidP="009E1D5B">
      <w:pPr>
        <w:jc w:val="center"/>
      </w:pPr>
      <w:r>
        <w:rPr>
          <w:noProof/>
        </w:rPr>
        <w:drawing>
          <wp:inline distT="0" distB="0" distL="0" distR="0" wp14:anchorId="5807D7F9" wp14:editId="0CA44C22">
            <wp:extent cx="5230821" cy="3273836"/>
            <wp:effectExtent l="0" t="0" r="0" b="0"/>
            <wp:docPr id="1910611887" name="Picture 191061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5230821" cy="3273836"/>
                    </a:xfrm>
                    <a:prstGeom prst="rect">
                      <a:avLst/>
                    </a:prstGeom>
                  </pic:spPr>
                </pic:pic>
              </a:graphicData>
            </a:graphic>
          </wp:inline>
        </w:drawing>
      </w:r>
    </w:p>
    <w:p w14:paraId="462C67C1" w14:textId="115DEA48" w:rsidR="00EC58BB" w:rsidRPr="007C7590" w:rsidRDefault="00EC58BB">
      <w:pPr>
        <w:rPr>
          <w:rFonts w:ascii="Cambria" w:eastAsia="Cambria" w:hAnsi="Cambria" w:cs="Cambria"/>
          <w:color w:val="000000" w:themeColor="text1"/>
          <w:sz w:val="24"/>
          <w:szCs w:val="24"/>
        </w:rPr>
      </w:pPr>
    </w:p>
    <w:p w14:paraId="058685EE" w14:textId="7F96CC71" w:rsidR="00EC58BB" w:rsidRPr="007C7590" w:rsidRDefault="00EC58BB">
      <w:pPr>
        <w:rPr>
          <w:rFonts w:ascii="Cambria" w:eastAsia="Cambria" w:hAnsi="Cambria" w:cs="Cambria"/>
          <w:color w:val="000000" w:themeColor="text1"/>
          <w:sz w:val="24"/>
          <w:szCs w:val="24"/>
        </w:rPr>
      </w:pPr>
    </w:p>
    <w:p w14:paraId="618F84FC" w14:textId="6E4BEA6E" w:rsidR="00EC58BB" w:rsidRPr="007C7590" w:rsidRDefault="014259A8" w:rsidP="009E1D5B">
      <w:pPr>
        <w:jc w:val="center"/>
      </w:pPr>
      <w:r w:rsidRPr="009E1D5B">
        <w:rPr>
          <w:i/>
        </w:rPr>
        <w:t xml:space="preserve">Figure </w:t>
      </w:r>
      <w:r w:rsidR="00256E33">
        <w:rPr>
          <w:i/>
          <w:iCs/>
        </w:rPr>
        <w:t>3.</w:t>
      </w:r>
      <w:r w:rsidR="00165D8F">
        <w:rPr>
          <w:i/>
          <w:iCs/>
        </w:rPr>
        <w:t>4</w:t>
      </w:r>
      <w:r w:rsidR="00256E33">
        <w:rPr>
          <w:i/>
          <w:iCs/>
        </w:rPr>
        <w:t>G</w:t>
      </w:r>
      <w:r w:rsidRPr="009E1D5B">
        <w:rPr>
          <w:i/>
        </w:rPr>
        <w:t xml:space="preserve">: Views of future price of coal at mine, by scenario, Illinois Basin </w:t>
      </w:r>
      <w:r w:rsidR="2D5AB5CC">
        <w:rPr>
          <w:noProof/>
        </w:rPr>
        <w:drawing>
          <wp:inline distT="0" distB="0" distL="0" distR="0" wp14:anchorId="64FC9433" wp14:editId="4DD5267B">
            <wp:extent cx="5157664" cy="3164098"/>
            <wp:effectExtent l="0" t="0" r="0" b="0"/>
            <wp:docPr id="1766117966" name="Picture 1766117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5157664" cy="3164098"/>
                    </a:xfrm>
                    <a:prstGeom prst="rect">
                      <a:avLst/>
                    </a:prstGeom>
                  </pic:spPr>
                </pic:pic>
              </a:graphicData>
            </a:graphic>
          </wp:inline>
        </w:drawing>
      </w:r>
    </w:p>
    <w:p w14:paraId="3948A1C3" w14:textId="77777777" w:rsidR="00256E33" w:rsidRDefault="00256E33" w:rsidP="00B60B51">
      <w:pPr>
        <w:keepNext/>
        <w:jc w:val="center"/>
        <w:rPr>
          <w:i/>
        </w:rPr>
      </w:pPr>
    </w:p>
    <w:p w14:paraId="44830188" w14:textId="1F5516D1" w:rsidR="00EC58BB" w:rsidRPr="00B60B51" w:rsidRDefault="014259A8" w:rsidP="00B60B51">
      <w:pPr>
        <w:keepNext/>
        <w:jc w:val="center"/>
        <w:rPr>
          <w:i/>
        </w:rPr>
      </w:pPr>
      <w:r w:rsidRPr="00B60B51">
        <w:rPr>
          <w:i/>
        </w:rPr>
        <w:t xml:space="preserve">Figure </w:t>
      </w:r>
      <w:r w:rsidR="00256E33">
        <w:rPr>
          <w:i/>
          <w:iCs/>
        </w:rPr>
        <w:t>3.</w:t>
      </w:r>
      <w:r w:rsidR="00CF3D48">
        <w:rPr>
          <w:i/>
          <w:iCs/>
        </w:rPr>
        <w:t>4</w:t>
      </w:r>
      <w:r w:rsidR="00256E33">
        <w:rPr>
          <w:i/>
          <w:iCs/>
        </w:rPr>
        <w:t>H</w:t>
      </w:r>
      <w:r w:rsidRPr="00B60B51">
        <w:rPr>
          <w:i/>
        </w:rPr>
        <w:t>: Views of future price of coal at mine, by scenario, Powder River Basin</w:t>
      </w:r>
    </w:p>
    <w:p w14:paraId="57F03125" w14:textId="1376E792" w:rsidR="00EC58BB" w:rsidRPr="007C7590" w:rsidRDefault="0C8C0A92" w:rsidP="00B60B51">
      <w:pPr>
        <w:jc w:val="center"/>
      </w:pPr>
      <w:r>
        <w:rPr>
          <w:noProof/>
        </w:rPr>
        <w:drawing>
          <wp:inline distT="0" distB="0" distL="0" distR="0" wp14:anchorId="0DEFFBD5" wp14:editId="24617948">
            <wp:extent cx="5127178" cy="3115326"/>
            <wp:effectExtent l="0" t="0" r="0" b="0"/>
            <wp:docPr id="24165700" name="Picture 24165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5127178" cy="3115326"/>
                    </a:xfrm>
                    <a:prstGeom prst="rect">
                      <a:avLst/>
                    </a:prstGeom>
                  </pic:spPr>
                </pic:pic>
              </a:graphicData>
            </a:graphic>
          </wp:inline>
        </w:drawing>
      </w:r>
    </w:p>
    <w:p w14:paraId="7B7441B3" w14:textId="3387A0F8" w:rsidR="00EC58BB" w:rsidRPr="00B60B51" w:rsidRDefault="014259A8" w:rsidP="00B60B51">
      <w:pPr>
        <w:keepNext/>
        <w:jc w:val="center"/>
        <w:rPr>
          <w:i/>
        </w:rPr>
      </w:pPr>
      <w:r w:rsidRPr="00B60B51">
        <w:rPr>
          <w:i/>
        </w:rPr>
        <w:t xml:space="preserve">Figure </w:t>
      </w:r>
      <w:r w:rsidR="00256E33">
        <w:rPr>
          <w:i/>
          <w:iCs/>
        </w:rPr>
        <w:t>3.</w:t>
      </w:r>
      <w:r w:rsidR="00CF3D48">
        <w:rPr>
          <w:i/>
          <w:iCs/>
        </w:rPr>
        <w:t>4</w:t>
      </w:r>
      <w:r w:rsidR="00256E33">
        <w:rPr>
          <w:i/>
          <w:iCs/>
        </w:rPr>
        <w:t>I</w:t>
      </w:r>
      <w:r w:rsidRPr="00B60B51">
        <w:rPr>
          <w:i/>
        </w:rPr>
        <w:t>: Views of future price of oil, West Texas Intermediate</w:t>
      </w:r>
    </w:p>
    <w:p w14:paraId="617ED291" w14:textId="7CB853A2" w:rsidR="00EC58BB" w:rsidRPr="007C7590" w:rsidRDefault="3958F6F2" w:rsidP="00B60B51">
      <w:pPr>
        <w:jc w:val="center"/>
      </w:pPr>
      <w:r>
        <w:rPr>
          <w:noProof/>
        </w:rPr>
        <w:drawing>
          <wp:inline distT="0" distB="0" distL="0" distR="0" wp14:anchorId="0E0AB719" wp14:editId="02C53E4F">
            <wp:extent cx="5194240" cy="3170195"/>
            <wp:effectExtent l="0" t="0" r="0" b="0"/>
            <wp:docPr id="703403783" name="Picture 70340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5194240" cy="3170195"/>
                    </a:xfrm>
                    <a:prstGeom prst="rect">
                      <a:avLst/>
                    </a:prstGeom>
                  </pic:spPr>
                </pic:pic>
              </a:graphicData>
            </a:graphic>
          </wp:inline>
        </w:drawing>
      </w:r>
    </w:p>
    <w:p w14:paraId="211F1497" w14:textId="5FFBAD1A" w:rsidR="00EC58BB" w:rsidRPr="00B60B51" w:rsidRDefault="008B15F5" w:rsidP="00285696">
      <w:pPr>
        <w:pStyle w:val="Heading2"/>
        <w:rPr>
          <w:rFonts w:eastAsia="Cambria" w:cs="Cambria"/>
          <w:color w:val="000000" w:themeColor="text1"/>
        </w:rPr>
      </w:pPr>
      <w:bookmarkStart w:id="21" w:name="_Toc189122747"/>
      <w:r>
        <w:t>3.</w:t>
      </w:r>
      <w:r w:rsidR="00B4318B">
        <w:t>5</w:t>
      </w:r>
      <w:r>
        <w:t xml:space="preserve"> – </w:t>
      </w:r>
      <w:r w:rsidR="014259A8" w:rsidRPr="00B60B51">
        <w:t>Conclusion</w:t>
      </w:r>
      <w:bookmarkEnd w:id="21"/>
    </w:p>
    <w:p w14:paraId="3AC4F465" w14:textId="5B0E01D3" w:rsidR="00EC58BB" w:rsidRPr="007C7590" w:rsidRDefault="014259A8" w:rsidP="00DC322E">
      <w:pPr>
        <w:jc w:val="both"/>
      </w:pPr>
      <w:r w:rsidRPr="00B60B51">
        <w:rPr>
          <w:rFonts w:eastAsia="Cambria" w:cs="Cambria"/>
          <w:color w:val="000000" w:themeColor="text1"/>
        </w:rPr>
        <w:t>The scenario planning process provides a framework for understanding and considering the impact of key uncertainties in resource planning</w:t>
      </w:r>
      <w:r w:rsidR="00CA2C2D">
        <w:rPr>
          <w:rFonts w:eastAsia="Cambria" w:cs="Cambria"/>
          <w:color w:val="000000" w:themeColor="text1"/>
        </w:rPr>
        <w:t xml:space="preserve">, </w:t>
      </w:r>
      <w:r w:rsidR="009D364A">
        <w:rPr>
          <w:rFonts w:eastAsia="Cambria" w:cs="Cambria"/>
          <w:color w:val="000000" w:themeColor="text1"/>
        </w:rPr>
        <w:t xml:space="preserve">and in so doing, </w:t>
      </w:r>
      <w:r w:rsidR="00D159F5">
        <w:rPr>
          <w:rFonts w:eastAsia="Cambria" w:cs="Cambria"/>
          <w:color w:val="000000" w:themeColor="text1"/>
        </w:rPr>
        <w:t>aids the Company in</w:t>
      </w:r>
      <w:r w:rsidRPr="00B60B51">
        <w:rPr>
          <w:rFonts w:eastAsia="Cambria" w:cs="Cambria"/>
          <w:color w:val="000000" w:themeColor="text1"/>
        </w:rPr>
        <w:t xml:space="preserve"> making appropriate resource planning decisions when faced with future uncertainties.</w:t>
      </w:r>
      <w:r w:rsidR="5E66F578" w:rsidRPr="382B626F">
        <w:rPr>
          <w:rFonts w:eastAsia="Cambria" w:cs="Cambria"/>
          <w:color w:val="000000" w:themeColor="text1"/>
        </w:rPr>
        <w:t xml:space="preserve"> </w:t>
      </w:r>
      <w:r w:rsidR="00EC58BB" w:rsidRPr="00F46E72">
        <w:br w:type="page"/>
      </w:r>
    </w:p>
    <w:p w14:paraId="5F25C63B" w14:textId="77777777" w:rsidR="005D2995" w:rsidRDefault="005D2995" w:rsidP="005D2995">
      <w:pPr>
        <w:pStyle w:val="Heading1"/>
      </w:pPr>
      <w:bookmarkStart w:id="22" w:name="_Toc185523321"/>
      <w:bookmarkStart w:id="23" w:name="_Toc189122748"/>
      <w:r>
        <w:lastRenderedPageBreak/>
        <w:t>Chapter 4. Economic Development</w:t>
      </w:r>
      <w:bookmarkEnd w:id="22"/>
      <w:bookmarkEnd w:id="23"/>
    </w:p>
    <w:p w14:paraId="7B7B2ECD" w14:textId="1FDE16C6" w:rsidR="00F0530D" w:rsidRPr="00B60B51" w:rsidRDefault="00F0530D" w:rsidP="008E2091">
      <w:pPr>
        <w:jc w:val="both"/>
        <w:rPr>
          <w:rFonts w:eastAsia="Cambria" w:cs="Cambria"/>
          <w:color w:val="000000" w:themeColor="text1"/>
        </w:rPr>
      </w:pPr>
      <w:r w:rsidRPr="00B60B51">
        <w:t>Georgia</w:t>
      </w:r>
      <w:r w:rsidR="008F7F75">
        <w:t>’</w:t>
      </w:r>
      <w:r w:rsidRPr="00B60B51">
        <w:t>s state-led, co</w:t>
      </w:r>
      <w:r w:rsidRPr="00B60B51">
        <w:rPr>
          <w:rFonts w:eastAsia="Cambria" w:cs="Cambria"/>
          <w:color w:val="000000" w:themeColor="text1"/>
        </w:rPr>
        <w:t xml:space="preserve">mprehensive, and dynamic economic development strategy </w:t>
      </w:r>
      <w:r w:rsidR="007E7617">
        <w:t xml:space="preserve">provides </w:t>
      </w:r>
      <w:r w:rsidR="007E7617" w:rsidRPr="00B60B51">
        <w:t xml:space="preserve">significant </w:t>
      </w:r>
      <w:r w:rsidR="007E7617">
        <w:t>benefits</w:t>
      </w:r>
      <w:r w:rsidR="007E7617" w:rsidRPr="00B60B51">
        <w:t xml:space="preserve"> to Georgia</w:t>
      </w:r>
      <w:r w:rsidR="007E7617">
        <w:t>ns</w:t>
      </w:r>
      <w:r w:rsidR="007E7617" w:rsidRPr="00B60B51">
        <w:t>, including job creation</w:t>
      </w:r>
      <w:r w:rsidR="007E7617">
        <w:t xml:space="preserve">, business retention, </w:t>
      </w:r>
      <w:r w:rsidR="007E7617" w:rsidRPr="00B60B51">
        <w:t>and investments that support the long-term success of Georgia’s communities. Georgia Power actively support</w:t>
      </w:r>
      <w:r w:rsidR="007E7617">
        <w:t>s</w:t>
      </w:r>
      <w:r w:rsidR="007E7617" w:rsidRPr="00B60B51">
        <w:t xml:space="preserve"> </w:t>
      </w:r>
      <w:r w:rsidR="007E7617">
        <w:t>Georgia’s economic development</w:t>
      </w:r>
      <w:r w:rsidR="007E7617" w:rsidRPr="00B60B51">
        <w:t xml:space="preserve"> efforts </w:t>
      </w:r>
      <w:r w:rsidR="007E7617">
        <w:t>and</w:t>
      </w:r>
      <w:r w:rsidR="007E7617" w:rsidRPr="00B60B51">
        <w:t xml:space="preserve"> </w:t>
      </w:r>
      <w:r w:rsidR="007E7617">
        <w:t xml:space="preserve">believes in </w:t>
      </w:r>
      <w:r w:rsidR="007E7617" w:rsidRPr="00C47E13">
        <w:t>the</w:t>
      </w:r>
      <w:r w:rsidR="007E7617">
        <w:t xml:space="preserve"> </w:t>
      </w:r>
      <w:r w:rsidR="007E7617" w:rsidRPr="00B60B51">
        <w:t xml:space="preserve">benefits </w:t>
      </w:r>
      <w:r w:rsidR="007E7617">
        <w:t xml:space="preserve">that a growing Georgia provides </w:t>
      </w:r>
      <w:r w:rsidR="007E7617" w:rsidRPr="00B60B51">
        <w:t xml:space="preserve">for </w:t>
      </w:r>
      <w:r w:rsidR="007E7617">
        <w:t xml:space="preserve">all </w:t>
      </w:r>
      <w:r w:rsidR="007E7617" w:rsidRPr="00B60B51">
        <w:t xml:space="preserve">Georgians. </w:t>
      </w:r>
      <w:r w:rsidR="007E7617">
        <w:t xml:space="preserve">Economic development momentum remains strong in Georgia, with approximately $45 billion in capital investment and 65,000 jobs added to the state’s economy since the end of Fiscal Year 2022. </w:t>
      </w:r>
      <w:r w:rsidR="007E7617" w:rsidRPr="00B60B51">
        <w:rPr>
          <w:rFonts w:eastAsia="Cambria" w:cs="Cambria"/>
        </w:rPr>
        <w:t xml:space="preserve">In September 2024, the state announced another </w:t>
      </w:r>
      <w:r w:rsidR="007E7617">
        <w:t xml:space="preserve">strong </w:t>
      </w:r>
      <w:r w:rsidR="007E7617" w:rsidRPr="00B60B51">
        <w:rPr>
          <w:rFonts w:eastAsia="Cambria" w:cs="Cambria"/>
        </w:rPr>
        <w:t>year of economic development,</w:t>
      </w:r>
      <w:r w:rsidRPr="00B60B51">
        <w:rPr>
          <w:rFonts w:eastAsia="Cambria" w:cs="Cambria"/>
        </w:rPr>
        <w:t xml:space="preserve"> with 429 facility expansions and new locations “</w:t>
      </w:r>
      <w:r w:rsidRPr="00B60B51">
        <w:rPr>
          <w:rFonts w:eastAsia="Cambria" w:cs="Cambria"/>
          <w:color w:val="000000" w:themeColor="text1"/>
        </w:rPr>
        <w:t>resulting in more than $20.3 billion in investment, and the commitment of 26,900 new, private sector jobs statewide</w:t>
      </w:r>
      <w:r w:rsidR="00C51074" w:rsidRPr="00B60B51">
        <w:rPr>
          <w:rFonts w:eastAsia="Cambria" w:cs="Cambria"/>
          <w:color w:val="000000" w:themeColor="text1"/>
        </w:rPr>
        <w:t>”</w:t>
      </w:r>
      <w:r w:rsidR="00C51074" w:rsidRPr="00B60B51">
        <w:rPr>
          <w:rFonts w:eastAsia="Cambria" w:cs="Cambria"/>
          <w:color w:val="000000" w:themeColor="text1"/>
          <w:vertAlign w:val="superscript"/>
        </w:rPr>
        <w:footnoteReference w:id="12"/>
      </w:r>
      <w:r w:rsidRPr="00B60B51">
        <w:rPr>
          <w:rFonts w:eastAsia="Cambria" w:cs="Cambria"/>
          <w:color w:val="000000" w:themeColor="text1"/>
        </w:rPr>
        <w:t xml:space="preserve"> between July 1, 2023, and June 30, 2024</w:t>
      </w:r>
      <w:r w:rsidRPr="00B60B51">
        <w:rPr>
          <w:rFonts w:eastAsia="Cambria" w:cs="Cambria"/>
        </w:rPr>
        <w:t xml:space="preserve"> (“Fiscal Year 2024”).</w:t>
      </w:r>
    </w:p>
    <w:p w14:paraId="2A739DB9" w14:textId="56832EE9" w:rsidR="00F0530D" w:rsidRPr="00B60B51" w:rsidRDefault="00B4238E" w:rsidP="008E2091">
      <w:pPr>
        <w:jc w:val="both"/>
        <w:rPr>
          <w:rFonts w:eastAsia="Cambria" w:cs="Cambria"/>
          <w:color w:val="000000" w:themeColor="text1"/>
        </w:rPr>
      </w:pPr>
      <w:r>
        <w:t>New and expanding e</w:t>
      </w:r>
      <w:r w:rsidR="00F0530D" w:rsidRPr="00B4318B">
        <w:t>conomic development projects in Georgia have progressed more rapidly and on a larger scale than in previous years</w:t>
      </w:r>
      <w:r w:rsidR="00505322">
        <w:t xml:space="preserve">. </w:t>
      </w:r>
      <w:r w:rsidR="00FB0205">
        <w:rPr>
          <w:rFonts w:eastAsia="Cambria" w:cs="Cambria"/>
          <w:color w:val="000000" w:themeColor="text1"/>
        </w:rPr>
        <w:t>G</w:t>
      </w:r>
      <w:r w:rsidR="00706F45" w:rsidRPr="00B60B51">
        <w:rPr>
          <w:rFonts w:eastAsia="Cambria" w:cs="Cambria"/>
          <w:color w:val="000000" w:themeColor="text1"/>
        </w:rPr>
        <w:t>rowth in</w:t>
      </w:r>
      <w:r w:rsidR="00F0530D" w:rsidRPr="00B60B51">
        <w:rPr>
          <w:rFonts w:eastAsia="Cambria" w:cs="Cambria"/>
          <w:color w:val="000000" w:themeColor="text1"/>
        </w:rPr>
        <w:t xml:space="preserve"> emerging industries </w:t>
      </w:r>
      <w:r w:rsidR="009F6927">
        <w:rPr>
          <w:rFonts w:eastAsia="Cambria" w:cs="Cambria"/>
          <w:color w:val="000000" w:themeColor="text1"/>
        </w:rPr>
        <w:t>such as</w:t>
      </w:r>
      <w:r w:rsidR="00F0530D" w:rsidRPr="00B60B51">
        <w:rPr>
          <w:rFonts w:eastAsia="Cambria" w:cs="Cambria"/>
          <w:color w:val="000000" w:themeColor="text1"/>
        </w:rPr>
        <w:t xml:space="preserve"> electric transportation (</w:t>
      </w:r>
      <w:r w:rsidR="009334B4">
        <w:rPr>
          <w:rFonts w:eastAsia="Cambria" w:cs="Cambria"/>
          <w:color w:val="000000" w:themeColor="text1"/>
        </w:rPr>
        <w:t>“</w:t>
      </w:r>
      <w:r w:rsidR="00F0530D" w:rsidRPr="00B60B51">
        <w:rPr>
          <w:rFonts w:eastAsia="Cambria" w:cs="Cambria"/>
          <w:color w:val="000000" w:themeColor="text1"/>
        </w:rPr>
        <w:t>ET</w:t>
      </w:r>
      <w:r w:rsidR="009334B4">
        <w:rPr>
          <w:rFonts w:eastAsia="Cambria" w:cs="Cambria"/>
          <w:color w:val="000000" w:themeColor="text1"/>
        </w:rPr>
        <w:t>”</w:t>
      </w:r>
      <w:r w:rsidR="00F0530D" w:rsidRPr="00B60B51">
        <w:rPr>
          <w:rFonts w:eastAsia="Cambria" w:cs="Cambria"/>
          <w:color w:val="000000" w:themeColor="text1"/>
        </w:rPr>
        <w:t>)</w:t>
      </w:r>
      <w:r w:rsidR="009334B4">
        <w:rPr>
          <w:rFonts w:eastAsia="Cambria" w:cs="Cambria"/>
          <w:color w:val="000000" w:themeColor="text1"/>
        </w:rPr>
        <w:t>, data centers,</w:t>
      </w:r>
      <w:r w:rsidR="00F0530D" w:rsidRPr="00B60B51">
        <w:rPr>
          <w:rFonts w:eastAsia="Cambria" w:cs="Cambria"/>
          <w:color w:val="000000" w:themeColor="text1"/>
        </w:rPr>
        <w:t xml:space="preserve"> and solar manufacturing </w:t>
      </w:r>
      <w:r w:rsidR="004A3C48">
        <w:rPr>
          <w:rFonts w:eastAsia="Cambria" w:cs="Cambria"/>
          <w:color w:val="000000" w:themeColor="text1"/>
        </w:rPr>
        <w:t xml:space="preserve">have </w:t>
      </w:r>
      <w:r w:rsidR="00F0530D" w:rsidRPr="00B60B51">
        <w:rPr>
          <w:rFonts w:eastAsia="Cambria" w:cs="Cambria"/>
          <w:color w:val="000000" w:themeColor="text1"/>
        </w:rPr>
        <w:t>accelerat</w:t>
      </w:r>
      <w:r w:rsidR="004A3C48">
        <w:rPr>
          <w:rFonts w:eastAsia="Cambria" w:cs="Cambria"/>
          <w:color w:val="000000" w:themeColor="text1"/>
        </w:rPr>
        <w:t>ed</w:t>
      </w:r>
      <w:r w:rsidR="00F0530D" w:rsidRPr="00B60B51">
        <w:rPr>
          <w:rFonts w:eastAsia="Cambria" w:cs="Cambria"/>
          <w:color w:val="000000" w:themeColor="text1"/>
        </w:rPr>
        <w:t xml:space="preserve"> since 2021. Fiscal Year 2024 saw considerable growth across </w:t>
      </w:r>
      <w:r w:rsidR="00A215B4">
        <w:rPr>
          <w:rFonts w:eastAsia="Cambria" w:cs="Cambria"/>
          <w:color w:val="000000" w:themeColor="text1"/>
        </w:rPr>
        <w:t xml:space="preserve">numerous </w:t>
      </w:r>
      <w:r w:rsidR="00F0530D" w:rsidRPr="00B60B51">
        <w:rPr>
          <w:rFonts w:eastAsia="Cambria" w:cs="Cambria"/>
          <w:color w:val="000000" w:themeColor="text1"/>
        </w:rPr>
        <w:t>industries, particularly in energy-intensive manufacturing</w:t>
      </w:r>
      <w:r w:rsidR="00053F7C">
        <w:rPr>
          <w:rFonts w:eastAsia="Cambria" w:cs="Cambria"/>
          <w:color w:val="000000" w:themeColor="text1"/>
        </w:rPr>
        <w:t xml:space="preserve"> and technology</w:t>
      </w:r>
      <w:r w:rsidR="00F0530D" w:rsidRPr="00B60B51">
        <w:rPr>
          <w:rFonts w:eastAsia="Cambria" w:cs="Cambria"/>
          <w:color w:val="000000" w:themeColor="text1"/>
        </w:rPr>
        <w:t xml:space="preserve">. </w:t>
      </w:r>
      <w:r w:rsidR="005D2549">
        <w:rPr>
          <w:rFonts w:eastAsia="Cambria" w:cs="Cambria"/>
          <w:color w:val="000000" w:themeColor="text1"/>
        </w:rPr>
        <w:t>“</w:t>
      </w:r>
      <w:r w:rsidR="00F0530D" w:rsidRPr="00B60B51">
        <w:rPr>
          <w:rFonts w:eastAsia="Cambria" w:cs="Cambria"/>
          <w:color w:val="000000" w:themeColor="text1"/>
        </w:rPr>
        <w:t>Manufacturing, including the aerospace, automotive, and e-mobility sectors, accounted for over 50% of expansions or new locations in FY2024.</w:t>
      </w:r>
      <w:r w:rsidR="005D2549">
        <w:rPr>
          <w:rFonts w:eastAsia="Cambria" w:cs="Cambria"/>
          <w:color w:val="000000" w:themeColor="text1"/>
        </w:rPr>
        <w:t>”</w:t>
      </w:r>
      <w:r w:rsidR="00C51074" w:rsidRPr="00B60B51">
        <w:rPr>
          <w:rFonts w:eastAsia="Cambria" w:cs="Cambria"/>
          <w:color w:val="000000" w:themeColor="text1"/>
          <w:vertAlign w:val="superscript"/>
        </w:rPr>
        <w:footnoteReference w:id="13"/>
      </w:r>
      <w:r w:rsidR="00F0530D" w:rsidRPr="00B60B51">
        <w:rPr>
          <w:rFonts w:eastAsia="Cambria" w:cs="Cambria"/>
          <w:color w:val="000000" w:themeColor="text1"/>
          <w:vertAlign w:val="superscript"/>
        </w:rPr>
        <w:t xml:space="preserve"> </w:t>
      </w:r>
      <w:r w:rsidR="00F0530D" w:rsidRPr="00B60B51">
        <w:rPr>
          <w:rFonts w:eastAsia="Cambria" w:cs="Cambria"/>
          <w:color w:val="000000" w:themeColor="text1"/>
        </w:rPr>
        <w:t xml:space="preserve">By mid-2024, the manufacturing sector led </w:t>
      </w:r>
      <w:r w:rsidR="005D2549">
        <w:rPr>
          <w:rFonts w:eastAsia="Cambria" w:cs="Cambria"/>
          <w:color w:val="000000" w:themeColor="text1"/>
        </w:rPr>
        <w:t xml:space="preserve">in both </w:t>
      </w:r>
      <w:r w:rsidR="00F0530D" w:rsidRPr="00B60B51">
        <w:rPr>
          <w:rFonts w:eastAsia="Cambria" w:cs="Cambria"/>
          <w:color w:val="000000" w:themeColor="text1"/>
        </w:rPr>
        <w:t>investment and job creation in Georgia, representing 53% of job growth and 54% of capital investment in the state.</w:t>
      </w:r>
    </w:p>
    <w:p w14:paraId="4D735664" w14:textId="24AD1F90" w:rsidR="00F0530D" w:rsidRPr="00B60B51" w:rsidRDefault="00F0530D" w:rsidP="008E2091">
      <w:pPr>
        <w:jc w:val="both"/>
        <w:rPr>
          <w:rFonts w:eastAsia="Cambria" w:cs="Cambria"/>
          <w:color w:val="000000" w:themeColor="text1"/>
        </w:rPr>
      </w:pPr>
      <w:r w:rsidRPr="00B4318B">
        <w:t>In February 2024, Georgia achieved its third consecutive record-breaking year for trade exports,</w:t>
      </w:r>
      <w:r w:rsidR="00D42EFC">
        <w:t xml:space="preserve"> “</w:t>
      </w:r>
      <w:r w:rsidRPr="00B4318B">
        <w:t>surpassing the previous record by $2.7 billion.</w:t>
      </w:r>
      <w:r w:rsidR="00D42EFC">
        <w:t>”</w:t>
      </w:r>
      <w:r w:rsidR="000E045B" w:rsidRPr="00B4318B">
        <w:rPr>
          <w:vertAlign w:val="superscript"/>
        </w:rPr>
        <w:footnoteReference w:id="14"/>
      </w:r>
      <w:r w:rsidRPr="00B4318B">
        <w:t xml:space="preserve"> Th</w:t>
      </w:r>
      <w:r w:rsidR="00B60670">
        <w:t>is</w:t>
      </w:r>
      <w:r w:rsidRPr="00B4318B">
        <w:t xml:space="preserve"> </w:t>
      </w:r>
      <w:r w:rsidR="001128AC">
        <w:t>data</w:t>
      </w:r>
      <w:r w:rsidR="001128AC" w:rsidRPr="00B4318B">
        <w:t xml:space="preserve"> </w:t>
      </w:r>
      <w:r w:rsidRPr="00B4318B">
        <w:t>highlight</w:t>
      </w:r>
      <w:r w:rsidR="001128AC">
        <w:t>s</w:t>
      </w:r>
      <w:r w:rsidRPr="00B4318B">
        <w:t xml:space="preserve"> the rapid and significant economic development</w:t>
      </w:r>
      <w:r w:rsidR="005216B9">
        <w:t xml:space="preserve"> taking place</w:t>
      </w:r>
      <w:r w:rsidRPr="00B4318B">
        <w:t xml:space="preserve"> in Georgia over the past three years, </w:t>
      </w:r>
      <w:r w:rsidR="00A55B58">
        <w:t xml:space="preserve">which is </w:t>
      </w:r>
      <w:r w:rsidR="00C258C6">
        <w:t>supported by</w:t>
      </w:r>
      <w:r w:rsidRPr="00B4318B">
        <w:t xml:space="preserve"> the state</w:t>
      </w:r>
      <w:r w:rsidR="00027A6B" w:rsidRPr="00B4318B">
        <w:t>’</w:t>
      </w:r>
      <w:r w:rsidRPr="00B4318B">
        <w:t xml:space="preserve">s 12 international offices. Much of this growth </w:t>
      </w:r>
      <w:r w:rsidR="008B2CA3">
        <w:t>comes from international</w:t>
      </w:r>
      <w:r w:rsidRPr="00B4318B">
        <w:t xml:space="preserve"> companies</w:t>
      </w:r>
      <w:r w:rsidR="008B2CA3">
        <w:t xml:space="preserve"> seeking to do</w:t>
      </w:r>
      <w:r w:rsidR="008E2489">
        <w:t xml:space="preserve"> business in Georgia. </w:t>
      </w:r>
      <w:r w:rsidR="00BA1032">
        <w:t>For example, companies</w:t>
      </w:r>
      <w:r w:rsidRPr="00B4318B">
        <w:t xml:space="preserve"> from Korea</w:t>
      </w:r>
      <w:r w:rsidR="00176B13">
        <w:t xml:space="preserve"> have</w:t>
      </w:r>
      <w:r w:rsidRPr="00B4318B">
        <w:t xml:space="preserve"> significantly bolster</w:t>
      </w:r>
      <w:r w:rsidR="00176B13">
        <w:t>ed</w:t>
      </w:r>
      <w:r w:rsidRPr="00B4318B">
        <w:t xml:space="preserve"> EV and battery investments</w:t>
      </w:r>
      <w:r w:rsidR="00027A6B" w:rsidRPr="00B4318B">
        <w:t xml:space="preserve"> in the state</w:t>
      </w:r>
      <w:r w:rsidRPr="00B4318B">
        <w:t xml:space="preserve">. Figure </w:t>
      </w:r>
      <w:r w:rsidR="00B05844">
        <w:t>4</w:t>
      </w:r>
      <w:r w:rsidRPr="00B4318B">
        <w:t xml:space="preserve"> depicts economic development trends in job creation and capital investment </w:t>
      </w:r>
      <w:r w:rsidR="0097024B">
        <w:t xml:space="preserve">for Georgia </w:t>
      </w:r>
      <w:r w:rsidR="003B4143">
        <w:t xml:space="preserve">for </w:t>
      </w:r>
      <w:r w:rsidRPr="00B4318B">
        <w:t>Fiscal Year</w:t>
      </w:r>
      <w:r w:rsidR="003B4143">
        <w:t>s</w:t>
      </w:r>
      <w:r w:rsidR="003B4143">
        <w:rPr>
          <w:rStyle w:val="FootnoteReference"/>
        </w:rPr>
        <w:footnoteReference w:id="15"/>
      </w:r>
      <w:r w:rsidR="003B4143">
        <w:t xml:space="preserve"> 2018 through 2024</w:t>
      </w:r>
      <w:r w:rsidRPr="00B4318B">
        <w:t>.</w:t>
      </w:r>
      <w:r w:rsidR="00594AA0">
        <w:t xml:space="preserve"> </w:t>
      </w:r>
    </w:p>
    <w:p w14:paraId="0E7C746E" w14:textId="18EE53F2" w:rsidR="009E3402" w:rsidRPr="008909D3" w:rsidRDefault="009E3402" w:rsidP="000E6296">
      <w:pPr>
        <w:keepNext/>
        <w:keepLines/>
        <w:jc w:val="center"/>
        <w:rPr>
          <w:i/>
          <w:iCs/>
        </w:rPr>
      </w:pPr>
      <w:r w:rsidRPr="008909D3">
        <w:rPr>
          <w:i/>
          <w:iCs/>
        </w:rPr>
        <w:lastRenderedPageBreak/>
        <w:t xml:space="preserve">Figure </w:t>
      </w:r>
      <w:r w:rsidR="00256E33">
        <w:rPr>
          <w:i/>
          <w:iCs/>
        </w:rPr>
        <w:t>4</w:t>
      </w:r>
      <w:r w:rsidRPr="008909D3">
        <w:rPr>
          <w:i/>
          <w:iCs/>
        </w:rPr>
        <w:t>: Georgia Economic Development Historical Trends</w:t>
      </w:r>
      <w:r w:rsidR="00B764C2">
        <w:rPr>
          <w:rStyle w:val="FootnoteReference"/>
          <w:i/>
          <w:iCs/>
        </w:rPr>
        <w:footnoteReference w:id="16"/>
      </w:r>
    </w:p>
    <w:p w14:paraId="477D65E6" w14:textId="4D16DC30" w:rsidR="00EC1943" w:rsidRDefault="005B43E6" w:rsidP="00B60B51">
      <w:pPr>
        <w:jc w:val="center"/>
      </w:pPr>
      <w:r w:rsidRPr="00034BF7">
        <w:rPr>
          <w:rFonts w:ascii="Aptos" w:eastAsiaTheme="majorEastAsia" w:hAnsi="Aptos" w:cs="Segoe UI"/>
          <w:noProof/>
        </w:rPr>
        <w:drawing>
          <wp:inline distT="0" distB="0" distL="0" distR="0" wp14:anchorId="0B596A8F" wp14:editId="480764C1">
            <wp:extent cx="5486400" cy="3200400"/>
            <wp:effectExtent l="0" t="0" r="0" b="0"/>
            <wp:docPr id="97382163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4E07DD49" w14:textId="36A739C8" w:rsidR="00263E27" w:rsidRDefault="002C5DE1" w:rsidP="00B60B51">
      <w:pPr>
        <w:pStyle w:val="paragraph"/>
        <w:spacing w:before="120" w:beforeAutospacing="0" w:after="120" w:afterAutospacing="0"/>
        <w:jc w:val="both"/>
        <w:textAlignment w:val="baseline"/>
        <w:rPr>
          <w:rFonts w:asciiTheme="minorHAnsi" w:eastAsia="Cambria" w:hAnsiTheme="minorHAnsi" w:cs="Cambria"/>
          <w:color w:val="000000" w:themeColor="text1"/>
          <w:kern w:val="2"/>
          <w:sz w:val="22"/>
          <w:szCs w:val="22"/>
          <w14:ligatures w14:val="standardContextual"/>
        </w:rPr>
      </w:pPr>
      <w:r w:rsidRPr="0C64020F">
        <w:rPr>
          <w:rFonts w:asciiTheme="minorHAnsi" w:eastAsia="Cambria" w:hAnsiTheme="minorHAnsi" w:cs="Cambria"/>
          <w:color w:val="000000" w:themeColor="text1"/>
          <w:kern w:val="2"/>
          <w:sz w:val="22"/>
          <w:szCs w:val="22"/>
          <w14:ligatures w14:val="standardContextual"/>
        </w:rPr>
        <w:t xml:space="preserve">Georgia has consistently been recognized as a </w:t>
      </w:r>
      <w:r w:rsidR="003E59B2">
        <w:rPr>
          <w:rFonts w:asciiTheme="minorHAnsi" w:eastAsia="Cambria" w:hAnsiTheme="minorHAnsi" w:cs="Cambria"/>
          <w:color w:val="000000" w:themeColor="text1"/>
          <w:kern w:val="2"/>
          <w:sz w:val="22"/>
          <w:szCs w:val="22"/>
          <w14:ligatures w14:val="standardContextual"/>
        </w:rPr>
        <w:t xml:space="preserve">top </w:t>
      </w:r>
      <w:r w:rsidRPr="0C64020F">
        <w:rPr>
          <w:rFonts w:asciiTheme="minorHAnsi" w:eastAsia="Cambria" w:hAnsiTheme="minorHAnsi" w:cs="Cambria"/>
          <w:color w:val="000000" w:themeColor="text1"/>
          <w:kern w:val="2"/>
          <w:sz w:val="22"/>
          <w:szCs w:val="22"/>
          <w14:ligatures w14:val="standardContextual"/>
        </w:rPr>
        <w:t>state for business. In September 2024, Area Development magazine named Georgia the Top State for Business for the eleventh consecutive year.</w:t>
      </w:r>
      <w:r w:rsidR="00E362A5" w:rsidRPr="0C64020F">
        <w:rPr>
          <w:rFonts w:asciiTheme="minorHAnsi" w:eastAsia="Cambria" w:hAnsiTheme="minorHAnsi" w:cs="Cambria"/>
          <w:color w:val="000000" w:themeColor="text1"/>
          <w:kern w:val="2"/>
          <w:sz w:val="22"/>
          <w:szCs w:val="22"/>
          <w:vertAlign w:val="superscript"/>
          <w14:ligatures w14:val="standardContextual"/>
        </w:rPr>
        <w:footnoteReference w:id="17"/>
      </w:r>
      <w:r w:rsidRPr="0C64020F">
        <w:rPr>
          <w:rFonts w:asciiTheme="minorHAnsi" w:eastAsia="Cambria" w:hAnsiTheme="minorHAnsi" w:cs="Cambria"/>
          <w:color w:val="000000" w:themeColor="text1"/>
          <w:kern w:val="2"/>
          <w:sz w:val="22"/>
          <w:szCs w:val="22"/>
          <w14:ligatures w14:val="standardContextual"/>
        </w:rPr>
        <w:t xml:space="preserve"> The announcement highlighted Georgia</w:t>
      </w:r>
      <w:r w:rsidR="00027A6B" w:rsidRPr="0C64020F">
        <w:rPr>
          <w:rFonts w:asciiTheme="minorHAnsi" w:eastAsia="Cambria" w:hAnsiTheme="minorHAnsi" w:cs="Cambria"/>
          <w:color w:val="000000" w:themeColor="text1"/>
          <w:kern w:val="2"/>
          <w:sz w:val="22"/>
          <w:szCs w:val="22"/>
          <w14:ligatures w14:val="standardContextual"/>
        </w:rPr>
        <w:t>’</w:t>
      </w:r>
      <w:r w:rsidRPr="0C64020F">
        <w:rPr>
          <w:rFonts w:asciiTheme="minorHAnsi" w:eastAsia="Cambria" w:hAnsiTheme="minorHAnsi" w:cs="Cambria"/>
          <w:color w:val="000000" w:themeColor="text1"/>
          <w:kern w:val="2"/>
          <w:sz w:val="22"/>
          <w:szCs w:val="22"/>
          <w14:ligatures w14:val="standardContextual"/>
        </w:rPr>
        <w:t xml:space="preserve">s top 10 rankings in each survey category, including workforce availability, cost of doing business, cooperative and responsive state government, energy availability and costs, logistics and infrastructure, and site readiness programs. </w:t>
      </w:r>
      <w:r w:rsidR="00550291" w:rsidRPr="00550291">
        <w:rPr>
          <w:rFonts w:asciiTheme="minorHAnsi" w:eastAsia="Cambria" w:hAnsiTheme="minorHAnsi" w:cs="Cambria"/>
          <w:color w:val="000000" w:themeColor="text1"/>
          <w:kern w:val="2"/>
          <w:sz w:val="22"/>
          <w:szCs w:val="22"/>
          <w14:ligatures w14:val="standardContextual"/>
        </w:rPr>
        <w:t>Most recently,</w:t>
      </w:r>
      <w:r w:rsidR="00550291" w:rsidRPr="00550291">
        <w:rPr>
          <w:rFonts w:asciiTheme="minorHAnsi" w:eastAsia="Cambria" w:hAnsiTheme="minorHAnsi" w:cs="Cambria"/>
          <w:b/>
          <w:bCs/>
          <w:color w:val="000000" w:themeColor="text1"/>
          <w:kern w:val="2"/>
          <w:sz w:val="22"/>
          <w:szCs w:val="22"/>
          <w14:ligatures w14:val="standardContextual"/>
        </w:rPr>
        <w:t xml:space="preserve"> </w:t>
      </w:r>
      <w:r w:rsidR="00550291" w:rsidRPr="00550291">
        <w:rPr>
          <w:rFonts w:asciiTheme="minorHAnsi" w:eastAsia="Cambria" w:hAnsiTheme="minorHAnsi" w:cs="Cambria"/>
          <w:color w:val="000000" w:themeColor="text1"/>
          <w:kern w:val="2"/>
          <w:sz w:val="22"/>
          <w:szCs w:val="22"/>
          <w14:ligatures w14:val="standardContextual"/>
        </w:rPr>
        <w:t>Georgia was named the number one state for Best Business Climate by a survey of site selection experts in Site Selection magazine’s January 2025 edition.</w:t>
      </w:r>
      <w:r w:rsidR="00550291" w:rsidRPr="00550291">
        <w:rPr>
          <w:rFonts w:asciiTheme="minorHAnsi" w:eastAsia="Cambria" w:hAnsiTheme="minorHAnsi" w:cs="Cambria"/>
          <w:color w:val="000000" w:themeColor="text1"/>
          <w:kern w:val="2"/>
          <w:sz w:val="22"/>
          <w:szCs w:val="22"/>
          <w:vertAlign w:val="superscript"/>
          <w14:ligatures w14:val="standardContextual"/>
        </w:rPr>
        <w:footnoteReference w:id="18"/>
      </w:r>
    </w:p>
    <w:p w14:paraId="5D6C4890" w14:textId="739BEC57" w:rsidR="002C5DE1" w:rsidRPr="00B60B51" w:rsidRDefault="002C5DE1" w:rsidP="00B60B51">
      <w:pPr>
        <w:pStyle w:val="paragraph"/>
        <w:spacing w:before="120" w:beforeAutospacing="0" w:after="120" w:afterAutospacing="0"/>
        <w:jc w:val="both"/>
        <w:textAlignment w:val="baseline"/>
        <w:rPr>
          <w:rFonts w:asciiTheme="minorHAnsi" w:eastAsia="Cambria" w:hAnsiTheme="minorHAnsi" w:cs="Cambria"/>
          <w:color w:val="000000" w:themeColor="text1"/>
          <w:kern w:val="2"/>
          <w:sz w:val="22"/>
          <w:szCs w:val="22"/>
          <w14:ligatures w14:val="standardContextual"/>
        </w:rPr>
      </w:pPr>
      <w:r w:rsidRPr="0C64020F">
        <w:rPr>
          <w:rFonts w:asciiTheme="minorHAnsi" w:eastAsia="Cambria" w:hAnsiTheme="minorHAnsi" w:cs="Cambria"/>
          <w:color w:val="000000" w:themeColor="text1"/>
          <w:kern w:val="2"/>
          <w:sz w:val="22"/>
          <w:szCs w:val="22"/>
          <w14:ligatures w14:val="standardContextual"/>
        </w:rPr>
        <w:t xml:space="preserve">Additionally, Business Facilities magazine ranked Georgia as the </w:t>
      </w:r>
      <w:r w:rsidR="0064743C">
        <w:rPr>
          <w:rFonts w:asciiTheme="minorHAnsi" w:eastAsia="Cambria" w:hAnsiTheme="minorHAnsi" w:cs="Cambria"/>
          <w:color w:val="000000" w:themeColor="text1"/>
          <w:kern w:val="2"/>
          <w:sz w:val="22"/>
          <w:szCs w:val="22"/>
          <w14:ligatures w14:val="standardContextual"/>
        </w:rPr>
        <w:t>number one</w:t>
      </w:r>
      <w:r w:rsidRPr="0C64020F">
        <w:rPr>
          <w:rFonts w:asciiTheme="minorHAnsi" w:eastAsia="Cambria" w:hAnsiTheme="minorHAnsi" w:cs="Cambria"/>
          <w:color w:val="000000" w:themeColor="text1"/>
          <w:kern w:val="2"/>
          <w:sz w:val="22"/>
          <w:szCs w:val="22"/>
          <w14:ligatures w14:val="standardContextual"/>
        </w:rPr>
        <w:t xml:space="preserve"> state for EV investments and among the top 10 states for food processing, cybersecurity, aerospace and defense, and </w:t>
      </w:r>
      <w:r w:rsidR="005D4602">
        <w:rPr>
          <w:rFonts w:asciiTheme="minorHAnsi" w:eastAsia="Cambria" w:hAnsiTheme="minorHAnsi" w:cs="Cambria"/>
          <w:color w:val="000000" w:themeColor="text1"/>
          <w:kern w:val="2"/>
          <w:sz w:val="22"/>
          <w:szCs w:val="22"/>
          <w14:ligatures w14:val="standardContextual"/>
        </w:rPr>
        <w:t>Artificial Intelligence (“</w:t>
      </w:r>
      <w:r w:rsidR="00CA36B8" w:rsidRPr="00B60B51">
        <w:rPr>
          <w:rFonts w:asciiTheme="minorHAnsi" w:eastAsia="Cambria" w:hAnsiTheme="minorHAnsi" w:cs="Cambria"/>
          <w:color w:val="000000" w:themeColor="text1"/>
          <w:kern w:val="2"/>
          <w:sz w:val="22"/>
          <w:szCs w:val="22"/>
          <w14:ligatures w14:val="standardContextual"/>
        </w:rPr>
        <w:t>AI</w:t>
      </w:r>
      <w:r w:rsidR="005D4602">
        <w:rPr>
          <w:rFonts w:asciiTheme="minorHAnsi" w:eastAsia="Cambria" w:hAnsiTheme="minorHAnsi" w:cs="Cambria"/>
          <w:color w:val="000000" w:themeColor="text1"/>
          <w:kern w:val="2"/>
          <w:sz w:val="22"/>
          <w:szCs w:val="22"/>
          <w14:ligatures w14:val="standardContextual"/>
        </w:rPr>
        <w:t>”)</w:t>
      </w:r>
      <w:r w:rsidR="00CA36B8" w:rsidRPr="00B60B51">
        <w:rPr>
          <w:rFonts w:asciiTheme="minorHAnsi" w:eastAsia="Cambria" w:hAnsiTheme="minorHAnsi" w:cs="Cambria"/>
          <w:color w:val="000000" w:themeColor="text1"/>
          <w:kern w:val="2"/>
          <w:sz w:val="22"/>
          <w:szCs w:val="22"/>
          <w14:ligatures w14:val="standardContextual"/>
        </w:rPr>
        <w:t xml:space="preserve"> growth.</w:t>
      </w:r>
      <w:r w:rsidR="00CA36B8">
        <w:rPr>
          <w:rStyle w:val="FootnoteReference"/>
          <w:rFonts w:asciiTheme="minorHAnsi" w:eastAsia="Cambria" w:hAnsiTheme="minorHAnsi" w:cs="Cambria"/>
          <w:color w:val="000000" w:themeColor="text1"/>
          <w:kern w:val="2"/>
          <w:sz w:val="22"/>
          <w:szCs w:val="22"/>
          <w14:ligatures w14:val="standardContextual"/>
        </w:rPr>
        <w:footnoteReference w:id="19"/>
      </w:r>
      <w:r w:rsidRPr="0C64020F">
        <w:rPr>
          <w:rFonts w:asciiTheme="minorHAnsi" w:eastAsia="Cambria" w:hAnsiTheme="minorHAnsi" w:cs="Cambria"/>
          <w:color w:val="000000" w:themeColor="text1"/>
          <w:kern w:val="2"/>
          <w:sz w:val="22"/>
          <w:szCs w:val="22"/>
          <w14:ligatures w14:val="standardContextual"/>
        </w:rPr>
        <w:t xml:space="preserve"> In July 2024, CNBC rated Georgia as the </w:t>
      </w:r>
      <w:r w:rsidR="00E33800">
        <w:rPr>
          <w:rFonts w:asciiTheme="minorHAnsi" w:eastAsia="Cambria" w:hAnsiTheme="minorHAnsi" w:cs="Cambria"/>
          <w:color w:val="000000" w:themeColor="text1"/>
          <w:kern w:val="2"/>
          <w:sz w:val="22"/>
          <w:szCs w:val="22"/>
          <w14:ligatures w14:val="standardContextual"/>
        </w:rPr>
        <w:t>number one</w:t>
      </w:r>
      <w:r w:rsidRPr="0C64020F">
        <w:rPr>
          <w:rFonts w:asciiTheme="minorHAnsi" w:eastAsia="Cambria" w:hAnsiTheme="minorHAnsi" w:cs="Cambria"/>
          <w:color w:val="000000" w:themeColor="text1"/>
          <w:kern w:val="2"/>
          <w:sz w:val="22"/>
          <w:szCs w:val="22"/>
          <w14:ligatures w14:val="standardContextual"/>
        </w:rPr>
        <w:t xml:space="preserve"> </w:t>
      </w:r>
      <w:r w:rsidR="00CA36B8">
        <w:rPr>
          <w:rFonts w:asciiTheme="minorHAnsi" w:eastAsia="Cambria" w:hAnsiTheme="minorHAnsi" w:cs="Cambria"/>
          <w:color w:val="000000" w:themeColor="text1"/>
          <w:kern w:val="2"/>
          <w:sz w:val="22"/>
          <w:szCs w:val="22"/>
          <w14:ligatures w14:val="standardContextual"/>
        </w:rPr>
        <w:t>s</w:t>
      </w:r>
      <w:r w:rsidR="00CA36B8" w:rsidRPr="0C64020F">
        <w:rPr>
          <w:rFonts w:asciiTheme="minorHAnsi" w:eastAsia="Cambria" w:hAnsiTheme="minorHAnsi" w:cs="Cambria"/>
          <w:color w:val="000000" w:themeColor="text1"/>
          <w:kern w:val="2"/>
          <w:sz w:val="22"/>
          <w:szCs w:val="22"/>
          <w14:ligatures w14:val="standardContextual"/>
        </w:rPr>
        <w:t xml:space="preserve">tate </w:t>
      </w:r>
      <w:r w:rsidRPr="0C64020F">
        <w:rPr>
          <w:rFonts w:asciiTheme="minorHAnsi" w:eastAsia="Cambria" w:hAnsiTheme="minorHAnsi" w:cs="Cambria"/>
          <w:color w:val="000000" w:themeColor="text1"/>
          <w:kern w:val="2"/>
          <w:sz w:val="22"/>
          <w:szCs w:val="22"/>
          <w14:ligatures w14:val="standardContextual"/>
        </w:rPr>
        <w:t xml:space="preserve">for </w:t>
      </w:r>
      <w:r w:rsidR="00CA36B8">
        <w:rPr>
          <w:rFonts w:asciiTheme="minorHAnsi" w:eastAsia="Cambria" w:hAnsiTheme="minorHAnsi" w:cs="Cambria"/>
          <w:color w:val="000000" w:themeColor="text1"/>
          <w:kern w:val="2"/>
          <w:sz w:val="22"/>
          <w:szCs w:val="22"/>
          <w14:ligatures w14:val="standardContextual"/>
        </w:rPr>
        <w:t>i</w:t>
      </w:r>
      <w:r w:rsidRPr="0C64020F">
        <w:rPr>
          <w:rFonts w:asciiTheme="minorHAnsi" w:eastAsia="Cambria" w:hAnsiTheme="minorHAnsi" w:cs="Cambria"/>
          <w:color w:val="000000" w:themeColor="text1"/>
          <w:kern w:val="2"/>
          <w:sz w:val="22"/>
          <w:szCs w:val="22"/>
          <w14:ligatures w14:val="standardContextual"/>
        </w:rPr>
        <w:t>nfrastructure with an A+ score for roads, bridges, railroads, ports, airports, and utilities.</w:t>
      </w:r>
      <w:r w:rsidR="009D287A" w:rsidRPr="0C64020F">
        <w:rPr>
          <w:rFonts w:asciiTheme="minorHAnsi" w:eastAsia="Cambria" w:hAnsiTheme="minorHAnsi" w:cs="Cambria"/>
          <w:color w:val="000000" w:themeColor="text1"/>
          <w:kern w:val="2"/>
          <w:sz w:val="22"/>
          <w:szCs w:val="22"/>
          <w:vertAlign w:val="superscript"/>
          <w14:ligatures w14:val="standardContextual"/>
        </w:rPr>
        <w:footnoteReference w:id="20"/>
      </w:r>
    </w:p>
    <w:p w14:paraId="19931F9F" w14:textId="367D5550" w:rsidR="002C5DE1" w:rsidRPr="00B60B51" w:rsidRDefault="002C5DE1" w:rsidP="00B60B51">
      <w:pPr>
        <w:pStyle w:val="paragraph"/>
        <w:spacing w:before="120" w:beforeAutospacing="0" w:after="120" w:afterAutospacing="0"/>
        <w:jc w:val="both"/>
        <w:textAlignment w:val="baseline"/>
        <w:rPr>
          <w:rFonts w:asciiTheme="minorHAnsi" w:eastAsia="Cambria" w:hAnsiTheme="minorHAnsi" w:cs="Cambria"/>
          <w:color w:val="000000" w:themeColor="text1"/>
          <w:kern w:val="2"/>
          <w:sz w:val="22"/>
          <w:szCs w:val="22"/>
          <w14:ligatures w14:val="standardContextual"/>
        </w:rPr>
      </w:pPr>
      <w:r w:rsidRPr="0C64020F">
        <w:rPr>
          <w:rFonts w:asciiTheme="minorHAnsi" w:eastAsia="Cambria" w:hAnsiTheme="minorHAnsi" w:cs="Cambria"/>
          <w:color w:val="000000" w:themeColor="text1"/>
          <w:kern w:val="2"/>
          <w:sz w:val="22"/>
          <w:szCs w:val="22"/>
          <w14:ligatures w14:val="standardContextual"/>
        </w:rPr>
        <w:t xml:space="preserve">Throughout its history, Georgia Power has </w:t>
      </w:r>
      <w:r w:rsidR="00294007">
        <w:rPr>
          <w:rFonts w:asciiTheme="minorHAnsi" w:eastAsia="Cambria" w:hAnsiTheme="minorHAnsi" w:cs="Cambria"/>
          <w:color w:val="000000" w:themeColor="text1"/>
          <w:kern w:val="2"/>
          <w:sz w:val="22"/>
          <w:szCs w:val="22"/>
          <w14:ligatures w14:val="standardContextual"/>
        </w:rPr>
        <w:t>served as a</w:t>
      </w:r>
      <w:r w:rsidRPr="0C64020F">
        <w:rPr>
          <w:rFonts w:asciiTheme="minorHAnsi" w:eastAsia="Cambria" w:hAnsiTheme="minorHAnsi" w:cs="Cambria"/>
          <w:color w:val="000000" w:themeColor="text1"/>
          <w:kern w:val="2"/>
          <w:sz w:val="22"/>
          <w:szCs w:val="22"/>
          <w14:ligatures w14:val="standardContextual"/>
        </w:rPr>
        <w:t xml:space="preserve"> trusted partner in </w:t>
      </w:r>
      <w:r w:rsidR="00294007">
        <w:rPr>
          <w:rFonts w:asciiTheme="minorHAnsi" w:eastAsia="Cambria" w:hAnsiTheme="minorHAnsi" w:cs="Cambria"/>
          <w:color w:val="000000" w:themeColor="text1"/>
          <w:kern w:val="2"/>
          <w:sz w:val="22"/>
          <w:szCs w:val="22"/>
          <w14:ligatures w14:val="standardContextual"/>
        </w:rPr>
        <w:t xml:space="preserve">supporting </w:t>
      </w:r>
      <w:r w:rsidRPr="0C64020F">
        <w:rPr>
          <w:rFonts w:asciiTheme="minorHAnsi" w:eastAsia="Cambria" w:hAnsiTheme="minorHAnsi" w:cs="Cambria"/>
          <w:color w:val="000000" w:themeColor="text1"/>
          <w:kern w:val="2"/>
          <w:sz w:val="22"/>
          <w:szCs w:val="22"/>
          <w14:ligatures w14:val="standardContextual"/>
        </w:rPr>
        <w:t xml:space="preserve">Georgia's economic development efforts. In February 2024, Business Facilities magazine named Georgia </w:t>
      </w:r>
      <w:r w:rsidRPr="0C64020F">
        <w:rPr>
          <w:rFonts w:asciiTheme="minorHAnsi" w:eastAsia="Cambria" w:hAnsiTheme="minorHAnsi" w:cs="Cambria"/>
          <w:color w:val="000000" w:themeColor="text1"/>
          <w:kern w:val="2"/>
          <w:sz w:val="22"/>
          <w:szCs w:val="22"/>
          <w14:ligatures w14:val="standardContextual"/>
        </w:rPr>
        <w:lastRenderedPageBreak/>
        <w:t>Power a Top Utility for Economic Development for the third consecutive year</w:t>
      </w:r>
      <w:r w:rsidR="00E52C82" w:rsidRPr="0C64020F">
        <w:rPr>
          <w:rFonts w:asciiTheme="minorHAnsi" w:eastAsia="Cambria" w:hAnsiTheme="minorHAnsi" w:cs="Cambria"/>
          <w:color w:val="000000" w:themeColor="text1"/>
          <w:kern w:val="2"/>
          <w:sz w:val="22"/>
          <w:szCs w:val="22"/>
          <w14:ligatures w14:val="standardContextual"/>
        </w:rPr>
        <w:t>,</w:t>
      </w:r>
      <w:r w:rsidR="0043227C" w:rsidRPr="0C64020F">
        <w:rPr>
          <w:rFonts w:asciiTheme="minorHAnsi" w:eastAsia="Cambria" w:hAnsiTheme="minorHAnsi" w:cs="Cambria"/>
          <w:color w:val="000000" w:themeColor="text1"/>
          <w:kern w:val="2"/>
          <w:sz w:val="22"/>
          <w:szCs w:val="22"/>
          <w:vertAlign w:val="superscript"/>
          <w14:ligatures w14:val="standardContextual"/>
        </w:rPr>
        <w:footnoteReference w:id="21"/>
      </w:r>
      <w:r w:rsidRPr="0C64020F">
        <w:rPr>
          <w:rFonts w:asciiTheme="minorHAnsi" w:eastAsia="Cambria" w:hAnsiTheme="minorHAnsi" w:cs="Cambria"/>
          <w:color w:val="000000" w:themeColor="text1"/>
          <w:kern w:val="2"/>
          <w:sz w:val="22"/>
          <w:szCs w:val="22"/>
          <w14:ligatures w14:val="standardContextual"/>
        </w:rPr>
        <w:t xml:space="preserve"> and in September 2024, Site Selection magazine recognized </w:t>
      </w:r>
      <w:r w:rsidR="007672DF">
        <w:rPr>
          <w:rFonts w:asciiTheme="minorHAnsi" w:eastAsia="Cambria" w:hAnsiTheme="minorHAnsi" w:cs="Cambria"/>
          <w:color w:val="000000" w:themeColor="text1"/>
          <w:kern w:val="2"/>
          <w:sz w:val="22"/>
          <w:szCs w:val="22"/>
          <w14:ligatures w14:val="standardContextual"/>
        </w:rPr>
        <w:t>Georgia Power</w:t>
      </w:r>
      <w:r w:rsidRPr="0C64020F">
        <w:rPr>
          <w:rFonts w:asciiTheme="minorHAnsi" w:eastAsia="Cambria" w:hAnsiTheme="minorHAnsi" w:cs="Cambria"/>
          <w:color w:val="000000" w:themeColor="text1"/>
          <w:kern w:val="2"/>
          <w:sz w:val="22"/>
          <w:szCs w:val="22"/>
          <w14:ligatures w14:val="standardContextual"/>
        </w:rPr>
        <w:t xml:space="preserve"> </w:t>
      </w:r>
      <w:r w:rsidR="000D1618" w:rsidRPr="0C64020F">
        <w:rPr>
          <w:rFonts w:asciiTheme="minorHAnsi" w:eastAsia="Cambria" w:hAnsiTheme="minorHAnsi" w:cs="Cambria"/>
          <w:color w:val="000000" w:themeColor="text1"/>
          <w:kern w:val="2"/>
          <w:sz w:val="22"/>
          <w:szCs w:val="22"/>
          <w14:ligatures w14:val="standardContextual"/>
        </w:rPr>
        <w:t xml:space="preserve">as a “Top Utility” in economic development </w:t>
      </w:r>
      <w:r w:rsidRPr="0C64020F">
        <w:rPr>
          <w:rFonts w:asciiTheme="minorHAnsi" w:eastAsia="Cambria" w:hAnsiTheme="minorHAnsi" w:cs="Cambria"/>
          <w:color w:val="000000" w:themeColor="text1"/>
          <w:kern w:val="2"/>
          <w:sz w:val="22"/>
          <w:szCs w:val="22"/>
          <w14:ligatures w14:val="standardContextual"/>
        </w:rPr>
        <w:t>for the 26th consecutive year.</w:t>
      </w:r>
      <w:r w:rsidR="007342CF" w:rsidRPr="0C64020F">
        <w:rPr>
          <w:rFonts w:asciiTheme="minorHAnsi" w:eastAsia="Cambria" w:hAnsiTheme="minorHAnsi" w:cs="Cambria"/>
          <w:color w:val="000000" w:themeColor="text1"/>
          <w:kern w:val="2"/>
          <w:sz w:val="22"/>
          <w:szCs w:val="22"/>
          <w:vertAlign w:val="superscript"/>
          <w14:ligatures w14:val="standardContextual"/>
        </w:rPr>
        <w:footnoteReference w:id="22"/>
      </w:r>
    </w:p>
    <w:p w14:paraId="3A21116C" w14:textId="6D2DAEE4" w:rsidR="002C5DE1" w:rsidRPr="00B60B51" w:rsidRDefault="002C5DE1" w:rsidP="00B60B51">
      <w:pPr>
        <w:pStyle w:val="paragraph"/>
        <w:spacing w:before="120" w:beforeAutospacing="0" w:after="120" w:afterAutospacing="0"/>
        <w:jc w:val="both"/>
        <w:textAlignment w:val="baseline"/>
        <w:rPr>
          <w:rFonts w:asciiTheme="minorHAnsi" w:eastAsia="Cambria" w:hAnsiTheme="minorHAnsi" w:cs="Cambria"/>
          <w:color w:val="000000" w:themeColor="text1"/>
          <w:kern w:val="2"/>
          <w:sz w:val="22"/>
          <w:szCs w:val="22"/>
          <w14:ligatures w14:val="standardContextual"/>
        </w:rPr>
      </w:pPr>
      <w:r w:rsidRPr="0C64020F">
        <w:rPr>
          <w:rFonts w:asciiTheme="minorHAnsi" w:eastAsia="Cambria" w:hAnsiTheme="minorHAnsi" w:cs="Cambria"/>
          <w:color w:val="000000" w:themeColor="text1"/>
          <w:kern w:val="2"/>
          <w:sz w:val="22"/>
          <w:szCs w:val="22"/>
          <w14:ligatures w14:val="standardContextual"/>
        </w:rPr>
        <w:t xml:space="preserve">Georgia Power </w:t>
      </w:r>
      <w:r w:rsidR="00CE3229">
        <w:rPr>
          <w:rFonts w:asciiTheme="minorHAnsi" w:eastAsia="Cambria" w:hAnsiTheme="minorHAnsi" w:cs="Cambria"/>
          <w:color w:val="000000" w:themeColor="text1"/>
          <w:kern w:val="2"/>
          <w:sz w:val="22"/>
          <w:szCs w:val="22"/>
          <w14:ligatures w14:val="standardContextual"/>
        </w:rPr>
        <w:t>works</w:t>
      </w:r>
      <w:r w:rsidR="00CE3229" w:rsidRPr="0C64020F">
        <w:rPr>
          <w:rFonts w:asciiTheme="minorHAnsi" w:eastAsia="Cambria" w:hAnsiTheme="minorHAnsi" w:cs="Cambria"/>
          <w:color w:val="000000" w:themeColor="text1"/>
          <w:kern w:val="2"/>
          <w:sz w:val="22"/>
          <w:szCs w:val="22"/>
          <w14:ligatures w14:val="standardContextual"/>
        </w:rPr>
        <w:t xml:space="preserve"> </w:t>
      </w:r>
      <w:r w:rsidRPr="0C64020F">
        <w:rPr>
          <w:rFonts w:asciiTheme="minorHAnsi" w:eastAsia="Cambria" w:hAnsiTheme="minorHAnsi" w:cs="Cambria"/>
          <w:color w:val="000000" w:themeColor="text1"/>
          <w:kern w:val="2"/>
          <w:sz w:val="22"/>
          <w:szCs w:val="22"/>
          <w14:ligatures w14:val="standardContextual"/>
        </w:rPr>
        <w:t xml:space="preserve">closely with the Georgia Department of Economic Development to support initiatives </w:t>
      </w:r>
      <w:r w:rsidR="00240DDD">
        <w:rPr>
          <w:rFonts w:asciiTheme="minorHAnsi" w:eastAsia="Cambria" w:hAnsiTheme="minorHAnsi" w:cs="Cambria"/>
          <w:color w:val="000000" w:themeColor="text1"/>
          <w:kern w:val="2"/>
          <w:sz w:val="22"/>
          <w:szCs w:val="22"/>
          <w14:ligatures w14:val="standardContextual"/>
        </w:rPr>
        <w:t xml:space="preserve">that benefit </w:t>
      </w:r>
      <w:r w:rsidR="00A37D57">
        <w:rPr>
          <w:rFonts w:asciiTheme="minorHAnsi" w:eastAsia="Cambria" w:hAnsiTheme="minorHAnsi" w:cs="Cambria"/>
          <w:color w:val="000000" w:themeColor="text1"/>
          <w:kern w:val="2"/>
          <w:sz w:val="22"/>
          <w:szCs w:val="22"/>
          <w14:ligatures w14:val="standardContextual"/>
        </w:rPr>
        <w:t>Georgia</w:t>
      </w:r>
      <w:r w:rsidR="00240DDD">
        <w:rPr>
          <w:rFonts w:asciiTheme="minorHAnsi" w:eastAsia="Cambria" w:hAnsiTheme="minorHAnsi" w:cs="Cambria"/>
          <w:color w:val="000000" w:themeColor="text1"/>
          <w:kern w:val="2"/>
          <w:sz w:val="22"/>
          <w:szCs w:val="22"/>
          <w14:ligatures w14:val="standardContextual"/>
        </w:rPr>
        <w:t>. For e</w:t>
      </w:r>
      <w:r w:rsidR="003869DD">
        <w:rPr>
          <w:rFonts w:asciiTheme="minorHAnsi" w:eastAsia="Cambria" w:hAnsiTheme="minorHAnsi" w:cs="Cambria"/>
          <w:color w:val="000000" w:themeColor="text1"/>
          <w:kern w:val="2"/>
          <w:sz w:val="22"/>
          <w:szCs w:val="22"/>
          <w14:ligatures w14:val="standardContextual"/>
        </w:rPr>
        <w:t xml:space="preserve">xample, the </w:t>
      </w:r>
      <w:r w:rsidRPr="0C64020F">
        <w:rPr>
          <w:rFonts w:asciiTheme="minorHAnsi" w:eastAsia="Cambria" w:hAnsiTheme="minorHAnsi" w:cs="Cambria"/>
          <w:color w:val="000000" w:themeColor="text1"/>
          <w:kern w:val="2"/>
          <w:sz w:val="22"/>
          <w:szCs w:val="22"/>
          <w14:ligatures w14:val="standardContextual"/>
        </w:rPr>
        <w:t>Hyundai Motor Group Electric Vehicle (</w:t>
      </w:r>
      <w:r w:rsidR="00ED37EF" w:rsidRPr="0C64020F">
        <w:rPr>
          <w:rFonts w:asciiTheme="minorHAnsi" w:eastAsia="Cambria" w:hAnsiTheme="minorHAnsi" w:cs="Cambria"/>
          <w:color w:val="000000" w:themeColor="text1"/>
          <w:kern w:val="2"/>
          <w:sz w:val="22"/>
          <w:szCs w:val="22"/>
          <w14:ligatures w14:val="standardContextual"/>
        </w:rPr>
        <w:t>“</w:t>
      </w:r>
      <w:r w:rsidRPr="0C64020F">
        <w:rPr>
          <w:rFonts w:asciiTheme="minorHAnsi" w:eastAsia="Cambria" w:hAnsiTheme="minorHAnsi" w:cs="Cambria"/>
          <w:color w:val="000000" w:themeColor="text1"/>
          <w:kern w:val="2"/>
          <w:sz w:val="22"/>
          <w:szCs w:val="22"/>
          <w14:ligatures w14:val="standardContextual"/>
        </w:rPr>
        <w:t>EV</w:t>
      </w:r>
      <w:r w:rsidR="00ED37EF" w:rsidRPr="0C64020F">
        <w:rPr>
          <w:rFonts w:asciiTheme="minorHAnsi" w:eastAsia="Cambria" w:hAnsiTheme="minorHAnsi" w:cs="Cambria"/>
          <w:color w:val="000000" w:themeColor="text1"/>
          <w:kern w:val="2"/>
          <w:sz w:val="22"/>
          <w:szCs w:val="22"/>
          <w14:ligatures w14:val="standardContextual"/>
        </w:rPr>
        <w:t>”</w:t>
      </w:r>
      <w:r w:rsidRPr="0C64020F">
        <w:rPr>
          <w:rFonts w:asciiTheme="minorHAnsi" w:eastAsia="Cambria" w:hAnsiTheme="minorHAnsi" w:cs="Cambria"/>
          <w:color w:val="000000" w:themeColor="text1"/>
          <w:kern w:val="2"/>
          <w:sz w:val="22"/>
          <w:szCs w:val="22"/>
          <w14:ligatures w14:val="standardContextual"/>
        </w:rPr>
        <w:t>) Metaplant facility</w:t>
      </w:r>
      <w:r w:rsidR="00CC11BC">
        <w:rPr>
          <w:rFonts w:asciiTheme="minorHAnsi" w:eastAsia="Cambria" w:hAnsiTheme="minorHAnsi" w:cs="Cambria"/>
          <w:color w:val="000000" w:themeColor="text1"/>
          <w:kern w:val="2"/>
          <w:sz w:val="22"/>
          <w:szCs w:val="22"/>
          <w14:ligatures w14:val="standardContextual"/>
        </w:rPr>
        <w:t xml:space="preserve"> in Bryan County</w:t>
      </w:r>
      <w:r w:rsidRPr="0C64020F">
        <w:rPr>
          <w:rFonts w:asciiTheme="minorHAnsi" w:eastAsia="Cambria" w:hAnsiTheme="minorHAnsi" w:cs="Cambria"/>
          <w:color w:val="000000" w:themeColor="text1"/>
          <w:kern w:val="2"/>
          <w:sz w:val="22"/>
          <w:szCs w:val="22"/>
          <w14:ligatures w14:val="standardContextual"/>
        </w:rPr>
        <w:t xml:space="preserve">, </w:t>
      </w:r>
      <w:r w:rsidR="00CC11BC">
        <w:rPr>
          <w:rFonts w:asciiTheme="minorHAnsi" w:eastAsia="Cambria" w:hAnsiTheme="minorHAnsi" w:cs="Cambria"/>
          <w:color w:val="000000" w:themeColor="text1"/>
          <w:kern w:val="2"/>
          <w:sz w:val="22"/>
          <w:szCs w:val="22"/>
          <w14:ligatures w14:val="standardContextual"/>
        </w:rPr>
        <w:t>which</w:t>
      </w:r>
      <w:r w:rsidR="004E3BF4">
        <w:rPr>
          <w:rFonts w:asciiTheme="minorHAnsi" w:eastAsia="Cambria" w:hAnsiTheme="minorHAnsi" w:cs="Cambria"/>
          <w:color w:val="000000" w:themeColor="text1"/>
          <w:kern w:val="2"/>
          <w:sz w:val="22"/>
          <w:szCs w:val="22"/>
          <w14:ligatures w14:val="standardContextual"/>
        </w:rPr>
        <w:t xml:space="preserve"> started operations during the fourth quarter of 202</w:t>
      </w:r>
      <w:r w:rsidR="00832DDA">
        <w:rPr>
          <w:rFonts w:asciiTheme="minorHAnsi" w:eastAsia="Cambria" w:hAnsiTheme="minorHAnsi" w:cs="Cambria"/>
          <w:color w:val="000000" w:themeColor="text1"/>
          <w:kern w:val="2"/>
          <w:sz w:val="22"/>
          <w:szCs w:val="22"/>
          <w14:ligatures w14:val="standardContextual"/>
        </w:rPr>
        <w:t>4</w:t>
      </w:r>
      <w:r w:rsidR="00BA36BE">
        <w:rPr>
          <w:rFonts w:asciiTheme="minorHAnsi" w:eastAsia="Cambria" w:hAnsiTheme="minorHAnsi" w:cs="Cambria"/>
          <w:color w:val="000000" w:themeColor="text1"/>
          <w:kern w:val="2"/>
          <w:sz w:val="22"/>
          <w:szCs w:val="22"/>
          <w14:ligatures w14:val="standardContextual"/>
        </w:rPr>
        <w:t xml:space="preserve">, is the largest economic development project in </w:t>
      </w:r>
      <w:r w:rsidR="00373415">
        <w:rPr>
          <w:rFonts w:asciiTheme="minorHAnsi" w:eastAsia="Cambria" w:hAnsiTheme="minorHAnsi" w:cs="Cambria"/>
          <w:color w:val="000000" w:themeColor="text1"/>
          <w:kern w:val="2"/>
          <w:sz w:val="22"/>
          <w:szCs w:val="22"/>
          <w14:ligatures w14:val="standardContextual"/>
        </w:rPr>
        <w:t xml:space="preserve">Georgia’s history. </w:t>
      </w:r>
      <w:r w:rsidRPr="0C64020F">
        <w:rPr>
          <w:rFonts w:asciiTheme="minorHAnsi" w:eastAsia="Cambria" w:hAnsiTheme="minorHAnsi" w:cs="Cambria"/>
          <w:color w:val="000000" w:themeColor="text1"/>
          <w:kern w:val="2"/>
          <w:sz w:val="22"/>
          <w:szCs w:val="22"/>
          <w14:ligatures w14:val="standardContextual"/>
        </w:rPr>
        <w:t xml:space="preserve">Site Selection magazine included Georgia in its </w:t>
      </w:r>
      <w:r w:rsidR="00EE57C5" w:rsidRPr="0C64020F">
        <w:rPr>
          <w:rFonts w:asciiTheme="minorHAnsi" w:eastAsia="Cambria" w:hAnsiTheme="minorHAnsi" w:cs="Cambria"/>
          <w:color w:val="000000" w:themeColor="text1"/>
          <w:kern w:val="2"/>
          <w:sz w:val="22"/>
          <w:szCs w:val="22"/>
          <w14:ligatures w14:val="standardContextual"/>
        </w:rPr>
        <w:t>“</w:t>
      </w:r>
      <w:r w:rsidRPr="0C64020F">
        <w:rPr>
          <w:rFonts w:asciiTheme="minorHAnsi" w:eastAsia="Cambria" w:hAnsiTheme="minorHAnsi" w:cs="Cambria"/>
          <w:color w:val="000000" w:themeColor="text1"/>
          <w:kern w:val="2"/>
          <w:sz w:val="22"/>
          <w:szCs w:val="22"/>
          <w14:ligatures w14:val="standardContextual"/>
        </w:rPr>
        <w:t>Top Deals in North America</w:t>
      </w:r>
      <w:r w:rsidR="00EE57C5" w:rsidRPr="0C64020F">
        <w:rPr>
          <w:rFonts w:asciiTheme="minorHAnsi" w:eastAsia="Cambria" w:hAnsiTheme="minorHAnsi" w:cs="Cambria"/>
          <w:color w:val="000000" w:themeColor="text1"/>
          <w:kern w:val="2"/>
          <w:sz w:val="22"/>
          <w:szCs w:val="22"/>
          <w14:ligatures w14:val="standardContextual"/>
        </w:rPr>
        <w:t>”</w:t>
      </w:r>
      <w:r w:rsidRPr="0C64020F">
        <w:rPr>
          <w:rFonts w:asciiTheme="minorHAnsi" w:eastAsia="Cambria" w:hAnsiTheme="minorHAnsi" w:cs="Cambria"/>
          <w:color w:val="000000" w:themeColor="text1"/>
          <w:kern w:val="2"/>
          <w:sz w:val="22"/>
          <w:szCs w:val="22"/>
          <w14:ligatures w14:val="standardContextual"/>
        </w:rPr>
        <w:t xml:space="preserve"> report</w:t>
      </w:r>
      <w:r w:rsidR="007F314F">
        <w:rPr>
          <w:rFonts w:asciiTheme="minorHAnsi" w:eastAsia="Cambria" w:hAnsiTheme="minorHAnsi" w:cs="Cambria"/>
          <w:color w:val="000000" w:themeColor="text1"/>
          <w:kern w:val="2"/>
          <w:sz w:val="22"/>
          <w:szCs w:val="22"/>
          <w14:ligatures w14:val="standardContextual"/>
        </w:rPr>
        <w:t xml:space="preserve"> for 2023</w:t>
      </w:r>
      <w:r w:rsidRPr="0C64020F">
        <w:rPr>
          <w:rFonts w:asciiTheme="minorHAnsi" w:eastAsia="Cambria" w:hAnsiTheme="minorHAnsi" w:cs="Cambria"/>
          <w:color w:val="000000" w:themeColor="text1"/>
          <w:kern w:val="2"/>
          <w:sz w:val="22"/>
          <w:szCs w:val="22"/>
          <w14:ligatures w14:val="standardContextual"/>
        </w:rPr>
        <w:t xml:space="preserve">, </w:t>
      </w:r>
      <w:r w:rsidR="00192DBA">
        <w:rPr>
          <w:rFonts w:asciiTheme="minorHAnsi" w:eastAsia="Cambria" w:hAnsiTheme="minorHAnsi" w:cs="Cambria"/>
          <w:color w:val="000000" w:themeColor="text1"/>
          <w:kern w:val="2"/>
          <w:sz w:val="22"/>
          <w:szCs w:val="22"/>
          <w14:ligatures w14:val="standardContextual"/>
        </w:rPr>
        <w:t>identifying</w:t>
      </w:r>
      <w:r w:rsidR="00FE0434">
        <w:rPr>
          <w:rFonts w:asciiTheme="minorHAnsi" w:eastAsia="Cambria" w:hAnsiTheme="minorHAnsi" w:cs="Cambria"/>
          <w:color w:val="000000" w:themeColor="text1"/>
          <w:kern w:val="2"/>
          <w:sz w:val="22"/>
          <w:szCs w:val="22"/>
          <w14:ligatures w14:val="standardContextual"/>
        </w:rPr>
        <w:t xml:space="preserve"> the</w:t>
      </w:r>
      <w:r w:rsidRPr="0C64020F">
        <w:rPr>
          <w:rFonts w:asciiTheme="minorHAnsi" w:eastAsia="Cambria" w:hAnsiTheme="minorHAnsi" w:cs="Cambria"/>
          <w:color w:val="000000" w:themeColor="text1"/>
          <w:kern w:val="2"/>
          <w:sz w:val="22"/>
          <w:szCs w:val="22"/>
          <w14:ligatures w14:val="standardContextual"/>
        </w:rPr>
        <w:t xml:space="preserve"> Hyundai Motor Group</w:t>
      </w:r>
      <w:r w:rsidR="008F7F75" w:rsidRPr="0C64020F">
        <w:rPr>
          <w:rFonts w:asciiTheme="minorHAnsi" w:eastAsia="Cambria" w:hAnsiTheme="minorHAnsi" w:cs="Cambria"/>
          <w:color w:val="000000" w:themeColor="text1"/>
          <w:kern w:val="2"/>
          <w:sz w:val="22"/>
          <w:szCs w:val="22"/>
          <w14:ligatures w14:val="standardContextual"/>
        </w:rPr>
        <w:t>’</w:t>
      </w:r>
      <w:r w:rsidRPr="0C64020F">
        <w:rPr>
          <w:rFonts w:asciiTheme="minorHAnsi" w:eastAsia="Cambria" w:hAnsiTheme="minorHAnsi" w:cs="Cambria"/>
          <w:color w:val="000000" w:themeColor="text1"/>
          <w:kern w:val="2"/>
          <w:sz w:val="22"/>
          <w:szCs w:val="22"/>
          <w14:ligatures w14:val="standardContextual"/>
        </w:rPr>
        <w:t xml:space="preserve">s Bryan County project, </w:t>
      </w:r>
      <w:r w:rsidR="00EE57C5" w:rsidRPr="0C64020F">
        <w:rPr>
          <w:rFonts w:asciiTheme="minorHAnsi" w:eastAsia="Cambria" w:hAnsiTheme="minorHAnsi" w:cs="Cambria"/>
          <w:color w:val="000000" w:themeColor="text1"/>
          <w:kern w:val="2"/>
          <w:sz w:val="22"/>
          <w:szCs w:val="22"/>
          <w14:ligatures w14:val="standardContextual"/>
        </w:rPr>
        <w:t>which is</w:t>
      </w:r>
      <w:r w:rsidRPr="0C64020F">
        <w:rPr>
          <w:rFonts w:asciiTheme="minorHAnsi" w:eastAsia="Cambria" w:hAnsiTheme="minorHAnsi" w:cs="Cambria"/>
          <w:color w:val="000000" w:themeColor="text1"/>
          <w:kern w:val="2"/>
          <w:sz w:val="22"/>
          <w:szCs w:val="22"/>
          <w14:ligatures w14:val="standardContextual"/>
        </w:rPr>
        <w:t xml:space="preserve"> expected to create 8,100 jobs and generate over $5.5 billion in investment, making it the second-largest project </w:t>
      </w:r>
      <w:r w:rsidR="003C6BFE">
        <w:rPr>
          <w:rFonts w:asciiTheme="minorHAnsi" w:eastAsia="Cambria" w:hAnsiTheme="minorHAnsi" w:cs="Cambria"/>
          <w:color w:val="000000" w:themeColor="text1"/>
          <w:kern w:val="2"/>
          <w:sz w:val="22"/>
          <w:szCs w:val="22"/>
          <w14:ligatures w14:val="standardContextual"/>
        </w:rPr>
        <w:t xml:space="preserve">the magazine </w:t>
      </w:r>
      <w:r w:rsidRPr="0C64020F">
        <w:rPr>
          <w:rFonts w:asciiTheme="minorHAnsi" w:eastAsia="Cambria" w:hAnsiTheme="minorHAnsi" w:cs="Cambria"/>
          <w:color w:val="000000" w:themeColor="text1"/>
          <w:kern w:val="2"/>
          <w:sz w:val="22"/>
          <w:szCs w:val="22"/>
          <w14:ligatures w14:val="standardContextual"/>
        </w:rPr>
        <w:t>reported</w:t>
      </w:r>
      <w:r w:rsidR="0001374E">
        <w:rPr>
          <w:rFonts w:asciiTheme="minorHAnsi" w:eastAsia="Cambria" w:hAnsiTheme="minorHAnsi" w:cs="Cambria"/>
          <w:color w:val="000000" w:themeColor="text1"/>
          <w:kern w:val="2"/>
          <w:sz w:val="22"/>
          <w:szCs w:val="22"/>
          <w14:ligatures w14:val="standardContextual"/>
        </w:rPr>
        <w:t xml:space="preserve"> that year</w:t>
      </w:r>
      <w:r w:rsidRPr="0C64020F">
        <w:rPr>
          <w:rFonts w:asciiTheme="minorHAnsi" w:eastAsia="Cambria" w:hAnsiTheme="minorHAnsi" w:cs="Cambria"/>
          <w:color w:val="000000" w:themeColor="text1"/>
          <w:kern w:val="2"/>
          <w:sz w:val="22"/>
          <w:szCs w:val="22"/>
          <w14:ligatures w14:val="standardContextual"/>
        </w:rPr>
        <w:t>.</w:t>
      </w:r>
      <w:r w:rsidR="00797535" w:rsidRPr="0C64020F">
        <w:rPr>
          <w:rFonts w:asciiTheme="minorHAnsi" w:eastAsia="Cambria" w:hAnsiTheme="minorHAnsi" w:cs="Cambria"/>
          <w:color w:val="000000" w:themeColor="text1"/>
          <w:kern w:val="2"/>
          <w:sz w:val="22"/>
          <w:szCs w:val="22"/>
          <w:vertAlign w:val="superscript"/>
          <w14:ligatures w14:val="standardContextual"/>
        </w:rPr>
        <w:footnoteReference w:id="23"/>
      </w:r>
      <w:r w:rsidRPr="0C64020F">
        <w:rPr>
          <w:rFonts w:asciiTheme="minorHAnsi" w:eastAsia="Cambria" w:hAnsiTheme="minorHAnsi" w:cs="Cambria"/>
          <w:color w:val="000000" w:themeColor="text1"/>
          <w:kern w:val="2"/>
          <w:sz w:val="22"/>
          <w:szCs w:val="22"/>
          <w14:ligatures w14:val="standardContextual"/>
        </w:rPr>
        <w:t xml:space="preserve"> The Hyundai Motor Group/SK Innovation project in Bartow County, which will create 3,500 jobs and result in a $4 billion investment, ranked fifth</w:t>
      </w:r>
      <w:r w:rsidR="0001374E">
        <w:rPr>
          <w:rFonts w:asciiTheme="minorHAnsi" w:eastAsia="Cambria" w:hAnsiTheme="minorHAnsi" w:cs="Cambria"/>
          <w:color w:val="000000" w:themeColor="text1"/>
          <w:kern w:val="2"/>
          <w:sz w:val="22"/>
          <w:szCs w:val="22"/>
          <w14:ligatures w14:val="standardContextual"/>
        </w:rPr>
        <w:t xml:space="preserve"> for 2023</w:t>
      </w:r>
      <w:r w:rsidRPr="0C64020F">
        <w:rPr>
          <w:rFonts w:asciiTheme="minorHAnsi" w:eastAsia="Cambria" w:hAnsiTheme="minorHAnsi" w:cs="Cambria"/>
          <w:color w:val="000000" w:themeColor="text1"/>
          <w:kern w:val="2"/>
          <w:sz w:val="22"/>
          <w:szCs w:val="22"/>
          <w14:ligatures w14:val="standardContextual"/>
        </w:rPr>
        <w:t>. Additionally, Site Selection magazine announced in 2024 the North America Top Deals</w:t>
      </w:r>
      <w:r w:rsidR="0001374E">
        <w:rPr>
          <w:rFonts w:asciiTheme="minorHAnsi" w:eastAsia="Cambria" w:hAnsiTheme="minorHAnsi" w:cs="Cambria"/>
          <w:color w:val="000000" w:themeColor="text1"/>
          <w:kern w:val="2"/>
          <w:sz w:val="22"/>
          <w:szCs w:val="22"/>
          <w14:ligatures w14:val="standardContextual"/>
        </w:rPr>
        <w:t>, inclu</w:t>
      </w:r>
      <w:r w:rsidR="00D9358F">
        <w:rPr>
          <w:rFonts w:asciiTheme="minorHAnsi" w:eastAsia="Cambria" w:hAnsiTheme="minorHAnsi" w:cs="Cambria"/>
          <w:color w:val="000000" w:themeColor="text1"/>
          <w:kern w:val="2"/>
          <w:sz w:val="22"/>
          <w:szCs w:val="22"/>
          <w14:ligatures w14:val="standardContextual"/>
        </w:rPr>
        <w:t>d</w:t>
      </w:r>
      <w:r w:rsidR="0001374E">
        <w:rPr>
          <w:rFonts w:asciiTheme="minorHAnsi" w:eastAsia="Cambria" w:hAnsiTheme="minorHAnsi" w:cs="Cambria"/>
          <w:color w:val="000000" w:themeColor="text1"/>
          <w:kern w:val="2"/>
          <w:sz w:val="22"/>
          <w:szCs w:val="22"/>
          <w14:ligatures w14:val="standardContextual"/>
        </w:rPr>
        <w:t>ing</w:t>
      </w:r>
      <w:r w:rsidRPr="0C64020F">
        <w:rPr>
          <w:rFonts w:asciiTheme="minorHAnsi" w:eastAsia="Cambria" w:hAnsiTheme="minorHAnsi" w:cs="Cambria"/>
          <w:color w:val="000000" w:themeColor="text1"/>
          <w:kern w:val="2"/>
          <w:sz w:val="22"/>
          <w:szCs w:val="22"/>
          <w14:ligatures w14:val="standardContextual"/>
        </w:rPr>
        <w:t xml:space="preserve"> Hyundai Motor Group and its LG Energy Solution Battery JV partnership as the </w:t>
      </w:r>
      <w:r w:rsidR="00E26AE8">
        <w:rPr>
          <w:rFonts w:asciiTheme="minorHAnsi" w:eastAsia="Cambria" w:hAnsiTheme="minorHAnsi" w:cs="Cambria"/>
          <w:color w:val="000000" w:themeColor="text1"/>
          <w:kern w:val="2"/>
          <w:sz w:val="22"/>
          <w:szCs w:val="22"/>
          <w14:ligatures w14:val="standardContextual"/>
        </w:rPr>
        <w:t>third</w:t>
      </w:r>
      <w:r w:rsidRPr="0C64020F">
        <w:rPr>
          <w:rFonts w:asciiTheme="minorHAnsi" w:eastAsia="Cambria" w:hAnsiTheme="minorHAnsi" w:cs="Cambria"/>
          <w:color w:val="000000" w:themeColor="text1"/>
          <w:kern w:val="2"/>
          <w:sz w:val="22"/>
          <w:szCs w:val="22"/>
          <w14:ligatures w14:val="standardContextual"/>
        </w:rPr>
        <w:t xml:space="preserve"> largest project.</w:t>
      </w:r>
      <w:r w:rsidR="00132B01" w:rsidRPr="0C64020F">
        <w:rPr>
          <w:rFonts w:asciiTheme="minorHAnsi" w:eastAsia="Cambria" w:hAnsiTheme="minorHAnsi" w:cs="Cambria"/>
          <w:color w:val="000000" w:themeColor="text1"/>
          <w:kern w:val="2"/>
          <w:sz w:val="22"/>
          <w:szCs w:val="22"/>
          <w:vertAlign w:val="superscript"/>
          <w14:ligatures w14:val="standardContextual"/>
        </w:rPr>
        <w:footnoteReference w:id="24"/>
      </w:r>
    </w:p>
    <w:p w14:paraId="00F0E304" w14:textId="1BC9AB99" w:rsidR="002C5DE1" w:rsidRPr="00B60B51" w:rsidRDefault="002805EF" w:rsidP="00B60B51">
      <w:pPr>
        <w:pStyle w:val="paragraph"/>
        <w:spacing w:before="120" w:beforeAutospacing="0" w:after="120" w:afterAutospacing="0"/>
        <w:jc w:val="both"/>
        <w:textAlignment w:val="baseline"/>
        <w:rPr>
          <w:rFonts w:asciiTheme="minorHAnsi" w:eastAsia="Cambria" w:hAnsiTheme="minorHAnsi" w:cs="Cambria"/>
          <w:color w:val="000000" w:themeColor="text1"/>
          <w:kern w:val="2"/>
          <w:sz w:val="22"/>
          <w:szCs w:val="22"/>
          <w14:ligatures w14:val="standardContextual"/>
        </w:rPr>
      </w:pPr>
      <w:r w:rsidRPr="3DC0673F">
        <w:rPr>
          <w:rFonts w:asciiTheme="minorHAnsi" w:eastAsia="Cambria" w:hAnsiTheme="minorHAnsi" w:cs="Cambria"/>
          <w:color w:val="000000" w:themeColor="text1"/>
          <w:sz w:val="22"/>
          <w:szCs w:val="22"/>
        </w:rPr>
        <w:t>With</w:t>
      </w:r>
      <w:r w:rsidRPr="00B60B51">
        <w:rPr>
          <w:rFonts w:asciiTheme="minorHAnsi" w:eastAsia="Cambria" w:hAnsiTheme="minorHAnsi" w:cs="Cambria"/>
          <w:color w:val="000000" w:themeColor="text1"/>
          <w:kern w:val="2"/>
          <w:sz w:val="22"/>
          <w:szCs w:val="22"/>
          <w14:ligatures w14:val="standardContextual"/>
        </w:rPr>
        <w:t xml:space="preserve"> the Commission’s constructive </w:t>
      </w:r>
      <w:r w:rsidRPr="3DC0673F">
        <w:rPr>
          <w:rFonts w:asciiTheme="minorHAnsi" w:eastAsia="Cambria" w:hAnsiTheme="minorHAnsi" w:cs="Cambria"/>
          <w:color w:val="000000" w:themeColor="text1"/>
          <w:sz w:val="22"/>
          <w:szCs w:val="22"/>
        </w:rPr>
        <w:t>oversight</w:t>
      </w:r>
      <w:r w:rsidRPr="00B60B51">
        <w:rPr>
          <w:rFonts w:asciiTheme="minorHAnsi" w:eastAsia="Cambria" w:hAnsiTheme="minorHAnsi" w:cs="Cambria"/>
          <w:color w:val="000000" w:themeColor="text1"/>
          <w:kern w:val="2"/>
          <w:sz w:val="22"/>
          <w:szCs w:val="22"/>
          <w14:ligatures w14:val="standardContextual"/>
        </w:rPr>
        <w:t xml:space="preserve">, Georgia Power has consistently provided clean, safe, reliable, and affordable </w:t>
      </w:r>
      <w:r w:rsidRPr="3DC0673F">
        <w:rPr>
          <w:rFonts w:asciiTheme="minorHAnsi" w:eastAsia="Cambria" w:hAnsiTheme="minorHAnsi" w:cs="Cambria"/>
          <w:color w:val="000000" w:themeColor="text1"/>
          <w:sz w:val="22"/>
          <w:szCs w:val="22"/>
        </w:rPr>
        <w:t xml:space="preserve">electric service </w:t>
      </w:r>
      <w:r w:rsidRPr="00B60B51">
        <w:rPr>
          <w:rFonts w:asciiTheme="minorHAnsi" w:eastAsia="Cambria" w:hAnsiTheme="minorHAnsi" w:cs="Cambria"/>
          <w:color w:val="000000" w:themeColor="text1"/>
          <w:kern w:val="2"/>
          <w:sz w:val="22"/>
          <w:szCs w:val="22"/>
          <w14:ligatures w14:val="standardContextual"/>
        </w:rPr>
        <w:t xml:space="preserve">to </w:t>
      </w:r>
      <w:r w:rsidRPr="3DC0673F">
        <w:rPr>
          <w:rFonts w:asciiTheme="minorHAnsi" w:eastAsia="Cambria" w:hAnsiTheme="minorHAnsi" w:cs="Cambria"/>
          <w:color w:val="000000" w:themeColor="text1"/>
          <w:sz w:val="22"/>
          <w:szCs w:val="22"/>
        </w:rPr>
        <w:t>its customers while working to support economic growth that benefits Georgia</w:t>
      </w:r>
      <w:r w:rsidRPr="00B60B51">
        <w:rPr>
          <w:rFonts w:asciiTheme="minorHAnsi" w:eastAsia="Cambria" w:hAnsiTheme="minorHAnsi" w:cs="Cambria"/>
          <w:color w:val="000000" w:themeColor="text1"/>
          <w:kern w:val="2"/>
          <w:sz w:val="22"/>
          <w:szCs w:val="22"/>
          <w14:ligatures w14:val="standardContextual"/>
        </w:rPr>
        <w:t>.</w:t>
      </w:r>
      <w:r w:rsidR="00AB277D" w:rsidRPr="00B60B51">
        <w:rPr>
          <w:rFonts w:asciiTheme="minorHAnsi" w:eastAsia="Cambria" w:hAnsiTheme="minorHAnsi" w:cs="Cambria"/>
          <w:color w:val="000000" w:themeColor="text1"/>
          <w:kern w:val="2"/>
          <w:sz w:val="22"/>
          <w:szCs w:val="22"/>
          <w14:ligatures w14:val="standardContextual"/>
        </w:rPr>
        <w:t xml:space="preserve"> </w:t>
      </w:r>
      <w:r w:rsidR="00AB277D" w:rsidRPr="00C47E13">
        <w:rPr>
          <w:rFonts w:asciiTheme="minorHAnsi" w:hAnsiTheme="minorHAnsi"/>
          <w:sz w:val="22"/>
          <w:szCs w:val="22"/>
        </w:rPr>
        <w:t>The</w:t>
      </w:r>
      <w:r w:rsidR="00AB277D" w:rsidRPr="00C47E13">
        <w:rPr>
          <w:rFonts w:asciiTheme="minorHAnsi" w:eastAsia="Cambria" w:hAnsiTheme="minorHAnsi"/>
          <w:sz w:val="22"/>
          <w:szCs w:val="22"/>
        </w:rPr>
        <w:t xml:space="preserve"> 2025 IRP</w:t>
      </w:r>
      <w:r w:rsidR="00AB277D" w:rsidRPr="00C47E13">
        <w:rPr>
          <w:rFonts w:asciiTheme="minorHAnsi" w:hAnsiTheme="minorHAnsi"/>
          <w:sz w:val="22"/>
          <w:szCs w:val="22"/>
        </w:rPr>
        <w:t xml:space="preserve"> proposes a reliable</w:t>
      </w:r>
      <w:r w:rsidR="00375593">
        <w:rPr>
          <w:rFonts w:asciiTheme="minorHAnsi" w:hAnsiTheme="minorHAnsi"/>
          <w:sz w:val="22"/>
          <w:szCs w:val="22"/>
        </w:rPr>
        <w:t>,</w:t>
      </w:r>
      <w:r w:rsidR="00AB277D" w:rsidRPr="00C47E13">
        <w:rPr>
          <w:rFonts w:asciiTheme="minorHAnsi" w:hAnsiTheme="minorHAnsi"/>
          <w:sz w:val="22"/>
          <w:szCs w:val="22"/>
        </w:rPr>
        <w:t xml:space="preserve"> economical</w:t>
      </w:r>
      <w:r w:rsidR="00375593">
        <w:rPr>
          <w:rFonts w:asciiTheme="minorHAnsi" w:hAnsiTheme="minorHAnsi"/>
          <w:sz w:val="22"/>
          <w:szCs w:val="22"/>
        </w:rPr>
        <w:t>, and diverse</w:t>
      </w:r>
      <w:r w:rsidR="00AB277D" w:rsidRPr="00C47E13">
        <w:rPr>
          <w:rFonts w:asciiTheme="minorHAnsi" w:hAnsiTheme="minorHAnsi"/>
          <w:sz w:val="22"/>
          <w:szCs w:val="22"/>
        </w:rPr>
        <w:t xml:space="preserve"> resource mix that will ensure Georgia Power can</w:t>
      </w:r>
      <w:r w:rsidR="00AB277D" w:rsidRPr="00C47E13">
        <w:rPr>
          <w:rFonts w:asciiTheme="minorHAnsi" w:eastAsia="Cambria" w:hAnsiTheme="minorHAnsi"/>
          <w:sz w:val="22"/>
          <w:szCs w:val="22"/>
        </w:rPr>
        <w:t xml:space="preserve"> continue</w:t>
      </w:r>
      <w:r w:rsidR="00AB277D" w:rsidRPr="3DC0673F">
        <w:rPr>
          <w:rFonts w:asciiTheme="minorHAnsi" w:eastAsia="Cambria" w:hAnsiTheme="minorHAnsi" w:cs="Cambria"/>
          <w:color w:val="000000" w:themeColor="text1"/>
          <w:sz w:val="22"/>
          <w:szCs w:val="22"/>
        </w:rPr>
        <w:t xml:space="preserve"> </w:t>
      </w:r>
      <w:r w:rsidR="00AB277D" w:rsidRPr="00B60B51">
        <w:rPr>
          <w:rFonts w:asciiTheme="minorHAnsi" w:eastAsia="Cambria" w:hAnsiTheme="minorHAnsi" w:cs="Cambria"/>
          <w:color w:val="000000" w:themeColor="text1"/>
          <w:kern w:val="2"/>
          <w:sz w:val="22"/>
          <w:szCs w:val="22"/>
          <w14:ligatures w14:val="standardContextual"/>
        </w:rPr>
        <w:t>to meet the energy needs of its customers</w:t>
      </w:r>
      <w:r w:rsidR="00AB277D" w:rsidRPr="3DC0673F">
        <w:rPr>
          <w:rFonts w:asciiTheme="minorHAnsi" w:eastAsia="Cambria" w:hAnsiTheme="minorHAnsi" w:cs="Cambria"/>
          <w:color w:val="000000" w:themeColor="text1"/>
          <w:sz w:val="22"/>
          <w:szCs w:val="22"/>
        </w:rPr>
        <w:t xml:space="preserve"> and support</w:t>
      </w:r>
      <w:r w:rsidR="00AB277D" w:rsidRPr="00B60B51">
        <w:rPr>
          <w:rFonts w:asciiTheme="minorHAnsi" w:eastAsia="Cambria" w:hAnsiTheme="minorHAnsi" w:cs="Cambria"/>
          <w:color w:val="000000" w:themeColor="text1"/>
          <w:kern w:val="2"/>
          <w:sz w:val="22"/>
          <w:szCs w:val="22"/>
          <w14:ligatures w14:val="standardContextual"/>
        </w:rPr>
        <w:t xml:space="preserve"> </w:t>
      </w:r>
      <w:r w:rsidR="00AB277D" w:rsidRPr="3DC0673F">
        <w:rPr>
          <w:rFonts w:asciiTheme="minorHAnsi" w:eastAsia="Cambria" w:hAnsiTheme="minorHAnsi" w:cs="Cambria"/>
          <w:color w:val="000000" w:themeColor="text1"/>
          <w:sz w:val="22"/>
          <w:szCs w:val="22"/>
        </w:rPr>
        <w:t xml:space="preserve">beneficial </w:t>
      </w:r>
      <w:r w:rsidR="00AB277D" w:rsidRPr="00B60B51">
        <w:rPr>
          <w:rFonts w:asciiTheme="minorHAnsi" w:eastAsia="Cambria" w:hAnsiTheme="minorHAnsi" w:cs="Cambria"/>
          <w:color w:val="000000" w:themeColor="text1"/>
          <w:kern w:val="2"/>
          <w:sz w:val="22"/>
          <w:szCs w:val="22"/>
          <w14:ligatures w14:val="standardContextual"/>
        </w:rPr>
        <w:t>economic growth</w:t>
      </w:r>
      <w:r w:rsidR="00AB277D" w:rsidRPr="3DC0673F">
        <w:rPr>
          <w:rFonts w:asciiTheme="minorHAnsi" w:eastAsia="Cambria" w:hAnsiTheme="minorHAnsi" w:cs="Cambria"/>
          <w:color w:val="000000" w:themeColor="text1"/>
          <w:sz w:val="22"/>
          <w:szCs w:val="22"/>
        </w:rPr>
        <w:t xml:space="preserve"> in Georgia</w:t>
      </w:r>
      <w:r w:rsidR="00AB277D" w:rsidRPr="00B60B51">
        <w:rPr>
          <w:rFonts w:asciiTheme="minorHAnsi" w:eastAsia="Cambria" w:hAnsiTheme="minorHAnsi" w:cs="Cambria"/>
          <w:color w:val="000000" w:themeColor="text1"/>
          <w:kern w:val="2"/>
          <w:sz w:val="22"/>
          <w:szCs w:val="22"/>
          <w14:ligatures w14:val="standardContextual"/>
        </w:rPr>
        <w:t>.</w:t>
      </w:r>
      <w:r w:rsidR="00AB277D" w:rsidRPr="00B30275">
        <w:rPr>
          <w:rFonts w:asciiTheme="minorHAnsi" w:eastAsia="Cambria" w:hAnsiTheme="minorHAnsi" w:cs="Cambria" w:hint="eastAsia"/>
          <w:color w:val="000000" w:themeColor="text1"/>
          <w:kern w:val="2"/>
          <w:sz w:val="22"/>
          <w:szCs w:val="22"/>
          <w14:ligatures w14:val="standardContextual"/>
        </w:rPr>
        <w:t> </w:t>
      </w:r>
    </w:p>
    <w:p w14:paraId="021357BA" w14:textId="77777777" w:rsidR="00B60B51" w:rsidRDefault="00B60B51" w:rsidP="002C5DE1">
      <w:pPr>
        <w:pStyle w:val="paragraph"/>
        <w:spacing w:before="0" w:beforeAutospacing="0" w:after="0" w:afterAutospacing="0"/>
        <w:jc w:val="both"/>
        <w:textAlignment w:val="baseline"/>
        <w:rPr>
          <w:rFonts w:asciiTheme="minorHAnsi" w:hAnsiTheme="minorHAnsi" w:cs="Segoe UI"/>
          <w:sz w:val="22"/>
          <w:szCs w:val="22"/>
        </w:rPr>
        <w:sectPr w:rsidR="00B60B51" w:rsidSect="00111CB5">
          <w:headerReference w:type="default" r:id="rId46"/>
          <w:footerReference w:type="default" r:id="rId47"/>
          <w:pgSz w:w="12240" w:h="15840"/>
          <w:pgMar w:top="1440" w:right="1440" w:bottom="1440" w:left="1440" w:header="720" w:footer="720" w:gutter="0"/>
          <w:pgNumType w:start="1"/>
          <w:cols w:space="720"/>
          <w:docGrid w:linePitch="360"/>
        </w:sectPr>
      </w:pPr>
    </w:p>
    <w:p w14:paraId="27645662" w14:textId="77777777" w:rsidR="00293A37" w:rsidRDefault="00293A37" w:rsidP="00293A37">
      <w:pPr>
        <w:jc w:val="both"/>
      </w:pPr>
    </w:p>
    <w:p w14:paraId="4F52A460" w14:textId="77777777" w:rsidR="00293A37" w:rsidRDefault="00293A37" w:rsidP="00293A37">
      <w:pPr>
        <w:jc w:val="both"/>
      </w:pPr>
    </w:p>
    <w:p w14:paraId="3078C840" w14:textId="77777777" w:rsidR="00293A37" w:rsidRDefault="00293A37" w:rsidP="00293A37">
      <w:pPr>
        <w:jc w:val="both"/>
      </w:pPr>
    </w:p>
    <w:p w14:paraId="24A6FCC5" w14:textId="77777777" w:rsidR="00293A37" w:rsidRDefault="00293A37" w:rsidP="00293A37">
      <w:pPr>
        <w:jc w:val="both"/>
      </w:pPr>
    </w:p>
    <w:p w14:paraId="353BC9EA" w14:textId="77777777" w:rsidR="00293A37" w:rsidRDefault="00293A37" w:rsidP="00293A37">
      <w:pPr>
        <w:jc w:val="both"/>
      </w:pPr>
    </w:p>
    <w:p w14:paraId="51BDE043" w14:textId="77777777" w:rsidR="00293A37" w:rsidRDefault="00293A37" w:rsidP="00293A37">
      <w:pPr>
        <w:jc w:val="both"/>
      </w:pPr>
    </w:p>
    <w:p w14:paraId="7C514466" w14:textId="77777777" w:rsidR="00293A37" w:rsidRDefault="00293A37" w:rsidP="00293A37">
      <w:pPr>
        <w:jc w:val="both"/>
      </w:pPr>
    </w:p>
    <w:p w14:paraId="54BA09FE" w14:textId="77777777" w:rsidR="00293A37" w:rsidRDefault="00293A37" w:rsidP="00293A37">
      <w:pPr>
        <w:jc w:val="both"/>
      </w:pPr>
    </w:p>
    <w:p w14:paraId="001E48BE" w14:textId="77777777" w:rsidR="00293A37" w:rsidRDefault="00293A37" w:rsidP="00293A37">
      <w:pPr>
        <w:jc w:val="both"/>
      </w:pPr>
    </w:p>
    <w:p w14:paraId="24D950FB" w14:textId="77777777" w:rsidR="00293A37" w:rsidRDefault="00293A37" w:rsidP="00293A37">
      <w:pPr>
        <w:jc w:val="both"/>
      </w:pPr>
    </w:p>
    <w:p w14:paraId="40046A40" w14:textId="77777777" w:rsidR="00293A37" w:rsidRDefault="00293A37" w:rsidP="00293A37">
      <w:pPr>
        <w:jc w:val="both"/>
      </w:pPr>
    </w:p>
    <w:p w14:paraId="0D9850E7" w14:textId="046D02E7" w:rsidR="00293A37" w:rsidRDefault="00293A37" w:rsidP="00293A37">
      <w:pPr>
        <w:jc w:val="center"/>
        <w:rPr>
          <w:rFonts w:asciiTheme="majorHAnsi" w:eastAsiaTheme="majorEastAsia" w:hAnsiTheme="majorHAnsi" w:cstheme="majorBidi"/>
          <w:color w:val="0F4761" w:themeColor="accent1" w:themeShade="BF"/>
          <w:sz w:val="40"/>
          <w:szCs w:val="40"/>
        </w:rPr>
      </w:pPr>
      <w:r>
        <w:t>[This page is intentionally left blank.]</w:t>
      </w:r>
      <w:r>
        <w:br w:type="page"/>
      </w:r>
    </w:p>
    <w:p w14:paraId="36166096" w14:textId="4E3620E2" w:rsidR="00EC58BB" w:rsidRDefault="00812A0C" w:rsidP="00EC58BB">
      <w:pPr>
        <w:pStyle w:val="Heading1"/>
      </w:pPr>
      <w:bookmarkStart w:id="24" w:name="_Toc189122749"/>
      <w:r>
        <w:lastRenderedPageBreak/>
        <w:t xml:space="preserve">Chapter </w:t>
      </w:r>
      <w:r w:rsidR="00545B58">
        <w:t>5</w:t>
      </w:r>
      <w:r>
        <w:t xml:space="preserve">. </w:t>
      </w:r>
      <w:r w:rsidR="00F83002">
        <w:t>Load &amp; Energy Forecast</w:t>
      </w:r>
      <w:bookmarkEnd w:id="24"/>
    </w:p>
    <w:p w14:paraId="74B2C02C" w14:textId="3109A1FA" w:rsidR="00C93DCC" w:rsidRDefault="002D312B" w:rsidP="00972B42">
      <w:pPr>
        <w:jc w:val="both"/>
      </w:pPr>
      <w:r>
        <w:t xml:space="preserve">Georgia Power’s </w:t>
      </w:r>
      <w:r w:rsidR="00B11E77">
        <w:t>2025</w:t>
      </w:r>
      <w:r>
        <w:t xml:space="preserve"> </w:t>
      </w:r>
      <w:r w:rsidR="008A215C">
        <w:t xml:space="preserve">IRP </w:t>
      </w:r>
      <w:r>
        <w:t xml:space="preserve">load forecast, completed in </w:t>
      </w:r>
      <w:r w:rsidR="00FF551F">
        <w:t>August 2024</w:t>
      </w:r>
      <w:r>
        <w:t xml:space="preserve">, projects </w:t>
      </w:r>
      <w:r w:rsidR="00105F50">
        <w:t>continued</w:t>
      </w:r>
      <w:r w:rsidR="00A06C77">
        <w:t>,</w:t>
      </w:r>
      <w:r w:rsidR="00105F50">
        <w:t xml:space="preserve"> </w:t>
      </w:r>
      <w:r>
        <w:t xml:space="preserve">extraordinary customer load growth stemming from </w:t>
      </w:r>
      <w:r w:rsidR="00002425">
        <w:t>substantial</w:t>
      </w:r>
      <w:r w:rsidR="00912241">
        <w:t xml:space="preserve"> </w:t>
      </w:r>
      <w:r>
        <w:t>economic development taking place in Georgia. The demand projected in the</w:t>
      </w:r>
      <w:r w:rsidR="002533FE">
        <w:t xml:space="preserve"> </w:t>
      </w:r>
      <w:r w:rsidR="00CE638E">
        <w:t xml:space="preserve">2025 </w:t>
      </w:r>
      <w:r w:rsidR="008A215C">
        <w:t>IRP</w:t>
      </w:r>
      <w:r w:rsidR="00CE638E">
        <w:t xml:space="preserve"> load forecast </w:t>
      </w:r>
      <w:r w:rsidR="00C57866">
        <w:t xml:space="preserve">exceeds the demand projected in both the </w:t>
      </w:r>
      <w:r>
        <w:t xml:space="preserve">2023 IRP Update </w:t>
      </w:r>
      <w:r w:rsidR="004A3B59">
        <w:t>and</w:t>
      </w:r>
      <w:r>
        <w:t xml:space="preserve"> the 2022 IRP.</w:t>
      </w:r>
      <w:r w:rsidR="00F062B3">
        <w:rPr>
          <w:rStyle w:val="FootnoteReference"/>
        </w:rPr>
        <w:footnoteReference w:id="25"/>
      </w:r>
      <w:r>
        <w:t xml:space="preserve"> </w:t>
      </w:r>
      <w:r w:rsidR="00596136">
        <w:t>A</w:t>
      </w:r>
      <w:r>
        <w:t xml:space="preserve">t the time of the 2022 IRP, the Company anticipated </w:t>
      </w:r>
      <w:r w:rsidR="00920E4F">
        <w:t xml:space="preserve">just over </w:t>
      </w:r>
      <w:r w:rsidR="00325123">
        <w:t>3</w:t>
      </w:r>
      <w:r>
        <w:t>00 MW of growth between the winter of 202</w:t>
      </w:r>
      <w:r w:rsidR="0057281F">
        <w:t>4</w:t>
      </w:r>
      <w:r>
        <w:t>/202</w:t>
      </w:r>
      <w:r w:rsidR="0057281F">
        <w:t>5</w:t>
      </w:r>
      <w:r w:rsidR="005863E1">
        <w:rPr>
          <w:rStyle w:val="FootnoteReference"/>
        </w:rPr>
        <w:footnoteReference w:id="26"/>
      </w:r>
      <w:r>
        <w:t xml:space="preserve"> and the winter of 2030/2031. </w:t>
      </w:r>
      <w:r w:rsidR="00C665F9">
        <w:t xml:space="preserve">For this same period, the Company </w:t>
      </w:r>
      <w:r w:rsidR="00E13578">
        <w:t xml:space="preserve">projected approximately </w:t>
      </w:r>
      <w:r w:rsidR="0065035D">
        <w:t>5,900</w:t>
      </w:r>
      <w:r w:rsidR="00120274">
        <w:t xml:space="preserve"> MW of </w:t>
      </w:r>
      <w:r w:rsidR="002A74BA">
        <w:t xml:space="preserve">growth </w:t>
      </w:r>
      <w:r w:rsidR="00900C6F">
        <w:t>in its 2023 IRP Update, filed in October 202</w:t>
      </w:r>
      <w:r w:rsidR="00367CE9">
        <w:t xml:space="preserve">3. Now, in the 2025 IRP, </w:t>
      </w:r>
      <w:r>
        <w:t xml:space="preserve">current projections reflect load growth of </w:t>
      </w:r>
      <w:r w:rsidR="006A6F11">
        <w:t>8,2</w:t>
      </w:r>
      <w:r w:rsidR="00D20AFF">
        <w:t>05</w:t>
      </w:r>
      <w:r>
        <w:t xml:space="preserve"> MW through the winter of 2030/2031.</w:t>
      </w:r>
      <w:r w:rsidR="008A0DDC">
        <w:t xml:space="preserve"> This expected </w:t>
      </w:r>
      <w:r w:rsidR="00C271C3">
        <w:t>load</w:t>
      </w:r>
      <w:r w:rsidR="008A0DDC">
        <w:t xml:space="preserve"> growth reflects a compound annual growth rate of 7%</w:t>
      </w:r>
      <w:r w:rsidR="00C271C3">
        <w:t xml:space="preserve"> through the winter of 2030/2031.</w:t>
      </w:r>
      <w:r w:rsidR="00CA3A88">
        <w:t xml:space="preserve"> A comparison of </w:t>
      </w:r>
      <w:r w:rsidR="00C93DCC">
        <w:t xml:space="preserve">projected winter peak demands </w:t>
      </w:r>
      <w:r w:rsidR="00DA1192">
        <w:t xml:space="preserve">from </w:t>
      </w:r>
      <w:r w:rsidR="00C93DCC">
        <w:t xml:space="preserve">the 2022 IRP, the 2023 IRP Update, and the 2025 IRP for the 20-year period spanning the </w:t>
      </w:r>
      <w:r w:rsidR="00CA15BD">
        <w:t>w</w:t>
      </w:r>
      <w:r w:rsidR="00C93DCC">
        <w:t xml:space="preserve">inter of 2024/2025 through the </w:t>
      </w:r>
      <w:r w:rsidR="00CA15BD">
        <w:t>w</w:t>
      </w:r>
      <w:r w:rsidR="00C93DCC">
        <w:t>inter of 2043/2044</w:t>
      </w:r>
      <w:r w:rsidR="005863E1">
        <w:t xml:space="preserve"> is provided in Figure 5A below.</w:t>
      </w:r>
    </w:p>
    <w:p w14:paraId="04DD02FD" w14:textId="24E15013" w:rsidR="000A698A" w:rsidRPr="007A7FD3" w:rsidRDefault="000A698A" w:rsidP="000A698A">
      <w:pPr>
        <w:keepNext/>
        <w:jc w:val="center"/>
        <w:rPr>
          <w:i/>
          <w:iCs/>
        </w:rPr>
      </w:pPr>
      <w:r w:rsidRPr="007A7FD3">
        <w:rPr>
          <w:i/>
          <w:iCs/>
        </w:rPr>
        <w:t xml:space="preserve">Figure </w:t>
      </w:r>
      <w:r>
        <w:rPr>
          <w:i/>
          <w:iCs/>
        </w:rPr>
        <w:t>5A</w:t>
      </w:r>
      <w:r w:rsidRPr="007A7FD3">
        <w:rPr>
          <w:i/>
          <w:iCs/>
        </w:rPr>
        <w:t xml:space="preserve">: </w:t>
      </w:r>
      <w:r>
        <w:rPr>
          <w:i/>
          <w:iCs/>
        </w:rPr>
        <w:t>Georgia Power Projected Winter Peak Demand</w:t>
      </w:r>
    </w:p>
    <w:p w14:paraId="31536258" w14:textId="77777777" w:rsidR="00972B42" w:rsidRDefault="00972B42" w:rsidP="00972B42">
      <w:pPr>
        <w:jc w:val="center"/>
      </w:pPr>
      <w:r>
        <w:rPr>
          <w:noProof/>
        </w:rPr>
        <w:drawing>
          <wp:inline distT="0" distB="0" distL="0" distR="0" wp14:anchorId="66F0938C" wp14:editId="567885FF">
            <wp:extent cx="5486400" cy="3200400"/>
            <wp:effectExtent l="0" t="0" r="0" b="0"/>
            <wp:docPr id="133188338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32460D72" w14:textId="2BE077DD" w:rsidR="002D312B" w:rsidRDefault="002D312B" w:rsidP="003F1B06">
      <w:pPr>
        <w:jc w:val="both"/>
      </w:pPr>
      <w:r>
        <w:t>The significant increase in the projected demand for energy since the 2022 IRP reflects the extraordinary growth associated with the numerous new large load</w:t>
      </w:r>
      <w:r w:rsidR="009E63EC">
        <w:rPr>
          <w:rStyle w:val="FootnoteReference"/>
        </w:rPr>
        <w:footnoteReference w:id="27"/>
      </w:r>
      <w:r>
        <w:t xml:space="preserve"> projects Georgia Power has been selected to serve as well as a considerable pipeline of potential future projects. </w:t>
      </w:r>
      <w:r w:rsidR="00F1360F">
        <w:t xml:space="preserve">The size of </w:t>
      </w:r>
      <w:r w:rsidR="00F1360F">
        <w:lastRenderedPageBreak/>
        <w:t>many of these projects far exceeds historical annual norms, with some individual projects surpassing 1,000 MW. In addition to the size of the large load</w:t>
      </w:r>
      <w:r w:rsidR="00043DC2">
        <w:t>s</w:t>
      </w:r>
      <w:r w:rsidR="00F1360F">
        <w:t xml:space="preserve"> presented by these new projects, many of the projects reflect a higher load factor </w:t>
      </w:r>
      <w:r w:rsidR="009E2EE2">
        <w:t>with</w:t>
      </w:r>
      <w:r w:rsidR="00F1360F">
        <w:t xml:space="preserve"> around-the-clock operations, which requires a substantial amount of generation and consistent energy delivery throughout the day and night as opposed to only during specific times.</w:t>
      </w:r>
      <w:r w:rsidR="007257B4">
        <w:t xml:space="preserve"> </w:t>
      </w:r>
    </w:p>
    <w:p w14:paraId="50D96F91" w14:textId="53472ED3" w:rsidR="00962A55" w:rsidRDefault="00962A55" w:rsidP="00962A55">
      <w:pPr>
        <w:jc w:val="both"/>
      </w:pPr>
      <w:r>
        <w:t>Upon conclusion of the 2023 IRP Update, Georgia Power began filing quarterly large load economic development reports to update the Commission on the large load economic development pipeline identified by the Company</w:t>
      </w:r>
      <w:r w:rsidR="0090655D">
        <w:t>. These quarterly reports tracked</w:t>
      </w:r>
      <w:r>
        <w:t xml:space="preserve"> the total number of </w:t>
      </w:r>
      <w:r w:rsidR="00772D55">
        <w:t xml:space="preserve">both large load customers who have committed to take electric service from Georgia Power </w:t>
      </w:r>
      <w:r>
        <w:t>and potential large load customers seeking to do business in Georgia</w:t>
      </w:r>
      <w:r w:rsidR="00BF3863">
        <w:t>.</w:t>
      </w:r>
      <w:r w:rsidR="00280863">
        <w:rPr>
          <w:rStyle w:val="FootnoteReference"/>
        </w:rPr>
        <w:footnoteReference w:id="28"/>
      </w:r>
      <w:r w:rsidR="00BF3863">
        <w:t xml:space="preserve"> A</w:t>
      </w:r>
      <w:r>
        <w:t xml:space="preserve">s summarized in Figure </w:t>
      </w:r>
      <w:r w:rsidR="006717CF">
        <w:t>5</w:t>
      </w:r>
      <w:r w:rsidR="00AA25CA">
        <w:t>B</w:t>
      </w:r>
      <w:r>
        <w:t xml:space="preserve">, </w:t>
      </w:r>
      <w:r w:rsidR="00280863">
        <w:t xml:space="preserve">the quarterly reports </w:t>
      </w:r>
      <w:r>
        <w:t xml:space="preserve">demonstrate robust growth in the </w:t>
      </w:r>
      <w:r w:rsidR="006B5443">
        <w:t xml:space="preserve">Company’s </w:t>
      </w:r>
      <w:r>
        <w:t xml:space="preserve">large load economic development pipeline since the 2023 IRP Update. </w:t>
      </w:r>
    </w:p>
    <w:p w14:paraId="07D9C0B1" w14:textId="247E21FD" w:rsidR="00137108" w:rsidRDefault="23352541" w:rsidP="717FACF3">
      <w:pPr>
        <w:spacing w:after="240"/>
        <w:jc w:val="center"/>
        <w:rPr>
          <w:i/>
          <w:iCs/>
        </w:rPr>
      </w:pPr>
      <w:r w:rsidRPr="717FACF3">
        <w:rPr>
          <w:i/>
          <w:iCs/>
        </w:rPr>
        <w:t xml:space="preserve">Figure </w:t>
      </w:r>
      <w:r w:rsidR="7F0B30DA" w:rsidRPr="717FACF3">
        <w:rPr>
          <w:i/>
          <w:iCs/>
        </w:rPr>
        <w:t>5</w:t>
      </w:r>
      <w:r w:rsidR="4FB9DA71" w:rsidRPr="717FACF3">
        <w:rPr>
          <w:i/>
          <w:iCs/>
        </w:rPr>
        <w:t>B</w:t>
      </w:r>
      <w:r w:rsidRPr="717FACF3">
        <w:rPr>
          <w:i/>
          <w:iCs/>
        </w:rPr>
        <w:t xml:space="preserve">: </w:t>
      </w:r>
      <w:r w:rsidR="16E1EEA3" w:rsidRPr="717FACF3">
        <w:rPr>
          <w:i/>
          <w:iCs/>
        </w:rPr>
        <w:t>Long-Term Pipeline Growth Through the Mid-2030s</w:t>
      </w:r>
      <w:r w:rsidR="16E1EEA3">
        <w:rPr>
          <w:noProof/>
        </w:rPr>
        <w:t xml:space="preserve"> </w:t>
      </w:r>
      <w:r w:rsidR="00CF6C0D">
        <w:rPr>
          <w:noProof/>
        </w:rPr>
        <w:drawing>
          <wp:inline distT="0" distB="0" distL="0" distR="0" wp14:anchorId="54AD45E2" wp14:editId="777413C7">
            <wp:extent cx="5401832" cy="3086761"/>
            <wp:effectExtent l="0" t="0" r="8890" b="0"/>
            <wp:docPr id="131054342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6E7A9A06" w14:textId="1B1376DF" w:rsidR="00952ADE" w:rsidRDefault="00AF06C6" w:rsidP="00AD30E7">
      <w:pPr>
        <w:jc w:val="both"/>
      </w:pPr>
      <w:r>
        <w:t>As shown in Figure 5B, and in support of the B2025 load forecast, t</w:t>
      </w:r>
      <w:r w:rsidR="00AD30E7">
        <w:t>he long-term</w:t>
      </w:r>
      <w:r w:rsidR="00AD30E7">
        <w:rPr>
          <w:rStyle w:val="FootnoteReference"/>
        </w:rPr>
        <w:footnoteReference w:id="29"/>
      </w:r>
      <w:r w:rsidR="00AD30E7">
        <w:t xml:space="preserve"> large load pipeline grew by approximately 6.8 GW from the 2023 IRP Update filing in October 2023 through June 2024</w:t>
      </w:r>
      <w:r w:rsidR="007C0D01">
        <w:t xml:space="preserve"> to </w:t>
      </w:r>
      <w:r w:rsidR="006B6B46">
        <w:t>22.8 GW</w:t>
      </w:r>
      <w:r w:rsidR="00AD30E7">
        <w:t>.</w:t>
      </w:r>
      <w:r w:rsidR="00AD30E7">
        <w:rPr>
          <w:rStyle w:val="FootnoteReference"/>
        </w:rPr>
        <w:footnoteReference w:id="30"/>
      </w:r>
      <w:r w:rsidR="00AD30E7">
        <w:t xml:space="preserve"> </w:t>
      </w:r>
      <w:r w:rsidR="006B6B46">
        <w:t xml:space="preserve">Over </w:t>
      </w:r>
      <w:r w:rsidR="00AD30E7" w:rsidDel="006B6B46">
        <w:t>the</w:t>
      </w:r>
      <w:r w:rsidR="00AD30E7">
        <w:t xml:space="preserve"> same</w:t>
      </w:r>
      <w:r w:rsidR="006B6B46">
        <w:t xml:space="preserve"> eight-month</w:t>
      </w:r>
      <w:r w:rsidR="00AD30E7">
        <w:t xml:space="preserve"> period, the number of large load customers who </w:t>
      </w:r>
      <w:r w:rsidR="000F68F7">
        <w:t xml:space="preserve">committed to receive </w:t>
      </w:r>
      <w:r w:rsidR="00AD30E7">
        <w:t>electric service from Georgia Power grew by 10</w:t>
      </w:r>
      <w:r w:rsidR="00FC4D7C">
        <w:t> </w:t>
      </w:r>
      <w:r w:rsidR="00AD30E7">
        <w:t>projects</w:t>
      </w:r>
      <w:r w:rsidR="000F68F7">
        <w:t xml:space="preserve"> to 7.3 GW</w:t>
      </w:r>
      <w:r w:rsidR="00AD30E7">
        <w:t>, representing an increase of approximately 3.7 GW</w:t>
      </w:r>
      <w:r w:rsidR="00AD30E7" w:rsidDel="00952ADE">
        <w:t xml:space="preserve">. </w:t>
      </w:r>
    </w:p>
    <w:p w14:paraId="1D88F42C" w14:textId="64BCEF54" w:rsidR="00AD30E7" w:rsidRDefault="00DA2B3C" w:rsidP="00AD30E7">
      <w:pPr>
        <w:jc w:val="both"/>
      </w:pPr>
      <w:r>
        <w:lastRenderedPageBreak/>
        <w:t>Subsequent to the development of the B2025 Load Forecast, and as shown in the Company’s Q3 2024 Large Load Economic Development Report, t</w:t>
      </w:r>
      <w:r w:rsidR="00AD30E7">
        <w:t>hese committed customers’ projects</w:t>
      </w:r>
      <w:r>
        <w:t xml:space="preserve"> continued to materialize and</w:t>
      </w:r>
      <w:r w:rsidR="00AD30E7">
        <w:t xml:space="preserve"> now represent </w:t>
      </w:r>
      <w:r w:rsidR="00AD30E7" w:rsidRPr="00375593">
        <w:t>8 GW</w:t>
      </w:r>
      <w:r w:rsidR="007E1D23">
        <w:t>. As depicted in Figure 5C</w:t>
      </w:r>
      <w:r w:rsidR="00C530A9">
        <w:t xml:space="preserve">, the Company </w:t>
      </w:r>
      <w:r w:rsidR="00AD30E7">
        <w:t>expect</w:t>
      </w:r>
      <w:r w:rsidR="00C530A9">
        <w:t>s these projects</w:t>
      </w:r>
      <w:r w:rsidR="00AD30E7">
        <w:t xml:space="preserve"> to ramp up significantly in the near-term</w:t>
      </w:r>
      <w:r w:rsidR="00FF0D87">
        <w:t>,</w:t>
      </w:r>
      <w:r w:rsidR="00AD30E7">
        <w:rPr>
          <w:rStyle w:val="FootnoteReference"/>
        </w:rPr>
        <w:footnoteReference w:id="31"/>
      </w:r>
      <w:r w:rsidR="00FF0D87">
        <w:t xml:space="preserve"> as 13 out of 25</w:t>
      </w:r>
      <w:r w:rsidR="00AD30E7" w:rsidDel="00525AFD">
        <w:t xml:space="preserve"> </w:t>
      </w:r>
      <w:r w:rsidR="00AD30E7">
        <w:t xml:space="preserve">large load customer commitments have </w:t>
      </w:r>
      <w:r w:rsidR="00525AFD">
        <w:t xml:space="preserve">currently </w:t>
      </w:r>
      <w:r w:rsidR="00AD30E7">
        <w:t xml:space="preserve">broken ground, representing </w:t>
      </w:r>
      <w:r w:rsidR="001459EE">
        <w:t xml:space="preserve">3 </w:t>
      </w:r>
      <w:r w:rsidR="001459EE" w:rsidRPr="00913463">
        <w:t>GW</w:t>
      </w:r>
      <w:r w:rsidR="001459EE">
        <w:t xml:space="preserve"> out of 4.9 </w:t>
      </w:r>
      <w:r w:rsidR="00AD30E7" w:rsidRPr="00913463">
        <w:t>GW</w:t>
      </w:r>
      <w:r w:rsidR="00AD30E7">
        <w:t xml:space="preserve"> of large load customer commitments through the winter of 2028/2029. </w:t>
      </w:r>
    </w:p>
    <w:p w14:paraId="2A0C0F4E" w14:textId="22BB3EC8" w:rsidR="00AD30E7" w:rsidRPr="00FB3D5F" w:rsidRDefault="00AD30E7" w:rsidP="00AD30E7">
      <w:pPr>
        <w:keepNext/>
        <w:jc w:val="center"/>
        <w:rPr>
          <w:i/>
          <w:iCs/>
        </w:rPr>
      </w:pPr>
      <w:r w:rsidRPr="007A7FD3">
        <w:rPr>
          <w:i/>
          <w:iCs/>
        </w:rPr>
        <w:t xml:space="preserve">Figure </w:t>
      </w:r>
      <w:r w:rsidR="008C4D1E">
        <w:rPr>
          <w:i/>
          <w:iCs/>
        </w:rPr>
        <w:t>5</w:t>
      </w:r>
      <w:r w:rsidR="00AA25CA">
        <w:rPr>
          <w:i/>
          <w:iCs/>
        </w:rPr>
        <w:t>C</w:t>
      </w:r>
      <w:r w:rsidRPr="007A7FD3">
        <w:rPr>
          <w:i/>
          <w:iCs/>
        </w:rPr>
        <w:t xml:space="preserve">: </w:t>
      </w:r>
      <w:r>
        <w:rPr>
          <w:i/>
          <w:iCs/>
        </w:rPr>
        <w:t>Near-Term Pipeline Growth Through the Winter of 2028/2029</w:t>
      </w:r>
    </w:p>
    <w:p w14:paraId="2BB3FC94" w14:textId="77777777" w:rsidR="00AD30E7" w:rsidRDefault="00AD30E7" w:rsidP="00AD30E7">
      <w:pPr>
        <w:jc w:val="center"/>
      </w:pPr>
      <w:r>
        <w:rPr>
          <w:noProof/>
        </w:rPr>
        <w:drawing>
          <wp:inline distT="0" distB="0" distL="0" distR="0" wp14:anchorId="32ED7A0E" wp14:editId="69A0099D">
            <wp:extent cx="5486400" cy="3200400"/>
            <wp:effectExtent l="0" t="0" r="0" b="0"/>
            <wp:docPr id="789553708"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1C56793" w14:textId="11DEDB05" w:rsidR="0047709B" w:rsidRDefault="00871F88" w:rsidP="003F1B06">
      <w:pPr>
        <w:jc w:val="both"/>
      </w:pPr>
      <w:r>
        <w:t xml:space="preserve">As </w:t>
      </w:r>
      <w:r w:rsidR="00656D88">
        <w:t xml:space="preserve">a key assumption in its load forecasting process, </w:t>
      </w:r>
      <w:r>
        <w:t xml:space="preserve">the Company does not </w:t>
      </w:r>
      <w:r w:rsidR="005E50A3">
        <w:t xml:space="preserve">assume or </w:t>
      </w:r>
      <w:r>
        <w:t>expect all economic development projects (i.e., the large load economic development pipeline)</w:t>
      </w:r>
      <w:r w:rsidR="006A0EE7">
        <w:t xml:space="preserve"> or even the full load of committed projects</w:t>
      </w:r>
      <w:r>
        <w:t xml:space="preserve"> to materialize. </w:t>
      </w:r>
      <w:r w:rsidR="004608FB">
        <w:t xml:space="preserve">For </w:t>
      </w:r>
      <w:r w:rsidR="00072299">
        <w:t>B</w:t>
      </w:r>
      <w:r w:rsidR="004608FB">
        <w:t xml:space="preserve">2025, </w:t>
      </w:r>
      <w:r w:rsidR="00741370">
        <w:t xml:space="preserve">the Company </w:t>
      </w:r>
      <w:r w:rsidR="001C4759">
        <w:t>continue</w:t>
      </w:r>
      <w:r w:rsidR="00AF50FD">
        <w:t>d</w:t>
      </w:r>
      <w:r w:rsidR="001C4759">
        <w:t xml:space="preserve"> to </w:t>
      </w:r>
      <w:r w:rsidR="00FC4D7C">
        <w:t>risk adjust its organic forecast</w:t>
      </w:r>
      <w:r w:rsidR="001C4759">
        <w:t xml:space="preserve"> </w:t>
      </w:r>
      <w:r w:rsidR="00FC4D7C">
        <w:t>using</w:t>
      </w:r>
      <w:r w:rsidR="00276F2A">
        <w:t xml:space="preserve"> the probabilistic</w:t>
      </w:r>
      <w:r w:rsidR="001C4759">
        <w:t xml:space="preserve"> </w:t>
      </w:r>
      <w:r w:rsidR="00466EFB">
        <w:t xml:space="preserve">model developed </w:t>
      </w:r>
      <w:r w:rsidR="00EC4C31">
        <w:t xml:space="preserve">in </w:t>
      </w:r>
      <w:r w:rsidR="00827662">
        <w:t xml:space="preserve">support of </w:t>
      </w:r>
      <w:r w:rsidR="00EC4C31">
        <w:t>the 2023 IRP Update</w:t>
      </w:r>
      <w:r w:rsidR="003B345C">
        <w:t xml:space="preserve"> to </w:t>
      </w:r>
      <w:r w:rsidR="00551D10">
        <w:t xml:space="preserve">evaluate the range and likelihood </w:t>
      </w:r>
      <w:r w:rsidR="0007605F">
        <w:t xml:space="preserve">of future potential outcomes </w:t>
      </w:r>
      <w:r w:rsidR="008A28AA">
        <w:t xml:space="preserve">of the load growth </w:t>
      </w:r>
      <w:r w:rsidR="0018703F">
        <w:t xml:space="preserve">from </w:t>
      </w:r>
      <w:r w:rsidR="00072299">
        <w:t>new</w:t>
      </w:r>
      <w:r w:rsidR="00FC4D7C">
        <w:t>,</w:t>
      </w:r>
      <w:r w:rsidR="00072299">
        <w:t xml:space="preserve"> </w:t>
      </w:r>
      <w:r w:rsidR="0018703F">
        <w:t>large</w:t>
      </w:r>
      <w:r w:rsidR="00072299">
        <w:t xml:space="preserve"> load</w:t>
      </w:r>
      <w:r w:rsidR="0018703F">
        <w:t xml:space="preserve"> customers. </w:t>
      </w:r>
      <w:r w:rsidR="004B0DA6">
        <w:t xml:space="preserve">The </w:t>
      </w:r>
      <w:r w:rsidR="00A571AC">
        <w:t>B2025 Load Forecast is a product of</w:t>
      </w:r>
      <w:r w:rsidR="004B0DA6">
        <w:t xml:space="preserve"> this </w:t>
      </w:r>
      <w:r w:rsidR="00072299">
        <w:t>probabilistic</w:t>
      </w:r>
      <w:r w:rsidR="00285218">
        <w:t xml:space="preserve"> large load growth</w:t>
      </w:r>
      <w:r w:rsidR="00072299">
        <w:t xml:space="preserve"> </w:t>
      </w:r>
      <w:r w:rsidR="004B0DA6">
        <w:t xml:space="preserve">model </w:t>
      </w:r>
      <w:r w:rsidR="00285218">
        <w:t>combined</w:t>
      </w:r>
      <w:r w:rsidR="00703A18">
        <w:t xml:space="preserve"> with the Company’s</w:t>
      </w:r>
      <w:r w:rsidR="00171397">
        <w:t xml:space="preserve"> </w:t>
      </w:r>
      <w:r w:rsidR="00072299">
        <w:t>organic</w:t>
      </w:r>
      <w:r w:rsidR="00571FA5">
        <w:t xml:space="preserve"> </w:t>
      </w:r>
      <w:r w:rsidR="00495C9F">
        <w:t xml:space="preserve">residential, </w:t>
      </w:r>
      <w:r w:rsidR="00571FA5">
        <w:t>commercial</w:t>
      </w:r>
      <w:r w:rsidR="00495C9F">
        <w:t>,</w:t>
      </w:r>
      <w:r w:rsidR="00571FA5">
        <w:t xml:space="preserve"> and industrial </w:t>
      </w:r>
      <w:r w:rsidR="00E91208">
        <w:t>energy and peak forecasts</w:t>
      </w:r>
      <w:r w:rsidR="004B65C5">
        <w:t>.</w:t>
      </w:r>
      <w:r w:rsidR="00481E14">
        <w:t xml:space="preserve"> </w:t>
      </w:r>
    </w:p>
    <w:p w14:paraId="2BFE7060" w14:textId="2FEF0AE4" w:rsidR="00F83002" w:rsidRDefault="004D1524" w:rsidP="003F1B06">
      <w:pPr>
        <w:jc w:val="both"/>
      </w:pPr>
      <w:r>
        <w:t>As adjusted, the</w:t>
      </w:r>
      <w:r w:rsidR="00171397">
        <w:t xml:space="preserve"> B2025</w:t>
      </w:r>
      <w:r>
        <w:t xml:space="preserve"> </w:t>
      </w:r>
      <w:r w:rsidR="00171397">
        <w:t>L</w:t>
      </w:r>
      <w:r>
        <w:t xml:space="preserve">oad </w:t>
      </w:r>
      <w:r w:rsidR="00171397">
        <w:t>F</w:t>
      </w:r>
      <w:r>
        <w:t>orecast accounts for uncertainties related to new large</w:t>
      </w:r>
      <w:r w:rsidR="00FC4D7C">
        <w:t xml:space="preserve"> </w:t>
      </w:r>
      <w:r w:rsidR="009838B5">
        <w:t>load</w:t>
      </w:r>
      <w:r>
        <w:t xml:space="preserve"> projects, including state selection, electric provider selection, project delays, and the materialization of load. The Company conducted hundreds of thousands of simulations using different combinations of these uncertainties to produce probability distributions that were then utilized to develop the external adjustments</w:t>
      </w:r>
      <w:r w:rsidR="00333C46">
        <w:t>.</w:t>
      </w:r>
      <w:r>
        <w:t xml:space="preserve"> Additional details regarding the </w:t>
      </w:r>
      <w:r w:rsidR="00FC4D7C">
        <w:t>risk</w:t>
      </w:r>
      <w:r>
        <w:t xml:space="preserve"> adjustment and </w:t>
      </w:r>
      <w:r w:rsidR="00FC4D7C">
        <w:t xml:space="preserve">probabilistic </w:t>
      </w:r>
      <w:r w:rsidR="008A1A25">
        <w:t xml:space="preserve">model </w:t>
      </w:r>
      <w:r w:rsidR="005748CF">
        <w:t>as well as the full</w:t>
      </w:r>
      <w:r>
        <w:t xml:space="preserve"> Load and Energy Forecast are contained in the Technical Appendix.</w:t>
      </w:r>
    </w:p>
    <w:p w14:paraId="774C0798" w14:textId="77777777" w:rsidR="001964D0" w:rsidRDefault="001964D0" w:rsidP="001964D0">
      <w:pPr>
        <w:jc w:val="both"/>
      </w:pPr>
    </w:p>
    <w:p w14:paraId="3ACC5C5A" w14:textId="77777777" w:rsidR="001964D0" w:rsidRDefault="001964D0" w:rsidP="001964D0">
      <w:pPr>
        <w:jc w:val="both"/>
      </w:pPr>
    </w:p>
    <w:p w14:paraId="4CFFA9CF" w14:textId="77777777" w:rsidR="001964D0" w:rsidRDefault="001964D0" w:rsidP="001964D0">
      <w:pPr>
        <w:jc w:val="both"/>
      </w:pPr>
    </w:p>
    <w:p w14:paraId="07223E1F" w14:textId="77777777" w:rsidR="001964D0" w:rsidRDefault="001964D0" w:rsidP="001964D0">
      <w:pPr>
        <w:jc w:val="both"/>
      </w:pPr>
    </w:p>
    <w:p w14:paraId="47B5EF85" w14:textId="77777777" w:rsidR="001964D0" w:rsidRDefault="001964D0" w:rsidP="001964D0">
      <w:pPr>
        <w:jc w:val="both"/>
      </w:pPr>
    </w:p>
    <w:p w14:paraId="29B2AD5D" w14:textId="77777777" w:rsidR="001964D0" w:rsidRDefault="001964D0" w:rsidP="001964D0">
      <w:pPr>
        <w:jc w:val="both"/>
      </w:pPr>
    </w:p>
    <w:p w14:paraId="46B19FC7" w14:textId="77777777" w:rsidR="001964D0" w:rsidRDefault="001964D0" w:rsidP="001964D0">
      <w:pPr>
        <w:jc w:val="both"/>
      </w:pPr>
    </w:p>
    <w:p w14:paraId="274B6AB7" w14:textId="77777777" w:rsidR="001964D0" w:rsidRDefault="001964D0" w:rsidP="001964D0">
      <w:pPr>
        <w:jc w:val="both"/>
      </w:pPr>
    </w:p>
    <w:p w14:paraId="1349A4A8" w14:textId="77777777" w:rsidR="001964D0" w:rsidRDefault="001964D0" w:rsidP="001964D0">
      <w:pPr>
        <w:jc w:val="both"/>
      </w:pPr>
    </w:p>
    <w:p w14:paraId="0B3E8106" w14:textId="77777777" w:rsidR="001964D0" w:rsidRDefault="001964D0" w:rsidP="001964D0">
      <w:pPr>
        <w:jc w:val="both"/>
      </w:pPr>
    </w:p>
    <w:p w14:paraId="77E87B4C" w14:textId="77777777" w:rsidR="001964D0" w:rsidRDefault="001964D0" w:rsidP="001964D0">
      <w:pPr>
        <w:jc w:val="both"/>
      </w:pPr>
    </w:p>
    <w:p w14:paraId="06E416D1" w14:textId="2CCF14B0" w:rsidR="001964D0" w:rsidRDefault="001964D0" w:rsidP="001964D0">
      <w:pPr>
        <w:jc w:val="center"/>
        <w:rPr>
          <w:rFonts w:asciiTheme="majorHAnsi" w:eastAsiaTheme="majorEastAsia" w:hAnsiTheme="majorHAnsi" w:cstheme="majorBidi"/>
          <w:color w:val="0F4761" w:themeColor="accent1" w:themeShade="BF"/>
          <w:sz w:val="40"/>
          <w:szCs w:val="40"/>
        </w:rPr>
      </w:pPr>
      <w:r>
        <w:t>[This page is intentionally left blank.]</w:t>
      </w:r>
      <w:r>
        <w:br w:type="page"/>
      </w:r>
    </w:p>
    <w:p w14:paraId="6FC1B8CD" w14:textId="00819956" w:rsidR="00F83002" w:rsidRDefault="00E7163D" w:rsidP="00C6747E">
      <w:pPr>
        <w:pStyle w:val="Heading1"/>
      </w:pPr>
      <w:bookmarkStart w:id="25" w:name="_Toc189122750"/>
      <w:r>
        <w:lastRenderedPageBreak/>
        <w:t xml:space="preserve">Chapter </w:t>
      </w:r>
      <w:r w:rsidR="00545B58">
        <w:t>6</w:t>
      </w:r>
      <w:r>
        <w:t xml:space="preserve">. </w:t>
      </w:r>
      <w:r w:rsidR="00BF41C9">
        <w:t xml:space="preserve">Reliability </w:t>
      </w:r>
      <w:r w:rsidR="00FF635F">
        <w:t>&amp; Resilienc</w:t>
      </w:r>
      <w:r w:rsidR="00927E72">
        <w:t>y</w:t>
      </w:r>
      <w:r w:rsidR="00FF635F">
        <w:t xml:space="preserve"> </w:t>
      </w:r>
      <w:r w:rsidR="00BF41C9">
        <w:t>Planning</w:t>
      </w:r>
      <w:bookmarkEnd w:id="25"/>
    </w:p>
    <w:p w14:paraId="6193D99E" w14:textId="419DDFC3" w:rsidR="002D26E7" w:rsidRDefault="002D26E7" w:rsidP="009060C7">
      <w:pPr>
        <w:jc w:val="both"/>
      </w:pPr>
      <w:r>
        <w:t xml:space="preserve">Prudent utility practice requires that electric utilities maintain sufficient supply-side and demand-side resources to reliably serve the needs of their customers. The ability of supply-side and demand-side resources to meet electrical demand and maintain an appropriate level of </w:t>
      </w:r>
      <w:r w:rsidR="002B7DD6">
        <w:t>System</w:t>
      </w:r>
      <w:r>
        <w:t xml:space="preserve"> reliability is</w:t>
      </w:r>
      <w:r w:rsidDel="00D001C8">
        <w:t xml:space="preserve"> </w:t>
      </w:r>
      <w:r>
        <w:t xml:space="preserve">referred to in the electric utility industry as “Resource Adequacy.” The Company establishes the appropriate level of </w:t>
      </w:r>
      <w:r w:rsidR="00653359">
        <w:t xml:space="preserve">System </w:t>
      </w:r>
      <w:r>
        <w:t>reliability through its reserve margin study. The Company also</w:t>
      </w:r>
      <w:r w:rsidDel="00144845">
        <w:t xml:space="preserve"> </w:t>
      </w:r>
      <w:r w:rsidR="00144845">
        <w:t xml:space="preserve">undertakes </w:t>
      </w:r>
      <w:r>
        <w:t>capacity equivalence studies, which ensure that resources that contribute to the Company’s Target Reserve Margin are assigned the appropriate capacity value or reliability benefit.</w:t>
      </w:r>
    </w:p>
    <w:p w14:paraId="00107053" w14:textId="282CACBF" w:rsidR="002D26E7" w:rsidRDefault="002D26E7" w:rsidP="009060C7">
      <w:pPr>
        <w:jc w:val="both"/>
      </w:pPr>
      <w:r>
        <w:t>The combination of capacity equivalence valuations and target reserve margins ensure</w:t>
      </w:r>
      <w:r w:rsidR="00DC064C">
        <w:t>s</w:t>
      </w:r>
      <w:r>
        <w:t xml:space="preserve"> the Company has planned for sufficient capacity to meet peak demands. </w:t>
      </w:r>
      <w:r w:rsidR="1D873955">
        <w:t xml:space="preserve">However, </w:t>
      </w:r>
      <w:r w:rsidR="352F50CF">
        <w:t>t</w:t>
      </w:r>
      <w:r>
        <w:t>he Company’s resource mix</w:t>
      </w:r>
      <w:r w:rsidR="3DA030CD">
        <w:t xml:space="preserve"> continues</w:t>
      </w:r>
      <w:r>
        <w:t xml:space="preserve"> to be increasingly dependent on energy-limited and intermittent resources. While these changes in the Company’s resource mix are expected to provide economic benefits for customers, certain reliability impacts are not fully discernable through traditional reserve margin studies. Therefore, the Company</w:t>
      </w:r>
      <w:r w:rsidR="13CCC418">
        <w:t>’s</w:t>
      </w:r>
      <w:r>
        <w:t xml:space="preserve"> reliability analysis </w:t>
      </w:r>
      <w:r w:rsidR="4EB973BB">
        <w:t>also</w:t>
      </w:r>
      <w:r w:rsidDel="002D26E7">
        <w:t xml:space="preserve"> </w:t>
      </w:r>
      <w:r>
        <w:t>examine</w:t>
      </w:r>
      <w:r w:rsidR="03684195">
        <w:t>s</w:t>
      </w:r>
      <w:r>
        <w:t xml:space="preserve"> the changes anticipated in the Company’s resource mix</w:t>
      </w:r>
      <w:r w:rsidR="00DC064C">
        <w:t xml:space="preserve"> due to the continued integration of intermittent resources</w:t>
      </w:r>
      <w:r>
        <w:t xml:space="preserve">. The results of this </w:t>
      </w:r>
      <w:r w:rsidR="00DC064C">
        <w:t>Renewable Integration S</w:t>
      </w:r>
      <w:r>
        <w:t>tudy indicate a need for increased levels of operating reserves and/or flexible capacity, as further discussed in this chapter.</w:t>
      </w:r>
    </w:p>
    <w:p w14:paraId="11B1BF2D" w14:textId="2C01C1EB" w:rsidR="002D26E7" w:rsidRDefault="00772343" w:rsidP="00772343">
      <w:pPr>
        <w:pStyle w:val="Heading2"/>
      </w:pPr>
      <w:bookmarkStart w:id="26" w:name="_Toc189122751"/>
      <w:r>
        <w:t xml:space="preserve">6.1 – </w:t>
      </w:r>
      <w:r w:rsidR="002D26E7">
        <w:t>Reserve Margin Study</w:t>
      </w:r>
      <w:bookmarkEnd w:id="26"/>
      <w:r w:rsidR="002D26E7">
        <w:t xml:space="preserve"> </w:t>
      </w:r>
    </w:p>
    <w:p w14:paraId="6AFFDC77" w14:textId="2F48D674" w:rsidR="002D26E7" w:rsidRDefault="002D26E7" w:rsidP="009060C7">
      <w:pPr>
        <w:jc w:val="both"/>
      </w:pPr>
      <w:r>
        <w:t xml:space="preserve">Resource Adequacy requires consideration of not only the uncertainties associated with the demand for electricity, but also the uncertainty associated with the reliability of the resources available to meet that demand. The Company’s Target Reserve Margin represents the amount of resources needed above forecasted peak demand to </w:t>
      </w:r>
      <w:r w:rsidR="00DC064C">
        <w:t>meet customer needs notwithstanding</w:t>
      </w:r>
      <w:r>
        <w:t xml:space="preserve"> these uncertainties. To ensure reliability, the Company must evaluate the required reserve margin using a combination of economic and reliability metrics. As such, a reserve margin study is produced in the year prior to each triennial IRP filing to establish a Target Reserve Margin for the System for both the short-term and the long-term planning horizons. The Company performed such a study in 202</w:t>
      </w:r>
      <w:r w:rsidR="34A6B917">
        <w:t>4</w:t>
      </w:r>
      <w:r>
        <w:t>, and a report describing the Company’s Reserve Margin Study is included in Technical Appendix Volume 1. The Reserve Margin Study report describes the methodology, metrics, assumptions, and results used to determine the Company’s Target Reserve Margin recommendations.</w:t>
      </w:r>
    </w:p>
    <w:p w14:paraId="74B9B4C9" w14:textId="1E9AB596" w:rsidR="002D26E7" w:rsidRDefault="00940424" w:rsidP="002B3BE9">
      <w:pPr>
        <w:pStyle w:val="Heading3"/>
      </w:pPr>
      <w:r>
        <w:t xml:space="preserve">6.1.1 – </w:t>
      </w:r>
      <w:r w:rsidR="002D26E7">
        <w:t>Seasonal Target Reserve Margins</w:t>
      </w:r>
    </w:p>
    <w:p w14:paraId="13597EE1" w14:textId="126048EF" w:rsidR="002D26E7" w:rsidRDefault="002D26E7" w:rsidP="009060C7">
      <w:pPr>
        <w:jc w:val="both"/>
      </w:pPr>
      <w:r>
        <w:t xml:space="preserve">The use of seasonal planning to provide greater visibility into both summer and winter capacity needs was approved </w:t>
      </w:r>
      <w:r w:rsidR="00585162">
        <w:t>by</w:t>
      </w:r>
      <w:r>
        <w:t xml:space="preserve"> the </w:t>
      </w:r>
      <w:r w:rsidR="00585162">
        <w:t xml:space="preserve">Commission </w:t>
      </w:r>
      <w:r>
        <w:t xml:space="preserve">in the 2019 IRP Order. In order to effectuate seasonal planning, the Company must also establish seasonal Target Reserve Margins. The Reserve Margin Study evaluated the need for these seasonal Target Reserve Margins. Notably, the results of the most recent Reserve Margin Study continue to reflect the significant </w:t>
      </w:r>
      <w:r w:rsidR="00506F2A">
        <w:t>presence of</w:t>
      </w:r>
      <w:r>
        <w:t xml:space="preserve"> winter reliability risks. These risks are associated with the following drivers: (1) the narrowing of the difference between summer and winter weather-normal peak loads; (2) </w:t>
      </w:r>
      <w:r w:rsidR="17F7D469">
        <w:t>the distribution and duration of peak loads relative to the norm</w:t>
      </w:r>
      <w:r>
        <w:t xml:space="preserve">; (3) cold-weather-related unit outages; (4) the penetration of solar resources; (5) increased reliance on natural gas; and (6) market purchase availability. Given the difference in customer load response as well as differences in both the availability and dependability of resources in the summer </w:t>
      </w:r>
      <w:r>
        <w:lastRenderedPageBreak/>
        <w:t>and winter peak periods, it remains necessary to independently evaluate Resource Adequacy in both the summer and winter peak periods to ensure that System reliability has been appropriately evaluated.</w:t>
      </w:r>
    </w:p>
    <w:p w14:paraId="6B653AF4" w14:textId="6A4721B1" w:rsidR="002D26E7" w:rsidRDefault="00940424" w:rsidP="002B3BE9">
      <w:pPr>
        <w:pStyle w:val="Heading3"/>
      </w:pPr>
      <w:r>
        <w:t xml:space="preserve">6.1.2 – </w:t>
      </w:r>
      <w:r w:rsidR="002D26E7">
        <w:t>Defining Target Reserve Margins</w:t>
      </w:r>
    </w:p>
    <w:p w14:paraId="25938BD8" w14:textId="77777777" w:rsidR="002D26E7" w:rsidRDefault="002D26E7" w:rsidP="009060C7">
      <w:pPr>
        <w:jc w:val="both"/>
      </w:pPr>
      <w:r>
        <w:t>The Target Reserve Margin is stated in terms of seasonal weather-normal peak demands and seasonal capacity ratings according to the following formula:</w:t>
      </w:r>
    </w:p>
    <w:p w14:paraId="286891D8" w14:textId="126A225C" w:rsidR="002D26E7" w:rsidRDefault="006933A1" w:rsidP="009060C7">
      <w:pPr>
        <w:jc w:val="both"/>
      </w:pPr>
      <m:oMathPara>
        <m:oMath>
          <m:sSub>
            <m:sSubPr>
              <m:ctrlPr>
                <w:rPr>
                  <w:rFonts w:ascii="Cambria Math" w:hAnsi="Cambria Math"/>
                  <w:i/>
                </w:rPr>
              </m:ctrlPr>
            </m:sSubPr>
            <m:e>
              <m:r>
                <w:rPr>
                  <w:rFonts w:ascii="Cambria Math" w:hAnsi="Cambria Math"/>
                </w:rPr>
                <m:t>TRM</m:t>
              </m:r>
            </m:e>
            <m:sub>
              <m:r>
                <w:rPr>
                  <w:rFonts w:ascii="Cambria Math" w:hAnsi="Cambria Math"/>
                </w:rPr>
                <m:t>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TC</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S</m:t>
                  </m:r>
                </m:sub>
              </m:sSub>
            </m:num>
            <m:den>
              <m:sSub>
                <m:sSubPr>
                  <m:ctrlPr>
                    <w:rPr>
                      <w:rFonts w:ascii="Cambria Math" w:hAnsi="Cambria Math"/>
                      <w:i/>
                    </w:rPr>
                  </m:ctrlPr>
                </m:sSubPr>
                <m:e>
                  <m:r>
                    <w:rPr>
                      <w:rFonts w:ascii="Cambria Math" w:hAnsi="Cambria Math"/>
                    </w:rPr>
                    <m:t>PL</m:t>
                  </m:r>
                </m:e>
                <m:sub>
                  <m:r>
                    <w:rPr>
                      <w:rFonts w:ascii="Cambria Math" w:hAnsi="Cambria Math"/>
                    </w:rPr>
                    <m:t>S</m:t>
                  </m:r>
                </m:sub>
              </m:sSub>
            </m:den>
          </m:f>
          <m:r>
            <w:rPr>
              <w:rFonts w:ascii="Cambria Math" w:eastAsiaTheme="minorEastAsia" w:hAnsi="Cambria Math"/>
            </w:rPr>
            <m:t>×100%</m:t>
          </m:r>
        </m:oMath>
      </m:oMathPara>
    </w:p>
    <w:p w14:paraId="4EAFE409" w14:textId="77777777" w:rsidR="002D26E7" w:rsidRPr="007D68FD" w:rsidRDefault="002D26E7" w:rsidP="009060C7">
      <w:pPr>
        <w:jc w:val="both"/>
        <w:rPr>
          <w:i/>
          <w:iCs/>
        </w:rPr>
      </w:pPr>
      <w:r w:rsidRPr="007D68FD">
        <w:rPr>
          <w:i/>
          <w:iCs/>
        </w:rPr>
        <w:t>Where:</w:t>
      </w:r>
    </w:p>
    <w:p w14:paraId="4CCBFB92" w14:textId="77777777" w:rsidR="002D26E7" w:rsidRDefault="002D26E7" w:rsidP="000A77A0">
      <w:pPr>
        <w:ind w:left="360"/>
        <w:jc w:val="both"/>
      </w:pPr>
      <w:r>
        <w:t>TRM</w:t>
      </w:r>
      <w:r w:rsidRPr="007D68FD">
        <w:rPr>
          <w:vertAlign w:val="subscript"/>
        </w:rPr>
        <w:t>S</w:t>
      </w:r>
      <w:r>
        <w:t xml:space="preserve"> = Seasonal Target Reserve Margin;</w:t>
      </w:r>
    </w:p>
    <w:p w14:paraId="487EE2C2" w14:textId="77777777" w:rsidR="002D26E7" w:rsidRDefault="002D26E7" w:rsidP="000A77A0">
      <w:pPr>
        <w:ind w:left="360"/>
        <w:jc w:val="both"/>
      </w:pPr>
      <w:r>
        <w:t>TC</w:t>
      </w:r>
      <w:r w:rsidRPr="00711177">
        <w:rPr>
          <w:vertAlign w:val="subscript"/>
        </w:rPr>
        <w:t>S</w:t>
      </w:r>
      <w:r>
        <w:t xml:space="preserve"> = Total Seasonal Capacity; and</w:t>
      </w:r>
    </w:p>
    <w:p w14:paraId="46CE1AB2" w14:textId="77777777" w:rsidR="002D26E7" w:rsidRDefault="002D26E7" w:rsidP="000A77A0">
      <w:pPr>
        <w:ind w:left="360"/>
        <w:jc w:val="both"/>
      </w:pPr>
      <w:r>
        <w:t>PL</w:t>
      </w:r>
      <w:r w:rsidRPr="00711177">
        <w:rPr>
          <w:vertAlign w:val="subscript"/>
        </w:rPr>
        <w:t>S</w:t>
      </w:r>
      <w:r>
        <w:t xml:space="preserve"> = Seasonal Peak Load.</w:t>
      </w:r>
    </w:p>
    <w:p w14:paraId="6BE2FFEB" w14:textId="57F4DA47" w:rsidR="002D26E7" w:rsidRDefault="00940424" w:rsidP="00711177">
      <w:pPr>
        <w:pStyle w:val="Heading3"/>
      </w:pPr>
      <w:r>
        <w:t xml:space="preserve">6.1.3 – </w:t>
      </w:r>
      <w:r w:rsidR="002D26E7">
        <w:t>Target Reserve Margins</w:t>
      </w:r>
    </w:p>
    <w:p w14:paraId="7E80D1BA" w14:textId="2788F979" w:rsidR="002D26E7" w:rsidRDefault="002D26E7" w:rsidP="009060C7">
      <w:pPr>
        <w:jc w:val="both"/>
      </w:pPr>
      <w:r>
        <w:t xml:space="preserve">To appropriately address seasonal planning needs and winter reliability concerns, the Company will continue to implement seasonal planning as approved in the 2019 IRP Order. After analyzing the load forecast and weather uncertainties, expected unserved energy, as well as projected generation reliability of the System, the Company plans to </w:t>
      </w:r>
      <w:r w:rsidR="34E58E48">
        <w:t>increase</w:t>
      </w:r>
      <w:r w:rsidR="0A7AA343">
        <w:t xml:space="preserve"> the </w:t>
      </w:r>
      <w:r w:rsidR="5E30E945">
        <w:t>current 16.25%</w:t>
      </w:r>
      <w:r>
        <w:t xml:space="preserve"> long-term </w:t>
      </w:r>
      <w:r w:rsidR="00275C87">
        <w:t xml:space="preserve">Summer </w:t>
      </w:r>
      <w:r>
        <w:t xml:space="preserve">Target Reserve Margin for the System </w:t>
      </w:r>
      <w:r w:rsidR="5FF32370">
        <w:t xml:space="preserve">to 20% </w:t>
      </w:r>
      <w:r>
        <w:t xml:space="preserve">as the Summer Target Reserve Margin to be applied to the summer peak planning season. The Company plans to maintain the current 26% long-term </w:t>
      </w:r>
      <w:r w:rsidR="00904445">
        <w:t xml:space="preserve">Winter </w:t>
      </w:r>
      <w:r>
        <w:t xml:space="preserve">Target Reserve Margin for the System as the Winter Target Reserve Margin to be applied to the winter peak planning season. </w:t>
      </w:r>
    </w:p>
    <w:p w14:paraId="1E9C0D7E" w14:textId="7A5E95D5" w:rsidR="1E15156C" w:rsidRPr="00D14C8B" w:rsidRDefault="1E15156C" w:rsidP="00D14C8B">
      <w:pPr>
        <w:spacing w:after="120" w:line="276" w:lineRule="auto"/>
        <w:jc w:val="both"/>
      </w:pPr>
      <w:r w:rsidRPr="00D14C8B">
        <w:t>Two primary evaluations are performed to determine the appropriate Target Reserve Margin</w:t>
      </w:r>
      <w:r w:rsidR="00B87E69">
        <w:t>:</w:t>
      </w:r>
      <w:r w:rsidRPr="00D14C8B">
        <w:t xml:space="preserve"> a risk-adjusted economic optimal analysis</w:t>
      </w:r>
      <w:r w:rsidR="007D3215">
        <w:t>;</w:t>
      </w:r>
      <w:r w:rsidRPr="00D14C8B">
        <w:t xml:space="preserve"> </w:t>
      </w:r>
      <w:r w:rsidR="0093366F">
        <w:t>and</w:t>
      </w:r>
      <w:r w:rsidRPr="00D14C8B">
        <w:t xml:space="preserve"> the determination of a minimum reliability threshold. </w:t>
      </w:r>
      <w:r w:rsidR="00030211">
        <w:t>It is c</w:t>
      </w:r>
      <w:r w:rsidRPr="00D14C8B">
        <w:t>ommon</w:t>
      </w:r>
      <w:r w:rsidR="00030211">
        <w:t xml:space="preserve"> industry</w:t>
      </w:r>
      <w:r w:rsidRPr="00D14C8B">
        <w:t xml:space="preserve"> practice </w:t>
      </w:r>
      <w:r w:rsidR="007F033F">
        <w:t>to determine</w:t>
      </w:r>
      <w:r w:rsidRPr="00D14C8B">
        <w:t xml:space="preserve"> </w:t>
      </w:r>
      <w:r w:rsidR="007F033F">
        <w:t>an appropriate</w:t>
      </w:r>
      <w:r w:rsidRPr="00D14C8B">
        <w:t xml:space="preserve"> reliability threshold </w:t>
      </w:r>
      <w:r w:rsidR="007F033F">
        <w:t>by planning</w:t>
      </w:r>
      <w:r w:rsidRPr="00D14C8B">
        <w:t xml:space="preserve"> for an annual Loss of Load Expectation (“LOLE”) of no greater than 0.1 days per year - or one event in ten years (“1:10 LOLE”). Because the annual LOLE threshold includes both winter and summer seasons, a reliability change in one season can impact the Target Reserve Margin in the other season if the maximum 1:10 LOLE threshold is to be maintained. </w:t>
      </w:r>
    </w:p>
    <w:p w14:paraId="66C6510B" w14:textId="5997D321" w:rsidR="1E15156C" w:rsidRPr="00D14C8B" w:rsidRDefault="1E15156C" w:rsidP="009C1F37">
      <w:pPr>
        <w:spacing w:after="120" w:line="276" w:lineRule="auto"/>
        <w:jc w:val="both"/>
      </w:pPr>
      <w:r w:rsidRPr="00D14C8B">
        <w:t xml:space="preserve">Except for the </w:t>
      </w:r>
      <w:r w:rsidR="1A08EED9">
        <w:t>20</w:t>
      </w:r>
      <w:r w:rsidR="5D2A2933">
        <w:t>18</w:t>
      </w:r>
      <w:r w:rsidRPr="00D14C8B">
        <w:t xml:space="preserve"> Reserve Margin Study, the annual 1:10 LOLE threshold within the System has historically occurred at reserve margins </w:t>
      </w:r>
      <w:r w:rsidR="0AD7B378">
        <w:t xml:space="preserve">at or </w:t>
      </w:r>
      <w:r w:rsidR="473A0C16">
        <w:t>below</w:t>
      </w:r>
      <w:r w:rsidR="473A0C16" w:rsidRPr="00D14C8B">
        <w:t xml:space="preserve"> </w:t>
      </w:r>
      <w:r w:rsidRPr="00D14C8B">
        <w:t xml:space="preserve">the economic optimal recommendation. Thus, the primary focus has historically been on the economic analysis to establish the Target Reserve Margin. However, as the Company continues to update reliability risks in its modeling, the 2024 </w:t>
      </w:r>
      <w:r w:rsidR="007F033F">
        <w:t>Reserve Margin Study</w:t>
      </w:r>
      <w:r w:rsidRPr="00D14C8B">
        <w:t xml:space="preserve"> has indicated that the LOLE for the System, particularly in the </w:t>
      </w:r>
      <w:r w:rsidR="00AD5715">
        <w:t>w</w:t>
      </w:r>
      <w:r w:rsidRPr="00D14C8B">
        <w:t xml:space="preserve">inter season, is higher than in years past. Thus, the </w:t>
      </w:r>
      <w:r w:rsidR="000256F7">
        <w:t>seasonal Target R</w:t>
      </w:r>
      <w:r w:rsidRPr="00D14C8B">
        <w:t xml:space="preserve">eserve </w:t>
      </w:r>
      <w:r w:rsidR="000256F7">
        <w:t>M</w:t>
      </w:r>
      <w:r w:rsidRPr="00D14C8B">
        <w:t>argin</w:t>
      </w:r>
      <w:r w:rsidR="000256F7">
        <w:t>s</w:t>
      </w:r>
      <w:r w:rsidRPr="00D14C8B">
        <w:t xml:space="preserve"> necessary to maintain the 1:10 LOLE threshold </w:t>
      </w:r>
      <w:r w:rsidR="000256F7">
        <w:t>are</w:t>
      </w:r>
      <w:r w:rsidRPr="00D14C8B">
        <w:t xml:space="preserve"> also higher. </w:t>
      </w:r>
      <w:r w:rsidR="1608CF7E">
        <w:t xml:space="preserve">The primary </w:t>
      </w:r>
      <w:r w:rsidR="3803F184">
        <w:t>reason</w:t>
      </w:r>
      <w:r w:rsidR="1608CF7E">
        <w:t xml:space="preserve"> </w:t>
      </w:r>
      <w:r w:rsidR="16AD7E7B">
        <w:t xml:space="preserve">is that </w:t>
      </w:r>
      <w:r w:rsidR="7731DCE5">
        <w:t xml:space="preserve">more recent winter weather events </w:t>
      </w:r>
      <w:r w:rsidR="35CB76FF">
        <w:t>had</w:t>
      </w:r>
      <w:r w:rsidR="352B623E">
        <w:t xml:space="preserve"> sustain</w:t>
      </w:r>
      <w:r w:rsidR="6DD58101">
        <w:t>ed</w:t>
      </w:r>
      <w:r w:rsidR="7731DCE5">
        <w:t xml:space="preserve"> higher load</w:t>
      </w:r>
      <w:r w:rsidR="4BA80FA9">
        <w:t>s across overnight hours</w:t>
      </w:r>
      <w:r w:rsidR="2F616693">
        <w:t xml:space="preserve">, increasing the need for </w:t>
      </w:r>
      <w:r w:rsidR="636C2F1C">
        <w:t>more</w:t>
      </w:r>
      <w:r w:rsidR="2F616693">
        <w:t xml:space="preserve"> energy </w:t>
      </w:r>
      <w:r w:rsidR="36A4C55F">
        <w:t>throughout</w:t>
      </w:r>
      <w:r w:rsidR="2F616693">
        <w:t xml:space="preserve"> </w:t>
      </w:r>
      <w:r w:rsidR="2F616693">
        <w:lastRenderedPageBreak/>
        <w:t>the</w:t>
      </w:r>
      <w:r w:rsidR="19D7D15C">
        <w:t>se</w:t>
      </w:r>
      <w:r w:rsidR="2F616693">
        <w:t xml:space="preserve"> </w:t>
      </w:r>
      <w:r w:rsidR="60F49B66">
        <w:t>event</w:t>
      </w:r>
      <w:r w:rsidR="243E9B0B">
        <w:t>s</w:t>
      </w:r>
      <w:r w:rsidR="71E50DDF">
        <w:t>.</w:t>
      </w:r>
      <w:r w:rsidR="4BA80FA9">
        <w:t xml:space="preserve"> </w:t>
      </w:r>
      <w:r>
        <w:t>The</w:t>
      </w:r>
      <w:r w:rsidRPr="00D14C8B">
        <w:t xml:space="preserve"> Company’s Reserve Margin Study in </w:t>
      </w:r>
      <w:r w:rsidR="002C62F3">
        <w:t xml:space="preserve">Technical </w:t>
      </w:r>
      <w:r w:rsidRPr="00D14C8B">
        <w:t xml:space="preserve">Appendix Volume 1 provides additional </w:t>
      </w:r>
      <w:r w:rsidR="000256F7">
        <w:t>explanation and context</w:t>
      </w:r>
      <w:r w:rsidRPr="00D14C8B">
        <w:t xml:space="preserve"> as to why </w:t>
      </w:r>
      <w:r w:rsidR="000256F7">
        <w:t xml:space="preserve">the System </w:t>
      </w:r>
      <w:r w:rsidRPr="00D14C8B">
        <w:t>LOLE is higher than years past.</w:t>
      </w:r>
    </w:p>
    <w:p w14:paraId="31800959" w14:textId="0693B891" w:rsidR="1E15156C" w:rsidRPr="00D14C8B" w:rsidRDefault="000256F7" w:rsidP="00D14C8B">
      <w:pPr>
        <w:spacing w:after="120" w:line="276" w:lineRule="auto"/>
        <w:jc w:val="both"/>
      </w:pPr>
      <w:r>
        <w:t>The Company’s f</w:t>
      </w:r>
      <w:r w:rsidR="1E15156C" w:rsidRPr="00D14C8B">
        <w:t xml:space="preserve">inal analysis for the winter-only season revealed that achieving a 1:10 LOLE threshold required a winter reserve margin of at least 25.75%, </w:t>
      </w:r>
      <w:r>
        <w:t xml:space="preserve">which is </w:t>
      </w:r>
      <w:r w:rsidR="1E15156C" w:rsidRPr="00D14C8B">
        <w:t xml:space="preserve">higher than the expected </w:t>
      </w:r>
      <w:r w:rsidRPr="00FC3AE8">
        <w:t>economic optimal</w:t>
      </w:r>
      <w:r w:rsidRPr="000256F7">
        <w:t xml:space="preserve"> </w:t>
      </w:r>
      <w:r w:rsidR="1E15156C" w:rsidRPr="00D14C8B">
        <w:t xml:space="preserve">case but still within the risk-adjusted confidence intervals considered. </w:t>
      </w:r>
      <w:r>
        <w:t>However, m</w:t>
      </w:r>
      <w:r w:rsidR="1E15156C" w:rsidRPr="00D14C8B">
        <w:t xml:space="preserve">aintaining the current 26% Winter Reserve Margin Target </w:t>
      </w:r>
      <w:r>
        <w:t>with a</w:t>
      </w:r>
      <w:r w:rsidR="1E15156C" w:rsidRPr="00D14C8B">
        <w:t xml:space="preserve"> 16.25% Summer Reserve Margin Target results in an annual LOLE of one event in eight years, well below the 1:10 LOLE threshold. </w:t>
      </w:r>
      <w:r w:rsidR="1E15156C">
        <w:t xml:space="preserve">Therefore, </w:t>
      </w:r>
      <w:r w:rsidR="022E057D">
        <w:t xml:space="preserve">either </w:t>
      </w:r>
      <w:r w:rsidR="1E15156C">
        <w:t xml:space="preserve">the </w:t>
      </w:r>
      <w:r w:rsidR="70B6C2B2">
        <w:t xml:space="preserve">Winter Target Reserve Margin or the </w:t>
      </w:r>
      <w:r w:rsidR="1E15156C">
        <w:t>Summer</w:t>
      </w:r>
      <w:r w:rsidR="1E15156C" w:rsidRPr="00D14C8B">
        <w:t xml:space="preserve"> Target Reserve Margin must be </w:t>
      </w:r>
      <w:r w:rsidR="00914956">
        <w:t>increased</w:t>
      </w:r>
      <w:r w:rsidR="1E15156C" w:rsidRPr="00D14C8B">
        <w:t xml:space="preserve"> to ensure an adequate level of annual reliability on the System.</w:t>
      </w:r>
    </w:p>
    <w:p w14:paraId="00000ABE" w14:textId="03EF6D00" w:rsidR="1E15156C" w:rsidRPr="00D14C8B" w:rsidRDefault="1E15156C" w:rsidP="00D14C8B">
      <w:pPr>
        <w:spacing w:after="120" w:line="276" w:lineRule="auto"/>
        <w:jc w:val="both"/>
      </w:pPr>
      <w:r>
        <w:t xml:space="preserve">Since resources procured for the winter season are also typically available in the summer season, the equivalent Summer </w:t>
      </w:r>
      <w:r w:rsidR="00162392">
        <w:t xml:space="preserve">Target </w:t>
      </w:r>
      <w:r>
        <w:t>Reserve Margin that corresponds to the 26% Winter Target Reserve Margin is 24.76%</w:t>
      </w:r>
      <w:r w:rsidR="417C761B">
        <w:t xml:space="preserve"> in the Reserve Margin Study</w:t>
      </w:r>
      <w:r>
        <w:t xml:space="preserve">. Therefore, raising the Summer TRM to 20% is not expected to drive </w:t>
      </w:r>
      <w:r w:rsidR="03643039">
        <w:t>a System capacity need</w:t>
      </w:r>
      <w:r>
        <w:t>.</w:t>
      </w:r>
      <w:r w:rsidR="00EA0963" w:rsidRPr="00EA0963">
        <w:rPr>
          <w:rFonts w:ascii="Segoe UI" w:hAnsi="Segoe UI" w:cs="Segoe UI"/>
          <w:sz w:val="18"/>
          <w:szCs w:val="18"/>
        </w:rPr>
        <w:t xml:space="preserve"> </w:t>
      </w:r>
      <w:r w:rsidR="00EA0963" w:rsidRPr="00EA0963">
        <w:t xml:space="preserve">One or more Operating Companies may, however, have a </w:t>
      </w:r>
      <w:r w:rsidR="005403CF">
        <w:t>s</w:t>
      </w:r>
      <w:r w:rsidR="00EA0963">
        <w:t>ummer</w:t>
      </w:r>
      <w:r w:rsidR="00EA0963" w:rsidRPr="00EA0963">
        <w:t xml:space="preserve"> capacity need in a given year. Section </w:t>
      </w:r>
      <w:r w:rsidR="002F47F3">
        <w:t>8.1</w:t>
      </w:r>
      <w:r w:rsidR="00EA0963" w:rsidRPr="00EA0963">
        <w:t xml:space="preserve"> </w:t>
      </w:r>
      <w:r w:rsidR="00B1013C">
        <w:t xml:space="preserve">provides </w:t>
      </w:r>
      <w:r w:rsidR="00EA0963" w:rsidRPr="00EA0963">
        <w:t xml:space="preserve">details on </w:t>
      </w:r>
      <w:r w:rsidR="002F47F3">
        <w:t>Georgia Power’s seasonal</w:t>
      </w:r>
      <w:r w:rsidR="00EA0963" w:rsidRPr="00EA0963">
        <w:t xml:space="preserve"> capacity needs</w:t>
      </w:r>
      <w:r w:rsidR="003B1E9C">
        <w:t>.</w:t>
      </w:r>
    </w:p>
    <w:p w14:paraId="2EFADA69" w14:textId="25010987" w:rsidR="002D26E7" w:rsidRDefault="002D26E7" w:rsidP="00D14C8B">
      <w:pPr>
        <w:spacing w:after="120"/>
        <w:jc w:val="both"/>
      </w:pPr>
      <w:r>
        <w:t xml:space="preserve">For the short-term, the System plans to </w:t>
      </w:r>
      <w:r w:rsidR="3DDA0731">
        <w:t>adopt</w:t>
      </w:r>
      <w:r>
        <w:t xml:space="preserve"> a Summer Target Reserve Margin of </w:t>
      </w:r>
      <w:r w:rsidR="78D5B323">
        <w:t>19.5</w:t>
      </w:r>
      <w:r>
        <w:t xml:space="preserve">% and </w:t>
      </w:r>
      <w:r w:rsidR="21C6478D">
        <w:t xml:space="preserve">maintain </w:t>
      </w:r>
      <w:r>
        <w:t>a short-term Winter Target Reserve Margin of 25.5%. A significant benefit of coordinated System planning and operations, which allow companies to share resources, is that each Operating Company can carry fewer reserves than the System target. Thus, the Summer Target Reserve Margin that will apply to Georgia Power will be 1</w:t>
      </w:r>
      <w:r w:rsidR="7EC48FB0">
        <w:t>9.09</w:t>
      </w:r>
      <w:r>
        <w:t>% over the long-term and 1</w:t>
      </w:r>
      <w:r w:rsidR="2DB2C6FC">
        <w:t>8.58</w:t>
      </w:r>
      <w:r>
        <w:t>% over the short-term. Likewise, Georgia Power’s proposed Winter Target Reserve Margin will be 25.1</w:t>
      </w:r>
      <w:r w:rsidR="12B64979">
        <w:t>3</w:t>
      </w:r>
      <w:r>
        <w:t>% over the long-term and 24.6</w:t>
      </w:r>
      <w:r w:rsidR="4CB7EAAB">
        <w:t>1</w:t>
      </w:r>
      <w:r>
        <w:t>% over the short-term. These targets can change as System load diversity changes.</w:t>
      </w:r>
    </w:p>
    <w:p w14:paraId="6899C223" w14:textId="7EF9CC10" w:rsidR="002D26E7" w:rsidRDefault="00711177" w:rsidP="00711177">
      <w:pPr>
        <w:pStyle w:val="Heading2"/>
      </w:pPr>
      <w:bookmarkStart w:id="27" w:name="_Toc189122752"/>
      <w:r>
        <w:t xml:space="preserve">6.2 – </w:t>
      </w:r>
      <w:r w:rsidR="002D26E7">
        <w:t>Reliability Planning Model</w:t>
      </w:r>
      <w:bookmarkEnd w:id="27"/>
    </w:p>
    <w:p w14:paraId="6DB9AA4E" w14:textId="2DE93B7B" w:rsidR="002D26E7" w:rsidRDefault="002D26E7" w:rsidP="009060C7">
      <w:pPr>
        <w:jc w:val="both"/>
      </w:pPr>
      <w:r>
        <w:t>The 202</w:t>
      </w:r>
      <w:r w:rsidR="727171D1">
        <w:t>4</w:t>
      </w:r>
      <w:r>
        <w:t xml:space="preserve"> Reserve Margin Study included in Technical Appendix Volume 1 was performed using the Strategic Energy and Risk Valuation Model (“SERVM</w:t>
      </w:r>
      <w:r w:rsidR="000A77A0">
        <w:t>”</w:t>
      </w:r>
      <w:r>
        <w:t>). SERVM is an industry-</w:t>
      </w:r>
      <w:r w:rsidR="2084DC97">
        <w:t>leading</w:t>
      </w:r>
      <w:r>
        <w:t xml:space="preserve"> generation reliability model used for Resource Adequacy analyses and is further described in A</w:t>
      </w:r>
      <w:r w:rsidR="00825B53">
        <w:t>ttachment</w:t>
      </w:r>
      <w:r>
        <w:t xml:space="preserve"> </w:t>
      </w:r>
      <w:r w:rsidR="00BC4039">
        <w:t>E</w:t>
      </w:r>
      <w:r>
        <w:t>.</w:t>
      </w:r>
    </w:p>
    <w:p w14:paraId="06C75A44" w14:textId="36CDE71F" w:rsidR="002D26E7" w:rsidRDefault="00711177" w:rsidP="00711177">
      <w:pPr>
        <w:pStyle w:val="Heading2"/>
      </w:pPr>
      <w:bookmarkStart w:id="28" w:name="_Toc189122753"/>
      <w:r>
        <w:t xml:space="preserve">6.3 – </w:t>
      </w:r>
      <w:r w:rsidR="002D26E7">
        <w:t>Capacity Equivalence</w:t>
      </w:r>
      <w:bookmarkEnd w:id="28"/>
    </w:p>
    <w:p w14:paraId="28DE93C8" w14:textId="0A209D8E" w:rsidR="002D26E7" w:rsidRDefault="002D26E7" w:rsidP="009060C7">
      <w:pPr>
        <w:jc w:val="both"/>
      </w:pPr>
      <w:r>
        <w:t xml:space="preserve">The capacity value of renewable resources and other energy-limited or non-dispatchable resources is often represented in the utility industry by the </w:t>
      </w:r>
      <w:r w:rsidR="00B1531F">
        <w:t>effective load carrying capability (“</w:t>
      </w:r>
      <w:r>
        <w:t>ELCC</w:t>
      </w:r>
      <w:r w:rsidR="00B1531F">
        <w:t>”)</w:t>
      </w:r>
      <w:r>
        <w:t xml:space="preserve"> of the resource. </w:t>
      </w:r>
      <w:r w:rsidR="6AE145FC">
        <w:t>As detailed in the 2022 IRP, the Company has adopted the</w:t>
      </w:r>
      <w:r>
        <w:t xml:space="preserve"> widely used form of ELCC, which determines the reliability value of a resource by its ability to serve load while keeping reliability, as measured by LOLE, the same. </w:t>
      </w:r>
    </w:p>
    <w:p w14:paraId="7DD83885" w14:textId="50BC88CE" w:rsidR="002D26E7" w:rsidRDefault="00ED3901" w:rsidP="00ED3901">
      <w:pPr>
        <w:pStyle w:val="Heading2"/>
      </w:pPr>
      <w:bookmarkStart w:id="29" w:name="_Toc189122754"/>
      <w:r>
        <w:t xml:space="preserve">6.4 – </w:t>
      </w:r>
      <w:r w:rsidR="002D26E7">
        <w:t>Renewable Integration Study</w:t>
      </w:r>
      <w:bookmarkEnd w:id="29"/>
    </w:p>
    <w:p w14:paraId="0E3A1417" w14:textId="04705C2E" w:rsidR="002D26E7" w:rsidRDefault="002D26E7" w:rsidP="009060C7">
      <w:pPr>
        <w:jc w:val="both"/>
      </w:pPr>
      <w:r>
        <w:t>Ensuring a reliable fleet transition necessitates continued forward-thinking and innovative reliability solutions. The Company has completed a</w:t>
      </w:r>
      <w:r w:rsidR="6FCF5C13">
        <w:t>n updated</w:t>
      </w:r>
      <w:r>
        <w:t xml:space="preserve"> </w:t>
      </w:r>
      <w:r w:rsidR="6FCF5C13">
        <w:t>Renewable Integration Study</w:t>
      </w:r>
      <w:r w:rsidDel="002D26E7">
        <w:t xml:space="preserve"> </w:t>
      </w:r>
      <w:r>
        <w:t>with these objectives in mind. Specifically, the Company evaluated</w:t>
      </w:r>
      <w:r w:rsidR="00527F9B">
        <w:t>efit</w:t>
      </w:r>
      <w:r>
        <w:t xml:space="preserve"> the reliability impacts of large solar penetration levels from an operational perspective. This assessment provides unique insights into </w:t>
      </w:r>
      <w:r>
        <w:lastRenderedPageBreak/>
        <w:t xml:space="preserve">certain challenges, opportunities and, most importantly, solutions that enable significant renewable penetration while maintaining a reliable System. </w:t>
      </w:r>
    </w:p>
    <w:p w14:paraId="4C7BB258" w14:textId="1A4B484C" w:rsidR="002D26E7" w:rsidRDefault="002D26E7" w:rsidP="009060C7">
      <w:pPr>
        <w:jc w:val="both"/>
      </w:pPr>
      <w:r>
        <w:t xml:space="preserve">System operators commit and dispatch the System with a focus on maintaining reliability. </w:t>
      </w:r>
      <w:r w:rsidR="00BC21E7">
        <w:t>To</w:t>
      </w:r>
      <w:r>
        <w:t xml:space="preserve"> ensure reliable operation, operators must balance load and generation in real-time while managing inherent load and generator uncertainties. Operating reserves serve as a vital tool for System operators in managing these uncertainties. Operating reserves represent the capacity above real-time load requirements that is available to respond to unexpected unit outages, variability in loads or resource output, or similar unpredictable changes in </w:t>
      </w:r>
      <w:r w:rsidR="000B25DA">
        <w:t>S</w:t>
      </w:r>
      <w:r>
        <w:t xml:space="preserve">ystem conditions. Operating reserves can be provided by resources that are either on-line or on-standby. As the System becomes increasingly reliant on intermittent, weather-dependent renewable resources, operating reserves will become an increasingly important consideration for reliability planning and the successful integration of renewable resources. </w:t>
      </w:r>
    </w:p>
    <w:p w14:paraId="01823B37" w14:textId="719D8AC2" w:rsidR="002D26E7" w:rsidRDefault="002D26E7" w:rsidP="009060C7">
      <w:pPr>
        <w:jc w:val="both"/>
      </w:pPr>
      <w:r>
        <w:t xml:space="preserve">To identify the potential changes in the required operating reserves, the Company </w:t>
      </w:r>
      <w:r w:rsidR="004C76A7">
        <w:t xml:space="preserve">also </w:t>
      </w:r>
      <w:r>
        <w:t xml:space="preserve">completed an </w:t>
      </w:r>
      <w:r w:rsidR="7FF29AD1">
        <w:t>updated</w:t>
      </w:r>
      <w:r>
        <w:t xml:space="preserve"> intra-hour reliability assessment of renewable penetration levels that present reliability issues. The Company </w:t>
      </w:r>
      <w:r w:rsidR="17439EA7">
        <w:t xml:space="preserve">once </w:t>
      </w:r>
      <w:r w:rsidR="00E27BC0">
        <w:t>again</w:t>
      </w:r>
      <w:r w:rsidR="17439EA7">
        <w:t xml:space="preserve"> </w:t>
      </w:r>
      <w:r>
        <w:t xml:space="preserve">completed this study using the reliability planning model, SERVM, with industry expertise support provided by </w:t>
      </w:r>
      <w:r w:rsidR="00463B1C">
        <w:t>Astrapé</w:t>
      </w:r>
      <w:r w:rsidR="52F21A83">
        <w:t>.</w:t>
      </w:r>
      <w:r>
        <w:t xml:space="preserve"> This study is further described in Technical Appendix Volume </w:t>
      </w:r>
      <w:r w:rsidR="008E6A3F">
        <w:t>2</w:t>
      </w:r>
      <w:r>
        <w:t xml:space="preserve">. </w:t>
      </w:r>
    </w:p>
    <w:p w14:paraId="56C465A0" w14:textId="68616C71" w:rsidR="00E9251D" w:rsidRDefault="002D26E7" w:rsidP="00E9251D">
      <w:pPr>
        <w:jc w:val="both"/>
      </w:pPr>
      <w:r>
        <w:t xml:space="preserve">This study indicates that significant increases in solar penetration can be achieved while maintaining appropriate levels of reliability for the System. However, the cost of integrating renewable resources while maintaining System reliability can be significantly reduced with the addition of flexible resources, such as BESS. The reliability assessment determined that maintaining sufficient amounts of stand-alone battery capacity significantly improves the cost-effectiveness of solar integration while reducing </w:t>
      </w:r>
      <w:r w:rsidR="000F1EE3">
        <w:t xml:space="preserve">the </w:t>
      </w:r>
      <w:r>
        <w:t xml:space="preserve">curtailment of renewable resources and improving System reliability by providing critical grid reliability services. </w:t>
      </w:r>
      <w:r w:rsidR="726814F2">
        <w:t xml:space="preserve">The updated study </w:t>
      </w:r>
      <w:r w:rsidR="68C2A4C2">
        <w:t xml:space="preserve">also includes a BESS breakeven component that identifies the amount of BESS that </w:t>
      </w:r>
      <w:r w:rsidR="5C0EF3F7">
        <w:t>neutralizes</w:t>
      </w:r>
      <w:r w:rsidR="68C2A4C2">
        <w:t xml:space="preserve"> the reliability impacts of each tranche of solar evaluated.</w:t>
      </w:r>
      <w:r>
        <w:t xml:space="preserve"> As the energy landscape continues to evolve and additional information becomes available, the Company will continue to update these types of reliability assessments to ensure it appropriately plans for System reliability. The results of the </w:t>
      </w:r>
      <w:r w:rsidR="00B1531F">
        <w:t>Renewable Integration S</w:t>
      </w:r>
      <w:r>
        <w:t xml:space="preserve">tudy are summarized in Figure </w:t>
      </w:r>
      <w:r w:rsidR="00E9251D">
        <w:t>6.4</w:t>
      </w:r>
      <w:r>
        <w:t xml:space="preserve">. </w:t>
      </w:r>
    </w:p>
    <w:p w14:paraId="6046CCEA" w14:textId="7580FDCC" w:rsidR="1666A8FD" w:rsidRDefault="002D26E7" w:rsidP="00673F55">
      <w:pPr>
        <w:jc w:val="center"/>
      </w:pPr>
      <w:r w:rsidRPr="008015D6">
        <w:rPr>
          <w:i/>
        </w:rPr>
        <w:lastRenderedPageBreak/>
        <w:t xml:space="preserve">Figure </w:t>
      </w:r>
      <w:r w:rsidR="00E9251D" w:rsidRPr="0C64020F">
        <w:rPr>
          <w:i/>
          <w:iCs/>
        </w:rPr>
        <w:t>6.4</w:t>
      </w:r>
      <w:r w:rsidRPr="0C64020F">
        <w:rPr>
          <w:i/>
          <w:iCs/>
        </w:rPr>
        <w:t>: Solar Integration Costs</w:t>
      </w:r>
      <w:r w:rsidR="00A548F8" w:rsidRPr="0C64020F">
        <w:rPr>
          <w:rStyle w:val="FootnoteReference"/>
          <w:i/>
          <w:iCs/>
        </w:rPr>
        <w:footnoteReference w:id="32"/>
      </w:r>
      <w:r w:rsidR="1666A8FD">
        <w:rPr>
          <w:noProof/>
        </w:rPr>
        <w:drawing>
          <wp:inline distT="0" distB="0" distL="0" distR="0" wp14:anchorId="4E6537C0" wp14:editId="2CFFE380">
            <wp:extent cx="5736719" cy="2951544"/>
            <wp:effectExtent l="0" t="0" r="0" b="0"/>
            <wp:docPr id="920900936" name="Picture 920900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5762658" cy="2964889"/>
                    </a:xfrm>
                    <a:prstGeom prst="rect">
                      <a:avLst/>
                    </a:prstGeom>
                  </pic:spPr>
                </pic:pic>
              </a:graphicData>
            </a:graphic>
          </wp:inline>
        </w:drawing>
      </w:r>
    </w:p>
    <w:p w14:paraId="639A94B5" w14:textId="1E953306" w:rsidR="002D26E7" w:rsidRPr="002D26E7" w:rsidRDefault="002D26E7" w:rsidP="008015D6">
      <w:pPr>
        <w:jc w:val="center"/>
      </w:pPr>
    </w:p>
    <w:p w14:paraId="6DA962BC" w14:textId="77777777" w:rsidR="001964D0" w:rsidRDefault="00BF41C9" w:rsidP="001964D0">
      <w:pPr>
        <w:jc w:val="both"/>
      </w:pPr>
      <w:r>
        <w:br w:type="page"/>
      </w:r>
    </w:p>
    <w:p w14:paraId="163DA83B" w14:textId="77777777" w:rsidR="001964D0" w:rsidRDefault="001964D0" w:rsidP="001964D0">
      <w:pPr>
        <w:jc w:val="both"/>
      </w:pPr>
    </w:p>
    <w:p w14:paraId="566BA27E" w14:textId="77777777" w:rsidR="001964D0" w:rsidRDefault="001964D0" w:rsidP="001964D0">
      <w:pPr>
        <w:jc w:val="both"/>
      </w:pPr>
    </w:p>
    <w:p w14:paraId="7A45AB6A" w14:textId="77777777" w:rsidR="001964D0" w:rsidRDefault="001964D0" w:rsidP="001964D0">
      <w:pPr>
        <w:jc w:val="both"/>
      </w:pPr>
    </w:p>
    <w:p w14:paraId="5DCDF412" w14:textId="77777777" w:rsidR="001964D0" w:rsidRDefault="001964D0" w:rsidP="001964D0">
      <w:pPr>
        <w:jc w:val="both"/>
      </w:pPr>
    </w:p>
    <w:p w14:paraId="41194C67" w14:textId="77777777" w:rsidR="001964D0" w:rsidRDefault="001964D0" w:rsidP="001964D0">
      <w:pPr>
        <w:jc w:val="both"/>
      </w:pPr>
    </w:p>
    <w:p w14:paraId="0294DA8C" w14:textId="77777777" w:rsidR="001964D0" w:rsidRDefault="001964D0" w:rsidP="001964D0">
      <w:pPr>
        <w:jc w:val="both"/>
      </w:pPr>
    </w:p>
    <w:p w14:paraId="2390D925" w14:textId="77777777" w:rsidR="001964D0" w:rsidRDefault="001964D0" w:rsidP="001964D0">
      <w:pPr>
        <w:jc w:val="both"/>
      </w:pPr>
    </w:p>
    <w:p w14:paraId="06E72156" w14:textId="77777777" w:rsidR="001964D0" w:rsidRDefault="001964D0" w:rsidP="001964D0">
      <w:pPr>
        <w:jc w:val="both"/>
      </w:pPr>
    </w:p>
    <w:p w14:paraId="6BF68FE5" w14:textId="77777777" w:rsidR="001964D0" w:rsidRDefault="001964D0" w:rsidP="001964D0">
      <w:pPr>
        <w:jc w:val="both"/>
      </w:pPr>
    </w:p>
    <w:p w14:paraId="6CFB321C" w14:textId="77777777" w:rsidR="001964D0" w:rsidRDefault="001964D0" w:rsidP="001964D0">
      <w:pPr>
        <w:jc w:val="both"/>
      </w:pPr>
    </w:p>
    <w:p w14:paraId="10CEEEBC" w14:textId="7BBE47FE" w:rsidR="001964D0" w:rsidRDefault="001964D0" w:rsidP="001964D0">
      <w:pPr>
        <w:jc w:val="center"/>
        <w:rPr>
          <w:rFonts w:asciiTheme="majorHAnsi" w:eastAsiaTheme="majorEastAsia" w:hAnsiTheme="majorHAnsi" w:cstheme="majorBidi"/>
          <w:color w:val="0F4761" w:themeColor="accent1" w:themeShade="BF"/>
          <w:sz w:val="40"/>
          <w:szCs w:val="40"/>
        </w:rPr>
      </w:pPr>
      <w:r>
        <w:t>[This page is intentionally left blank.]</w:t>
      </w:r>
      <w:r>
        <w:br w:type="page"/>
      </w:r>
    </w:p>
    <w:p w14:paraId="53A01D6C" w14:textId="435E3974" w:rsidR="00BF41C9" w:rsidRDefault="00E7163D" w:rsidP="00793C4D">
      <w:pPr>
        <w:pStyle w:val="Heading1"/>
      </w:pPr>
      <w:bookmarkStart w:id="30" w:name="_Toc189122755"/>
      <w:r>
        <w:lastRenderedPageBreak/>
        <w:t xml:space="preserve">Chapter </w:t>
      </w:r>
      <w:r w:rsidR="00545B58">
        <w:t>7</w:t>
      </w:r>
      <w:r>
        <w:t xml:space="preserve">. </w:t>
      </w:r>
      <w:r w:rsidR="00C65065">
        <w:t>Demand-Side Strategy</w:t>
      </w:r>
      <w:bookmarkEnd w:id="30"/>
    </w:p>
    <w:p w14:paraId="06E5A28B" w14:textId="2D22E7FC" w:rsidR="002464EB" w:rsidRDefault="002464EB" w:rsidP="008C7F24">
      <w:pPr>
        <w:jc w:val="both"/>
      </w:pPr>
      <w:r>
        <w:t xml:space="preserve">This chapter summarizes the process used to assess demand-side resources for the </w:t>
      </w:r>
      <w:r w:rsidR="00322F20">
        <w:t xml:space="preserve">2025 </w:t>
      </w:r>
      <w:r>
        <w:t xml:space="preserve">IRP and addresses the following topics: </w:t>
      </w:r>
    </w:p>
    <w:p w14:paraId="329960A0" w14:textId="3E0601B2" w:rsidR="002464EB" w:rsidRDefault="002464EB" w:rsidP="009A12F5">
      <w:pPr>
        <w:pStyle w:val="ListParagraph"/>
        <w:numPr>
          <w:ilvl w:val="0"/>
          <w:numId w:val="7"/>
        </w:numPr>
        <w:spacing w:after="120"/>
        <w:contextualSpacing w:val="0"/>
        <w:jc w:val="both"/>
      </w:pPr>
      <w:r>
        <w:t xml:space="preserve">A review of significant events since the Company’s </w:t>
      </w:r>
      <w:r w:rsidR="00322F20">
        <w:t xml:space="preserve">2022 </w:t>
      </w:r>
      <w:r w:rsidR="008A7B21">
        <w:t xml:space="preserve">IRP </w:t>
      </w:r>
      <w:r w:rsidR="00142BBA">
        <w:t xml:space="preserve">and 2023 </w:t>
      </w:r>
      <w:r>
        <w:t xml:space="preserve">IRP </w:t>
      </w:r>
      <w:r w:rsidR="008011AA">
        <w:t>U</w:t>
      </w:r>
      <w:r w:rsidR="008A7B21">
        <w:t>pdate</w:t>
      </w:r>
      <w:r>
        <w:t xml:space="preserve"> that are relevant to the screening and assessment of demand-side resources </w:t>
      </w:r>
    </w:p>
    <w:p w14:paraId="411CA175" w14:textId="036AB254" w:rsidR="002464EB" w:rsidRDefault="002464EB" w:rsidP="009A12F5">
      <w:pPr>
        <w:pStyle w:val="ListParagraph"/>
        <w:numPr>
          <w:ilvl w:val="0"/>
          <w:numId w:val="7"/>
        </w:numPr>
        <w:spacing w:after="120"/>
        <w:contextualSpacing w:val="0"/>
        <w:jc w:val="both"/>
      </w:pPr>
      <w:r>
        <w:t>A summary of newly proposed DSM programs, changes to existing programs, and recommended decertification of programs</w:t>
      </w:r>
    </w:p>
    <w:p w14:paraId="026ADC5A" w14:textId="2F47E349" w:rsidR="002464EB" w:rsidRDefault="002464EB" w:rsidP="009A12F5">
      <w:pPr>
        <w:pStyle w:val="ListParagraph"/>
        <w:numPr>
          <w:ilvl w:val="0"/>
          <w:numId w:val="7"/>
        </w:numPr>
        <w:spacing w:after="120"/>
        <w:contextualSpacing w:val="0"/>
        <w:jc w:val="both"/>
      </w:pPr>
      <w:r>
        <w:t>A discussion of the regulatory treatment of DSM program costs and the additional sum</w:t>
      </w:r>
    </w:p>
    <w:p w14:paraId="589409D0" w14:textId="5A30C095" w:rsidR="002464EB" w:rsidRDefault="002464EB" w:rsidP="009A12F5">
      <w:pPr>
        <w:pStyle w:val="ListParagraph"/>
        <w:numPr>
          <w:ilvl w:val="0"/>
          <w:numId w:val="7"/>
        </w:numPr>
        <w:spacing w:after="120"/>
        <w:contextualSpacing w:val="0"/>
        <w:jc w:val="both"/>
      </w:pPr>
      <w:r>
        <w:t xml:space="preserve">A presentation of the economic results of DSM programs for the </w:t>
      </w:r>
      <w:r w:rsidR="007E25CE">
        <w:t xml:space="preserve">2025 </w:t>
      </w:r>
      <w:r>
        <w:t xml:space="preserve">IRP using the </w:t>
      </w:r>
      <w:r w:rsidR="004C6E92">
        <w:t>moderate gas,</w:t>
      </w:r>
      <w:r>
        <w:t xml:space="preserve"> </w:t>
      </w:r>
      <w:r w:rsidR="0048104E">
        <w:t>lower</w:t>
      </w:r>
      <w:r>
        <w:t xml:space="preserve"> carbon pr</w:t>
      </w:r>
      <w:r w:rsidR="0048104E">
        <w:t>essure</w:t>
      </w:r>
      <w:r>
        <w:t xml:space="preserve"> (</w:t>
      </w:r>
      <w:r w:rsidR="00F47FA4">
        <w:t>“</w:t>
      </w:r>
      <w:r>
        <w:t>MG0</w:t>
      </w:r>
      <w:r w:rsidR="00F47FA4">
        <w:t>”</w:t>
      </w:r>
      <w:r>
        <w:t xml:space="preserve">) </w:t>
      </w:r>
      <w:r w:rsidDel="00E729C9">
        <w:t xml:space="preserve">and </w:t>
      </w:r>
      <w:r w:rsidR="0AF2FDAD">
        <w:t>111-MG0</w:t>
      </w:r>
      <w:r w:rsidR="00E10CFD">
        <w:t xml:space="preserve"> </w:t>
      </w:r>
      <w:r>
        <w:t>scenario</w:t>
      </w:r>
      <w:r w:rsidR="008011AA">
        <w:t>s</w:t>
      </w:r>
    </w:p>
    <w:p w14:paraId="42495558" w14:textId="3D9D0F4A" w:rsidR="002464EB" w:rsidRDefault="002464EB" w:rsidP="008C7F24">
      <w:pPr>
        <w:jc w:val="both"/>
      </w:pPr>
      <w:r>
        <w:t>The identification and evaluation of demand-side resources for inclusion in this IRP involves market considerations, such as customer acceptance and applicability, customer economics</w:t>
      </w:r>
      <w:r w:rsidR="00277DCD">
        <w:t xml:space="preserve"> and affordability</w:t>
      </w:r>
      <w:r>
        <w:t xml:space="preserve">, </w:t>
      </w:r>
      <w:r w:rsidR="085B845A">
        <w:t>ability to implement programs</w:t>
      </w:r>
      <w:r w:rsidR="00B833DC">
        <w:t>,</w:t>
      </w:r>
      <w:r>
        <w:t xml:space="preserve"> and electric supply economics using marginal cost calculations. As outlined in the </w:t>
      </w:r>
      <w:r w:rsidR="00857678">
        <w:t xml:space="preserve">2022 </w:t>
      </w:r>
      <w:r>
        <w:t>IRP Order, the Company followed the process defined in the Commission’s IRP rules and the DSM Program Planning Approach, which are discussed in more detail below.</w:t>
      </w:r>
    </w:p>
    <w:p w14:paraId="125BE737" w14:textId="7D25106D" w:rsidR="002464EB" w:rsidRDefault="00872EB9" w:rsidP="00B56A9C">
      <w:pPr>
        <w:pStyle w:val="Heading2"/>
      </w:pPr>
      <w:bookmarkStart w:id="31" w:name="_Toc189122756"/>
      <w:r>
        <w:t xml:space="preserve">7.1 – </w:t>
      </w:r>
      <w:r w:rsidR="002464EB">
        <w:t xml:space="preserve">Review of Significant Events Since the </w:t>
      </w:r>
      <w:r w:rsidR="00397B56">
        <w:t xml:space="preserve">2022 </w:t>
      </w:r>
      <w:r w:rsidR="002464EB">
        <w:t>IRP</w:t>
      </w:r>
      <w:r w:rsidR="00CC023B">
        <w:t xml:space="preserve"> and 2023 IRP Update</w:t>
      </w:r>
      <w:bookmarkEnd w:id="31"/>
    </w:p>
    <w:p w14:paraId="6AC1DF14" w14:textId="3E88538A" w:rsidR="002464EB" w:rsidRDefault="00B90852" w:rsidP="00CD30CB">
      <w:pPr>
        <w:jc w:val="both"/>
      </w:pPr>
      <w:r>
        <w:t>Since</w:t>
      </w:r>
      <w:r w:rsidR="002464EB">
        <w:t xml:space="preserve"> the </w:t>
      </w:r>
      <w:r w:rsidR="00397B56">
        <w:t xml:space="preserve">2022 </w:t>
      </w:r>
      <w:r w:rsidR="002464EB">
        <w:t xml:space="preserve">IRP </w:t>
      </w:r>
      <w:r w:rsidR="562D04CF">
        <w:t xml:space="preserve">and 2023 IRP </w:t>
      </w:r>
      <w:r w:rsidR="003A0B7E">
        <w:t>U</w:t>
      </w:r>
      <w:r w:rsidR="562D04CF">
        <w:t>pdate</w:t>
      </w:r>
      <w:r w:rsidR="002464EB">
        <w:t xml:space="preserve">, the following events have influenced Georgia Power’s screening of demand-side resources: </w:t>
      </w:r>
    </w:p>
    <w:p w14:paraId="0B658D5D" w14:textId="04CC62FB" w:rsidR="77178F9C" w:rsidRPr="00707DD9" w:rsidRDefault="000F2036" w:rsidP="009A12F5">
      <w:pPr>
        <w:pStyle w:val="ListParagraph"/>
        <w:numPr>
          <w:ilvl w:val="0"/>
          <w:numId w:val="31"/>
        </w:numPr>
        <w:spacing w:after="120"/>
        <w:contextualSpacing w:val="0"/>
        <w:jc w:val="both"/>
      </w:pPr>
      <w:r>
        <w:t>Consistent with</w:t>
      </w:r>
      <w:r w:rsidR="112DC34F" w:rsidRPr="00707DD9">
        <w:t xml:space="preserve"> t</w:t>
      </w:r>
      <w:r w:rsidR="221B11B7" w:rsidRPr="00707DD9">
        <w:t xml:space="preserve">he </w:t>
      </w:r>
      <w:r>
        <w:t xml:space="preserve">requirements of the </w:t>
      </w:r>
      <w:r w:rsidR="221B11B7" w:rsidRPr="00707DD9">
        <w:t xml:space="preserve">Vogtle </w:t>
      </w:r>
      <w:r w:rsidR="006D1B55">
        <w:t>Prudence Order,</w:t>
      </w:r>
      <w:r w:rsidR="29F496E7" w:rsidRPr="00707DD9">
        <w:t xml:space="preserve"> </w:t>
      </w:r>
      <w:r w:rsidR="300C8F39" w:rsidRPr="00707DD9">
        <w:t xml:space="preserve">the level of energy efficiency in the Company’s </w:t>
      </w:r>
      <w:r w:rsidR="00464AD6">
        <w:t>P</w:t>
      </w:r>
      <w:r w:rsidR="300C8F39" w:rsidRPr="00707DD9">
        <w:t xml:space="preserve">roposed </w:t>
      </w:r>
      <w:r w:rsidR="00464AD6">
        <w:t>C</w:t>
      </w:r>
      <w:r w:rsidR="300C8F39" w:rsidRPr="00707DD9">
        <w:t xml:space="preserve">ase was set to </w:t>
      </w:r>
      <w:r w:rsidR="006A3162" w:rsidRPr="00707DD9">
        <w:t>0</w:t>
      </w:r>
      <w:r w:rsidR="300C8F39" w:rsidRPr="00707DD9">
        <w:t>.75% of total energy sales</w:t>
      </w:r>
    </w:p>
    <w:p w14:paraId="6D420E3F" w14:textId="4EAEA4A4" w:rsidR="58C42E95" w:rsidRDefault="58C42E95" w:rsidP="009A12F5">
      <w:pPr>
        <w:pStyle w:val="ListParagraph"/>
        <w:numPr>
          <w:ilvl w:val="0"/>
          <w:numId w:val="31"/>
        </w:numPr>
        <w:spacing w:after="120"/>
        <w:contextualSpacing w:val="0"/>
        <w:jc w:val="both"/>
      </w:pPr>
      <w:r>
        <w:t>The marginal costs of generating energy have increased</w:t>
      </w:r>
      <w:r w:rsidR="00DC78DE">
        <w:t>,</w:t>
      </w:r>
      <w:r>
        <w:t xml:space="preserve"> which</w:t>
      </w:r>
      <w:r w:rsidR="0CD30B2B">
        <w:t xml:space="preserve">, all things being equal, </w:t>
      </w:r>
      <w:r w:rsidR="4F8643B7">
        <w:t xml:space="preserve">has led </w:t>
      </w:r>
      <w:r>
        <w:t xml:space="preserve">to </w:t>
      </w:r>
      <w:r w:rsidR="1EADE0F5">
        <w:t xml:space="preserve">an improvement in </w:t>
      </w:r>
      <w:r w:rsidR="3ED93801">
        <w:t>avoided cost benefits provided by DSM programs</w:t>
      </w:r>
    </w:p>
    <w:p w14:paraId="33A5D4B6" w14:textId="7FB1C920" w:rsidR="34B83493" w:rsidRDefault="34B83493" w:rsidP="009A12F5">
      <w:pPr>
        <w:pStyle w:val="ListParagraph"/>
        <w:numPr>
          <w:ilvl w:val="0"/>
          <w:numId w:val="31"/>
        </w:numPr>
        <w:spacing w:after="120"/>
        <w:contextualSpacing w:val="0"/>
        <w:jc w:val="both"/>
      </w:pPr>
      <w:r>
        <w:t xml:space="preserve">The Thermostat DR program was expanded to a target of 50,000 devices as a result of the 2023 IRP </w:t>
      </w:r>
      <w:r w:rsidR="003A0B7E">
        <w:t>U</w:t>
      </w:r>
      <w:r>
        <w:t>pdate</w:t>
      </w:r>
    </w:p>
    <w:p w14:paraId="2A97E1A7" w14:textId="4E3869D4" w:rsidR="002464EB" w:rsidRDefault="00940424" w:rsidP="00CD30CB">
      <w:pPr>
        <w:pStyle w:val="Heading3"/>
        <w:jc w:val="both"/>
      </w:pPr>
      <w:r>
        <w:t xml:space="preserve">7.1.1 – </w:t>
      </w:r>
      <w:r w:rsidR="00783C8C">
        <w:t xml:space="preserve">2022 </w:t>
      </w:r>
      <w:r w:rsidR="00CE341D">
        <w:t xml:space="preserve">IRP </w:t>
      </w:r>
      <w:r w:rsidR="002E28CF">
        <w:t xml:space="preserve">and 2023 </w:t>
      </w:r>
      <w:r w:rsidR="002464EB">
        <w:t xml:space="preserve">IRP </w:t>
      </w:r>
      <w:r w:rsidR="00CE341D">
        <w:t xml:space="preserve">Update </w:t>
      </w:r>
      <w:r w:rsidR="00707DD9">
        <w:t>Final Orders</w:t>
      </w:r>
    </w:p>
    <w:p w14:paraId="1FB87FEA" w14:textId="3403A015" w:rsidR="002464EB" w:rsidRDefault="002464EB" w:rsidP="00CD30CB">
      <w:pPr>
        <w:jc w:val="both"/>
      </w:pPr>
      <w:r>
        <w:t>In the</w:t>
      </w:r>
      <w:r w:rsidR="002B40E8">
        <w:t xml:space="preserve"> </w:t>
      </w:r>
      <w:r w:rsidR="0009169C">
        <w:t xml:space="preserve">2022 </w:t>
      </w:r>
      <w:r>
        <w:t>IRP Order, the Commission decertified two programs, amended the certificates of t</w:t>
      </w:r>
      <w:r w:rsidR="006012A8">
        <w:t>en</w:t>
      </w:r>
      <w:r>
        <w:t xml:space="preserve"> programs, and certified </w:t>
      </w:r>
      <w:r w:rsidR="003A2286">
        <w:t>one</w:t>
      </w:r>
      <w:r>
        <w:t xml:space="preserve"> new program in the Company’s DSM portfolio. In addition, the Commission ordered that the energy savings targets for both the residential and commercial programs be increased by 15</w:t>
      </w:r>
      <w:r w:rsidR="00133188">
        <w:t>%</w:t>
      </w:r>
      <w:r>
        <w:t xml:space="preserve"> and the relative program budgets increased by 1</w:t>
      </w:r>
      <w:r w:rsidR="00D21E00">
        <w:t>1</w:t>
      </w:r>
      <w:r w:rsidR="00133188">
        <w:t>%</w:t>
      </w:r>
      <w:r>
        <w:t xml:space="preserve"> from the Company</w:t>
      </w:r>
      <w:r w:rsidR="00133188">
        <w:t>’s</w:t>
      </w:r>
      <w:r>
        <w:t xml:space="preserve"> original </w:t>
      </w:r>
      <w:r w:rsidR="00133188">
        <w:t>proposal</w:t>
      </w:r>
      <w:r>
        <w:t>. The</w:t>
      </w:r>
      <w:r w:rsidR="0044664B">
        <w:t xml:space="preserve"> </w:t>
      </w:r>
      <w:r w:rsidR="009D645A">
        <w:t xml:space="preserve">2022 </w:t>
      </w:r>
      <w:r>
        <w:t>IRP Order approved program plans for the following programs:</w:t>
      </w:r>
    </w:p>
    <w:p w14:paraId="040FE8FC" w14:textId="77777777" w:rsidR="002464EB" w:rsidRDefault="002464EB" w:rsidP="00F07501">
      <w:pPr>
        <w:keepNext/>
        <w:keepLines/>
        <w:jc w:val="both"/>
      </w:pPr>
      <w:r>
        <w:lastRenderedPageBreak/>
        <w:t>Residential Programs:</w:t>
      </w:r>
    </w:p>
    <w:p w14:paraId="7169CF21" w14:textId="1F1B4F89" w:rsidR="002464EB" w:rsidRDefault="002464EB" w:rsidP="009A12F5">
      <w:pPr>
        <w:pStyle w:val="ListParagraph"/>
        <w:keepNext/>
        <w:keepLines/>
        <w:numPr>
          <w:ilvl w:val="0"/>
          <w:numId w:val="8"/>
        </w:numPr>
        <w:jc w:val="both"/>
      </w:pPr>
      <w:r>
        <w:t xml:space="preserve">Behavioral </w:t>
      </w:r>
    </w:p>
    <w:p w14:paraId="033C1F0D" w14:textId="75C70791" w:rsidR="002464EB" w:rsidRDefault="002464EB" w:rsidP="009A12F5">
      <w:pPr>
        <w:pStyle w:val="ListParagraph"/>
        <w:keepNext/>
        <w:keepLines/>
        <w:numPr>
          <w:ilvl w:val="0"/>
          <w:numId w:val="8"/>
        </w:numPr>
        <w:jc w:val="both"/>
      </w:pPr>
      <w:r>
        <w:t>Home Energy Improvement</w:t>
      </w:r>
    </w:p>
    <w:p w14:paraId="347FE527" w14:textId="6F7A4CD8" w:rsidR="002464EB" w:rsidRDefault="002464EB" w:rsidP="009A12F5">
      <w:pPr>
        <w:pStyle w:val="ListParagraph"/>
        <w:keepNext/>
        <w:keepLines/>
        <w:numPr>
          <w:ilvl w:val="0"/>
          <w:numId w:val="8"/>
        </w:numPr>
        <w:jc w:val="both"/>
      </w:pPr>
      <w:r>
        <w:t xml:space="preserve">Specialty Lighting </w:t>
      </w:r>
    </w:p>
    <w:p w14:paraId="2986E230" w14:textId="333D844B" w:rsidR="002464EB" w:rsidRDefault="002464EB" w:rsidP="009A12F5">
      <w:pPr>
        <w:pStyle w:val="ListParagraph"/>
        <w:keepNext/>
        <w:keepLines/>
        <w:numPr>
          <w:ilvl w:val="0"/>
          <w:numId w:val="8"/>
        </w:numPr>
        <w:jc w:val="both"/>
      </w:pPr>
      <w:r>
        <w:t>Refrigerator Recycling</w:t>
      </w:r>
      <w:r w:rsidR="00C26B3B">
        <w:t xml:space="preserve"> Plus</w:t>
      </w:r>
    </w:p>
    <w:p w14:paraId="36A00DD3" w14:textId="3E8E403C" w:rsidR="002464EB" w:rsidRDefault="00C26B3B" w:rsidP="009A12F5">
      <w:pPr>
        <w:pStyle w:val="ListParagraph"/>
        <w:keepNext/>
        <w:keepLines/>
        <w:numPr>
          <w:ilvl w:val="0"/>
          <w:numId w:val="8"/>
        </w:numPr>
        <w:jc w:val="both"/>
      </w:pPr>
      <w:r>
        <w:t>Energy Assistance for Savings and Efficiency</w:t>
      </w:r>
      <w:r w:rsidR="00707DD9">
        <w:t xml:space="preserve"> (</w:t>
      </w:r>
      <w:r w:rsidR="00E8728B">
        <w:t>previously</w:t>
      </w:r>
      <w:r w:rsidR="00F07501">
        <w:t>,</w:t>
      </w:r>
      <w:r w:rsidR="00E8728B">
        <w:t xml:space="preserve"> HEEAP)</w:t>
      </w:r>
    </w:p>
    <w:p w14:paraId="353F2EF2" w14:textId="615763B9" w:rsidR="002464EB" w:rsidRDefault="002464EB" w:rsidP="009A12F5">
      <w:pPr>
        <w:pStyle w:val="ListParagraph"/>
        <w:numPr>
          <w:ilvl w:val="0"/>
          <w:numId w:val="8"/>
        </w:numPr>
        <w:jc w:val="both"/>
      </w:pPr>
      <w:r>
        <w:t>Thermostat Demand Response</w:t>
      </w:r>
    </w:p>
    <w:p w14:paraId="53F8C4D7" w14:textId="0775C62D" w:rsidR="002464EB" w:rsidRDefault="000362B8" w:rsidP="009A12F5">
      <w:pPr>
        <w:pStyle w:val="ListParagraph"/>
        <w:numPr>
          <w:ilvl w:val="0"/>
          <w:numId w:val="8"/>
        </w:numPr>
        <w:jc w:val="both"/>
      </w:pPr>
      <w:r>
        <w:t>HopeWorks</w:t>
      </w:r>
    </w:p>
    <w:p w14:paraId="09A45E86" w14:textId="77777777" w:rsidR="002464EB" w:rsidRDefault="002464EB" w:rsidP="00CD30CB">
      <w:pPr>
        <w:jc w:val="both"/>
      </w:pPr>
      <w:r>
        <w:t>Commercial Programs:</w:t>
      </w:r>
    </w:p>
    <w:p w14:paraId="01CAFC2C" w14:textId="2E882261" w:rsidR="002464EB" w:rsidRDefault="002464EB" w:rsidP="009A12F5">
      <w:pPr>
        <w:pStyle w:val="ListParagraph"/>
        <w:numPr>
          <w:ilvl w:val="0"/>
          <w:numId w:val="9"/>
        </w:numPr>
        <w:jc w:val="both"/>
      </w:pPr>
      <w:r>
        <w:t>Custom</w:t>
      </w:r>
    </w:p>
    <w:p w14:paraId="15446BD7" w14:textId="6AD72F46" w:rsidR="002464EB" w:rsidRDefault="002464EB" w:rsidP="009A12F5">
      <w:pPr>
        <w:pStyle w:val="ListParagraph"/>
        <w:numPr>
          <w:ilvl w:val="0"/>
          <w:numId w:val="9"/>
        </w:numPr>
        <w:jc w:val="both"/>
      </w:pPr>
      <w:r>
        <w:t>Prescriptive</w:t>
      </w:r>
    </w:p>
    <w:p w14:paraId="7CE9CF4C" w14:textId="5C3D859E" w:rsidR="002464EB" w:rsidRDefault="002464EB" w:rsidP="009A12F5">
      <w:pPr>
        <w:pStyle w:val="ListParagraph"/>
        <w:numPr>
          <w:ilvl w:val="0"/>
          <w:numId w:val="9"/>
        </w:numPr>
        <w:jc w:val="both"/>
      </w:pPr>
      <w:r>
        <w:t>Small Commercial Direct Install</w:t>
      </w:r>
    </w:p>
    <w:p w14:paraId="30C29FA8" w14:textId="3CDA2EAB" w:rsidR="002464EB" w:rsidRDefault="002464EB" w:rsidP="009A12F5">
      <w:pPr>
        <w:pStyle w:val="ListParagraph"/>
        <w:numPr>
          <w:ilvl w:val="0"/>
          <w:numId w:val="9"/>
        </w:numPr>
        <w:jc w:val="both"/>
      </w:pPr>
      <w:r>
        <w:t>Behavioral</w:t>
      </w:r>
      <w:r w:rsidR="008877EF">
        <w:t xml:space="preserve"> (</w:t>
      </w:r>
      <w:r w:rsidR="00C61E06">
        <w:t xml:space="preserve">program approved for </w:t>
      </w:r>
      <w:r w:rsidR="00AB14B0">
        <w:t>two</w:t>
      </w:r>
      <w:r w:rsidR="00C61E06">
        <w:t xml:space="preserve"> years</w:t>
      </w:r>
      <w:r w:rsidR="00857FB5">
        <w:t xml:space="preserve"> per stipulation </w:t>
      </w:r>
      <w:r w:rsidR="00EA2194">
        <w:t xml:space="preserve">and </w:t>
      </w:r>
      <w:r w:rsidR="00B05737">
        <w:t xml:space="preserve">subject to pausing </w:t>
      </w:r>
      <w:r w:rsidR="00283C39">
        <w:t xml:space="preserve">in the third year if </w:t>
      </w:r>
      <w:r w:rsidR="00A24879">
        <w:t xml:space="preserve">evaluation </w:t>
      </w:r>
      <w:r w:rsidR="00AD1F7B">
        <w:t xml:space="preserve">results do not </w:t>
      </w:r>
      <w:r w:rsidR="00BB10BA">
        <w:t>find</w:t>
      </w:r>
      <w:r w:rsidR="00AD1F7B">
        <w:t xml:space="preserve"> program to be cost effective)</w:t>
      </w:r>
    </w:p>
    <w:p w14:paraId="567C7873" w14:textId="4A50096B" w:rsidR="004F774B" w:rsidRDefault="00AB14B0" w:rsidP="005E6931">
      <w:pPr>
        <w:jc w:val="both"/>
      </w:pPr>
      <w:r>
        <w:t>T</w:t>
      </w:r>
      <w:r w:rsidR="003E22CB">
        <w:t>o address capacity needs</w:t>
      </w:r>
      <w:r w:rsidR="00B9518C">
        <w:t xml:space="preserve"> </w:t>
      </w:r>
      <w:r w:rsidR="009A1922">
        <w:t xml:space="preserve">identified in </w:t>
      </w:r>
      <w:r w:rsidR="00C42D09">
        <w:t xml:space="preserve">the </w:t>
      </w:r>
      <w:r w:rsidR="009A1922">
        <w:t>2023 IRP Update, the Company</w:t>
      </w:r>
      <w:r w:rsidR="00B9518C" w:rsidDel="009A1922">
        <w:t xml:space="preserve"> </w:t>
      </w:r>
      <w:r w:rsidR="00C42D09">
        <w:t>request</w:t>
      </w:r>
      <w:r w:rsidR="009A1922">
        <w:t>ed</w:t>
      </w:r>
      <w:r w:rsidR="00C42D09">
        <w:t xml:space="preserve"> </w:t>
      </w:r>
      <w:r w:rsidR="009A1922">
        <w:t>to</w:t>
      </w:r>
      <w:r w:rsidR="00C42D09">
        <w:t xml:space="preserve"> expan</w:t>
      </w:r>
      <w:r w:rsidR="009A1922">
        <w:t>d</w:t>
      </w:r>
      <w:r w:rsidR="00C42D09">
        <w:t xml:space="preserve"> </w:t>
      </w:r>
      <w:r w:rsidR="004B2BEF">
        <w:t xml:space="preserve">the Thermostat </w:t>
      </w:r>
      <w:r w:rsidR="00634F14">
        <w:t>DR</w:t>
      </w:r>
      <w:r w:rsidR="004B2BEF">
        <w:t xml:space="preserve"> program. </w:t>
      </w:r>
      <w:r w:rsidR="00DF3853">
        <w:t xml:space="preserve">The 2023 IRP </w:t>
      </w:r>
      <w:r w:rsidR="009A1922">
        <w:t>U</w:t>
      </w:r>
      <w:r w:rsidR="00380EF2">
        <w:t>pdate</w:t>
      </w:r>
      <w:r w:rsidR="00DF3853">
        <w:t xml:space="preserve"> Order approved the expansion of the Thermostat </w:t>
      </w:r>
      <w:r w:rsidR="00634F14">
        <w:t>DR</w:t>
      </w:r>
      <w:r w:rsidR="00DF3853">
        <w:t xml:space="preserve"> program to </w:t>
      </w:r>
      <w:r w:rsidR="00B1795C">
        <w:t>50,000 devices</w:t>
      </w:r>
      <w:r w:rsidR="005F44F4">
        <w:t>, up</w:t>
      </w:r>
      <w:r w:rsidR="00B1795C">
        <w:t xml:space="preserve"> from 25,000</w:t>
      </w:r>
      <w:r w:rsidR="009C62DC">
        <w:t xml:space="preserve"> devices</w:t>
      </w:r>
      <w:r w:rsidR="005F44F4">
        <w:t>,</w:t>
      </w:r>
      <w:r w:rsidR="009C62DC">
        <w:t xml:space="preserve"> and increased the demand</w:t>
      </w:r>
      <w:r w:rsidR="001370A4">
        <w:t>-</w:t>
      </w:r>
      <w:r w:rsidR="009C62DC">
        <w:t>savings goal from 18</w:t>
      </w:r>
      <w:r w:rsidR="005078A6">
        <w:t>.</w:t>
      </w:r>
      <w:r w:rsidR="00D01999">
        <w:t>5</w:t>
      </w:r>
      <w:r w:rsidR="009C62DC">
        <w:t xml:space="preserve"> MW to </w:t>
      </w:r>
      <w:r w:rsidR="00F7757A">
        <w:t>37</w:t>
      </w:r>
      <w:r w:rsidR="00936288">
        <w:t> </w:t>
      </w:r>
      <w:r w:rsidR="00F7757A">
        <w:t xml:space="preserve">MW </w:t>
      </w:r>
      <w:r w:rsidR="00BD181A">
        <w:t>in 2024 and 2025.</w:t>
      </w:r>
    </w:p>
    <w:p w14:paraId="3573AC0D" w14:textId="37B51EDF" w:rsidR="002464EB" w:rsidRDefault="00940424" w:rsidP="00CD30CB">
      <w:pPr>
        <w:pStyle w:val="Heading3"/>
        <w:jc w:val="both"/>
      </w:pPr>
      <w:r>
        <w:t xml:space="preserve">7.1.2 – </w:t>
      </w:r>
      <w:r w:rsidR="002464EB">
        <w:t>Program Evaluation Results</w:t>
      </w:r>
    </w:p>
    <w:p w14:paraId="50B00F7B" w14:textId="325CABCF" w:rsidR="002464EB" w:rsidRDefault="00E04AA0" w:rsidP="00CD30CB">
      <w:pPr>
        <w:jc w:val="both"/>
      </w:pPr>
      <w:r>
        <w:t>To evaluate its programs as required by the 2022 IRP Order, t</w:t>
      </w:r>
      <w:r w:rsidR="002464EB">
        <w:t xml:space="preserve">he Company selected BrightLine </w:t>
      </w:r>
      <w:r w:rsidR="6897594E">
        <w:t xml:space="preserve">Group </w:t>
      </w:r>
      <w:r w:rsidR="002464EB">
        <w:t>and Illume</w:t>
      </w:r>
      <w:r w:rsidR="3627B71A">
        <w:t xml:space="preserve"> Advising</w:t>
      </w:r>
      <w:r w:rsidR="002464EB">
        <w:t xml:space="preserve">, for commercial and residential program evaluations, respectively. The evaluators developed evaluation plans, which </w:t>
      </w:r>
      <w:r w:rsidR="001D0D94">
        <w:t>t</w:t>
      </w:r>
      <w:r w:rsidR="002464EB">
        <w:t xml:space="preserve">he Company </w:t>
      </w:r>
      <w:r w:rsidR="000615B6">
        <w:t>shared</w:t>
      </w:r>
      <w:r w:rsidR="002464EB">
        <w:t xml:space="preserve"> with</w:t>
      </w:r>
      <w:r w:rsidR="007D4BD0">
        <w:t xml:space="preserve"> </w:t>
      </w:r>
      <w:r w:rsidR="002464EB">
        <w:t xml:space="preserve">Commission </w:t>
      </w:r>
      <w:r w:rsidR="000615B6">
        <w:t xml:space="preserve">Staff </w:t>
      </w:r>
      <w:r w:rsidR="002464EB">
        <w:t xml:space="preserve">in </w:t>
      </w:r>
      <w:r w:rsidR="00B73213">
        <w:t>2023</w:t>
      </w:r>
      <w:r w:rsidR="002464EB">
        <w:t xml:space="preserve">. Program evaluation results were </w:t>
      </w:r>
      <w:r w:rsidR="00A132D9">
        <w:t xml:space="preserve">then </w:t>
      </w:r>
      <w:r w:rsidR="002464EB">
        <w:t xml:space="preserve">provided to </w:t>
      </w:r>
      <w:r w:rsidR="0083709A">
        <w:t xml:space="preserve">Commission </w:t>
      </w:r>
      <w:r w:rsidR="002464EB">
        <w:t xml:space="preserve">Staff </w:t>
      </w:r>
      <w:r w:rsidR="00FA5D2B">
        <w:t>between</w:t>
      </w:r>
      <w:r w:rsidR="002464EB">
        <w:t xml:space="preserve"> </w:t>
      </w:r>
      <w:r w:rsidR="00F10A8F">
        <w:t>July</w:t>
      </w:r>
      <w:r w:rsidR="00D90ECD">
        <w:t xml:space="preserve"> 15</w:t>
      </w:r>
      <w:r w:rsidR="00D01999">
        <w:t xml:space="preserve"> and </w:t>
      </w:r>
      <w:r w:rsidR="00FA5D2B">
        <w:t>September 25</w:t>
      </w:r>
      <w:r w:rsidR="002464EB">
        <w:t>, 202</w:t>
      </w:r>
      <w:r w:rsidR="006F2FD6">
        <w:t>4</w:t>
      </w:r>
      <w:r w:rsidR="002464EB">
        <w:t xml:space="preserve">. These results were considered in the development of the </w:t>
      </w:r>
      <w:r w:rsidR="00FF4BF6">
        <w:t xml:space="preserve">2025 </w:t>
      </w:r>
      <w:r w:rsidR="002464EB">
        <w:t xml:space="preserve">IRP, as well as the program plans in the Company’s </w:t>
      </w:r>
      <w:r w:rsidR="002457F1">
        <w:t xml:space="preserve">2025 </w:t>
      </w:r>
      <w:r w:rsidR="002464EB">
        <w:t>DSM Application</w:t>
      </w:r>
      <w:r w:rsidR="00F06EAA">
        <w:t xml:space="preserve"> in Docket No. 56003</w:t>
      </w:r>
      <w:r w:rsidR="002464EB">
        <w:t>.</w:t>
      </w:r>
    </w:p>
    <w:p w14:paraId="1F6601E6" w14:textId="14B2C6AB" w:rsidR="002464EB" w:rsidRDefault="00940424" w:rsidP="00CD30CB">
      <w:pPr>
        <w:pStyle w:val="Heading3"/>
        <w:jc w:val="both"/>
      </w:pPr>
      <w:r>
        <w:t xml:space="preserve">7.1.3 – </w:t>
      </w:r>
      <w:r w:rsidR="002464EB">
        <w:t>DSM Program Planning Approach</w:t>
      </w:r>
    </w:p>
    <w:p w14:paraId="276397B1" w14:textId="4AFB92FC" w:rsidR="002464EB" w:rsidRDefault="002464EB" w:rsidP="00CD30CB">
      <w:pPr>
        <w:jc w:val="both"/>
      </w:pPr>
      <w:r>
        <w:t xml:space="preserve">In accordance with the 2019 </w:t>
      </w:r>
      <w:r w:rsidR="00B15B5F">
        <w:t>and 2022 IRP Order</w:t>
      </w:r>
      <w:r w:rsidR="00387AD8">
        <w:t>s</w:t>
      </w:r>
      <w:r>
        <w:t xml:space="preserve">, the Commission-approved </w:t>
      </w:r>
      <w:r w:rsidR="00934358">
        <w:t xml:space="preserve">a </w:t>
      </w:r>
      <w:r>
        <w:t>nine</w:t>
      </w:r>
      <w:r w:rsidR="00EA6931">
        <w:t>-</w:t>
      </w:r>
      <w:r>
        <w:t xml:space="preserve">step DSM Planning Process (renamed the “DSM Program Planning Approach”) </w:t>
      </w:r>
      <w:r w:rsidR="006F5CE7">
        <w:t xml:space="preserve">to </w:t>
      </w:r>
      <w:r>
        <w:t xml:space="preserve">guide the development of the Company’s </w:t>
      </w:r>
      <w:r w:rsidR="00B15B5F">
        <w:t xml:space="preserve">2025 </w:t>
      </w:r>
      <w:r>
        <w:t xml:space="preserve">IRP and DSM Certification plans. The Company </w:t>
      </w:r>
      <w:r w:rsidR="00BA388A">
        <w:t xml:space="preserve">adhered to the DSM Program Planning Approach, </w:t>
      </w:r>
      <w:r>
        <w:t xml:space="preserve">met with the </w:t>
      </w:r>
      <w:r w:rsidR="00425659">
        <w:t>DSM Working Group (“</w:t>
      </w:r>
      <w:r>
        <w:t>DSMWG</w:t>
      </w:r>
      <w:r w:rsidR="00425659">
        <w:t>”)</w:t>
      </w:r>
      <w:r>
        <w:t xml:space="preserve"> eight times between </w:t>
      </w:r>
      <w:r w:rsidR="00C541E2">
        <w:t>2023</w:t>
      </w:r>
      <w:r>
        <w:t xml:space="preserve"> and </w:t>
      </w:r>
      <w:r w:rsidR="00C541E2">
        <w:t>2024</w:t>
      </w:r>
      <w:r w:rsidR="00BA388A">
        <w:t>,</w:t>
      </w:r>
      <w:r>
        <w:t xml:space="preserve"> and engaged with the DSMWG to collaboratively develop program concepts for the 202</w:t>
      </w:r>
      <w:r w:rsidR="252DEFC4">
        <w:t>5</w:t>
      </w:r>
      <w:r>
        <w:t xml:space="preserve"> IRP. The Company also met with DSMWG subcommittees in 202</w:t>
      </w:r>
      <w:r w:rsidR="07EDF5DF">
        <w:t>4</w:t>
      </w:r>
      <w:r>
        <w:t xml:space="preserve"> to discuss DSM program concepts </w:t>
      </w:r>
      <w:r w:rsidR="00950B56">
        <w:t xml:space="preserve">for the Proposed Case </w:t>
      </w:r>
      <w:r>
        <w:t>and modeling a DSM sensitivity case proposed by certain members of the DSMWG. Finally, the Company shared data with the DSMWG in preparation for, and leading up to, the 202</w:t>
      </w:r>
      <w:r w:rsidR="2366C02F">
        <w:t>5</w:t>
      </w:r>
      <w:r>
        <w:t xml:space="preserve"> IRP filing.</w:t>
      </w:r>
    </w:p>
    <w:p w14:paraId="32BF318D" w14:textId="556894CF" w:rsidR="002464EB" w:rsidRDefault="00940424" w:rsidP="003D07D8">
      <w:pPr>
        <w:pStyle w:val="Heading3"/>
      </w:pPr>
      <w:r>
        <w:t xml:space="preserve">7.1.4 – </w:t>
      </w:r>
      <w:r w:rsidR="002464EB">
        <w:t>IRP Avoided Cost</w:t>
      </w:r>
    </w:p>
    <w:p w14:paraId="6BDCB64D" w14:textId="5FD9B041" w:rsidR="002464EB" w:rsidRDefault="002464EB" w:rsidP="00CD30CB">
      <w:pPr>
        <w:jc w:val="both"/>
      </w:pPr>
      <w:r>
        <w:t xml:space="preserve">The overall </w:t>
      </w:r>
      <w:r w:rsidR="52383073">
        <w:t xml:space="preserve">increase </w:t>
      </w:r>
      <w:r>
        <w:t xml:space="preserve">in </w:t>
      </w:r>
      <w:r w:rsidR="005B45DA">
        <w:t>S</w:t>
      </w:r>
      <w:r w:rsidR="4523A5E4">
        <w:t>ystem</w:t>
      </w:r>
      <w:r>
        <w:t xml:space="preserve"> costs has </w:t>
      </w:r>
      <w:r w:rsidR="6F64AB1C">
        <w:t xml:space="preserve">increased </w:t>
      </w:r>
      <w:r>
        <w:t xml:space="preserve">the marginal cost of generating </w:t>
      </w:r>
      <w:r w:rsidR="00020FD5">
        <w:t xml:space="preserve">and delivering </w:t>
      </w:r>
      <w:r>
        <w:t>energy</w:t>
      </w:r>
      <w:r w:rsidR="272E3D4F">
        <w:t xml:space="preserve"> since the 2022 IRP</w:t>
      </w:r>
      <w:r>
        <w:t xml:space="preserve">. </w:t>
      </w:r>
      <w:r w:rsidR="0053364A">
        <w:t>Today</w:t>
      </w:r>
      <w:r>
        <w:t>,</w:t>
      </w:r>
      <w:r w:rsidR="535CEE76" w:rsidDel="003B0778">
        <w:t xml:space="preserve"> </w:t>
      </w:r>
      <w:r w:rsidR="003B0778">
        <w:t>equivalent</w:t>
      </w:r>
      <w:r w:rsidR="535CEE76">
        <w:t xml:space="preserve"> levels of energy efficiency </w:t>
      </w:r>
      <w:r w:rsidR="1B8704FE">
        <w:t>yield greater a</w:t>
      </w:r>
      <w:r w:rsidR="5668AF2E">
        <w:t>voided costs</w:t>
      </w:r>
      <w:r w:rsidR="003B2021">
        <w:t>.</w:t>
      </w:r>
      <w:r w:rsidR="00B15B5F">
        <w:t xml:space="preserve"> </w:t>
      </w:r>
      <w:r>
        <w:lastRenderedPageBreak/>
        <w:t>With</w:t>
      </w:r>
      <w:r w:rsidDel="00B15B5F">
        <w:t xml:space="preserve"> </w:t>
      </w:r>
      <w:r>
        <w:t xml:space="preserve">these </w:t>
      </w:r>
      <w:r w:rsidR="60456A06">
        <w:t xml:space="preserve">higher </w:t>
      </w:r>
      <w:r>
        <w:t xml:space="preserve">avoided costs, the value of each kWh saved </w:t>
      </w:r>
      <w:r w:rsidR="00654E81">
        <w:t>from</w:t>
      </w:r>
      <w:r>
        <w:t xml:space="preserve"> DSM participation has </w:t>
      </w:r>
      <w:r w:rsidR="31FE387B">
        <w:t xml:space="preserve">increased </w:t>
      </w:r>
      <w:r>
        <w:t xml:space="preserve">since the </w:t>
      </w:r>
      <w:r w:rsidR="22AC485B">
        <w:t xml:space="preserve">2022 </w:t>
      </w:r>
      <w:r>
        <w:t>IRP.</w:t>
      </w:r>
    </w:p>
    <w:p w14:paraId="0D4A9E23" w14:textId="1DB7AA5A" w:rsidR="002464EB" w:rsidRDefault="002464EB" w:rsidP="00CD30CB">
      <w:pPr>
        <w:jc w:val="both"/>
      </w:pPr>
      <w:r>
        <w:t xml:space="preserve">These </w:t>
      </w:r>
      <w:r w:rsidR="154E0C47">
        <w:t xml:space="preserve">increases </w:t>
      </w:r>
      <w:r>
        <w:t xml:space="preserve">in avoided cost savings </w:t>
      </w:r>
      <w:r w:rsidR="6977C94A">
        <w:t xml:space="preserve">positively </w:t>
      </w:r>
      <w:r>
        <w:t xml:space="preserve">impact the economics of the Company’s DSM programs. </w:t>
      </w:r>
      <w:r w:rsidR="00A74F5A">
        <w:t xml:space="preserve">At the same time, </w:t>
      </w:r>
      <w:r w:rsidR="473ECF38">
        <w:t xml:space="preserve">the costs of </w:t>
      </w:r>
      <w:r w:rsidR="5D9E148F">
        <w:t xml:space="preserve">achieving </w:t>
      </w:r>
      <w:r w:rsidR="2BCB568C">
        <w:t xml:space="preserve">the </w:t>
      </w:r>
      <w:r w:rsidR="006D0320">
        <w:t xml:space="preserve">required </w:t>
      </w:r>
      <w:r w:rsidR="2BCB568C">
        <w:t>energy</w:t>
      </w:r>
      <w:r w:rsidR="5D9E148F">
        <w:t xml:space="preserve"> efficiency levels </w:t>
      </w:r>
      <w:r w:rsidR="3465F46E">
        <w:t xml:space="preserve">in the Company’s Proposed Case </w:t>
      </w:r>
      <w:r w:rsidR="3F422F1C">
        <w:t>have</w:t>
      </w:r>
      <w:r w:rsidR="3F422F1C" w:rsidDel="006D0320">
        <w:t xml:space="preserve"> </w:t>
      </w:r>
      <w:r w:rsidR="3F422F1C">
        <w:t>increased</w:t>
      </w:r>
      <w:r w:rsidR="00CF1B73">
        <w:t>,</w:t>
      </w:r>
      <w:r w:rsidR="3F422F1C">
        <w:t xml:space="preserve"> </w:t>
      </w:r>
      <w:r w:rsidR="005E7456">
        <w:t xml:space="preserve">which </w:t>
      </w:r>
      <w:r w:rsidR="3F422F1C">
        <w:t>result</w:t>
      </w:r>
      <w:r w:rsidR="005E7456">
        <w:t>s</w:t>
      </w:r>
      <w:r w:rsidR="3F422F1C">
        <w:t xml:space="preserve"> in negative TRC test results for some programs</w:t>
      </w:r>
      <w:r w:rsidR="00147474">
        <w:t>.</w:t>
      </w:r>
      <w:r w:rsidR="5DE2D68C">
        <w:t xml:space="preserve"> </w:t>
      </w:r>
      <w:r w:rsidR="006173A5">
        <w:t>As reflected in t</w:t>
      </w:r>
      <w:r>
        <w:t>he Company’s Proposed Case</w:t>
      </w:r>
      <w:r w:rsidR="00010629">
        <w:t>,</w:t>
      </w:r>
      <w:r>
        <w:t xml:space="preserve"> </w:t>
      </w:r>
      <w:r w:rsidR="67D07002">
        <w:t xml:space="preserve">overall </w:t>
      </w:r>
      <w:r>
        <w:t xml:space="preserve">TRC Test results declined while </w:t>
      </w:r>
      <w:r w:rsidR="00914119">
        <w:t>Rate Impact Measure (“</w:t>
      </w:r>
      <w:r>
        <w:t>RIM</w:t>
      </w:r>
      <w:r w:rsidR="00914119">
        <w:t>”)</w:t>
      </w:r>
      <w:r>
        <w:t xml:space="preserve"> results remained negative</w:t>
      </w:r>
      <w:r w:rsidR="00010629">
        <w:t>. This</w:t>
      </w:r>
      <w:r>
        <w:t xml:space="preserve"> increas</w:t>
      </w:r>
      <w:r w:rsidR="00010629">
        <w:t>es</w:t>
      </w:r>
      <w:r>
        <w:t xml:space="preserve"> concerns for the Company</w:t>
      </w:r>
      <w:r w:rsidR="00D52C0C">
        <w:t>, as it must</w:t>
      </w:r>
      <w:r w:rsidDel="00D06146">
        <w:t xml:space="preserve"> </w:t>
      </w:r>
      <w:r>
        <w:t>balance the benefits these programs provide for participating customers with the rate impacts to customers</w:t>
      </w:r>
      <w:r w:rsidR="00716476">
        <w:t xml:space="preserve"> as a whole</w:t>
      </w:r>
      <w:r>
        <w:t>.</w:t>
      </w:r>
    </w:p>
    <w:p w14:paraId="02A1696E" w14:textId="3E4AB7DA" w:rsidR="002464EB" w:rsidRDefault="003D07D8" w:rsidP="003D07D8">
      <w:pPr>
        <w:pStyle w:val="Heading2"/>
      </w:pPr>
      <w:bookmarkStart w:id="32" w:name="_Toc189122757"/>
      <w:r>
        <w:t xml:space="preserve">7.2 – </w:t>
      </w:r>
      <w:r w:rsidR="002464EB">
        <w:t>Discussion of Current and Proposed DSM Programs</w:t>
      </w:r>
      <w:bookmarkEnd w:id="32"/>
    </w:p>
    <w:p w14:paraId="055643BB" w14:textId="10EBD309" w:rsidR="002464EB" w:rsidRDefault="00940424" w:rsidP="003D07D8">
      <w:pPr>
        <w:pStyle w:val="Heading3"/>
      </w:pPr>
      <w:r>
        <w:t xml:space="preserve">7.2.1 – </w:t>
      </w:r>
      <w:r w:rsidR="002464EB">
        <w:t>Residential DSM Programs</w:t>
      </w:r>
    </w:p>
    <w:p w14:paraId="62697F5F" w14:textId="2E02118B" w:rsidR="002464EB" w:rsidRDefault="002464EB" w:rsidP="00CD30CB">
      <w:pPr>
        <w:jc w:val="both"/>
      </w:pPr>
      <w:r>
        <w:t>In its 202</w:t>
      </w:r>
      <w:r w:rsidR="005024B3">
        <w:t>5</w:t>
      </w:r>
      <w:r>
        <w:t xml:space="preserve"> DSM Application, the Company requests the following actions or adjustments for </w:t>
      </w:r>
      <w:r w:rsidR="003A3842">
        <w:t>each of the</w:t>
      </w:r>
      <w:r>
        <w:t xml:space="preserve"> residential DSM programs</w:t>
      </w:r>
      <w:r w:rsidR="000E7626">
        <w:t xml:space="preserve"> in the Company’s </w:t>
      </w:r>
      <w:r w:rsidR="00813652">
        <w:t>P</w:t>
      </w:r>
      <w:r w:rsidR="000E7626">
        <w:t xml:space="preserve">roposed </w:t>
      </w:r>
      <w:r w:rsidR="00813652">
        <w:t>C</w:t>
      </w:r>
      <w:r w:rsidR="000E7626">
        <w:t>ase</w:t>
      </w:r>
      <w:r>
        <w:t xml:space="preserve">: </w:t>
      </w:r>
    </w:p>
    <w:p w14:paraId="0DDA4D3F" w14:textId="456B276A" w:rsidR="000A0F64" w:rsidRPr="007937EC" w:rsidRDefault="005300A8" w:rsidP="007937EC">
      <w:pPr>
        <w:keepNext/>
        <w:keepLines/>
        <w:spacing w:before="120" w:after="120"/>
        <w:jc w:val="center"/>
        <w:rPr>
          <w:i/>
        </w:rPr>
      </w:pPr>
      <w:r>
        <w:rPr>
          <w:i/>
          <w:iCs/>
        </w:rPr>
        <w:t>Table</w:t>
      </w:r>
      <w:r w:rsidR="007937EC" w:rsidRPr="007937EC">
        <w:rPr>
          <w:i/>
          <w:iCs/>
        </w:rPr>
        <w:t xml:space="preserve"> </w:t>
      </w:r>
      <w:r w:rsidR="00C6430B">
        <w:rPr>
          <w:i/>
          <w:iCs/>
        </w:rPr>
        <w:t>7.2A</w:t>
      </w:r>
      <w:r w:rsidR="007937EC" w:rsidRPr="007937EC">
        <w:rPr>
          <w:i/>
          <w:iCs/>
        </w:rPr>
        <w:t xml:space="preserve">: 2025 DSM </w:t>
      </w:r>
      <w:r w:rsidR="000714B1">
        <w:rPr>
          <w:i/>
          <w:iCs/>
        </w:rPr>
        <w:t xml:space="preserve">Residential </w:t>
      </w:r>
      <w:r w:rsidR="007937EC" w:rsidRPr="007937EC">
        <w:rPr>
          <w:i/>
          <w:iCs/>
        </w:rPr>
        <w:t>Certification Requests</w:t>
      </w:r>
    </w:p>
    <w:p w14:paraId="5DBC94E2" w14:textId="60B9E55A" w:rsidR="009B16FE" w:rsidRPr="003B2021" w:rsidRDefault="00AC4955" w:rsidP="00CD30CB">
      <w:pPr>
        <w:jc w:val="both"/>
        <w:rPr>
          <w:rStyle w:val="Heading4Char"/>
          <w:i w:val="0"/>
        </w:rPr>
      </w:pPr>
      <w:r w:rsidRPr="00AC4955">
        <w:rPr>
          <w:rStyle w:val="Heading4Char"/>
          <w:rFonts w:eastAsiaTheme="minorHAnsi" w:cstheme="minorBidi"/>
          <w:i w:val="0"/>
          <w:iCs w:val="0"/>
          <w:noProof/>
          <w:color w:val="auto"/>
        </w:rPr>
        <w:drawing>
          <wp:inline distT="0" distB="0" distL="0" distR="0" wp14:anchorId="68EBC68F" wp14:editId="05E1788D">
            <wp:extent cx="5934020" cy="1709225"/>
            <wp:effectExtent l="0" t="0" r="0" b="5715"/>
            <wp:docPr id="5244600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98375" cy="1727762"/>
                    </a:xfrm>
                    <a:prstGeom prst="rect">
                      <a:avLst/>
                    </a:prstGeom>
                    <a:noFill/>
                    <a:ln>
                      <a:noFill/>
                    </a:ln>
                  </pic:spPr>
                </pic:pic>
              </a:graphicData>
            </a:graphic>
          </wp:inline>
        </w:drawing>
      </w:r>
    </w:p>
    <w:p w14:paraId="036F6396" w14:textId="1C6EDAB0" w:rsidR="00683531" w:rsidRDefault="001E2BC5" w:rsidP="00683531">
      <w:pPr>
        <w:jc w:val="both"/>
      </w:pPr>
      <w:r>
        <w:t>Program details</w:t>
      </w:r>
      <w:r w:rsidR="00683531">
        <w:t xml:space="preserve"> are included</w:t>
      </w:r>
      <w:r w:rsidR="00683531" w:rsidDel="00E76CEF">
        <w:t xml:space="preserve"> </w:t>
      </w:r>
      <w:r w:rsidR="00683531">
        <w:t>the</w:t>
      </w:r>
      <w:r w:rsidR="00E76CEF">
        <w:t xml:space="preserve"> Company’s</w:t>
      </w:r>
      <w:r w:rsidR="00683531">
        <w:t xml:space="preserve"> 2025 DSM Application, Docket No. 56003. Additional details regarding the waiver and decertification requests </w:t>
      </w:r>
      <w:r w:rsidR="00E76CEF">
        <w:t xml:space="preserve">for the programs </w:t>
      </w:r>
      <w:r w:rsidR="00683531">
        <w:t xml:space="preserve">are </w:t>
      </w:r>
      <w:r w:rsidR="00E76CEF">
        <w:t xml:space="preserve">provided </w:t>
      </w:r>
      <w:r w:rsidR="00683531">
        <w:t>below.</w:t>
      </w:r>
    </w:p>
    <w:p w14:paraId="1EE96A69" w14:textId="04FA9F9C" w:rsidR="00355B13" w:rsidRDefault="009A3ACE" w:rsidP="00357465">
      <w:pPr>
        <w:keepNext/>
        <w:jc w:val="both"/>
        <w:rPr>
          <w:rStyle w:val="Heading4Char"/>
        </w:rPr>
      </w:pPr>
      <w:r>
        <w:rPr>
          <w:rStyle w:val="Heading4Char"/>
        </w:rPr>
        <w:t xml:space="preserve">Residential </w:t>
      </w:r>
      <w:r w:rsidR="001F2D84">
        <w:rPr>
          <w:rStyle w:val="Heading4Char"/>
        </w:rPr>
        <w:t>P</w:t>
      </w:r>
      <w:r w:rsidR="00114DF3">
        <w:rPr>
          <w:rStyle w:val="Heading4Char"/>
        </w:rPr>
        <w:t xml:space="preserve">rograms </w:t>
      </w:r>
      <w:r w:rsidR="001F2D84">
        <w:rPr>
          <w:rStyle w:val="Heading4Char"/>
        </w:rPr>
        <w:t>R</w:t>
      </w:r>
      <w:r w:rsidR="00167F27">
        <w:rPr>
          <w:rStyle w:val="Heading4Char"/>
        </w:rPr>
        <w:t xml:space="preserve">equesting a </w:t>
      </w:r>
      <w:r w:rsidR="001F2D84">
        <w:rPr>
          <w:rStyle w:val="Heading4Char"/>
        </w:rPr>
        <w:t>W</w:t>
      </w:r>
      <w:r w:rsidR="00167F27">
        <w:rPr>
          <w:rStyle w:val="Heading4Char"/>
        </w:rPr>
        <w:t>aiver</w:t>
      </w:r>
    </w:p>
    <w:p w14:paraId="7CEFBFF2" w14:textId="6907DFB2" w:rsidR="003C5AA0" w:rsidRDefault="00FD6018" w:rsidP="00357465">
      <w:pPr>
        <w:keepNext/>
        <w:jc w:val="both"/>
      </w:pPr>
      <w:r w:rsidRPr="003B2021">
        <w:t xml:space="preserve">The Company </w:t>
      </w:r>
      <w:r w:rsidR="00E76CEF">
        <w:t>proposes</w:t>
      </w:r>
      <w:r w:rsidR="00920A01" w:rsidRPr="003B2021">
        <w:t xml:space="preserve"> continu</w:t>
      </w:r>
      <w:r w:rsidR="00E76CEF">
        <w:t>ing</w:t>
      </w:r>
      <w:r w:rsidR="00920A01" w:rsidRPr="003B2021">
        <w:t xml:space="preserve"> </w:t>
      </w:r>
      <w:r w:rsidR="001368FD" w:rsidRPr="003B2021">
        <w:t xml:space="preserve">the </w:t>
      </w:r>
      <w:r w:rsidR="003C5AA0" w:rsidRPr="003B2021">
        <w:t xml:space="preserve">Home Energy Improvement, </w:t>
      </w:r>
      <w:r w:rsidR="003E7238" w:rsidRPr="003B2021">
        <w:t>Energy Assistance for Savings and Efficiency</w:t>
      </w:r>
      <w:r w:rsidR="00EA3B33">
        <w:t>,</w:t>
      </w:r>
      <w:r w:rsidR="00931E20" w:rsidRPr="003B2021">
        <w:t xml:space="preserve"> and </w:t>
      </w:r>
      <w:r w:rsidR="004128D5" w:rsidRPr="003B2021">
        <w:t>HopeWorks programs</w:t>
      </w:r>
      <w:r w:rsidR="001141EF">
        <w:t>,</w:t>
      </w:r>
      <w:r w:rsidR="00AA7730">
        <w:t xml:space="preserve"> considering the value the</w:t>
      </w:r>
      <w:r w:rsidR="00B01020">
        <w:t>se programs</w:t>
      </w:r>
      <w:r w:rsidR="00AA7730">
        <w:t xml:space="preserve"> provide</w:t>
      </w:r>
      <w:r w:rsidR="00B01020">
        <w:t xml:space="preserve"> </w:t>
      </w:r>
      <w:r w:rsidR="003128EA" w:rsidRPr="003B2021">
        <w:t xml:space="preserve">to market-rate </w:t>
      </w:r>
      <w:r w:rsidR="008675AD" w:rsidRPr="003B2021">
        <w:t>and income-qua</w:t>
      </w:r>
      <w:r w:rsidR="005B7E1F" w:rsidRPr="003B2021">
        <w:t xml:space="preserve">lified </w:t>
      </w:r>
      <w:r w:rsidR="003128EA" w:rsidRPr="003B2021">
        <w:t xml:space="preserve">customers. </w:t>
      </w:r>
      <w:r w:rsidR="002E12CB">
        <w:t>While t</w:t>
      </w:r>
      <w:r w:rsidR="005B7E1F" w:rsidRPr="003B2021">
        <w:t xml:space="preserve">hese </w:t>
      </w:r>
      <w:r w:rsidR="002E11EB">
        <w:t xml:space="preserve">requested existing Residential </w:t>
      </w:r>
      <w:r w:rsidR="005B7E1F" w:rsidRPr="003B2021">
        <w:t>programs</w:t>
      </w:r>
      <w:r w:rsidR="002744EB" w:rsidRPr="003B2021">
        <w:t xml:space="preserve"> have</w:t>
      </w:r>
      <w:r w:rsidR="002304AD">
        <w:t xml:space="preserve"> demonstrated</w:t>
      </w:r>
      <w:r w:rsidR="002744EB" w:rsidRPr="003B2021">
        <w:t xml:space="preserve"> high customer satisfaction and </w:t>
      </w:r>
      <w:r w:rsidR="00E80B6F" w:rsidRPr="003B2021">
        <w:t>market potential</w:t>
      </w:r>
      <w:r w:rsidR="000B2DA0">
        <w:t xml:space="preserve">, due to the costs required to achieve </w:t>
      </w:r>
      <w:r w:rsidR="00BC009C">
        <w:t xml:space="preserve">the large </w:t>
      </w:r>
      <w:r w:rsidR="00507E76">
        <w:t>energy savings goal</w:t>
      </w:r>
      <w:r w:rsidR="00C604BA">
        <w:t xml:space="preserve"> resulting from the Vogtle Prudence Order, the</w:t>
      </w:r>
      <w:r w:rsidR="003128EA" w:rsidRPr="003B2021">
        <w:t xml:space="preserve"> program</w:t>
      </w:r>
      <w:r w:rsidR="00E80B6F" w:rsidRPr="003B2021">
        <w:t>s</w:t>
      </w:r>
      <w:r w:rsidR="003128EA" w:rsidRPr="003B2021">
        <w:t xml:space="preserve"> do not reflect positive TRC</w:t>
      </w:r>
      <w:r w:rsidR="00B0780E" w:rsidRPr="003B2021">
        <w:t xml:space="preserve"> results for the 2025 IRP cycle</w:t>
      </w:r>
      <w:r w:rsidR="00F92390" w:rsidRPr="003B2021">
        <w:t xml:space="preserve">. </w:t>
      </w:r>
      <w:r w:rsidR="003C5AA0">
        <w:t>Therefore, as discussed further in the 202</w:t>
      </w:r>
      <w:r w:rsidR="00F94115">
        <w:t>5</w:t>
      </w:r>
      <w:r w:rsidR="003C5AA0">
        <w:t xml:space="preserve"> DSM </w:t>
      </w:r>
      <w:r w:rsidR="003C5AA0">
        <w:lastRenderedPageBreak/>
        <w:t xml:space="preserve">Application, Georgia Power </w:t>
      </w:r>
      <w:r w:rsidR="00C96312">
        <w:t>requests</w:t>
      </w:r>
      <w:r w:rsidR="003C5AA0">
        <w:t xml:space="preserve"> a waiver of the TRC requirement within Commission Rule 515-3-4-.04(4)(a)</w:t>
      </w:r>
      <w:r w:rsidR="001368FD">
        <w:t>(</w:t>
      </w:r>
      <w:r w:rsidR="003C5AA0">
        <w:t>3</w:t>
      </w:r>
      <w:r w:rsidR="001368FD">
        <w:t>)</w:t>
      </w:r>
      <w:r w:rsidR="003C5AA0">
        <w:t xml:space="preserve"> </w:t>
      </w:r>
      <w:r w:rsidR="00EA4C9F">
        <w:t>to continue</w:t>
      </w:r>
      <w:r w:rsidR="003C5AA0">
        <w:t xml:space="preserve"> th</w:t>
      </w:r>
      <w:r w:rsidR="00F94115">
        <w:t>ese</w:t>
      </w:r>
      <w:r w:rsidR="003C5AA0">
        <w:t xml:space="preserve"> </w:t>
      </w:r>
      <w:r w:rsidR="001368FD">
        <w:t>DSM</w:t>
      </w:r>
      <w:r w:rsidR="003C5AA0">
        <w:t xml:space="preserve"> program</w:t>
      </w:r>
      <w:r w:rsidR="00F94115">
        <w:t>s</w:t>
      </w:r>
      <w:r w:rsidR="003C5AA0">
        <w:t>.</w:t>
      </w:r>
    </w:p>
    <w:p w14:paraId="5EE2D633" w14:textId="342DC59E" w:rsidR="77D493BE" w:rsidRDefault="77D493BE" w:rsidP="003A3842">
      <w:pPr>
        <w:keepNext/>
        <w:keepLines/>
        <w:jc w:val="both"/>
        <w:rPr>
          <w:rStyle w:val="Heading4Char"/>
        </w:rPr>
      </w:pPr>
      <w:r w:rsidRPr="5E4A96F9">
        <w:rPr>
          <w:rStyle w:val="Heading4Char"/>
        </w:rPr>
        <w:t xml:space="preserve">Residential </w:t>
      </w:r>
      <w:r w:rsidR="000714B1">
        <w:rPr>
          <w:rStyle w:val="Heading4Char"/>
        </w:rPr>
        <w:t>P</w:t>
      </w:r>
      <w:r w:rsidRPr="5E4A96F9">
        <w:rPr>
          <w:rStyle w:val="Heading4Char"/>
        </w:rPr>
        <w:t xml:space="preserve">rograms </w:t>
      </w:r>
      <w:r w:rsidR="000714B1">
        <w:rPr>
          <w:rStyle w:val="Heading4Char"/>
        </w:rPr>
        <w:t>R</w:t>
      </w:r>
      <w:r w:rsidRPr="5E4A96F9">
        <w:rPr>
          <w:rStyle w:val="Heading4Char"/>
        </w:rPr>
        <w:t xml:space="preserve">equesting </w:t>
      </w:r>
      <w:r w:rsidR="000714B1">
        <w:rPr>
          <w:rStyle w:val="Heading4Char"/>
        </w:rPr>
        <w:t>D</w:t>
      </w:r>
      <w:r w:rsidRPr="5E4A96F9">
        <w:rPr>
          <w:rStyle w:val="Heading4Char"/>
        </w:rPr>
        <w:t xml:space="preserve">ecertification </w:t>
      </w:r>
    </w:p>
    <w:p w14:paraId="457AB228" w14:textId="2C7D60A1" w:rsidR="00CD5A24" w:rsidRPr="003A3842" w:rsidRDefault="00DA3C42" w:rsidP="001E5E99">
      <w:pPr>
        <w:keepNext/>
        <w:keepLines/>
        <w:jc w:val="both"/>
        <w:rPr>
          <w:rStyle w:val="Heading4Char"/>
          <w:i w:val="0"/>
        </w:rPr>
      </w:pPr>
      <w:r w:rsidRPr="003A3842">
        <w:rPr>
          <w:rStyle w:val="Heading4Char"/>
          <w:i w:val="0"/>
        </w:rPr>
        <w:t>Refrigerator Recycling Plus</w:t>
      </w:r>
    </w:p>
    <w:p w14:paraId="2DEBBAD1" w14:textId="51E7B40B" w:rsidR="002464EB" w:rsidRDefault="002464EB" w:rsidP="001E5E99">
      <w:pPr>
        <w:keepNext/>
        <w:keepLines/>
        <w:jc w:val="both"/>
      </w:pPr>
      <w:r>
        <w:t xml:space="preserve">The Company requests decertification of the </w:t>
      </w:r>
      <w:r w:rsidR="00103590">
        <w:t xml:space="preserve">Refrigerator Recycling </w:t>
      </w:r>
      <w:r w:rsidR="66D259FA">
        <w:t>Plus</w:t>
      </w:r>
      <w:r w:rsidR="00103590">
        <w:t xml:space="preserve"> Program</w:t>
      </w:r>
      <w:r>
        <w:t>.</w:t>
      </w:r>
      <w:r w:rsidR="00103590">
        <w:t xml:space="preserve"> </w:t>
      </w:r>
      <w:r w:rsidR="00132956">
        <w:t>Appliance recycling is no</w:t>
      </w:r>
      <w:r w:rsidR="004D3691">
        <w:t xml:space="preserve"> longer</w:t>
      </w:r>
      <w:r w:rsidR="00132956">
        <w:t xml:space="preserve"> </w:t>
      </w:r>
      <w:r w:rsidR="000755FF">
        <w:t>cost</w:t>
      </w:r>
      <w:r w:rsidR="005C78B7">
        <w:t xml:space="preserve"> </w:t>
      </w:r>
      <w:r w:rsidR="000755FF">
        <w:t>effective</w:t>
      </w:r>
      <w:r w:rsidR="001E5E99">
        <w:t>,</w:t>
      </w:r>
      <w:r w:rsidR="000755FF">
        <w:t xml:space="preserve"> as </w:t>
      </w:r>
      <w:r w:rsidR="00140A4B">
        <w:t>appliances recycled</w:t>
      </w:r>
      <w:r w:rsidR="007B7221">
        <w:t xml:space="preserve"> in recent years</w:t>
      </w:r>
      <w:r w:rsidR="00140A4B">
        <w:t xml:space="preserve"> are of new</w:t>
      </w:r>
      <w:r w:rsidR="000459AC">
        <w:t>er</w:t>
      </w:r>
      <w:r w:rsidR="00140A4B">
        <w:t xml:space="preserve"> vintage</w:t>
      </w:r>
      <w:r w:rsidR="00C5313E">
        <w:t>,</w:t>
      </w:r>
      <w:r w:rsidR="00140A4B">
        <w:t xml:space="preserve"> resulting in lower energy savings</w:t>
      </w:r>
      <w:r w:rsidR="19C84EE5">
        <w:t>,</w:t>
      </w:r>
      <w:r w:rsidR="00140A4B">
        <w:t xml:space="preserve"> </w:t>
      </w:r>
      <w:r w:rsidR="00205B42">
        <w:t xml:space="preserve">while </w:t>
      </w:r>
      <w:r w:rsidR="00140A4B">
        <w:t>the cost</w:t>
      </w:r>
      <w:r w:rsidR="00205B42">
        <w:t xml:space="preserve"> of recycling</w:t>
      </w:r>
      <w:r w:rsidR="00BE5F1C">
        <w:t xml:space="preserve"> ha</w:t>
      </w:r>
      <w:r w:rsidR="0091055B">
        <w:t>s</w:t>
      </w:r>
      <w:r w:rsidR="00BE5F1C">
        <w:t xml:space="preserve"> </w:t>
      </w:r>
      <w:r w:rsidR="00BCD042">
        <w:t xml:space="preserve">either </w:t>
      </w:r>
      <w:r w:rsidR="00BE5F1C">
        <w:t>remained the same or increased</w:t>
      </w:r>
      <w:r w:rsidR="00172833">
        <w:t>.</w:t>
      </w:r>
      <w:r w:rsidR="00936080">
        <w:t xml:space="preserve"> Additionally</w:t>
      </w:r>
      <w:r w:rsidR="121BC7FF">
        <w:t>,</w:t>
      </w:r>
      <w:r w:rsidR="00936080">
        <w:t xml:space="preserve"> </w:t>
      </w:r>
      <w:r w:rsidR="00B5394A">
        <w:t xml:space="preserve">there are limited </w:t>
      </w:r>
      <w:r w:rsidR="00E909FB">
        <w:t xml:space="preserve">appliance recycling vendors </w:t>
      </w:r>
      <w:r w:rsidR="009D2A2D">
        <w:t>in busines</w:t>
      </w:r>
      <w:r w:rsidR="003432A3">
        <w:t>s</w:t>
      </w:r>
      <w:r w:rsidR="000158D8">
        <w:t>,</w:t>
      </w:r>
      <w:r w:rsidR="003432A3">
        <w:t xml:space="preserve"> </w:t>
      </w:r>
      <w:r w:rsidR="00B95CE5">
        <w:t xml:space="preserve">making it difficult </w:t>
      </w:r>
      <w:r w:rsidR="70E28A40">
        <w:t>to</w:t>
      </w:r>
      <w:r w:rsidR="00B95CE5">
        <w:t xml:space="preserve"> </w:t>
      </w:r>
      <w:r w:rsidR="009D7BD8">
        <w:t xml:space="preserve">implement a </w:t>
      </w:r>
      <w:r w:rsidR="000158D8">
        <w:t xml:space="preserve">recycling </w:t>
      </w:r>
      <w:r w:rsidR="009D7BD8">
        <w:t xml:space="preserve">program. </w:t>
      </w:r>
    </w:p>
    <w:p w14:paraId="006EDFC6" w14:textId="1949237D" w:rsidR="00DA3C42" w:rsidRPr="003A3842" w:rsidRDefault="00DA3C42" w:rsidP="001E5E99">
      <w:pPr>
        <w:keepNext/>
        <w:keepLines/>
        <w:jc w:val="both"/>
        <w:rPr>
          <w:rStyle w:val="Heading4Char"/>
          <w:i w:val="0"/>
        </w:rPr>
      </w:pPr>
      <w:r w:rsidRPr="003A3842">
        <w:rPr>
          <w:rStyle w:val="Heading4Char"/>
          <w:i w:val="0"/>
        </w:rPr>
        <w:t>Specialty Lighting</w:t>
      </w:r>
    </w:p>
    <w:p w14:paraId="1E6F121C" w14:textId="2525B9EE" w:rsidR="00DA3C42" w:rsidRPr="000714B1" w:rsidRDefault="00DA3C42" w:rsidP="001E5E99">
      <w:pPr>
        <w:tabs>
          <w:tab w:val="left" w:pos="0"/>
        </w:tabs>
        <w:jc w:val="both"/>
      </w:pPr>
      <w:r w:rsidRPr="000714B1">
        <w:t xml:space="preserve">The Company requests decertification of the </w:t>
      </w:r>
      <w:r w:rsidR="008A3568" w:rsidRPr="000714B1">
        <w:t xml:space="preserve">Specialty Lighting </w:t>
      </w:r>
      <w:r w:rsidR="00195B2C" w:rsidRPr="000714B1">
        <w:t>P</w:t>
      </w:r>
      <w:r w:rsidR="008A3568" w:rsidRPr="000714B1">
        <w:t>rogram</w:t>
      </w:r>
      <w:r w:rsidR="00A405AC" w:rsidRPr="000714B1">
        <w:t xml:space="preserve">. </w:t>
      </w:r>
      <w:r w:rsidR="00A405AC">
        <w:t xml:space="preserve">Market transformation and federal regulations have made </w:t>
      </w:r>
      <w:r w:rsidR="0008067C">
        <w:t>energy-efficient</w:t>
      </w:r>
      <w:r w:rsidR="00A405AC">
        <w:t xml:space="preserve"> lighting measures readily available to all consumers. Therefore, incentivizing lighting measures through programs </w:t>
      </w:r>
      <w:r w:rsidR="00665C86">
        <w:t xml:space="preserve">is </w:t>
      </w:r>
      <w:r w:rsidR="00A405AC">
        <w:t>no</w:t>
      </w:r>
      <w:r w:rsidR="00195B2C">
        <w:t xml:space="preserve"> longer</w:t>
      </w:r>
      <w:r w:rsidR="00A405AC">
        <w:t xml:space="preserve"> cost</w:t>
      </w:r>
      <w:r w:rsidR="00665C86">
        <w:t xml:space="preserve"> </w:t>
      </w:r>
      <w:r w:rsidR="00A405AC">
        <w:t>effective due to diminishing energy savings.</w:t>
      </w:r>
    </w:p>
    <w:p w14:paraId="476AC050" w14:textId="00F8C26C" w:rsidR="002464EB" w:rsidRDefault="00940424" w:rsidP="004D27A7">
      <w:pPr>
        <w:pStyle w:val="Heading3"/>
        <w:spacing w:before="120" w:after="120"/>
      </w:pPr>
      <w:r>
        <w:t xml:space="preserve">7.2.2 – </w:t>
      </w:r>
      <w:r w:rsidR="008B41A2">
        <w:t>Increased Income-Qualified Initiatives</w:t>
      </w:r>
    </w:p>
    <w:p w14:paraId="6560957A" w14:textId="15EF81BB" w:rsidR="002464EB" w:rsidRDefault="002464EB" w:rsidP="00CD30CB">
      <w:pPr>
        <w:jc w:val="both"/>
      </w:pPr>
      <w:r>
        <w:t>The Company’s Proposed Case expands DSM offerings</w:t>
      </w:r>
      <w:r w:rsidR="003E7D42">
        <w:t xml:space="preserve"> to income-qualified customers</w:t>
      </w:r>
      <w:r w:rsidR="00757B8C">
        <w:t xml:space="preserve"> </w:t>
      </w:r>
      <w:r w:rsidR="0037061C" w:rsidRPr="001F7BAB">
        <w:t xml:space="preserve">with additional program measures and </w:t>
      </w:r>
      <w:r w:rsidR="0069487C" w:rsidRPr="001F7BAB">
        <w:t>increased energy savings goal</w:t>
      </w:r>
      <w:r w:rsidR="003E7D42">
        <w:t>.</w:t>
      </w:r>
      <w:r>
        <w:t xml:space="preserve"> The Company seeks </w:t>
      </w:r>
      <w:r w:rsidR="00E53145">
        <w:t>re</w:t>
      </w:r>
      <w:r>
        <w:t xml:space="preserve">certification for </w:t>
      </w:r>
      <w:r w:rsidR="00E53145">
        <w:t>Energy Assistance</w:t>
      </w:r>
      <w:r w:rsidR="003858DA">
        <w:t xml:space="preserve"> for Savings and Efficiency</w:t>
      </w:r>
      <w:r w:rsidR="00AF3C85">
        <w:t xml:space="preserve"> (</w:t>
      </w:r>
      <w:r w:rsidR="00793C88">
        <w:t>“</w:t>
      </w:r>
      <w:r w:rsidR="00AF3C85">
        <w:t>EASE</w:t>
      </w:r>
      <w:r w:rsidR="00793C88">
        <w:t>”</w:t>
      </w:r>
      <w:r w:rsidR="00AF3C85">
        <w:t>) and HopeWorks</w:t>
      </w:r>
      <w:r w:rsidR="000073C4">
        <w:t>,</w:t>
      </w:r>
      <w:r w:rsidR="00AF3C85">
        <w:t xml:space="preserve"> and </w:t>
      </w:r>
      <w:r w:rsidR="00756CBB">
        <w:t xml:space="preserve">expands </w:t>
      </w:r>
      <w:r w:rsidR="001223FB">
        <w:t>inco</w:t>
      </w:r>
      <w:r w:rsidR="0066761F">
        <w:t>m</w:t>
      </w:r>
      <w:r w:rsidR="001223FB">
        <w:t xml:space="preserve">e qualification </w:t>
      </w:r>
      <w:r w:rsidR="00BD1A06">
        <w:t>criteria</w:t>
      </w:r>
      <w:r w:rsidR="00CA6822">
        <w:t xml:space="preserve"> </w:t>
      </w:r>
      <w:r w:rsidR="0066761F">
        <w:t xml:space="preserve">for </w:t>
      </w:r>
      <w:r w:rsidR="00235B82">
        <w:t>EASE</w:t>
      </w:r>
      <w:r w:rsidR="005F5EBE">
        <w:t xml:space="preserve"> to include moderate-income customers</w:t>
      </w:r>
      <w:r>
        <w:t xml:space="preserve">, </w:t>
      </w:r>
      <w:r w:rsidR="00D35AF1">
        <w:t>which helps</w:t>
      </w:r>
      <w:r>
        <w:t xml:space="preserve"> increase program participation for customers who can benefit the most from program energy savings.</w:t>
      </w:r>
    </w:p>
    <w:p w14:paraId="4553500C" w14:textId="7BADCC85" w:rsidR="002464EB" w:rsidRDefault="00940424" w:rsidP="004D27A7">
      <w:pPr>
        <w:pStyle w:val="Heading3"/>
        <w:spacing w:before="120" w:after="120"/>
      </w:pPr>
      <w:r>
        <w:t xml:space="preserve">7.2.3 – </w:t>
      </w:r>
      <w:r w:rsidR="002464EB">
        <w:t>Commercial DSM Programs</w:t>
      </w:r>
    </w:p>
    <w:p w14:paraId="2832B753" w14:textId="2271641D" w:rsidR="002464EB" w:rsidRDefault="002464EB" w:rsidP="00CD30CB">
      <w:pPr>
        <w:jc w:val="both"/>
      </w:pPr>
      <w:r>
        <w:t>In its 202</w:t>
      </w:r>
      <w:r w:rsidR="003811DF">
        <w:t>5</w:t>
      </w:r>
      <w:r>
        <w:t xml:space="preserve"> DSM Application, the Company requests the following actions or adjustments for </w:t>
      </w:r>
      <w:r w:rsidR="00CA6822">
        <w:t>each of the</w:t>
      </w:r>
      <w:r>
        <w:t xml:space="preserve"> commercial DSM programs</w:t>
      </w:r>
      <w:r w:rsidR="00EC4F71">
        <w:t xml:space="preserve"> in the Company’s Proposed Case</w:t>
      </w:r>
      <w:r>
        <w:t>:</w:t>
      </w:r>
    </w:p>
    <w:p w14:paraId="502E868F" w14:textId="1CD6B865" w:rsidR="000714B1" w:rsidRPr="000714B1" w:rsidRDefault="00D3611E" w:rsidP="000714B1">
      <w:pPr>
        <w:jc w:val="center"/>
        <w:rPr>
          <w:i/>
          <w:iCs/>
        </w:rPr>
      </w:pPr>
      <w:r>
        <w:rPr>
          <w:i/>
          <w:iCs/>
        </w:rPr>
        <w:t>Table</w:t>
      </w:r>
      <w:r w:rsidR="000714B1" w:rsidRPr="000714B1">
        <w:rPr>
          <w:i/>
          <w:iCs/>
        </w:rPr>
        <w:t xml:space="preserve"> </w:t>
      </w:r>
      <w:r w:rsidR="005D3711">
        <w:rPr>
          <w:i/>
          <w:iCs/>
        </w:rPr>
        <w:t>7.2B</w:t>
      </w:r>
      <w:r w:rsidR="000714B1" w:rsidRPr="000714B1">
        <w:rPr>
          <w:i/>
          <w:iCs/>
        </w:rPr>
        <w:t>: 2025 DSM Commercial Certification Requests</w:t>
      </w:r>
    </w:p>
    <w:p w14:paraId="3AE23D65" w14:textId="503F5C82" w:rsidR="002A6834" w:rsidRDefault="004E01A2" w:rsidP="00CD30CB">
      <w:pPr>
        <w:jc w:val="both"/>
      </w:pPr>
      <w:r>
        <w:rPr>
          <w:noProof/>
        </w:rPr>
        <w:drawing>
          <wp:inline distT="0" distB="0" distL="0" distR="0" wp14:anchorId="7040FC1C" wp14:editId="40E1D5B4">
            <wp:extent cx="5943600" cy="979805"/>
            <wp:effectExtent l="0" t="0" r="0" b="0"/>
            <wp:docPr id="192421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53">
                      <a:extLst>
                        <a:ext uri="{28A0092B-C50C-407E-A947-70E740481C1C}">
                          <a14:useLocalDpi xmlns:a14="http://schemas.microsoft.com/office/drawing/2010/main" val="0"/>
                        </a:ext>
                      </a:extLst>
                    </a:blip>
                    <a:stretch>
                      <a:fillRect/>
                    </a:stretch>
                  </pic:blipFill>
                  <pic:spPr>
                    <a:xfrm>
                      <a:off x="0" y="0"/>
                      <a:ext cx="5943600" cy="979805"/>
                    </a:xfrm>
                    <a:prstGeom prst="rect">
                      <a:avLst/>
                    </a:prstGeom>
                  </pic:spPr>
                </pic:pic>
              </a:graphicData>
            </a:graphic>
          </wp:inline>
        </w:drawing>
      </w:r>
    </w:p>
    <w:p w14:paraId="786F79DE" w14:textId="0F2A994F" w:rsidR="002464EB" w:rsidRDefault="000C757E" w:rsidP="00CD30CB">
      <w:pPr>
        <w:jc w:val="both"/>
      </w:pPr>
      <w:r>
        <w:t xml:space="preserve">Program </w:t>
      </w:r>
      <w:r w:rsidR="002464EB">
        <w:t>details are included in the 202</w:t>
      </w:r>
      <w:r w:rsidR="00923352">
        <w:t>5</w:t>
      </w:r>
      <w:r w:rsidR="002464EB">
        <w:t xml:space="preserve"> DSM Application</w:t>
      </w:r>
      <w:r w:rsidR="00002683">
        <w:t>,</w:t>
      </w:r>
      <w:r w:rsidR="002464EB">
        <w:t xml:space="preserve"> Docket No. </w:t>
      </w:r>
      <w:r w:rsidR="001E50E2">
        <w:t>56003</w:t>
      </w:r>
      <w:r w:rsidR="002464EB">
        <w:t>.</w:t>
      </w:r>
      <w:r w:rsidR="002D2FDA">
        <w:t xml:space="preserve"> </w:t>
      </w:r>
      <w:r w:rsidR="007F13DF">
        <w:t>D</w:t>
      </w:r>
      <w:r w:rsidR="002D2FDA">
        <w:t xml:space="preserve">etails regarding </w:t>
      </w:r>
      <w:r w:rsidR="007F13DF">
        <w:t>program</w:t>
      </w:r>
      <w:r w:rsidR="002D2FDA">
        <w:t xml:space="preserve"> waiver and decertification requests are </w:t>
      </w:r>
      <w:r w:rsidR="00002683">
        <w:t xml:space="preserve">provided </w:t>
      </w:r>
      <w:r w:rsidR="002D2FDA">
        <w:t>below.</w:t>
      </w:r>
    </w:p>
    <w:p w14:paraId="670E3909" w14:textId="7A6CBB96" w:rsidR="00550272" w:rsidRDefault="00550272" w:rsidP="00550272">
      <w:pPr>
        <w:jc w:val="both"/>
        <w:rPr>
          <w:rStyle w:val="Heading4Char"/>
        </w:rPr>
      </w:pPr>
      <w:r>
        <w:rPr>
          <w:rStyle w:val="Heading4Char"/>
        </w:rPr>
        <w:t>Commercial Program Requesting a Waiver</w:t>
      </w:r>
    </w:p>
    <w:p w14:paraId="22165853" w14:textId="2F4090FF" w:rsidR="7DF46447" w:rsidRDefault="7DF46447" w:rsidP="00E04BDB">
      <w:pPr>
        <w:jc w:val="both"/>
        <w:rPr>
          <w:rStyle w:val="Heading4Char"/>
        </w:rPr>
      </w:pPr>
      <w:r w:rsidRPr="37EA2DBA">
        <w:rPr>
          <w:rStyle w:val="Heading4Char"/>
        </w:rPr>
        <w:t>Custom</w:t>
      </w:r>
    </w:p>
    <w:p w14:paraId="51577FFF" w14:textId="5ACC9F6D" w:rsidR="00550272" w:rsidRDefault="007510B3" w:rsidP="00BD4446">
      <w:pPr>
        <w:jc w:val="both"/>
        <w:rPr>
          <w:rStyle w:val="Heading4Char"/>
        </w:rPr>
      </w:pPr>
      <w:r w:rsidRPr="00AF4802">
        <w:rPr>
          <w:rFonts w:eastAsiaTheme="majorEastAsia" w:cstheme="majorBidi"/>
        </w:rPr>
        <w:t xml:space="preserve">The Company </w:t>
      </w:r>
      <w:r w:rsidR="000A0FDD">
        <w:rPr>
          <w:rFonts w:eastAsiaTheme="majorEastAsia" w:cstheme="majorBidi"/>
        </w:rPr>
        <w:t>requests</w:t>
      </w:r>
      <w:r w:rsidRPr="00AF4802">
        <w:rPr>
          <w:rFonts w:eastAsiaTheme="majorEastAsia" w:cstheme="majorBidi"/>
        </w:rPr>
        <w:t xml:space="preserve"> to continue th</w:t>
      </w:r>
      <w:r w:rsidR="00604D68" w:rsidRPr="00AF4802">
        <w:rPr>
          <w:rFonts w:eastAsiaTheme="majorEastAsia" w:cstheme="majorBidi"/>
        </w:rPr>
        <w:t xml:space="preserve">e Commercial Custom </w:t>
      </w:r>
      <w:r w:rsidRPr="00AF4802">
        <w:rPr>
          <w:rFonts w:eastAsiaTheme="majorEastAsia" w:cstheme="majorBidi"/>
        </w:rPr>
        <w:t xml:space="preserve">program </w:t>
      </w:r>
      <w:r w:rsidR="00532ECC" w:rsidRPr="00AF4802">
        <w:rPr>
          <w:rFonts w:eastAsiaTheme="majorEastAsia" w:cstheme="majorBidi"/>
        </w:rPr>
        <w:t>due to its high customer satisfaction and market potential for energy savings</w:t>
      </w:r>
      <w:r w:rsidRPr="00AF4802">
        <w:rPr>
          <w:rFonts w:eastAsiaTheme="majorEastAsia" w:cstheme="majorBidi"/>
          <w:i/>
        </w:rPr>
        <w:t xml:space="preserve">. </w:t>
      </w:r>
      <w:r w:rsidR="00EB68D6" w:rsidRPr="003B2021">
        <w:t>The program do</w:t>
      </w:r>
      <w:r w:rsidR="00E834FA">
        <w:t>es</w:t>
      </w:r>
      <w:r w:rsidR="00EB68D6" w:rsidRPr="003B2021">
        <w:t xml:space="preserve"> not reflect positive TRC </w:t>
      </w:r>
      <w:r w:rsidR="00EB68D6" w:rsidRPr="003B2021">
        <w:lastRenderedPageBreak/>
        <w:t xml:space="preserve">results for the 2025 IRP cycle due to </w:t>
      </w:r>
      <w:r w:rsidR="00823457">
        <w:t>the costs</w:t>
      </w:r>
      <w:r w:rsidR="00EB68D6" w:rsidRPr="003B2021">
        <w:t xml:space="preserve"> needed to achieve the large energy savings goal </w:t>
      </w:r>
      <w:r w:rsidR="0034395E">
        <w:t>in</w:t>
      </w:r>
      <w:r w:rsidR="00EB68D6" w:rsidRPr="003B2021">
        <w:t xml:space="preserve"> the Vogtle </w:t>
      </w:r>
      <w:r w:rsidR="00A2146A">
        <w:t>Prudence Order</w:t>
      </w:r>
      <w:r w:rsidR="00EB68D6" w:rsidRPr="003B2021">
        <w:t xml:space="preserve">. </w:t>
      </w:r>
      <w:r w:rsidR="00EB68D6">
        <w:t xml:space="preserve">Therefore, as discussed in the 2025 DSM Application, Docket No. </w:t>
      </w:r>
      <w:r w:rsidR="00EB68D6" w:rsidRPr="00E82EB4">
        <w:t>56003</w:t>
      </w:r>
      <w:r w:rsidR="00EB68D6">
        <w:t xml:space="preserve">, Georgia Power </w:t>
      </w:r>
      <w:r w:rsidR="00C85D50">
        <w:t>requests</w:t>
      </w:r>
      <w:r w:rsidR="00EB68D6">
        <w:t xml:space="preserve"> a waiver of the TRC requirement within Commission Rule 515-3-4-.04(4)(a)(3) </w:t>
      </w:r>
      <w:r w:rsidR="006F3DB7">
        <w:t>to continue</w:t>
      </w:r>
      <w:r w:rsidR="00EB68D6">
        <w:t xml:space="preserve"> th</w:t>
      </w:r>
      <w:r w:rsidR="00B462CB">
        <w:t>is</w:t>
      </w:r>
      <w:r w:rsidR="00C072AD">
        <w:t xml:space="preserve"> </w:t>
      </w:r>
      <w:r w:rsidR="00EB68D6">
        <w:t>program.</w:t>
      </w:r>
    </w:p>
    <w:p w14:paraId="001D8F52" w14:textId="760C4F9F" w:rsidR="00BD4446" w:rsidRDefault="00BD4446" w:rsidP="00BD4446">
      <w:pPr>
        <w:jc w:val="both"/>
        <w:rPr>
          <w:rStyle w:val="Heading4Char"/>
        </w:rPr>
      </w:pPr>
      <w:r>
        <w:rPr>
          <w:rStyle w:val="Heading4Char"/>
        </w:rPr>
        <w:t>Commercial</w:t>
      </w:r>
      <w:r w:rsidRPr="5E4A96F9">
        <w:rPr>
          <w:rStyle w:val="Heading4Char"/>
        </w:rPr>
        <w:t xml:space="preserve"> </w:t>
      </w:r>
      <w:r>
        <w:rPr>
          <w:rStyle w:val="Heading4Char"/>
        </w:rPr>
        <w:t>P</w:t>
      </w:r>
      <w:r w:rsidRPr="5E4A96F9">
        <w:rPr>
          <w:rStyle w:val="Heading4Char"/>
        </w:rPr>
        <w:t xml:space="preserve">rogram </w:t>
      </w:r>
      <w:r>
        <w:rPr>
          <w:rStyle w:val="Heading4Char"/>
        </w:rPr>
        <w:t>R</w:t>
      </w:r>
      <w:r w:rsidRPr="5E4A96F9">
        <w:rPr>
          <w:rStyle w:val="Heading4Char"/>
        </w:rPr>
        <w:t xml:space="preserve">equesting </w:t>
      </w:r>
      <w:r>
        <w:rPr>
          <w:rStyle w:val="Heading4Char"/>
        </w:rPr>
        <w:t>D</w:t>
      </w:r>
      <w:r w:rsidRPr="5E4A96F9">
        <w:rPr>
          <w:rStyle w:val="Heading4Char"/>
        </w:rPr>
        <w:t xml:space="preserve">ecertification </w:t>
      </w:r>
    </w:p>
    <w:p w14:paraId="069E6E75" w14:textId="08A93E82" w:rsidR="00F977CD" w:rsidRDefault="003811DF" w:rsidP="00CD30CB">
      <w:pPr>
        <w:jc w:val="both"/>
        <w:rPr>
          <w:rStyle w:val="Heading4Char"/>
        </w:rPr>
      </w:pPr>
      <w:r>
        <w:rPr>
          <w:rStyle w:val="Heading4Char"/>
        </w:rPr>
        <w:t>Behavioral</w:t>
      </w:r>
    </w:p>
    <w:p w14:paraId="2D7A6C49" w14:textId="4BAE2C78" w:rsidR="0068544F" w:rsidRDefault="0068544F" w:rsidP="0068544F">
      <w:pPr>
        <w:jc w:val="both"/>
      </w:pPr>
      <w:r>
        <w:t xml:space="preserve">The Company requests decertification of the Commercial Behavioral program </w:t>
      </w:r>
      <w:r w:rsidR="006F3DB7">
        <w:t xml:space="preserve">because </w:t>
      </w:r>
      <w:r>
        <w:t>the third</w:t>
      </w:r>
      <w:r w:rsidR="0069D9C5">
        <w:t>-party</w:t>
      </w:r>
      <w:r>
        <w:t xml:space="preserve"> evaluation found the program </w:t>
      </w:r>
      <w:r w:rsidR="00196F6E">
        <w:t xml:space="preserve">was </w:t>
      </w:r>
      <w:r>
        <w:t>not cost</w:t>
      </w:r>
      <w:r w:rsidR="00196F6E">
        <w:t xml:space="preserve"> </w:t>
      </w:r>
      <w:r>
        <w:t xml:space="preserve">effective. Per the 2022 IRP </w:t>
      </w:r>
      <w:r w:rsidR="001726FE">
        <w:t xml:space="preserve">Order </w:t>
      </w:r>
      <w:r w:rsidR="000E393E">
        <w:t xml:space="preserve">based on </w:t>
      </w:r>
      <w:r w:rsidR="005C7823">
        <w:t>program evaluation findings</w:t>
      </w:r>
      <w:r>
        <w:t xml:space="preserve">, the Company </w:t>
      </w:r>
      <w:r w:rsidR="004A7932">
        <w:t>suspended implementation</w:t>
      </w:r>
      <w:r w:rsidR="00F6406A">
        <w:t xml:space="preserve"> of</w:t>
      </w:r>
      <w:r w:rsidR="004A7932">
        <w:t xml:space="preserve"> </w:t>
      </w:r>
      <w:r>
        <w:t xml:space="preserve">the program </w:t>
      </w:r>
      <w:r w:rsidR="5675876E">
        <w:t xml:space="preserve">in 2025 </w:t>
      </w:r>
      <w:r>
        <w:t>pending decertification</w:t>
      </w:r>
      <w:r w:rsidR="00CC00AD">
        <w:t>.</w:t>
      </w:r>
    </w:p>
    <w:p w14:paraId="7C792BBB" w14:textId="454BD664" w:rsidR="002464EB" w:rsidRDefault="00940424" w:rsidP="00F977CD">
      <w:pPr>
        <w:pStyle w:val="Heading3"/>
      </w:pPr>
      <w:r>
        <w:t xml:space="preserve">7.2.4 – </w:t>
      </w:r>
      <w:r w:rsidR="002464EB">
        <w:t>Learning Power Education Initiative</w:t>
      </w:r>
    </w:p>
    <w:p w14:paraId="4F8FA5A9" w14:textId="07BB9315" w:rsidR="002464EB" w:rsidRDefault="002464EB" w:rsidP="00CD30CB">
      <w:pPr>
        <w:jc w:val="both"/>
      </w:pPr>
      <w:r>
        <w:t xml:space="preserve">Since 2011, the Company has </w:t>
      </w:r>
      <w:r w:rsidR="00314DA7">
        <w:t>delivered</w:t>
      </w:r>
      <w:r>
        <w:t xml:space="preserve"> the Learning Power Education Initiative curriculum throughout the state of Georgia. The curriculum promotes a</w:t>
      </w:r>
      <w:r w:rsidR="00AB17D1">
        <w:t xml:space="preserve"> grassroots</w:t>
      </w:r>
      <w:r>
        <w:t xml:space="preserve"> understanding of energy and energy efficiency</w:t>
      </w:r>
      <w:r w:rsidR="006D1518">
        <w:t xml:space="preserve">, </w:t>
      </w:r>
      <w:r w:rsidR="004F3A67">
        <w:t>with lessons</w:t>
      </w:r>
      <w:r>
        <w:t xml:space="preserve"> for grades pre-K</w:t>
      </w:r>
      <w:r w:rsidR="00A80CB5">
        <w:t xml:space="preserve"> through </w:t>
      </w:r>
      <w:r>
        <w:t xml:space="preserve">12. The </w:t>
      </w:r>
      <w:r w:rsidR="00A80CB5">
        <w:t>program</w:t>
      </w:r>
      <w:r>
        <w:t xml:space="preserve"> is highly interactive and hands-on, with lessons </w:t>
      </w:r>
      <w:r w:rsidR="0016231D">
        <w:t xml:space="preserve">taught </w:t>
      </w:r>
      <w:r>
        <w:t xml:space="preserve">by skilled Georgia Power Education Coordinators. Education Coordinators are </w:t>
      </w:r>
      <w:r w:rsidR="00F512E7">
        <w:t>assigned</w:t>
      </w:r>
      <w:r>
        <w:t xml:space="preserve"> a geographic region of the state, with an equitable distribution of students and schools. </w:t>
      </w:r>
    </w:p>
    <w:p w14:paraId="3BE0C81E" w14:textId="5E7160DC" w:rsidR="00590642" w:rsidRDefault="002464EB" w:rsidP="00CD30CB">
      <w:pPr>
        <w:jc w:val="both"/>
      </w:pPr>
      <w:r>
        <w:t xml:space="preserve">Since </w:t>
      </w:r>
      <w:r w:rsidR="00953F28">
        <w:t>program inception</w:t>
      </w:r>
      <w:r>
        <w:t xml:space="preserve">, the Company has delivered </w:t>
      </w:r>
      <w:r w:rsidR="00716872" w:rsidRPr="003A49B0">
        <w:t>42,124</w:t>
      </w:r>
      <w:r w:rsidR="0057182C">
        <w:t xml:space="preserve"> </w:t>
      </w:r>
      <w:r>
        <w:t xml:space="preserve">programs to </w:t>
      </w:r>
      <w:r w:rsidR="00840F1A">
        <w:t>1,</w:t>
      </w:r>
      <w:r w:rsidR="00E529D5" w:rsidRPr="003A49B0">
        <w:t xml:space="preserve">302,374 </w:t>
      </w:r>
      <w:r>
        <w:t xml:space="preserve">students through </w:t>
      </w:r>
      <w:r w:rsidR="00E529D5">
        <w:t xml:space="preserve">December </w:t>
      </w:r>
      <w:r w:rsidR="00993EA9">
        <w:t>31, 2024</w:t>
      </w:r>
      <w:r>
        <w:t xml:space="preserve">. </w:t>
      </w:r>
    </w:p>
    <w:p w14:paraId="4297B155" w14:textId="51D520E3" w:rsidR="002464EB" w:rsidRDefault="00590642" w:rsidP="00CD30CB">
      <w:pPr>
        <w:jc w:val="both"/>
      </w:pPr>
      <w:r>
        <w:t>In</w:t>
      </w:r>
      <w:r w:rsidR="002464EB">
        <w:t xml:space="preserve"> the Fall of 2020, virtual-live, student self-paced, and pre-recorded lessons were added to the Learning Power portfolio to meet </w:t>
      </w:r>
      <w:r w:rsidR="00421455">
        <w:t xml:space="preserve">the needs of </w:t>
      </w:r>
      <w:r w:rsidR="002464EB">
        <w:t xml:space="preserve">schools and educators. Virtual platforms were used to deliver </w:t>
      </w:r>
      <w:r w:rsidR="003129B0">
        <w:t>4,</w:t>
      </w:r>
      <w:r w:rsidR="00084326" w:rsidRPr="003A49B0">
        <w:t xml:space="preserve">034 </w:t>
      </w:r>
      <w:r w:rsidR="002464EB">
        <w:t>lessons</w:t>
      </w:r>
      <w:r w:rsidR="003630E5">
        <w:t>,</w:t>
      </w:r>
      <w:r w:rsidR="002464EB">
        <w:t xml:space="preserve"> reaching </w:t>
      </w:r>
      <w:r w:rsidR="00955BCA">
        <w:t>136,</w:t>
      </w:r>
      <w:r w:rsidR="00054AC7">
        <w:t>720</w:t>
      </w:r>
      <w:r w:rsidR="002464EB">
        <w:t xml:space="preserve"> students.</w:t>
      </w:r>
    </w:p>
    <w:p w14:paraId="6F1216AA" w14:textId="2FEF4740" w:rsidR="004A7A3C" w:rsidRDefault="003630E5" w:rsidP="004A7A3C">
      <w:pPr>
        <w:jc w:val="both"/>
      </w:pPr>
      <w:r>
        <w:t>F</w:t>
      </w:r>
      <w:r w:rsidR="004A7A3C">
        <w:t xml:space="preserve">rom January 1, 2022, through </w:t>
      </w:r>
      <w:r w:rsidR="00C341FD">
        <w:t>December</w:t>
      </w:r>
      <w:r w:rsidR="004A7A3C">
        <w:t xml:space="preserve"> 31, 2024, the</w:t>
      </w:r>
      <w:r w:rsidR="007A2BEB">
        <w:t xml:space="preserve"> Learning Power</w:t>
      </w:r>
      <w:r w:rsidR="004A7A3C">
        <w:t xml:space="preserve"> </w:t>
      </w:r>
      <w:r w:rsidR="007A2BEB">
        <w:t>I</w:t>
      </w:r>
      <w:r w:rsidR="004A7A3C">
        <w:t xml:space="preserve">nitiative has delivered </w:t>
      </w:r>
      <w:r w:rsidR="00B10C7E" w:rsidRPr="003A49B0">
        <w:t xml:space="preserve">8,444 </w:t>
      </w:r>
      <w:r w:rsidR="004A7A3C">
        <w:t xml:space="preserve">programs to </w:t>
      </w:r>
      <w:r w:rsidR="006453D8" w:rsidRPr="003A49B0">
        <w:t xml:space="preserve">386,782 </w:t>
      </w:r>
      <w:r w:rsidR="004A7A3C">
        <w:t xml:space="preserve">students. </w:t>
      </w:r>
      <w:r w:rsidR="00C86BEC">
        <w:t>A</w:t>
      </w:r>
      <w:r w:rsidR="004A7A3C">
        <w:t>pproximately 1,</w:t>
      </w:r>
      <w:r w:rsidR="006C57F5" w:rsidRPr="004C0721">
        <w:t xml:space="preserve">418 </w:t>
      </w:r>
      <w:r w:rsidR="004A7A3C">
        <w:t xml:space="preserve">teachers responded to </w:t>
      </w:r>
      <w:r w:rsidR="00712C5D">
        <w:t>Georgia Power’s</w:t>
      </w:r>
      <w:r w:rsidR="004A7A3C">
        <w:t xml:space="preserve"> post-lesson survey. Results of the survey are as follows on a scale of 1 - 5 with 1 being strongly disagree and 5 being strongly agree</w:t>
      </w:r>
      <w:r w:rsidR="00F62763">
        <w:t>.</w:t>
      </w:r>
      <w:r w:rsidR="004A7A3C">
        <w:t xml:space="preserve"> </w:t>
      </w:r>
    </w:p>
    <w:p w14:paraId="44EFFE11" w14:textId="678B9D4E" w:rsidR="004D27A7" w:rsidRPr="00923ABF" w:rsidRDefault="00D3611E" w:rsidP="00923ABF">
      <w:pPr>
        <w:jc w:val="center"/>
        <w:rPr>
          <w:i/>
          <w:iCs/>
        </w:rPr>
      </w:pPr>
      <w:r>
        <w:rPr>
          <w:i/>
          <w:iCs/>
        </w:rPr>
        <w:t>Table</w:t>
      </w:r>
      <w:r w:rsidR="004D27A7" w:rsidRPr="00923ABF">
        <w:rPr>
          <w:i/>
          <w:iCs/>
        </w:rPr>
        <w:t xml:space="preserve"> </w:t>
      </w:r>
      <w:r w:rsidR="001948CF">
        <w:rPr>
          <w:i/>
          <w:iCs/>
        </w:rPr>
        <w:t>7.2C</w:t>
      </w:r>
      <w:r w:rsidR="004D27A7" w:rsidRPr="00923ABF">
        <w:rPr>
          <w:i/>
          <w:iCs/>
        </w:rPr>
        <w:t xml:space="preserve">: </w:t>
      </w:r>
      <w:r w:rsidR="00923ABF" w:rsidRPr="00923ABF">
        <w:rPr>
          <w:i/>
          <w:iCs/>
        </w:rPr>
        <w:t>Learning Power Education Initiative – Post Lesson Survey Results</w:t>
      </w:r>
    </w:p>
    <w:tbl>
      <w:tblPr>
        <w:tblW w:w="9355" w:type="dxa"/>
        <w:tblLook w:val="04A0" w:firstRow="1" w:lastRow="0" w:firstColumn="1" w:lastColumn="0" w:noHBand="0" w:noVBand="1"/>
      </w:tblPr>
      <w:tblGrid>
        <w:gridCol w:w="7285"/>
        <w:gridCol w:w="2070"/>
      </w:tblGrid>
      <w:tr w:rsidR="00D2319D" w:rsidRPr="00EB082A" w14:paraId="61927C95" w14:textId="77777777" w:rsidTr="004D27A7">
        <w:trPr>
          <w:trHeight w:val="386"/>
        </w:trPr>
        <w:tc>
          <w:tcPr>
            <w:tcW w:w="72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4C8876" w14:textId="77777777" w:rsidR="00EB082A" w:rsidRPr="00EB082A" w:rsidRDefault="00EB082A" w:rsidP="00EB082A">
            <w:pPr>
              <w:spacing w:after="0" w:line="240" w:lineRule="auto"/>
              <w:rPr>
                <w:rFonts w:ascii="Aptos Narrow" w:eastAsia="Times New Roman" w:hAnsi="Aptos Narrow" w:cs="Times New Roman"/>
                <w:b/>
                <w:bCs/>
                <w:color w:val="000000"/>
                <w:kern w:val="0"/>
                <w14:ligatures w14:val="none"/>
              </w:rPr>
            </w:pPr>
            <w:r w:rsidRPr="00EB082A">
              <w:rPr>
                <w:rFonts w:ascii="Aptos Narrow" w:eastAsia="Times New Roman" w:hAnsi="Aptos Narrow" w:cs="Times New Roman"/>
                <w:b/>
                <w:bCs/>
                <w:color w:val="000000"/>
                <w:kern w:val="0"/>
                <w14:ligatures w14:val="none"/>
              </w:rPr>
              <w:t>Survey questions</w:t>
            </w:r>
          </w:p>
        </w:tc>
        <w:tc>
          <w:tcPr>
            <w:tcW w:w="2070" w:type="dxa"/>
            <w:tcBorders>
              <w:top w:val="single" w:sz="4" w:space="0" w:color="auto"/>
              <w:left w:val="nil"/>
              <w:bottom w:val="single" w:sz="4" w:space="0" w:color="auto"/>
              <w:right w:val="single" w:sz="4" w:space="0" w:color="auto"/>
            </w:tcBorders>
            <w:shd w:val="clear" w:color="auto" w:fill="auto"/>
            <w:noWrap/>
            <w:vAlign w:val="bottom"/>
            <w:hideMark/>
          </w:tcPr>
          <w:p w14:paraId="6D1BE0F8" w14:textId="77777777" w:rsidR="00EB082A" w:rsidRPr="00EB082A" w:rsidRDefault="00EB082A" w:rsidP="00EB082A">
            <w:pPr>
              <w:spacing w:after="0" w:line="240" w:lineRule="auto"/>
              <w:rPr>
                <w:rFonts w:ascii="Aptos Narrow" w:eastAsia="Times New Roman" w:hAnsi="Aptos Narrow" w:cs="Times New Roman"/>
                <w:b/>
                <w:bCs/>
                <w:color w:val="000000"/>
                <w:kern w:val="0"/>
                <w14:ligatures w14:val="none"/>
              </w:rPr>
            </w:pPr>
            <w:r w:rsidRPr="00EB082A">
              <w:rPr>
                <w:rFonts w:ascii="Aptos Narrow" w:eastAsia="Times New Roman" w:hAnsi="Aptos Narrow" w:cs="Times New Roman"/>
                <w:b/>
                <w:bCs/>
                <w:color w:val="000000"/>
                <w:kern w:val="0"/>
                <w14:ligatures w14:val="none"/>
              </w:rPr>
              <w:t xml:space="preserve">Responses </w:t>
            </w:r>
          </w:p>
        </w:tc>
      </w:tr>
      <w:tr w:rsidR="00D2319D" w:rsidRPr="00EB082A" w14:paraId="6B2BF9FA" w14:textId="77777777" w:rsidTr="004D27A7">
        <w:trPr>
          <w:trHeight w:val="294"/>
        </w:trPr>
        <w:tc>
          <w:tcPr>
            <w:tcW w:w="7285" w:type="dxa"/>
            <w:tcBorders>
              <w:top w:val="nil"/>
              <w:left w:val="single" w:sz="4" w:space="0" w:color="auto"/>
              <w:bottom w:val="single" w:sz="4" w:space="0" w:color="auto"/>
              <w:right w:val="single" w:sz="4" w:space="0" w:color="auto"/>
            </w:tcBorders>
            <w:shd w:val="clear" w:color="auto" w:fill="auto"/>
            <w:noWrap/>
            <w:vAlign w:val="bottom"/>
            <w:hideMark/>
          </w:tcPr>
          <w:p w14:paraId="4BC24EF3" w14:textId="77777777" w:rsidR="00EB082A" w:rsidRPr="00EB082A" w:rsidRDefault="00EB082A" w:rsidP="00EB082A">
            <w:pPr>
              <w:spacing w:after="0" w:line="240" w:lineRule="auto"/>
              <w:rPr>
                <w:rFonts w:ascii="Aptos" w:eastAsia="Times New Roman" w:hAnsi="Aptos" w:cs="Times New Roman"/>
                <w:color w:val="000000"/>
                <w:kern w:val="0"/>
                <w14:ligatures w14:val="none"/>
              </w:rPr>
            </w:pPr>
            <w:r w:rsidRPr="00EB082A">
              <w:rPr>
                <w:rFonts w:ascii="Aptos" w:eastAsia="Times New Roman" w:hAnsi="Aptos" w:cs="Times New Roman"/>
                <w:color w:val="000000"/>
                <w:kern w:val="0"/>
                <w14:ligatures w14:val="none"/>
              </w:rPr>
              <w:t>This lesson effectively taught energy efficiency and conservation concepts to my students</w:t>
            </w:r>
          </w:p>
        </w:tc>
        <w:tc>
          <w:tcPr>
            <w:tcW w:w="2070" w:type="dxa"/>
            <w:tcBorders>
              <w:top w:val="nil"/>
              <w:left w:val="nil"/>
              <w:bottom w:val="single" w:sz="4" w:space="0" w:color="auto"/>
              <w:right w:val="single" w:sz="4" w:space="0" w:color="auto"/>
            </w:tcBorders>
            <w:shd w:val="clear" w:color="auto" w:fill="auto"/>
            <w:noWrap/>
            <w:vAlign w:val="bottom"/>
            <w:hideMark/>
          </w:tcPr>
          <w:p w14:paraId="785B8C8D" w14:textId="5474E61C" w:rsidR="00EB082A" w:rsidRPr="00EB082A" w:rsidRDefault="00EB082A" w:rsidP="00EB082A">
            <w:pPr>
              <w:spacing w:after="0" w:line="240" w:lineRule="auto"/>
              <w:jc w:val="right"/>
              <w:rPr>
                <w:rFonts w:ascii="Aptos Narrow" w:eastAsia="Times New Roman" w:hAnsi="Aptos Narrow" w:cs="Times New Roman"/>
                <w:color w:val="000000"/>
                <w:kern w:val="0"/>
                <w14:ligatures w14:val="none"/>
              </w:rPr>
            </w:pPr>
            <w:r w:rsidRPr="00EB082A">
              <w:rPr>
                <w:rFonts w:ascii="Aptos Narrow" w:eastAsia="Times New Roman" w:hAnsi="Aptos Narrow" w:cs="Times New Roman"/>
                <w:color w:val="000000"/>
                <w:kern w:val="0"/>
                <w14:ligatures w14:val="none"/>
              </w:rPr>
              <w:t>4.</w:t>
            </w:r>
            <w:r w:rsidR="00FA7E6C">
              <w:rPr>
                <w:rFonts w:ascii="Aptos Narrow" w:eastAsia="Times New Roman" w:hAnsi="Aptos Narrow" w:cs="Times New Roman"/>
                <w:color w:val="000000"/>
                <w:kern w:val="0"/>
                <w14:ligatures w14:val="none"/>
              </w:rPr>
              <w:t>7</w:t>
            </w:r>
            <w:r w:rsidRPr="00EB082A">
              <w:rPr>
                <w:rFonts w:ascii="Aptos Narrow" w:eastAsia="Times New Roman" w:hAnsi="Aptos Narrow" w:cs="Times New Roman"/>
                <w:color w:val="000000"/>
                <w:kern w:val="0"/>
                <w14:ligatures w14:val="none"/>
              </w:rPr>
              <w:t>7</w:t>
            </w:r>
          </w:p>
        </w:tc>
      </w:tr>
      <w:tr w:rsidR="00D2319D" w:rsidRPr="00EB082A" w14:paraId="1F70372A" w14:textId="77777777" w:rsidTr="004D27A7">
        <w:trPr>
          <w:trHeight w:val="294"/>
        </w:trPr>
        <w:tc>
          <w:tcPr>
            <w:tcW w:w="7285" w:type="dxa"/>
            <w:tcBorders>
              <w:top w:val="nil"/>
              <w:left w:val="single" w:sz="4" w:space="0" w:color="auto"/>
              <w:bottom w:val="single" w:sz="4" w:space="0" w:color="auto"/>
              <w:right w:val="single" w:sz="4" w:space="0" w:color="auto"/>
            </w:tcBorders>
            <w:shd w:val="clear" w:color="auto" w:fill="auto"/>
            <w:noWrap/>
            <w:vAlign w:val="bottom"/>
            <w:hideMark/>
          </w:tcPr>
          <w:p w14:paraId="1121D64C" w14:textId="77777777" w:rsidR="00EB082A" w:rsidRPr="00EB082A" w:rsidRDefault="00EB082A" w:rsidP="00EB082A">
            <w:pPr>
              <w:spacing w:after="0" w:line="240" w:lineRule="auto"/>
              <w:rPr>
                <w:rFonts w:ascii="Aptos" w:eastAsia="Times New Roman" w:hAnsi="Aptos" w:cs="Times New Roman"/>
                <w:color w:val="000000"/>
                <w:kern w:val="0"/>
                <w14:ligatures w14:val="none"/>
              </w:rPr>
            </w:pPr>
            <w:r w:rsidRPr="00EB082A">
              <w:rPr>
                <w:rFonts w:ascii="Aptos" w:eastAsia="Times New Roman" w:hAnsi="Aptos" w:cs="Times New Roman"/>
                <w:color w:val="000000"/>
                <w:kern w:val="0"/>
                <w14:ligatures w14:val="none"/>
              </w:rPr>
              <w:t>This lesson connected well with my students</w:t>
            </w:r>
          </w:p>
        </w:tc>
        <w:tc>
          <w:tcPr>
            <w:tcW w:w="2070" w:type="dxa"/>
            <w:tcBorders>
              <w:top w:val="nil"/>
              <w:left w:val="nil"/>
              <w:bottom w:val="single" w:sz="4" w:space="0" w:color="auto"/>
              <w:right w:val="single" w:sz="4" w:space="0" w:color="auto"/>
            </w:tcBorders>
            <w:shd w:val="clear" w:color="auto" w:fill="auto"/>
            <w:noWrap/>
            <w:vAlign w:val="bottom"/>
            <w:hideMark/>
          </w:tcPr>
          <w:p w14:paraId="5A26D96E" w14:textId="0892EE3B" w:rsidR="00EB082A" w:rsidRPr="00EB082A" w:rsidRDefault="00EB082A" w:rsidP="00EB082A">
            <w:pPr>
              <w:spacing w:after="0" w:line="240" w:lineRule="auto"/>
              <w:jc w:val="right"/>
              <w:rPr>
                <w:rFonts w:ascii="Aptos Narrow" w:eastAsia="Times New Roman" w:hAnsi="Aptos Narrow" w:cs="Times New Roman"/>
                <w:color w:val="000000"/>
                <w:kern w:val="0"/>
                <w14:ligatures w14:val="none"/>
              </w:rPr>
            </w:pPr>
            <w:r w:rsidRPr="00EB082A">
              <w:rPr>
                <w:rFonts w:ascii="Aptos Narrow" w:eastAsia="Times New Roman" w:hAnsi="Aptos Narrow" w:cs="Times New Roman"/>
                <w:color w:val="000000"/>
                <w:kern w:val="0"/>
                <w14:ligatures w14:val="none"/>
              </w:rPr>
              <w:t>4.7</w:t>
            </w:r>
            <w:r w:rsidR="005D5050">
              <w:rPr>
                <w:rFonts w:ascii="Aptos Narrow" w:eastAsia="Times New Roman" w:hAnsi="Aptos Narrow" w:cs="Times New Roman"/>
                <w:color w:val="000000"/>
                <w:kern w:val="0"/>
                <w14:ligatures w14:val="none"/>
              </w:rPr>
              <w:t>9</w:t>
            </w:r>
          </w:p>
        </w:tc>
      </w:tr>
      <w:tr w:rsidR="00D2319D" w:rsidRPr="00EB082A" w14:paraId="17F4EB10" w14:textId="77777777" w:rsidTr="004D27A7">
        <w:trPr>
          <w:trHeight w:val="294"/>
        </w:trPr>
        <w:tc>
          <w:tcPr>
            <w:tcW w:w="7285" w:type="dxa"/>
            <w:tcBorders>
              <w:top w:val="nil"/>
              <w:left w:val="single" w:sz="4" w:space="0" w:color="auto"/>
              <w:bottom w:val="single" w:sz="4" w:space="0" w:color="auto"/>
              <w:right w:val="single" w:sz="4" w:space="0" w:color="auto"/>
            </w:tcBorders>
            <w:shd w:val="clear" w:color="auto" w:fill="auto"/>
            <w:noWrap/>
            <w:vAlign w:val="bottom"/>
            <w:hideMark/>
          </w:tcPr>
          <w:p w14:paraId="2F0116CF" w14:textId="77777777" w:rsidR="00EB082A" w:rsidRPr="00EB082A" w:rsidRDefault="00EB082A" w:rsidP="00EB082A">
            <w:pPr>
              <w:spacing w:after="0" w:line="240" w:lineRule="auto"/>
              <w:rPr>
                <w:rFonts w:ascii="Aptos" w:eastAsia="Times New Roman" w:hAnsi="Aptos" w:cs="Times New Roman"/>
                <w:color w:val="000000"/>
                <w:kern w:val="0"/>
                <w14:ligatures w14:val="none"/>
              </w:rPr>
            </w:pPr>
            <w:r w:rsidRPr="00EB082A">
              <w:rPr>
                <w:rFonts w:ascii="Aptos" w:eastAsia="Times New Roman" w:hAnsi="Aptos" w:cs="Times New Roman"/>
                <w:color w:val="000000"/>
                <w:kern w:val="0"/>
                <w14:ligatures w14:val="none"/>
              </w:rPr>
              <w:t>I would recommend Learning Power lessons to other teachers</w:t>
            </w:r>
          </w:p>
        </w:tc>
        <w:tc>
          <w:tcPr>
            <w:tcW w:w="2070" w:type="dxa"/>
            <w:tcBorders>
              <w:top w:val="nil"/>
              <w:left w:val="nil"/>
              <w:bottom w:val="single" w:sz="4" w:space="0" w:color="auto"/>
              <w:right w:val="single" w:sz="4" w:space="0" w:color="auto"/>
            </w:tcBorders>
            <w:shd w:val="clear" w:color="auto" w:fill="auto"/>
            <w:noWrap/>
            <w:vAlign w:val="bottom"/>
            <w:hideMark/>
          </w:tcPr>
          <w:p w14:paraId="57D4C0CA" w14:textId="5A573D17" w:rsidR="00EB082A" w:rsidRPr="00EB082A" w:rsidRDefault="00EB082A" w:rsidP="00EB082A">
            <w:pPr>
              <w:spacing w:after="0" w:line="240" w:lineRule="auto"/>
              <w:jc w:val="right"/>
              <w:rPr>
                <w:rFonts w:ascii="Aptos Narrow" w:eastAsia="Times New Roman" w:hAnsi="Aptos Narrow" w:cs="Times New Roman"/>
                <w:color w:val="000000"/>
                <w:kern w:val="0"/>
                <w14:ligatures w14:val="none"/>
              </w:rPr>
            </w:pPr>
            <w:r w:rsidRPr="00EB082A">
              <w:rPr>
                <w:rFonts w:ascii="Aptos Narrow" w:eastAsia="Times New Roman" w:hAnsi="Aptos Narrow" w:cs="Times New Roman"/>
                <w:color w:val="000000"/>
                <w:kern w:val="0"/>
                <w14:ligatures w14:val="none"/>
              </w:rPr>
              <w:t>4.8</w:t>
            </w:r>
            <w:r w:rsidR="00A160DD">
              <w:rPr>
                <w:rFonts w:ascii="Aptos Narrow" w:eastAsia="Times New Roman" w:hAnsi="Aptos Narrow" w:cs="Times New Roman"/>
                <w:color w:val="000000"/>
                <w:kern w:val="0"/>
                <w14:ligatures w14:val="none"/>
              </w:rPr>
              <w:t>2</w:t>
            </w:r>
          </w:p>
        </w:tc>
      </w:tr>
      <w:tr w:rsidR="00D2319D" w:rsidRPr="00EB082A" w14:paraId="4D6E9FC0" w14:textId="77777777" w:rsidTr="004D27A7">
        <w:trPr>
          <w:trHeight w:val="294"/>
        </w:trPr>
        <w:tc>
          <w:tcPr>
            <w:tcW w:w="7285" w:type="dxa"/>
            <w:tcBorders>
              <w:top w:val="nil"/>
              <w:left w:val="single" w:sz="4" w:space="0" w:color="auto"/>
              <w:bottom w:val="single" w:sz="4" w:space="0" w:color="auto"/>
              <w:right w:val="single" w:sz="4" w:space="0" w:color="auto"/>
            </w:tcBorders>
            <w:shd w:val="clear" w:color="auto" w:fill="auto"/>
            <w:noWrap/>
            <w:vAlign w:val="bottom"/>
            <w:hideMark/>
          </w:tcPr>
          <w:p w14:paraId="29EA8AF2" w14:textId="77777777" w:rsidR="00EB082A" w:rsidRPr="00EB082A" w:rsidRDefault="00EB082A" w:rsidP="00EB082A">
            <w:pPr>
              <w:spacing w:after="0" w:line="240" w:lineRule="auto"/>
              <w:rPr>
                <w:rFonts w:ascii="Aptos" w:eastAsia="Times New Roman" w:hAnsi="Aptos" w:cs="Times New Roman"/>
                <w:color w:val="000000"/>
                <w:kern w:val="0"/>
                <w14:ligatures w14:val="none"/>
              </w:rPr>
            </w:pPr>
            <w:r w:rsidRPr="00EB082A">
              <w:rPr>
                <w:rFonts w:ascii="Aptos" w:eastAsia="Times New Roman" w:hAnsi="Aptos" w:cs="Times New Roman"/>
                <w:color w:val="000000"/>
                <w:kern w:val="0"/>
                <w14:ligatures w14:val="none"/>
              </w:rPr>
              <w:t xml:space="preserve">This lesson aligned with the Georgia Standards of Excellence </w:t>
            </w:r>
          </w:p>
        </w:tc>
        <w:tc>
          <w:tcPr>
            <w:tcW w:w="2070" w:type="dxa"/>
            <w:tcBorders>
              <w:top w:val="nil"/>
              <w:left w:val="nil"/>
              <w:bottom w:val="single" w:sz="4" w:space="0" w:color="auto"/>
              <w:right w:val="single" w:sz="4" w:space="0" w:color="auto"/>
            </w:tcBorders>
            <w:shd w:val="clear" w:color="auto" w:fill="auto"/>
            <w:noWrap/>
            <w:vAlign w:val="bottom"/>
            <w:hideMark/>
          </w:tcPr>
          <w:p w14:paraId="25E1405B" w14:textId="34DB01AD" w:rsidR="00EB082A" w:rsidRPr="00EB082A" w:rsidRDefault="00EB082A" w:rsidP="00EB082A">
            <w:pPr>
              <w:spacing w:after="0" w:line="240" w:lineRule="auto"/>
              <w:jc w:val="right"/>
              <w:rPr>
                <w:rFonts w:ascii="Aptos Narrow" w:eastAsia="Times New Roman" w:hAnsi="Aptos Narrow" w:cs="Times New Roman"/>
                <w:color w:val="000000"/>
                <w:kern w:val="0"/>
                <w14:ligatures w14:val="none"/>
              </w:rPr>
            </w:pPr>
            <w:r w:rsidRPr="00EB082A">
              <w:rPr>
                <w:rFonts w:ascii="Aptos Narrow" w:eastAsia="Times New Roman" w:hAnsi="Aptos Narrow" w:cs="Times New Roman"/>
                <w:color w:val="000000"/>
                <w:kern w:val="0"/>
                <w14:ligatures w14:val="none"/>
              </w:rPr>
              <w:t>4.8</w:t>
            </w:r>
            <w:r w:rsidR="00A160DD">
              <w:rPr>
                <w:rFonts w:ascii="Aptos Narrow" w:eastAsia="Times New Roman" w:hAnsi="Aptos Narrow" w:cs="Times New Roman"/>
                <w:color w:val="000000"/>
                <w:kern w:val="0"/>
                <w14:ligatures w14:val="none"/>
              </w:rPr>
              <w:t>2</w:t>
            </w:r>
          </w:p>
        </w:tc>
      </w:tr>
      <w:tr w:rsidR="00D2319D" w:rsidRPr="00EB082A" w14:paraId="5386BD37" w14:textId="77777777" w:rsidTr="004D27A7">
        <w:trPr>
          <w:trHeight w:val="294"/>
        </w:trPr>
        <w:tc>
          <w:tcPr>
            <w:tcW w:w="7285" w:type="dxa"/>
            <w:tcBorders>
              <w:top w:val="nil"/>
              <w:left w:val="single" w:sz="4" w:space="0" w:color="auto"/>
              <w:bottom w:val="single" w:sz="4" w:space="0" w:color="auto"/>
              <w:right w:val="single" w:sz="4" w:space="0" w:color="auto"/>
            </w:tcBorders>
            <w:shd w:val="clear" w:color="auto" w:fill="auto"/>
            <w:noWrap/>
            <w:vAlign w:val="bottom"/>
            <w:hideMark/>
          </w:tcPr>
          <w:p w14:paraId="27F36789" w14:textId="77777777" w:rsidR="00EB082A" w:rsidRPr="00EB082A" w:rsidRDefault="00EB082A" w:rsidP="00EB082A">
            <w:pPr>
              <w:spacing w:after="0" w:line="240" w:lineRule="auto"/>
              <w:rPr>
                <w:rFonts w:ascii="Aptos" w:eastAsia="Times New Roman" w:hAnsi="Aptos" w:cs="Times New Roman"/>
                <w:color w:val="000000"/>
                <w:kern w:val="0"/>
                <w14:ligatures w14:val="none"/>
              </w:rPr>
            </w:pPr>
            <w:r w:rsidRPr="00EB082A">
              <w:rPr>
                <w:rFonts w:ascii="Aptos" w:eastAsia="Times New Roman" w:hAnsi="Aptos" w:cs="Times New Roman"/>
                <w:color w:val="000000"/>
                <w:kern w:val="0"/>
                <w14:ligatures w14:val="none"/>
              </w:rPr>
              <w:t>Did this lesson introduce age-appropriate career opportunities in the energy industry?</w:t>
            </w:r>
          </w:p>
        </w:tc>
        <w:tc>
          <w:tcPr>
            <w:tcW w:w="2070" w:type="dxa"/>
            <w:tcBorders>
              <w:top w:val="nil"/>
              <w:left w:val="nil"/>
              <w:bottom w:val="single" w:sz="4" w:space="0" w:color="auto"/>
              <w:right w:val="single" w:sz="4" w:space="0" w:color="auto"/>
            </w:tcBorders>
            <w:shd w:val="clear" w:color="auto" w:fill="auto"/>
            <w:noWrap/>
            <w:vAlign w:val="bottom"/>
            <w:hideMark/>
          </w:tcPr>
          <w:p w14:paraId="3FD7C3FE" w14:textId="77777777" w:rsidR="00EB082A" w:rsidRPr="00EB082A" w:rsidRDefault="00EB082A" w:rsidP="00EB082A">
            <w:pPr>
              <w:spacing w:after="0" w:line="240" w:lineRule="auto"/>
              <w:jc w:val="right"/>
              <w:rPr>
                <w:rFonts w:ascii="Aptos Narrow" w:eastAsia="Times New Roman" w:hAnsi="Aptos Narrow" w:cs="Times New Roman"/>
                <w:color w:val="000000"/>
                <w:kern w:val="0"/>
                <w14:ligatures w14:val="none"/>
              </w:rPr>
            </w:pPr>
            <w:r w:rsidRPr="00EB082A">
              <w:rPr>
                <w:rFonts w:ascii="Aptos Narrow" w:eastAsia="Times New Roman" w:hAnsi="Aptos Narrow" w:cs="Times New Roman"/>
                <w:color w:val="000000"/>
                <w:kern w:val="0"/>
                <w14:ligatures w14:val="none"/>
              </w:rPr>
              <w:t>97% responded yes</w:t>
            </w:r>
          </w:p>
        </w:tc>
      </w:tr>
    </w:tbl>
    <w:p w14:paraId="65825BB9" w14:textId="487E1E2C" w:rsidR="004A7A3C" w:rsidRDefault="004A7A3C" w:rsidP="00CD30CB">
      <w:pPr>
        <w:jc w:val="both"/>
      </w:pPr>
    </w:p>
    <w:p w14:paraId="44354730" w14:textId="6F5304D7" w:rsidR="002464EB" w:rsidRDefault="00940424" w:rsidP="00A44ADD">
      <w:pPr>
        <w:pStyle w:val="Heading3"/>
        <w:spacing w:before="120" w:after="120"/>
      </w:pPr>
      <w:r>
        <w:lastRenderedPageBreak/>
        <w:t xml:space="preserve">7.2.5 – </w:t>
      </w:r>
      <w:r w:rsidR="002464EB">
        <w:t>Energy Efficiency Awareness Initiative</w:t>
      </w:r>
    </w:p>
    <w:p w14:paraId="4AF8C5A4" w14:textId="4D597011" w:rsidR="002464EB" w:rsidRDefault="002464EB" w:rsidP="00DB03AA">
      <w:pPr>
        <w:keepNext/>
        <w:keepLines/>
        <w:jc w:val="both"/>
      </w:pPr>
      <w:r>
        <w:t>The Company’s Energy Efficiency Awareness Initiative promotes the benefits of energy efficiency and educates customers about ways to save energy. In the 2016</w:t>
      </w:r>
      <w:r w:rsidR="7FA60302">
        <w:t>,</w:t>
      </w:r>
      <w:r>
        <w:t xml:space="preserve"> 2019</w:t>
      </w:r>
      <w:r w:rsidR="002A3B05">
        <w:t>,</w:t>
      </w:r>
      <w:r>
        <w:t xml:space="preserve"> </w:t>
      </w:r>
      <w:r w:rsidR="3FB0E435">
        <w:t>and 2022</w:t>
      </w:r>
      <w:r>
        <w:t xml:space="preserve"> IRPs, the Commission approved a dedicated budget for residential and commercial awareness. The Company </w:t>
      </w:r>
      <w:r w:rsidR="002B397E">
        <w:t xml:space="preserve">is requesting </w:t>
      </w:r>
      <w:r>
        <w:t xml:space="preserve">continued funding </w:t>
      </w:r>
      <w:r w:rsidR="00AB1D39">
        <w:t>for</w:t>
      </w:r>
      <w:r>
        <w:t xml:space="preserve"> these efforts</w:t>
      </w:r>
      <w:r w:rsidR="00B43264">
        <w:t>, which</w:t>
      </w:r>
      <w:r w:rsidDel="00B43264">
        <w:t xml:space="preserve"> </w:t>
      </w:r>
      <w:r>
        <w:t xml:space="preserve">increase energy efficiency awareness </w:t>
      </w:r>
      <w:r w:rsidR="00946375">
        <w:t>for</w:t>
      </w:r>
      <w:r>
        <w:t xml:space="preserve"> residential and commercial </w:t>
      </w:r>
      <w:r w:rsidR="00946375">
        <w:t>customers</w:t>
      </w:r>
      <w:r>
        <w:t xml:space="preserve">. </w:t>
      </w:r>
    </w:p>
    <w:p w14:paraId="44C3102D" w14:textId="31D76A82" w:rsidR="002464EB" w:rsidRDefault="002464EB" w:rsidP="00CD30CB">
      <w:pPr>
        <w:jc w:val="both"/>
      </w:pPr>
      <w:r>
        <w:t>The Company uses multiple marketing channels to reach its customer base</w:t>
      </w:r>
      <w:r w:rsidR="00AF1610">
        <w:t>, including</w:t>
      </w:r>
      <w:r w:rsidR="001778A1">
        <w:t xml:space="preserve"> </w:t>
      </w:r>
      <w:r w:rsidR="00AF1610">
        <w:t>t</w:t>
      </w:r>
      <w:r>
        <w:t xml:space="preserve">elevision, radio, print, web, digital, </w:t>
      </w:r>
      <w:r w:rsidR="008D1F86">
        <w:rPr>
          <w:rFonts w:ascii="Aptos" w:eastAsia="Aptos" w:hAnsi="Aptos" w:cs="Aptos"/>
          <w:color w:val="000000" w:themeColor="text1"/>
        </w:rPr>
        <w:t xml:space="preserve">out of home, social media </w:t>
      </w:r>
      <w:r>
        <w:rPr>
          <w:rFonts w:ascii="Aptos" w:eastAsia="Aptos" w:hAnsi="Aptos" w:cs="Aptos"/>
          <w:color w:val="000000" w:themeColor="text1"/>
        </w:rPr>
        <w:t xml:space="preserve">and </w:t>
      </w:r>
      <w:r w:rsidR="001409C6">
        <w:rPr>
          <w:rFonts w:ascii="Aptos" w:eastAsia="Aptos" w:hAnsi="Aptos" w:cs="Aptos"/>
          <w:color w:val="000000" w:themeColor="text1"/>
        </w:rPr>
        <w:t>media sponsorships</w:t>
      </w:r>
      <w:r>
        <w:t xml:space="preserve">. </w:t>
      </w:r>
      <w:r w:rsidR="00B52F06" w:rsidRPr="2D7E1E50">
        <w:rPr>
          <w:rFonts w:ascii="Aptos" w:eastAsia="Aptos" w:hAnsi="Aptos" w:cs="Aptos"/>
          <w:color w:val="000000" w:themeColor="text1"/>
        </w:rPr>
        <w:t xml:space="preserve">Social media channels </w:t>
      </w:r>
      <w:r w:rsidR="00C14049">
        <w:rPr>
          <w:rFonts w:ascii="Aptos" w:eastAsia="Aptos" w:hAnsi="Aptos" w:cs="Aptos"/>
          <w:color w:val="000000" w:themeColor="text1"/>
        </w:rPr>
        <w:t>include Meta</w:t>
      </w:r>
      <w:r w:rsidR="00A9061F">
        <w:rPr>
          <w:rFonts w:ascii="Aptos" w:eastAsia="Aptos" w:hAnsi="Aptos" w:cs="Aptos"/>
          <w:color w:val="000000" w:themeColor="text1"/>
        </w:rPr>
        <w:t>, Instagram</w:t>
      </w:r>
      <w:r w:rsidR="00403C61">
        <w:rPr>
          <w:rFonts w:ascii="Aptos" w:eastAsia="Aptos" w:hAnsi="Aptos" w:cs="Aptos"/>
          <w:color w:val="000000" w:themeColor="text1"/>
        </w:rPr>
        <w:t xml:space="preserve">, </w:t>
      </w:r>
      <w:r w:rsidR="008812A3">
        <w:rPr>
          <w:rFonts w:ascii="Aptos" w:eastAsia="Aptos" w:hAnsi="Aptos" w:cs="Aptos"/>
          <w:color w:val="000000" w:themeColor="text1"/>
        </w:rPr>
        <w:t>LinkedIn, and YouTube</w:t>
      </w:r>
      <w:r w:rsidR="00D02FFD">
        <w:rPr>
          <w:rFonts w:ascii="Aptos" w:eastAsia="Aptos" w:hAnsi="Aptos" w:cs="Aptos"/>
          <w:color w:val="000000" w:themeColor="text1"/>
        </w:rPr>
        <w:t xml:space="preserve">. </w:t>
      </w:r>
      <w:r>
        <w:t>The Company has</w:t>
      </w:r>
      <w:r w:rsidR="00FD2FB3">
        <w:t xml:space="preserve"> also</w:t>
      </w:r>
      <w:r>
        <w:t xml:space="preserve"> developed </w:t>
      </w:r>
      <w:r w:rsidR="00964237">
        <w:t>several</w:t>
      </w:r>
      <w:r>
        <w:t xml:space="preserve"> online tools to enhance customers’ education and awareness about energy efficiency. </w:t>
      </w:r>
      <w:r w:rsidR="00B476F9">
        <w:t>Georgia Power encourages c</w:t>
      </w:r>
      <w:r>
        <w:t xml:space="preserve">ustomers to visit </w:t>
      </w:r>
      <w:r w:rsidR="00755DE4">
        <w:t>its website at</w:t>
      </w:r>
      <w:r>
        <w:t xml:space="preserve"> </w:t>
      </w:r>
      <w:hyperlink r:id="rId54" w:history="1">
        <w:r w:rsidR="009C2EE4" w:rsidRPr="00203E05">
          <w:rPr>
            <w:rStyle w:val="Hyperlink"/>
          </w:rPr>
          <w:t>www.georgiapower.com/energyefficiency</w:t>
        </w:r>
      </w:hyperlink>
      <w:r w:rsidR="009C2EE4">
        <w:t xml:space="preserve"> </w:t>
      </w:r>
      <w:r>
        <w:t xml:space="preserve">or </w:t>
      </w:r>
      <w:hyperlink r:id="rId55" w:history="1">
        <w:r w:rsidR="009C2EE4" w:rsidRPr="00203E05">
          <w:rPr>
            <w:rStyle w:val="Hyperlink"/>
          </w:rPr>
          <w:t>www.georgiapower.com/commercialsavings</w:t>
        </w:r>
      </w:hyperlink>
      <w:r w:rsidR="009C2EE4">
        <w:t xml:space="preserve"> </w:t>
      </w:r>
      <w:r>
        <w:t xml:space="preserve">to learn ways to save energy through general energy efficiency information, helpful tips, and specific information about energy efficiency programs offered by the Company. </w:t>
      </w:r>
    </w:p>
    <w:p w14:paraId="464BB961" w14:textId="52A6A487" w:rsidR="00764931" w:rsidRDefault="00764931" w:rsidP="00CD30CB">
      <w:pPr>
        <w:jc w:val="both"/>
      </w:pPr>
      <w:r w:rsidRPr="00EA3B33">
        <w:t xml:space="preserve">In </w:t>
      </w:r>
      <w:r w:rsidRPr="00764931">
        <w:t xml:space="preserve">2023 and 2024 </w:t>
      </w:r>
      <w:r w:rsidRPr="00EA3B33">
        <w:t xml:space="preserve">J.D. Power Customer Satisfaction Surveys, the </w:t>
      </w:r>
      <w:r w:rsidR="1E7AE206" w:rsidRPr="00EA3B33">
        <w:t>C</w:t>
      </w:r>
      <w:r w:rsidRPr="00EA3B33">
        <w:t xml:space="preserve">ompany’s dedicated awareness campaigns continue to lead in customer satisfaction among peer utilities and the national averages. </w:t>
      </w:r>
      <w:r w:rsidR="00880FE4" w:rsidRPr="00EA3B33">
        <w:t>Specifically, t</w:t>
      </w:r>
      <w:r w:rsidR="006E4777" w:rsidRPr="00EA3B33">
        <w:t xml:space="preserve">he Company leads peers and national averages for percentage </w:t>
      </w:r>
      <w:r w:rsidR="00880FE4" w:rsidRPr="00EA3B33">
        <w:t>of customers who say the utility helped lower their bill by showing how to conserve energy, for overall awareness of energy efficiency/conservation programs, and for variety of energy efficiency programs offered</w:t>
      </w:r>
      <w:r w:rsidR="00C02952" w:rsidRPr="00EA3B33">
        <w:t xml:space="preserve"> for</w:t>
      </w:r>
      <w:r w:rsidR="006E4777" w:rsidRPr="00EA3B33">
        <w:t xml:space="preserve"> b</w:t>
      </w:r>
      <w:r w:rsidRPr="00EA3B33">
        <w:t xml:space="preserve">oth residential and </w:t>
      </w:r>
      <w:r w:rsidR="00C02952" w:rsidRPr="00EA3B33">
        <w:t>commercial</w:t>
      </w:r>
      <w:r w:rsidRPr="00EA3B33">
        <w:t xml:space="preserve"> customers</w:t>
      </w:r>
      <w:r w:rsidR="00C02952" w:rsidRPr="00EA3B33">
        <w:t>.</w:t>
      </w:r>
      <w:r w:rsidR="00A60035" w:rsidRPr="00EA3B33">
        <w:t xml:space="preserve"> Additionally, </w:t>
      </w:r>
      <w:r w:rsidR="00213C93" w:rsidRPr="00EA3B33">
        <w:t xml:space="preserve">the </w:t>
      </w:r>
      <w:r w:rsidR="00FD7961" w:rsidRPr="00EA3B33">
        <w:t xml:space="preserve">energy efficiency awareness </w:t>
      </w:r>
      <w:r w:rsidR="00B45999" w:rsidRPr="00EA3B33">
        <w:t xml:space="preserve">initiative </w:t>
      </w:r>
      <w:r w:rsidR="00867400" w:rsidRPr="00EA3B33">
        <w:t>garnered significant coverage</w:t>
      </w:r>
      <w:r w:rsidR="00864AB8" w:rsidRPr="00EA3B33">
        <w:t xml:space="preserve"> across traditional, digital</w:t>
      </w:r>
      <w:r w:rsidR="00EA3B33" w:rsidRPr="00EA3B33">
        <w:t>,</w:t>
      </w:r>
      <w:r w:rsidR="00864AB8" w:rsidRPr="00EA3B33">
        <w:t xml:space="preserve"> and social media </w:t>
      </w:r>
      <w:r w:rsidR="00C845B8" w:rsidRPr="00EA3B33">
        <w:t xml:space="preserve">channels </w:t>
      </w:r>
      <w:r w:rsidR="00864AB8" w:rsidRPr="00EA3B33">
        <w:t xml:space="preserve">with </w:t>
      </w:r>
      <w:r w:rsidR="00593AF3" w:rsidRPr="00EA3B33">
        <w:t>242</w:t>
      </w:r>
      <w:r w:rsidR="00C30EFC" w:rsidRPr="00EA3B33">
        <w:t>,415,099 media impressions in 2023</w:t>
      </w:r>
      <w:r w:rsidR="0058025B" w:rsidRPr="00EA3B33">
        <w:t xml:space="preserve"> and 303,286</w:t>
      </w:r>
      <w:r w:rsidR="00832F1B" w:rsidRPr="00EA3B33">
        <w:t>,386</w:t>
      </w:r>
      <w:r w:rsidR="00AE1BF8" w:rsidRPr="00EA3B33">
        <w:t xml:space="preserve"> in 2024 for residential </w:t>
      </w:r>
      <w:r w:rsidR="00EA3B33" w:rsidRPr="00EA3B33">
        <w:t>customers</w:t>
      </w:r>
      <w:r w:rsidR="00AE1BF8" w:rsidRPr="00EA3B33">
        <w:t xml:space="preserve"> </w:t>
      </w:r>
      <w:r w:rsidR="00B963B8" w:rsidRPr="00EA3B33">
        <w:t xml:space="preserve">and </w:t>
      </w:r>
      <w:r w:rsidR="00EE3E6D" w:rsidRPr="00EA3B33">
        <w:t>27</w:t>
      </w:r>
      <w:r w:rsidR="00681260" w:rsidRPr="00EA3B33">
        <w:t xml:space="preserve">,284,588 media impressions in 2023 and </w:t>
      </w:r>
      <w:r w:rsidR="00110887" w:rsidRPr="00EA3B33">
        <w:t>48,950,852 in 2024 for commercial c</w:t>
      </w:r>
      <w:r w:rsidR="00014A0F" w:rsidRPr="00EA3B33">
        <w:t xml:space="preserve">ustomers. </w:t>
      </w:r>
    </w:p>
    <w:p w14:paraId="761A2F47" w14:textId="5EDD5066" w:rsidR="002464EB" w:rsidRDefault="00940424" w:rsidP="008B79F4">
      <w:pPr>
        <w:pStyle w:val="Heading3"/>
        <w:spacing w:before="120" w:after="120"/>
      </w:pPr>
      <w:r>
        <w:t xml:space="preserve">7.2.6 – </w:t>
      </w:r>
      <w:r w:rsidR="002464EB">
        <w:t xml:space="preserve">Pilot Studies </w:t>
      </w:r>
    </w:p>
    <w:p w14:paraId="298ACBCE" w14:textId="5C5A6939" w:rsidR="002464EB" w:rsidRDefault="002464EB" w:rsidP="00CD30CB">
      <w:pPr>
        <w:jc w:val="both"/>
      </w:pPr>
      <w:r>
        <w:t>Georgia Power engages in pilot studies to better understand emerging energy efficiency and demand response options for the benefit of customers. In the</w:t>
      </w:r>
      <w:r w:rsidR="62C20B0A">
        <w:t xml:space="preserve"> 2019 and</w:t>
      </w:r>
      <w:r>
        <w:t xml:space="preserve"> </w:t>
      </w:r>
      <w:r w:rsidR="00282E8B">
        <w:t>202</w:t>
      </w:r>
      <w:r w:rsidR="00636107">
        <w:t>2</w:t>
      </w:r>
      <w:r>
        <w:t xml:space="preserve"> IRP, the Commission approved a $3 million annual budget for DSM energy efficiency pilot programs. Since </w:t>
      </w:r>
      <w:r w:rsidR="00D17C66">
        <w:t>202</w:t>
      </w:r>
      <w:r w:rsidR="00636107">
        <w:t>3</w:t>
      </w:r>
      <w:r>
        <w:t>, Georgia Power</w:t>
      </w:r>
      <w:r w:rsidR="00D07048">
        <w:t xml:space="preserve"> has</w:t>
      </w:r>
      <w:r>
        <w:t xml:space="preserve"> launched </w:t>
      </w:r>
      <w:r w:rsidR="000E6251">
        <w:t xml:space="preserve">seven </w:t>
      </w:r>
      <w:r>
        <w:t xml:space="preserve">residential pilot initiatives: </w:t>
      </w:r>
      <w:r w:rsidR="00A178BD">
        <w:t>Income Qualified Portal</w:t>
      </w:r>
      <w:r w:rsidR="00D07048">
        <w:t>;</w:t>
      </w:r>
      <w:r w:rsidR="00A178BD">
        <w:t xml:space="preserve"> Manufacture</w:t>
      </w:r>
      <w:r w:rsidR="00977468">
        <w:t>d</w:t>
      </w:r>
      <w:r w:rsidR="00A178BD">
        <w:t xml:space="preserve"> Home</w:t>
      </w:r>
      <w:r w:rsidR="00977468">
        <w:t>s</w:t>
      </w:r>
      <w:r w:rsidR="00D07048">
        <w:t>;</w:t>
      </w:r>
      <w:r w:rsidR="00977468">
        <w:t xml:space="preserve"> Phase Change </w:t>
      </w:r>
      <w:r w:rsidR="00492B3D">
        <w:t>Insulation</w:t>
      </w:r>
      <w:r w:rsidR="00D07048">
        <w:t>;</w:t>
      </w:r>
      <w:r w:rsidR="00977468">
        <w:t xml:space="preserve"> </w:t>
      </w:r>
      <w:r w:rsidR="002C170D">
        <w:t>EV</w:t>
      </w:r>
      <w:r w:rsidR="00977468">
        <w:t xml:space="preserve"> Managed Charging</w:t>
      </w:r>
      <w:r w:rsidR="00D07048">
        <w:t>;</w:t>
      </w:r>
      <w:r w:rsidR="008B58C9">
        <w:t xml:space="preserve"> </w:t>
      </w:r>
      <w:r w:rsidR="00806714">
        <w:t>All-in-</w:t>
      </w:r>
      <w:r w:rsidR="00D07048">
        <w:t>O</w:t>
      </w:r>
      <w:r w:rsidR="00806714">
        <w:t xml:space="preserve">ne </w:t>
      </w:r>
      <w:r w:rsidR="009D0933">
        <w:t xml:space="preserve">Heat Pump </w:t>
      </w:r>
      <w:r w:rsidR="00806714">
        <w:t>Washer Dryer</w:t>
      </w:r>
      <w:r w:rsidR="00D07048">
        <w:t>;</w:t>
      </w:r>
      <w:r w:rsidR="0078770E">
        <w:t xml:space="preserve"> </w:t>
      </w:r>
      <w:r w:rsidR="00D6382F">
        <w:t>Sense Energy Efficiency</w:t>
      </w:r>
      <w:r w:rsidR="00D07048">
        <w:t>;</w:t>
      </w:r>
      <w:r w:rsidR="0078770E">
        <w:t xml:space="preserve"> and </w:t>
      </w:r>
      <w:r w:rsidR="00E70D27">
        <w:t xml:space="preserve">the </w:t>
      </w:r>
      <w:r w:rsidR="008B58C9">
        <w:t>Equity Insights and Engagement</w:t>
      </w:r>
      <w:r w:rsidR="00C72077">
        <w:t xml:space="preserve"> Research</w:t>
      </w:r>
      <w:r w:rsidR="00D6382F">
        <w:t xml:space="preserve"> pilot</w:t>
      </w:r>
      <w:r w:rsidR="0096575E">
        <w:t>.</w:t>
      </w:r>
      <w:r>
        <w:t xml:space="preserve"> </w:t>
      </w:r>
      <w:r w:rsidR="000C21CB">
        <w:t>Additionally, the Company launched</w:t>
      </w:r>
      <w:r>
        <w:t xml:space="preserve"> </w:t>
      </w:r>
      <w:r w:rsidR="00D6382F">
        <w:t>six</w:t>
      </w:r>
      <w:r w:rsidR="00613BD6">
        <w:t xml:space="preserve"> </w:t>
      </w:r>
      <w:r>
        <w:t xml:space="preserve">commercial </w:t>
      </w:r>
      <w:r w:rsidR="00613BD6">
        <w:t>pilots:</w:t>
      </w:r>
      <w:r>
        <w:t xml:space="preserve"> </w:t>
      </w:r>
      <w:r w:rsidR="00386F5B">
        <w:t>Ener</w:t>
      </w:r>
      <w:r w:rsidR="00AE4300">
        <w:t>gy Monitoring and Intelligence</w:t>
      </w:r>
      <w:r w:rsidR="00DA5398">
        <w:t>;</w:t>
      </w:r>
      <w:r w:rsidR="00AE4300">
        <w:t xml:space="preserve"> </w:t>
      </w:r>
      <w:r w:rsidR="00A525F6">
        <w:t>Digital Twin Energy Management</w:t>
      </w:r>
      <w:r w:rsidR="00DA5398">
        <w:t>;</w:t>
      </w:r>
      <w:r w:rsidR="00A525F6">
        <w:t xml:space="preserve"> </w:t>
      </w:r>
      <w:r w:rsidR="00DC5E42">
        <w:t>IoT</w:t>
      </w:r>
      <w:r w:rsidR="00600D3E">
        <w:t xml:space="preserve"> Building Management</w:t>
      </w:r>
      <w:r w:rsidR="00DA5398">
        <w:t>;</w:t>
      </w:r>
      <w:r w:rsidR="00744899">
        <w:t xml:space="preserve"> </w:t>
      </w:r>
      <w:r w:rsidR="00F41188">
        <w:t xml:space="preserve">Aeroseal </w:t>
      </w:r>
      <w:r w:rsidR="00263B1D">
        <w:t>Duct Insulation</w:t>
      </w:r>
      <w:r w:rsidR="00DA5398">
        <w:t>;</w:t>
      </w:r>
      <w:r w:rsidR="00263B1D">
        <w:t xml:space="preserve"> </w:t>
      </w:r>
      <w:r w:rsidR="00D6382F">
        <w:t>Small Commercial Induction Cooking</w:t>
      </w:r>
      <w:r w:rsidR="00DA5398">
        <w:t>;</w:t>
      </w:r>
      <w:r w:rsidR="00D6382F">
        <w:t xml:space="preserve"> </w:t>
      </w:r>
      <w:r w:rsidR="00263B1D">
        <w:t xml:space="preserve">and </w:t>
      </w:r>
      <w:r w:rsidR="00E70D27">
        <w:t xml:space="preserve">the </w:t>
      </w:r>
      <w:r w:rsidR="00263B1D">
        <w:t>Small Commercial Direct Install Equity</w:t>
      </w:r>
      <w:r w:rsidR="00744899">
        <w:t xml:space="preserve"> </w:t>
      </w:r>
      <w:r w:rsidR="0080167A">
        <w:t>and Engagement Research</w:t>
      </w:r>
      <w:r>
        <w:t xml:space="preserve"> pilot. The</w:t>
      </w:r>
      <w:r w:rsidR="009A5805">
        <w:t>se</w:t>
      </w:r>
      <w:r>
        <w:t xml:space="preserve"> pilots </w:t>
      </w:r>
      <w:r w:rsidR="00815DDB">
        <w:t xml:space="preserve">inform </w:t>
      </w:r>
      <w:r w:rsidR="0083465D">
        <w:t xml:space="preserve">future </w:t>
      </w:r>
      <w:r w:rsidR="00C960F3">
        <w:t xml:space="preserve">energy efficiency </w:t>
      </w:r>
      <w:r w:rsidR="0083465D">
        <w:t xml:space="preserve">program design with </w:t>
      </w:r>
      <w:r w:rsidR="00B90B86">
        <w:t xml:space="preserve">measurement and verification of </w:t>
      </w:r>
      <w:r w:rsidR="0026686F">
        <w:t xml:space="preserve">emerging technology </w:t>
      </w:r>
      <w:r w:rsidR="00566F24">
        <w:t xml:space="preserve">and customer </w:t>
      </w:r>
      <w:r w:rsidR="007432D0">
        <w:t>satisfaction</w:t>
      </w:r>
      <w:r w:rsidR="00394E84">
        <w:t>.</w:t>
      </w:r>
      <w:r w:rsidR="00C11EE5">
        <w:t xml:space="preserve"> </w:t>
      </w:r>
      <w:r w:rsidR="00E14605">
        <w:t>T</w:t>
      </w:r>
      <w:r w:rsidR="00B90B86">
        <w:t xml:space="preserve">hey </w:t>
      </w:r>
      <w:r>
        <w:t xml:space="preserve">directly influence innovative DSM pilot and program delivery mechanisms </w:t>
      </w:r>
      <w:r w:rsidR="00E4471F">
        <w:t xml:space="preserve">and </w:t>
      </w:r>
      <w:r w:rsidR="009D24EC">
        <w:t>continue</w:t>
      </w:r>
      <w:r w:rsidR="00E4471F">
        <w:t xml:space="preserve"> to</w:t>
      </w:r>
      <w:r w:rsidR="009D24EC">
        <w:t xml:space="preserve"> focus on </w:t>
      </w:r>
      <w:r>
        <w:t>enabl</w:t>
      </w:r>
      <w:r w:rsidR="00840377">
        <w:t>ing</w:t>
      </w:r>
      <w:r>
        <w:t xml:space="preserve"> historically under-represented customer</w:t>
      </w:r>
      <w:r w:rsidR="00840377">
        <w:t>s</w:t>
      </w:r>
      <w:r>
        <w:t xml:space="preserve"> </w:t>
      </w:r>
      <w:r w:rsidR="00A83911">
        <w:t>and</w:t>
      </w:r>
      <w:r>
        <w:t xml:space="preserve"> </w:t>
      </w:r>
      <w:r w:rsidR="005745A8">
        <w:t xml:space="preserve">small and medium businesses </w:t>
      </w:r>
      <w:r w:rsidR="00AF70E5">
        <w:t xml:space="preserve">access </w:t>
      </w:r>
      <w:r w:rsidR="00640A5A">
        <w:t xml:space="preserve">and participation </w:t>
      </w:r>
      <w:r w:rsidR="001506DB">
        <w:t>in</w:t>
      </w:r>
      <w:r w:rsidR="00AF70E5">
        <w:t xml:space="preserve"> </w:t>
      </w:r>
      <w:r w:rsidR="0065749C">
        <w:t>energy efficiency programs</w:t>
      </w:r>
      <w:r>
        <w:t>.</w:t>
      </w:r>
      <w:r w:rsidR="002D6443">
        <w:t xml:space="preserve"> </w:t>
      </w:r>
    </w:p>
    <w:p w14:paraId="4CB96398" w14:textId="3E7DB439" w:rsidR="002464EB" w:rsidRDefault="00893A31" w:rsidP="00CD30CB">
      <w:pPr>
        <w:jc w:val="both"/>
      </w:pPr>
      <w:r>
        <w:t>In the</w:t>
      </w:r>
      <w:r w:rsidR="002464EB">
        <w:t xml:space="preserve"> </w:t>
      </w:r>
      <w:r w:rsidR="007C63F7">
        <w:t xml:space="preserve">2025 </w:t>
      </w:r>
      <w:r w:rsidR="002464EB">
        <w:t xml:space="preserve">IRP, the Company </w:t>
      </w:r>
      <w:r>
        <w:t xml:space="preserve">is </w:t>
      </w:r>
      <w:r w:rsidR="002464EB">
        <w:t>seek</w:t>
      </w:r>
      <w:r>
        <w:t>ing</w:t>
      </w:r>
      <w:r w:rsidR="002464EB">
        <w:t xml:space="preserve"> Commission approval of</w:t>
      </w:r>
      <w:r w:rsidR="00C36A93">
        <w:t xml:space="preserve"> a</w:t>
      </w:r>
      <w:r w:rsidR="002464EB" w:rsidDel="00C36A93">
        <w:t xml:space="preserve"> </w:t>
      </w:r>
      <w:r w:rsidR="002464EB">
        <w:t xml:space="preserve">$1.5 million budget for residential </w:t>
      </w:r>
      <w:r w:rsidR="00117D3A">
        <w:t xml:space="preserve">pilots </w:t>
      </w:r>
      <w:r w:rsidR="002464EB">
        <w:t xml:space="preserve">and $1.5 million budget for commercial pilots, as outlined in the supporting documents included in Company’s </w:t>
      </w:r>
      <w:r w:rsidR="00B230C6">
        <w:t xml:space="preserve">2025 </w:t>
      </w:r>
      <w:r w:rsidR="002464EB">
        <w:t xml:space="preserve">DSM Application. </w:t>
      </w:r>
    </w:p>
    <w:p w14:paraId="2635D1EC" w14:textId="4635BD18" w:rsidR="002464EB" w:rsidRPr="00D91805" w:rsidRDefault="00D91805" w:rsidP="00D91805">
      <w:pPr>
        <w:pStyle w:val="Heading2"/>
      </w:pPr>
      <w:bookmarkStart w:id="33" w:name="_Toc189122758"/>
      <w:r>
        <w:lastRenderedPageBreak/>
        <w:t xml:space="preserve">7.3 – </w:t>
      </w:r>
      <w:r w:rsidR="002464EB" w:rsidRPr="00D91805">
        <w:t>DSM Resource Assessment and Initial Cost-Effectiveness Screening</w:t>
      </w:r>
      <w:bookmarkEnd w:id="33"/>
    </w:p>
    <w:p w14:paraId="79C30939" w14:textId="5B765542" w:rsidR="002464EB" w:rsidRDefault="00940424" w:rsidP="00A44ADD">
      <w:pPr>
        <w:pStyle w:val="Heading3"/>
        <w:spacing w:before="120" w:after="120"/>
      </w:pPr>
      <w:r>
        <w:t xml:space="preserve">7.3.1 – </w:t>
      </w:r>
      <w:r w:rsidR="002464EB">
        <w:t>Assessment and Screening Methodology</w:t>
      </w:r>
    </w:p>
    <w:p w14:paraId="4A45BC47" w14:textId="47FD09E6" w:rsidR="002464EB" w:rsidRDefault="002464EB" w:rsidP="00CD30CB">
      <w:pPr>
        <w:jc w:val="both"/>
      </w:pPr>
      <w:r>
        <w:t>The assessment and screening methodology for DSM measures</w:t>
      </w:r>
      <w:r w:rsidDel="009E3832">
        <w:t xml:space="preserve"> </w:t>
      </w:r>
      <w:r>
        <w:t>in this IRP included identifying DSM measures and programs with input from the DSMWG. Economic evaluations were performed for each measure and program to determine</w:t>
      </w:r>
      <w:r w:rsidDel="0056001A">
        <w:t xml:space="preserve"> </w:t>
      </w:r>
      <w:r>
        <w:t>program cost-effectiveness based on industry-standard benefit/cost tests</w:t>
      </w:r>
      <w:r w:rsidR="00F95935">
        <w:t>,</w:t>
      </w:r>
      <w:r w:rsidDel="00F95935">
        <w:t xml:space="preserve"> </w:t>
      </w:r>
      <w:r>
        <w:t xml:space="preserve">as required by the Commission IRP rules. The tests </w:t>
      </w:r>
      <w:r w:rsidR="00326CBA">
        <w:t>include</w:t>
      </w:r>
      <w:r>
        <w:t xml:space="preserve"> RIM Test, TRC Test, Participants Test (“PT”), Program Administrator Cost Test (“PACT”), and Societal Cost Test (“SCT”). The RIM Test</w:t>
      </w:r>
      <w:r w:rsidDel="00B1553C">
        <w:t xml:space="preserve"> </w:t>
      </w:r>
      <w:r>
        <w:t>measur</w:t>
      </w:r>
      <w:r w:rsidR="00B1553C">
        <w:t>es</w:t>
      </w:r>
      <w:r w:rsidR="0040392C">
        <w:t xml:space="preserve"> </w:t>
      </w:r>
      <w:r w:rsidR="00DA2C87">
        <w:t xml:space="preserve">the impact </w:t>
      </w:r>
      <w:r>
        <w:t xml:space="preserve">to customers’ rates due to changes in utility revenues and operating costs caused by </w:t>
      </w:r>
      <w:r w:rsidR="00CB79B1">
        <w:t xml:space="preserve">a </w:t>
      </w:r>
      <w:r>
        <w:t>program. The TRC Test measur</w:t>
      </w:r>
      <w:r w:rsidR="00CB79B1">
        <w:t>es</w:t>
      </w:r>
      <w:r>
        <w:t xml:space="preserve"> the net costs of a DSM program as a resource option based on the total costs of the program, including both the participants’ and the utility’s costs. The PT assesses the impact on a program participant by measuring the quantifiable benefits and costs to the customer due to participation in a program. The PACT assesses the net costs of a DSM program as a resource option based on the costs incurred by the program administrator (including incentive costs) excluding any net costs incurred by the participant. The SCT is a variant of the TRC Test and includes an adder to avoided fuel costs to simulate environmental externalities.</w:t>
      </w:r>
    </w:p>
    <w:p w14:paraId="7054D146" w14:textId="6C5F79CC" w:rsidR="002464EB" w:rsidRDefault="002464EB" w:rsidP="00CD30CB">
      <w:pPr>
        <w:jc w:val="both"/>
      </w:pPr>
      <w:r>
        <w:t>The Company met with the DSMWG eight times in 202</w:t>
      </w:r>
      <w:r w:rsidR="2B3A9F39">
        <w:t>3</w:t>
      </w:r>
      <w:r>
        <w:t xml:space="preserve"> and 202</w:t>
      </w:r>
      <w:r w:rsidR="3C02B829">
        <w:t>4</w:t>
      </w:r>
      <w:r>
        <w:t xml:space="preserve"> </w:t>
      </w:r>
      <w:r w:rsidR="00895854">
        <w:t>regarding</w:t>
      </w:r>
      <w:r>
        <w:t xml:space="preserve"> DSM program design details. A smaller sub-group of the DSMWG met and identified the program concepts and measures considered for economic screening in support of the 202</w:t>
      </w:r>
      <w:r w:rsidR="34F10BA2">
        <w:t>5</w:t>
      </w:r>
      <w:r>
        <w:t xml:space="preserve"> IRP development. </w:t>
      </w:r>
      <w:r w:rsidR="00C758F5">
        <w:t>T</w:t>
      </w:r>
      <w:r>
        <w:t>he sub-group</w:t>
      </w:r>
      <w:r w:rsidR="00C758F5">
        <w:t>’s input</w:t>
      </w:r>
      <w:r w:rsidDel="00C758F5">
        <w:t xml:space="preserve"> </w:t>
      </w:r>
      <w:r>
        <w:t xml:space="preserve">was used in developing the list of programs and measures to analyze. This list was shared with the larger DSMWG for solicitation of additional feedback. </w:t>
      </w:r>
      <w:r w:rsidR="00AE1D2F">
        <w:t>Certain members</w:t>
      </w:r>
      <w:r>
        <w:t xml:space="preserve"> of the DSMWG reached </w:t>
      </w:r>
      <w:r w:rsidR="00EE519A">
        <w:t xml:space="preserve">agreement </w:t>
      </w:r>
      <w:r>
        <w:t>regarding some</w:t>
      </w:r>
      <w:r w:rsidR="00E86148">
        <w:t xml:space="preserve"> of the</w:t>
      </w:r>
      <w:r>
        <w:t xml:space="preserve"> programs to </w:t>
      </w:r>
      <w:r w:rsidR="00E86148">
        <w:t xml:space="preserve">be </w:t>
      </w:r>
      <w:r>
        <w:t>include</w:t>
      </w:r>
      <w:r w:rsidR="00E86148">
        <w:t>d</w:t>
      </w:r>
      <w:r>
        <w:t xml:space="preserve"> in the analysis of the DSMWG Advocacy Case. </w:t>
      </w:r>
      <w:r w:rsidR="00945150">
        <w:t>In addition, t</w:t>
      </w:r>
      <w:r>
        <w:t>he preliminary results of the program economic screening were shared with the DSMWG in 202</w:t>
      </w:r>
      <w:r w:rsidR="57D26FAD">
        <w:t>4</w:t>
      </w:r>
      <w:r>
        <w:t>.</w:t>
      </w:r>
    </w:p>
    <w:p w14:paraId="00ED5056" w14:textId="5ADBF4FA" w:rsidR="002464EB" w:rsidRDefault="00940424" w:rsidP="00A44ADD">
      <w:pPr>
        <w:pStyle w:val="Heading3"/>
        <w:spacing w:before="120" w:after="120"/>
      </w:pPr>
      <w:r>
        <w:t xml:space="preserve">7.3.2 – </w:t>
      </w:r>
      <w:r w:rsidR="002464EB">
        <w:t>DSM Program Economic Screening Policy</w:t>
      </w:r>
    </w:p>
    <w:p w14:paraId="233579E3" w14:textId="736B477F" w:rsidR="00C75371" w:rsidRDefault="002464EB" w:rsidP="00CD30CB">
      <w:pPr>
        <w:jc w:val="both"/>
      </w:pPr>
      <w:r>
        <w:t xml:space="preserve">The Company continues to follow the Commission’s economic screening policy outlined in the 2004 IRP Order in Docket No. 17687. This policy requires the Company to offer a DSM plan that minimizes upward pressure on rates and maximizes economic efficiency. </w:t>
      </w:r>
      <w:r w:rsidR="00517543">
        <w:t>T</w:t>
      </w:r>
      <w:r>
        <w:t xml:space="preserve">he Company’s DSM plan treats DSM as a priority resource. In fact, the first step in the Company’s IRP process is to reduce the Company’s load and energy forecasts by the Proposed Case’s energy and demand impacts, prior to developing supply-side alternatives. </w:t>
      </w:r>
    </w:p>
    <w:p w14:paraId="5E49B072" w14:textId="4CDD22B0" w:rsidR="002464EB" w:rsidRDefault="00517543" w:rsidP="00CD30CB">
      <w:pPr>
        <w:jc w:val="both"/>
      </w:pPr>
      <w:r>
        <w:t>E</w:t>
      </w:r>
      <w:r w:rsidR="002464EB">
        <w:t>conomic screening for DSM programs</w:t>
      </w:r>
      <w:r>
        <w:t xml:space="preserve"> in the 2025 IRP</w:t>
      </w:r>
      <w:r w:rsidR="002464EB">
        <w:t xml:space="preserve"> was completed using </w:t>
      </w:r>
      <w:r w:rsidR="022E7BC2">
        <w:t xml:space="preserve">two </w:t>
      </w:r>
      <w:r w:rsidR="002464EB">
        <w:t>scenario</w:t>
      </w:r>
      <w:r w:rsidR="75022FC5">
        <w:t>s</w:t>
      </w:r>
      <w:r w:rsidR="004612C1">
        <w:t xml:space="preserve"> </w:t>
      </w:r>
      <w:r w:rsidR="11C9EAC9">
        <w:t>– 111</w:t>
      </w:r>
      <w:r w:rsidR="005C23A5">
        <w:t xml:space="preserve">-MG0 </w:t>
      </w:r>
      <w:r w:rsidR="11C9EAC9">
        <w:t xml:space="preserve">and </w:t>
      </w:r>
      <w:r w:rsidR="002464EB" w:rsidDel="002464EB">
        <w:t>MG0</w:t>
      </w:r>
      <w:r w:rsidR="002464EB">
        <w:t xml:space="preserve">. </w:t>
      </w:r>
      <w:r w:rsidR="00113D81">
        <w:t>Chapter</w:t>
      </w:r>
      <w:r w:rsidR="002464EB">
        <w:t xml:space="preserve"> </w:t>
      </w:r>
      <w:r w:rsidR="00700CE5">
        <w:t>3</w:t>
      </w:r>
      <w:r w:rsidR="002464EB">
        <w:t xml:space="preserve"> </w:t>
      </w:r>
      <w:r w:rsidR="007716EC">
        <w:t>provides additional</w:t>
      </w:r>
      <w:r w:rsidR="002464EB">
        <w:t xml:space="preserve"> information on these scenarios. The Proposed Case’s cost-effectiveness results reflect</w:t>
      </w:r>
      <w:r w:rsidR="00604DD2">
        <w:t xml:space="preserve"> either</w:t>
      </w:r>
      <w:r w:rsidR="002464EB">
        <w:t xml:space="preserve"> the continuation of, or modifications to, certain current DSM programs, the addition of </w:t>
      </w:r>
      <w:r w:rsidR="00E9682C">
        <w:t xml:space="preserve">a </w:t>
      </w:r>
      <w:r w:rsidR="002464EB">
        <w:t xml:space="preserve">new DSM program, and the decertification of certain existing DSM programs. </w:t>
      </w:r>
      <w:r w:rsidR="00241E5E">
        <w:t>With</w:t>
      </w:r>
      <w:r w:rsidR="65729556">
        <w:t xml:space="preserve"> the increased DSM program goals and costs resulting from the Vogtle </w:t>
      </w:r>
      <w:r w:rsidR="00C75371">
        <w:t>Prudence Order</w:t>
      </w:r>
      <w:r w:rsidR="00241E5E">
        <w:t xml:space="preserve">, </w:t>
      </w:r>
      <w:r w:rsidR="199ECD8A">
        <w:t xml:space="preserve">in </w:t>
      </w:r>
      <w:r w:rsidR="00241E5E">
        <w:t>which</w:t>
      </w:r>
      <w:r w:rsidR="65729556">
        <w:t xml:space="preserve"> </w:t>
      </w:r>
      <w:r w:rsidR="00326EF0">
        <w:t xml:space="preserve">Georgia Power </w:t>
      </w:r>
      <w:r w:rsidR="5B6CEC80">
        <w:t>agreed</w:t>
      </w:r>
      <w:r w:rsidR="00326EF0">
        <w:t xml:space="preserve"> to propose in the 2025 IRP a base case of</w:t>
      </w:r>
      <w:r w:rsidR="65729556">
        <w:t xml:space="preserve"> DSM</w:t>
      </w:r>
      <w:r w:rsidR="00326EF0">
        <w:t xml:space="preserve"> performance savings targets of at least </w:t>
      </w:r>
      <w:r w:rsidR="0004465B">
        <w:t>0</w:t>
      </w:r>
      <w:r w:rsidR="65729556">
        <w:t>.75% of</w:t>
      </w:r>
      <w:r w:rsidR="00541BFE">
        <w:t xml:space="preserve"> annual retail</w:t>
      </w:r>
      <w:r w:rsidR="65729556">
        <w:t xml:space="preserve"> </w:t>
      </w:r>
      <w:r w:rsidR="002C6226">
        <w:t>sales,</w:t>
      </w:r>
      <w:r w:rsidR="002464EB">
        <w:t xml:space="preserve"> the rate impacts for the proposed programs will be </w:t>
      </w:r>
      <w:r w:rsidR="00F614E4">
        <w:t xml:space="preserve">significantly </w:t>
      </w:r>
      <w:r w:rsidR="002464EB">
        <w:t>larger than those approved in the 20</w:t>
      </w:r>
      <w:r w:rsidR="637F199C">
        <w:t>22</w:t>
      </w:r>
      <w:r w:rsidR="002464EB">
        <w:t xml:space="preserve"> IRP Order. </w:t>
      </w:r>
      <w:r w:rsidR="00ED5B71" w:rsidRPr="00ED5B71">
        <w:t xml:space="preserve">The net TRC benefits and RIM </w:t>
      </w:r>
      <w:r w:rsidR="00ED5B71" w:rsidRPr="00ED5B71">
        <w:lastRenderedPageBreak/>
        <w:t>impacts of energy efficiency programs in the Company’s Proposed Case for the 2025 IRP</w:t>
      </w:r>
      <w:r w:rsidR="003C3DA4">
        <w:t xml:space="preserve"> for years 2026-2028</w:t>
      </w:r>
      <w:r w:rsidR="00ED5B71" w:rsidRPr="00ED5B71">
        <w:t xml:space="preserve"> </w:t>
      </w:r>
      <w:r w:rsidR="003C3DA4">
        <w:t>are</w:t>
      </w:r>
      <w:r w:rsidR="00ED5B71" w:rsidRPr="00ED5B71">
        <w:t xml:space="preserve"> listed in </w:t>
      </w:r>
      <w:r w:rsidR="00A15537">
        <w:t>Table</w:t>
      </w:r>
      <w:r w:rsidR="00ED5B71" w:rsidRPr="00ED5B71">
        <w:t xml:space="preserve"> 7.3</w:t>
      </w:r>
      <w:r w:rsidR="002C26DD">
        <w:t xml:space="preserve"> below. </w:t>
      </w:r>
    </w:p>
    <w:p w14:paraId="16AAAC6F" w14:textId="7D645B14" w:rsidR="562EE8C6" w:rsidRDefault="14F6A88E" w:rsidP="562EE8C6">
      <w:pPr>
        <w:jc w:val="both"/>
      </w:pPr>
      <w:r>
        <w:t>Due to the significant upward pressure on rates resulting from the Proposed Case, the Company developed a Capacity and Affordability Case sensitivity</w:t>
      </w:r>
      <w:r w:rsidR="0C90BE13">
        <w:t>.</w:t>
      </w:r>
      <w:r>
        <w:t xml:space="preserve"> </w:t>
      </w:r>
      <w:r w:rsidR="661019E4">
        <w:t>The Capacity and Affordability Case</w:t>
      </w:r>
      <w:r>
        <w:t xml:space="preserve"> </w:t>
      </w:r>
      <w:r w:rsidR="661019E4">
        <w:t>is intended to address customer affordability and capacity constraints</w:t>
      </w:r>
      <w:r>
        <w:t xml:space="preserve"> </w:t>
      </w:r>
      <w:r w:rsidR="661019E4">
        <w:t>and</w:t>
      </w:r>
      <w:r>
        <w:t xml:space="preserve"> substantially mitigates the upward pressure on rates associated with the Proposed Case.</w:t>
      </w:r>
    </w:p>
    <w:p w14:paraId="28817CA0" w14:textId="28AFC11E" w:rsidR="002464EB" w:rsidRDefault="00670646" w:rsidP="00CD30CB">
      <w:pPr>
        <w:jc w:val="both"/>
      </w:pPr>
      <w:r w:rsidRPr="00C21920">
        <w:t xml:space="preserve">The Company also developed the Supply-Side sensitivity as required by the 2022 IRP Order. The Supply-Side sensitivity includes programs from the Proposed Case that are modeled in the Company’s supply-side </w:t>
      </w:r>
      <w:r w:rsidR="00743ED1" w:rsidRPr="00C21920">
        <w:t>model, Aurora,</w:t>
      </w:r>
      <w:r w:rsidRPr="00C21920">
        <w:t xml:space="preserve"> to determine which programs are cost-effective when compared to other supply-side resources.</w:t>
      </w:r>
      <w:r w:rsidR="00956A36" w:rsidRPr="00C21920">
        <w:t xml:space="preserve"> </w:t>
      </w:r>
      <w:r w:rsidR="003F2DCC" w:rsidRPr="00C21920">
        <w:t>Aurora</w:t>
      </w:r>
      <w:r w:rsidRPr="00C21920">
        <w:t xml:space="preserve"> evaluates resources on a net present value basis and does not provide TRC and RIM results.</w:t>
      </w:r>
      <w:r w:rsidR="00956A36" w:rsidRPr="00C21920">
        <w:t xml:space="preserve"> </w:t>
      </w:r>
      <w:r w:rsidR="002464EB">
        <w:t>At the request of some DSMWG</w:t>
      </w:r>
      <w:r w:rsidR="00202242">
        <w:t xml:space="preserve"> members</w:t>
      </w:r>
      <w:r w:rsidR="002464EB">
        <w:t xml:space="preserve">, the Company agreed to analyze the DSMWG Advocacy Case, which assumes significantly higher levels of cumulative energy savings. The DSMWG’s Advocacy Case </w:t>
      </w:r>
      <w:r w:rsidR="00BA6A06">
        <w:t>reflects similar levels of</w:t>
      </w:r>
      <w:r w:rsidR="002464EB" w:rsidDel="00BA6A06">
        <w:t xml:space="preserve"> </w:t>
      </w:r>
      <w:r w:rsidR="002464EB">
        <w:t>energy savings targets included in the Company’s Proposed Case, as well as</w:t>
      </w:r>
      <w:r w:rsidR="00E569F3">
        <w:t xml:space="preserve"> an</w:t>
      </w:r>
      <w:r w:rsidR="002464EB">
        <w:t xml:space="preserve"> additional </w:t>
      </w:r>
      <w:r w:rsidR="0026131F">
        <w:t xml:space="preserve">industrial </w:t>
      </w:r>
      <w:r w:rsidR="002464EB">
        <w:t>program proposed by certain members of the DSMWG.</w:t>
      </w:r>
    </w:p>
    <w:p w14:paraId="0A96D6FA" w14:textId="36783B75" w:rsidR="002464EB" w:rsidRDefault="00E74EA2" w:rsidP="00CD30CB">
      <w:pPr>
        <w:jc w:val="both"/>
      </w:pPr>
      <w:r>
        <w:t>The higher levels of market penetration in the DSMWG’s Advocacy sensitivity case ultimately result</w:t>
      </w:r>
      <w:r w:rsidR="00670646">
        <w:t>s</w:t>
      </w:r>
      <w:r>
        <w:t xml:space="preserve"> in </w:t>
      </w:r>
      <w:r w:rsidR="00670646">
        <w:t xml:space="preserve">increased </w:t>
      </w:r>
      <w:r>
        <w:t xml:space="preserve">upward rate pressure </w:t>
      </w:r>
      <w:r w:rsidR="000E762D">
        <w:t xml:space="preserve">for years 2026-2028, </w:t>
      </w:r>
      <w:r>
        <w:t xml:space="preserve">as seen in </w:t>
      </w:r>
      <w:r w:rsidR="00BE3487">
        <w:t>Table</w:t>
      </w:r>
      <w:r>
        <w:t xml:space="preserve"> 7.3</w:t>
      </w:r>
      <w:r w:rsidR="000E762D">
        <w:t xml:space="preserve"> below. </w:t>
      </w:r>
      <w:r w:rsidR="00C65372" w:rsidRPr="00C65372">
        <w:t>In addition, the DSMWG’s Advocacy sensitivity case also includes an industrial DSM program</w:t>
      </w:r>
      <w:r w:rsidR="003F2DCC">
        <w:t>,</w:t>
      </w:r>
      <w:r w:rsidR="00C65372" w:rsidRPr="00C65372">
        <w:t xml:space="preserve"> which runs counter to the Commission</w:t>
      </w:r>
      <w:r w:rsidR="003F2DCC">
        <w:t>’</w:t>
      </w:r>
      <w:r w:rsidR="00C65372" w:rsidRPr="00C65372">
        <w:t>s position on the exclusion of industrial DSM programs from prior IRPs.</w:t>
      </w:r>
      <w:r w:rsidR="00C65372">
        <w:t xml:space="preserve"> </w:t>
      </w:r>
      <w:r w:rsidR="00670646">
        <w:t xml:space="preserve">For </w:t>
      </w:r>
      <w:r w:rsidR="00C65372">
        <w:t>these</w:t>
      </w:r>
      <w:r w:rsidR="00670646">
        <w:t xml:space="preserve"> reason</w:t>
      </w:r>
      <w:r w:rsidR="00C65372">
        <w:t>s</w:t>
      </w:r>
      <w:r w:rsidR="00670646">
        <w:t>, the Company did not use the DSMWG Advocacy Case and recommends that the Commission not adopt it either</w:t>
      </w:r>
      <w:r w:rsidR="002464EB">
        <w:t xml:space="preserve">. </w:t>
      </w:r>
      <w:r w:rsidR="007F3D5E">
        <w:t xml:space="preserve">The net TRC benefits and RIM impacts of energy efficiency programs in the </w:t>
      </w:r>
      <w:r w:rsidR="00670646">
        <w:t>various DSM cases</w:t>
      </w:r>
      <w:r w:rsidR="007F3D5E">
        <w:t xml:space="preserve"> for the 2025 IRP </w:t>
      </w:r>
      <w:r w:rsidR="00670646">
        <w:t xml:space="preserve">are </w:t>
      </w:r>
      <w:r w:rsidR="007F3D5E">
        <w:t xml:space="preserve">listed in </w:t>
      </w:r>
      <w:r w:rsidR="00F36733">
        <w:t>Table</w:t>
      </w:r>
      <w:r w:rsidR="007F3D5E">
        <w:t xml:space="preserve"> 7.3 below.</w:t>
      </w:r>
    </w:p>
    <w:p w14:paraId="0F5BBA1D" w14:textId="1D3AB7D7" w:rsidR="0046326F" w:rsidRPr="00F914CD" w:rsidRDefault="00F36733" w:rsidP="052DF2F6">
      <w:pPr>
        <w:jc w:val="center"/>
        <w:rPr>
          <w:i/>
          <w:iCs/>
        </w:rPr>
      </w:pPr>
      <w:r w:rsidRPr="052DF2F6">
        <w:rPr>
          <w:i/>
          <w:iCs/>
        </w:rPr>
        <w:t>Table</w:t>
      </w:r>
      <w:r w:rsidR="0046326F" w:rsidRPr="052DF2F6">
        <w:rPr>
          <w:i/>
          <w:iCs/>
        </w:rPr>
        <w:t xml:space="preserve"> 7.3: TRC and RIM </w:t>
      </w:r>
      <w:r w:rsidR="008F212A">
        <w:rPr>
          <w:i/>
          <w:iCs/>
        </w:rPr>
        <w:t>I</w:t>
      </w:r>
      <w:r w:rsidR="0046326F" w:rsidRPr="052DF2F6">
        <w:rPr>
          <w:i/>
          <w:iCs/>
        </w:rPr>
        <w:t xml:space="preserve">mpacts of DSM </w:t>
      </w:r>
      <w:r w:rsidR="008F212A">
        <w:rPr>
          <w:i/>
          <w:iCs/>
        </w:rPr>
        <w:t>C</w:t>
      </w:r>
      <w:r w:rsidR="0046326F" w:rsidRPr="052DF2F6">
        <w:rPr>
          <w:i/>
          <w:iCs/>
        </w:rPr>
        <w:t>ases</w:t>
      </w:r>
      <w:r w:rsidR="00062A57">
        <w:rPr>
          <w:i/>
          <w:iCs/>
        </w:rPr>
        <w:t xml:space="preserve"> for 2026-2028 (</w:t>
      </w:r>
      <w:r w:rsidR="00670646">
        <w:rPr>
          <w:i/>
          <w:iCs/>
        </w:rPr>
        <w:t xml:space="preserve">NPV </w:t>
      </w:r>
      <w:r w:rsidR="00062A57">
        <w:rPr>
          <w:i/>
          <w:iCs/>
        </w:rPr>
        <w:t>in millions)</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1890"/>
        <w:gridCol w:w="1615"/>
        <w:gridCol w:w="1640"/>
        <w:gridCol w:w="1540"/>
      </w:tblGrid>
      <w:tr w:rsidR="0046326F" w:rsidRPr="0046326F" w14:paraId="1F927926" w14:textId="77777777" w:rsidTr="003273E9">
        <w:trPr>
          <w:trHeight w:val="290"/>
        </w:trPr>
        <w:tc>
          <w:tcPr>
            <w:tcW w:w="2695" w:type="dxa"/>
            <w:vMerge w:val="restart"/>
            <w:shd w:val="clear" w:color="auto" w:fill="auto"/>
            <w:noWrap/>
            <w:vAlign w:val="center"/>
            <w:hideMark/>
          </w:tcPr>
          <w:p w14:paraId="23F4FE58" w14:textId="77777777" w:rsidR="0046326F" w:rsidRPr="0046326F" w:rsidRDefault="0046326F" w:rsidP="0046326F">
            <w:pPr>
              <w:spacing w:after="0" w:line="240" w:lineRule="auto"/>
              <w:jc w:val="center"/>
              <w:rPr>
                <w:rFonts w:ascii="Aptos Narrow" w:eastAsia="Times New Roman" w:hAnsi="Aptos Narrow" w:cs="Times New Roman"/>
                <w:b/>
                <w:bCs/>
                <w:color w:val="000000"/>
                <w:kern w:val="0"/>
                <w14:ligatures w14:val="none"/>
              </w:rPr>
            </w:pPr>
            <w:r w:rsidRPr="0046326F">
              <w:rPr>
                <w:rFonts w:ascii="Aptos Narrow" w:eastAsia="Times New Roman" w:hAnsi="Aptos Narrow" w:cs="Times New Roman"/>
                <w:b/>
                <w:bCs/>
                <w:color w:val="000000"/>
                <w:kern w:val="0"/>
                <w14:ligatures w14:val="none"/>
              </w:rPr>
              <w:t>DSM Cases</w:t>
            </w:r>
          </w:p>
        </w:tc>
        <w:tc>
          <w:tcPr>
            <w:tcW w:w="3505" w:type="dxa"/>
            <w:gridSpan w:val="2"/>
            <w:shd w:val="clear" w:color="auto" w:fill="auto"/>
            <w:noWrap/>
            <w:vAlign w:val="bottom"/>
            <w:hideMark/>
          </w:tcPr>
          <w:p w14:paraId="08CE4506" w14:textId="77777777" w:rsidR="0046326F" w:rsidRPr="0046326F" w:rsidRDefault="0046326F" w:rsidP="0046326F">
            <w:pPr>
              <w:spacing w:after="0" w:line="240" w:lineRule="auto"/>
              <w:jc w:val="center"/>
              <w:rPr>
                <w:rFonts w:ascii="Aptos Narrow" w:eastAsia="Times New Roman" w:hAnsi="Aptos Narrow" w:cs="Times New Roman"/>
                <w:b/>
                <w:bCs/>
                <w:color w:val="000000"/>
                <w:kern w:val="0"/>
                <w14:ligatures w14:val="none"/>
              </w:rPr>
            </w:pPr>
            <w:r w:rsidRPr="0046326F">
              <w:rPr>
                <w:rFonts w:ascii="Aptos Narrow" w:eastAsia="Times New Roman" w:hAnsi="Aptos Narrow" w:cs="Times New Roman"/>
                <w:b/>
                <w:bCs/>
                <w:color w:val="000000"/>
                <w:kern w:val="0"/>
                <w14:ligatures w14:val="none"/>
              </w:rPr>
              <w:t>MG0 scenario</w:t>
            </w:r>
          </w:p>
        </w:tc>
        <w:tc>
          <w:tcPr>
            <w:tcW w:w="3180" w:type="dxa"/>
            <w:gridSpan w:val="2"/>
            <w:shd w:val="clear" w:color="auto" w:fill="auto"/>
            <w:noWrap/>
            <w:vAlign w:val="bottom"/>
            <w:hideMark/>
          </w:tcPr>
          <w:p w14:paraId="6C3A9C7E" w14:textId="77777777" w:rsidR="0046326F" w:rsidRPr="0046326F" w:rsidRDefault="0046326F" w:rsidP="0046326F">
            <w:pPr>
              <w:spacing w:after="0" w:line="240" w:lineRule="auto"/>
              <w:jc w:val="center"/>
              <w:rPr>
                <w:rFonts w:ascii="Aptos Narrow" w:eastAsia="Times New Roman" w:hAnsi="Aptos Narrow" w:cs="Times New Roman"/>
                <w:b/>
                <w:bCs/>
                <w:color w:val="000000"/>
                <w:kern w:val="0"/>
                <w14:ligatures w14:val="none"/>
              </w:rPr>
            </w:pPr>
            <w:r w:rsidRPr="0046326F">
              <w:rPr>
                <w:rFonts w:ascii="Aptos Narrow" w:eastAsia="Times New Roman" w:hAnsi="Aptos Narrow" w:cs="Times New Roman"/>
                <w:b/>
                <w:bCs/>
                <w:color w:val="000000"/>
                <w:kern w:val="0"/>
                <w14:ligatures w14:val="none"/>
              </w:rPr>
              <w:t>111-MG0 scenario</w:t>
            </w:r>
          </w:p>
        </w:tc>
      </w:tr>
      <w:tr w:rsidR="0046326F" w:rsidRPr="0046326F" w14:paraId="6F3D9DA0" w14:textId="77777777" w:rsidTr="003273E9">
        <w:trPr>
          <w:trHeight w:val="580"/>
        </w:trPr>
        <w:tc>
          <w:tcPr>
            <w:tcW w:w="2695" w:type="dxa"/>
            <w:vMerge/>
            <w:vAlign w:val="center"/>
            <w:hideMark/>
          </w:tcPr>
          <w:p w14:paraId="513E6585" w14:textId="77777777" w:rsidR="0046326F" w:rsidRPr="0046326F" w:rsidRDefault="0046326F" w:rsidP="0046326F">
            <w:pPr>
              <w:spacing w:after="0" w:line="240" w:lineRule="auto"/>
              <w:rPr>
                <w:rFonts w:ascii="Aptos Narrow" w:eastAsia="Times New Roman" w:hAnsi="Aptos Narrow" w:cs="Times New Roman"/>
                <w:b/>
                <w:bCs/>
                <w:color w:val="000000"/>
                <w:kern w:val="0"/>
                <w14:ligatures w14:val="none"/>
              </w:rPr>
            </w:pPr>
          </w:p>
        </w:tc>
        <w:tc>
          <w:tcPr>
            <w:tcW w:w="1890" w:type="dxa"/>
            <w:shd w:val="clear" w:color="auto" w:fill="auto"/>
            <w:vAlign w:val="bottom"/>
            <w:hideMark/>
          </w:tcPr>
          <w:p w14:paraId="61C97A6D" w14:textId="623C6725" w:rsidR="0046326F" w:rsidRPr="0046326F" w:rsidRDefault="0046326F" w:rsidP="0046326F">
            <w:pPr>
              <w:spacing w:after="0" w:line="240" w:lineRule="auto"/>
              <w:jc w:val="center"/>
              <w:rPr>
                <w:rFonts w:ascii="Aptos Narrow" w:eastAsia="Times New Roman" w:hAnsi="Aptos Narrow" w:cs="Times New Roman"/>
                <w:b/>
                <w:bCs/>
                <w:color w:val="000000"/>
                <w:kern w:val="0"/>
                <w14:ligatures w14:val="none"/>
              </w:rPr>
            </w:pPr>
            <w:r w:rsidRPr="0046326F">
              <w:rPr>
                <w:rFonts w:ascii="Aptos Narrow" w:eastAsia="Times New Roman" w:hAnsi="Aptos Narrow" w:cs="Times New Roman"/>
                <w:b/>
                <w:bCs/>
                <w:color w:val="000000"/>
                <w:kern w:val="0"/>
                <w14:ligatures w14:val="none"/>
              </w:rPr>
              <w:t xml:space="preserve">TRC net benefits </w:t>
            </w:r>
          </w:p>
        </w:tc>
        <w:tc>
          <w:tcPr>
            <w:tcW w:w="1615" w:type="dxa"/>
            <w:shd w:val="clear" w:color="auto" w:fill="auto"/>
            <w:vAlign w:val="bottom"/>
            <w:hideMark/>
          </w:tcPr>
          <w:p w14:paraId="096AA302" w14:textId="1FB77D6C" w:rsidR="0046326F" w:rsidRPr="0046326F" w:rsidRDefault="0046326F" w:rsidP="0046326F">
            <w:pPr>
              <w:spacing w:after="0" w:line="240" w:lineRule="auto"/>
              <w:jc w:val="center"/>
              <w:rPr>
                <w:rFonts w:ascii="Aptos Narrow" w:eastAsia="Times New Roman" w:hAnsi="Aptos Narrow" w:cs="Times New Roman"/>
                <w:b/>
                <w:bCs/>
                <w:color w:val="000000"/>
                <w:kern w:val="0"/>
                <w14:ligatures w14:val="none"/>
              </w:rPr>
            </w:pPr>
            <w:r w:rsidRPr="0046326F">
              <w:rPr>
                <w:rFonts w:ascii="Aptos Narrow" w:eastAsia="Times New Roman" w:hAnsi="Aptos Narrow" w:cs="Times New Roman"/>
                <w:b/>
                <w:bCs/>
                <w:color w:val="000000"/>
                <w:kern w:val="0"/>
                <w14:ligatures w14:val="none"/>
              </w:rPr>
              <w:t xml:space="preserve">RIM impacts </w:t>
            </w:r>
          </w:p>
        </w:tc>
        <w:tc>
          <w:tcPr>
            <w:tcW w:w="1640" w:type="dxa"/>
            <w:shd w:val="clear" w:color="auto" w:fill="auto"/>
            <w:vAlign w:val="bottom"/>
            <w:hideMark/>
          </w:tcPr>
          <w:p w14:paraId="5AFC3D6C" w14:textId="0D972612" w:rsidR="0046326F" w:rsidRPr="0046326F" w:rsidRDefault="0046326F" w:rsidP="0046326F">
            <w:pPr>
              <w:spacing w:after="0" w:line="240" w:lineRule="auto"/>
              <w:jc w:val="center"/>
              <w:rPr>
                <w:rFonts w:ascii="Aptos Narrow" w:eastAsia="Times New Roman" w:hAnsi="Aptos Narrow" w:cs="Times New Roman"/>
                <w:b/>
                <w:bCs/>
                <w:color w:val="000000"/>
                <w:kern w:val="0"/>
                <w14:ligatures w14:val="none"/>
              </w:rPr>
            </w:pPr>
            <w:r w:rsidRPr="0046326F">
              <w:rPr>
                <w:rFonts w:ascii="Aptos Narrow" w:eastAsia="Times New Roman" w:hAnsi="Aptos Narrow" w:cs="Times New Roman"/>
                <w:b/>
                <w:bCs/>
                <w:color w:val="000000"/>
                <w:kern w:val="0"/>
                <w14:ligatures w14:val="none"/>
              </w:rPr>
              <w:t xml:space="preserve">TRC net benefits </w:t>
            </w:r>
          </w:p>
        </w:tc>
        <w:tc>
          <w:tcPr>
            <w:tcW w:w="1540" w:type="dxa"/>
            <w:shd w:val="clear" w:color="auto" w:fill="auto"/>
            <w:vAlign w:val="bottom"/>
            <w:hideMark/>
          </w:tcPr>
          <w:p w14:paraId="19CD2CD5" w14:textId="705C373C" w:rsidR="0046326F" w:rsidRPr="0046326F" w:rsidRDefault="0046326F" w:rsidP="0046326F">
            <w:pPr>
              <w:spacing w:after="0" w:line="240" w:lineRule="auto"/>
              <w:jc w:val="center"/>
              <w:rPr>
                <w:rFonts w:ascii="Aptos Narrow" w:eastAsia="Times New Roman" w:hAnsi="Aptos Narrow" w:cs="Times New Roman"/>
                <w:b/>
                <w:bCs/>
                <w:color w:val="000000"/>
                <w:kern w:val="0"/>
                <w14:ligatures w14:val="none"/>
              </w:rPr>
            </w:pPr>
            <w:r w:rsidRPr="0046326F">
              <w:rPr>
                <w:rFonts w:ascii="Aptos Narrow" w:eastAsia="Times New Roman" w:hAnsi="Aptos Narrow" w:cs="Times New Roman"/>
                <w:b/>
                <w:bCs/>
                <w:color w:val="000000"/>
                <w:kern w:val="0"/>
                <w14:ligatures w14:val="none"/>
              </w:rPr>
              <w:t xml:space="preserve">RIM impacts </w:t>
            </w:r>
          </w:p>
        </w:tc>
      </w:tr>
      <w:tr w:rsidR="0046326F" w:rsidRPr="0046326F" w14:paraId="5F10B4B7" w14:textId="77777777" w:rsidTr="003273E9">
        <w:trPr>
          <w:trHeight w:val="290"/>
        </w:trPr>
        <w:tc>
          <w:tcPr>
            <w:tcW w:w="2695" w:type="dxa"/>
            <w:shd w:val="clear" w:color="auto" w:fill="auto"/>
            <w:noWrap/>
            <w:vAlign w:val="bottom"/>
            <w:hideMark/>
          </w:tcPr>
          <w:p w14:paraId="29D4F072" w14:textId="77777777" w:rsidR="0046326F" w:rsidRPr="0046326F" w:rsidRDefault="0046326F" w:rsidP="0046326F">
            <w:pPr>
              <w:spacing w:after="0" w:line="240" w:lineRule="auto"/>
              <w:rPr>
                <w:rFonts w:ascii="Aptos Narrow" w:eastAsia="Times New Roman" w:hAnsi="Aptos Narrow" w:cs="Times New Roman"/>
                <w:b/>
                <w:bCs/>
                <w:color w:val="000000"/>
                <w:kern w:val="0"/>
                <w14:ligatures w14:val="none"/>
              </w:rPr>
            </w:pPr>
            <w:r w:rsidRPr="0046326F">
              <w:rPr>
                <w:rFonts w:ascii="Aptos Narrow" w:eastAsia="Times New Roman" w:hAnsi="Aptos Narrow" w:cs="Times New Roman"/>
                <w:b/>
                <w:bCs/>
                <w:color w:val="000000"/>
                <w:kern w:val="0"/>
                <w14:ligatures w14:val="none"/>
              </w:rPr>
              <w:t>Proposed Case</w:t>
            </w:r>
          </w:p>
        </w:tc>
        <w:tc>
          <w:tcPr>
            <w:tcW w:w="1890" w:type="dxa"/>
            <w:shd w:val="clear" w:color="auto" w:fill="auto"/>
            <w:noWrap/>
            <w:vAlign w:val="bottom"/>
            <w:hideMark/>
          </w:tcPr>
          <w:p w14:paraId="69191FDA" w14:textId="5ABBB0EB" w:rsidR="0046326F" w:rsidRPr="0046326F" w:rsidRDefault="0008287C" w:rsidP="00D85DE5">
            <w:pPr>
              <w:spacing w:after="0" w:line="240" w:lineRule="auto"/>
              <w:jc w:val="center"/>
              <w:rPr>
                <w:rFonts w:ascii="Aptos Narrow" w:eastAsia="Times New Roman" w:hAnsi="Aptos Narrow" w:cs="Times New Roman"/>
                <w:color w:val="000000"/>
                <w:kern w:val="0"/>
                <w14:ligatures w14:val="none"/>
              </w:rPr>
            </w:pPr>
            <w:r w:rsidRPr="0008287C">
              <w:rPr>
                <w:rFonts w:ascii="Aptos Narrow" w:eastAsia="Times New Roman" w:hAnsi="Aptos Narrow" w:cs="Times New Roman"/>
                <w:color w:val="000000"/>
                <w:kern w:val="0"/>
                <w14:ligatures w14:val="none"/>
              </w:rPr>
              <w:t xml:space="preserve">-$16 to $3 </w:t>
            </w:r>
          </w:p>
        </w:tc>
        <w:tc>
          <w:tcPr>
            <w:tcW w:w="1615" w:type="dxa"/>
            <w:shd w:val="clear" w:color="auto" w:fill="auto"/>
            <w:noWrap/>
            <w:vAlign w:val="bottom"/>
            <w:hideMark/>
          </w:tcPr>
          <w:p w14:paraId="03E7D141" w14:textId="2E9AD6EF" w:rsidR="0046326F" w:rsidRPr="0046326F" w:rsidRDefault="0008287C" w:rsidP="00D85DE5">
            <w:pPr>
              <w:spacing w:after="0" w:line="240" w:lineRule="auto"/>
              <w:jc w:val="center"/>
              <w:rPr>
                <w:rFonts w:ascii="Aptos Narrow" w:eastAsia="Times New Roman" w:hAnsi="Aptos Narrow" w:cs="Times New Roman"/>
                <w:color w:val="000000"/>
                <w:kern w:val="0"/>
                <w14:ligatures w14:val="none"/>
              </w:rPr>
            </w:pPr>
            <w:r w:rsidRPr="0008287C">
              <w:rPr>
                <w:rFonts w:ascii="Aptos Narrow" w:eastAsia="Times New Roman" w:hAnsi="Aptos Narrow" w:cs="Times New Roman"/>
                <w:color w:val="000000"/>
                <w:kern w:val="0"/>
                <w14:ligatures w14:val="none"/>
              </w:rPr>
              <w:t xml:space="preserve">-$630 to -$746 </w:t>
            </w:r>
          </w:p>
        </w:tc>
        <w:tc>
          <w:tcPr>
            <w:tcW w:w="1640" w:type="dxa"/>
            <w:shd w:val="clear" w:color="auto" w:fill="auto"/>
            <w:noWrap/>
            <w:vAlign w:val="bottom"/>
            <w:hideMark/>
          </w:tcPr>
          <w:p w14:paraId="6F536308" w14:textId="46E18AB5" w:rsidR="0046326F" w:rsidRPr="0046326F" w:rsidRDefault="0008287C" w:rsidP="00D85DE5">
            <w:pPr>
              <w:spacing w:after="0" w:line="240" w:lineRule="auto"/>
              <w:jc w:val="center"/>
              <w:rPr>
                <w:rFonts w:ascii="Aptos Narrow" w:eastAsia="Times New Roman" w:hAnsi="Aptos Narrow" w:cs="Times New Roman"/>
                <w:color w:val="000000"/>
                <w:kern w:val="0"/>
                <w14:ligatures w14:val="none"/>
              </w:rPr>
            </w:pPr>
            <w:r w:rsidRPr="0008287C">
              <w:rPr>
                <w:rFonts w:ascii="Aptos Narrow" w:eastAsia="Times New Roman" w:hAnsi="Aptos Narrow" w:cs="Times New Roman"/>
                <w:color w:val="000000" w:themeColor="text1"/>
              </w:rPr>
              <w:t xml:space="preserve">-$3 to $24 </w:t>
            </w:r>
          </w:p>
        </w:tc>
        <w:tc>
          <w:tcPr>
            <w:tcW w:w="1540" w:type="dxa"/>
            <w:shd w:val="clear" w:color="auto" w:fill="auto"/>
            <w:noWrap/>
            <w:vAlign w:val="bottom"/>
            <w:hideMark/>
          </w:tcPr>
          <w:p w14:paraId="6D0B217D" w14:textId="429AE691" w:rsidR="0046326F" w:rsidRPr="0046326F" w:rsidRDefault="0008287C" w:rsidP="00D85DE5">
            <w:pPr>
              <w:spacing w:after="0" w:line="240" w:lineRule="auto"/>
              <w:jc w:val="center"/>
              <w:rPr>
                <w:rFonts w:ascii="Aptos Narrow" w:eastAsia="Times New Roman" w:hAnsi="Aptos Narrow" w:cs="Times New Roman"/>
                <w:color w:val="000000"/>
                <w:kern w:val="0"/>
                <w14:ligatures w14:val="none"/>
              </w:rPr>
            </w:pPr>
            <w:r w:rsidRPr="0008287C">
              <w:rPr>
                <w:rFonts w:ascii="Aptos Narrow" w:eastAsia="Times New Roman" w:hAnsi="Aptos Narrow" w:cs="Times New Roman"/>
                <w:color w:val="000000" w:themeColor="text1"/>
              </w:rPr>
              <w:t xml:space="preserve">-$609 to -$733 </w:t>
            </w:r>
          </w:p>
        </w:tc>
      </w:tr>
      <w:tr w:rsidR="0078476B" w:rsidRPr="0046326F" w14:paraId="48F25CCD" w14:textId="77777777" w:rsidTr="003273E9">
        <w:trPr>
          <w:trHeight w:val="290"/>
        </w:trPr>
        <w:tc>
          <w:tcPr>
            <w:tcW w:w="2695" w:type="dxa"/>
            <w:shd w:val="clear" w:color="auto" w:fill="auto"/>
            <w:noWrap/>
            <w:vAlign w:val="bottom"/>
          </w:tcPr>
          <w:p w14:paraId="1FBD9A34" w14:textId="58C8C333" w:rsidR="0078476B" w:rsidRPr="0046326F" w:rsidRDefault="0078476B" w:rsidP="0078476B">
            <w:pPr>
              <w:spacing w:after="0" w:line="240" w:lineRule="auto"/>
              <w:rPr>
                <w:rFonts w:ascii="Aptos Narrow" w:eastAsia="Times New Roman" w:hAnsi="Aptos Narrow" w:cs="Times New Roman"/>
                <w:b/>
                <w:bCs/>
                <w:color w:val="000000"/>
                <w:kern w:val="0"/>
                <w14:ligatures w14:val="none"/>
              </w:rPr>
            </w:pPr>
            <w:r w:rsidRPr="0046326F">
              <w:rPr>
                <w:rFonts w:ascii="Aptos Narrow" w:eastAsia="Times New Roman" w:hAnsi="Aptos Narrow" w:cs="Times New Roman"/>
                <w:b/>
                <w:bCs/>
                <w:color w:val="000000"/>
                <w:kern w:val="0"/>
                <w14:ligatures w14:val="none"/>
              </w:rPr>
              <w:t>Advocacy Case</w:t>
            </w:r>
          </w:p>
        </w:tc>
        <w:tc>
          <w:tcPr>
            <w:tcW w:w="1890" w:type="dxa"/>
            <w:shd w:val="clear" w:color="auto" w:fill="auto"/>
            <w:noWrap/>
            <w:vAlign w:val="bottom"/>
          </w:tcPr>
          <w:p w14:paraId="47D18B0A" w14:textId="418241F8" w:rsidR="0078476B" w:rsidRDefault="0008287C" w:rsidP="0078476B">
            <w:pPr>
              <w:spacing w:after="0" w:line="240" w:lineRule="auto"/>
              <w:jc w:val="center"/>
              <w:rPr>
                <w:rFonts w:ascii="Aptos Narrow" w:eastAsia="Times New Roman" w:hAnsi="Aptos Narrow" w:cs="Times New Roman"/>
                <w:color w:val="000000"/>
                <w:kern w:val="0"/>
                <w14:ligatures w14:val="none"/>
              </w:rPr>
            </w:pPr>
            <w:r w:rsidRPr="0008287C">
              <w:rPr>
                <w:rFonts w:ascii="Aptos Narrow" w:eastAsia="Times New Roman" w:hAnsi="Aptos Narrow" w:cs="Times New Roman"/>
                <w:color w:val="000000"/>
                <w:kern w:val="0"/>
                <w14:ligatures w14:val="none"/>
              </w:rPr>
              <w:t xml:space="preserve">-$12 to $8 </w:t>
            </w:r>
          </w:p>
        </w:tc>
        <w:tc>
          <w:tcPr>
            <w:tcW w:w="1615" w:type="dxa"/>
            <w:shd w:val="clear" w:color="auto" w:fill="auto"/>
            <w:noWrap/>
            <w:vAlign w:val="bottom"/>
          </w:tcPr>
          <w:p w14:paraId="4CCFE9C8" w14:textId="2D4D95BE" w:rsidR="0078476B" w:rsidRDefault="0008287C" w:rsidP="0078476B">
            <w:pPr>
              <w:spacing w:after="0" w:line="240" w:lineRule="auto"/>
              <w:jc w:val="center"/>
              <w:rPr>
                <w:rFonts w:ascii="Aptos Narrow" w:eastAsia="Times New Roman" w:hAnsi="Aptos Narrow" w:cs="Times New Roman"/>
                <w:color w:val="000000"/>
                <w:kern w:val="0"/>
                <w14:ligatures w14:val="none"/>
              </w:rPr>
            </w:pPr>
            <w:r w:rsidRPr="0008287C">
              <w:rPr>
                <w:rFonts w:ascii="Aptos Narrow" w:eastAsia="Times New Roman" w:hAnsi="Aptos Narrow" w:cs="Times New Roman"/>
                <w:color w:val="000000"/>
                <w:kern w:val="0"/>
                <w14:ligatures w14:val="none"/>
              </w:rPr>
              <w:t xml:space="preserve">-$641 to -$761 </w:t>
            </w:r>
          </w:p>
        </w:tc>
        <w:tc>
          <w:tcPr>
            <w:tcW w:w="1640" w:type="dxa"/>
            <w:shd w:val="clear" w:color="auto" w:fill="auto"/>
            <w:noWrap/>
            <w:vAlign w:val="bottom"/>
          </w:tcPr>
          <w:p w14:paraId="5F486DC1" w14:textId="144D53C8" w:rsidR="0078476B" w:rsidRPr="3CBB0524" w:rsidRDefault="0008287C" w:rsidP="0078476B">
            <w:pPr>
              <w:spacing w:after="0" w:line="240" w:lineRule="auto"/>
              <w:jc w:val="center"/>
              <w:rPr>
                <w:rFonts w:ascii="Aptos Narrow" w:eastAsia="Times New Roman" w:hAnsi="Aptos Narrow" w:cs="Times New Roman"/>
                <w:color w:val="000000" w:themeColor="text1"/>
              </w:rPr>
            </w:pPr>
            <w:r w:rsidRPr="0008287C">
              <w:rPr>
                <w:rFonts w:ascii="Aptos Narrow" w:eastAsia="Times New Roman" w:hAnsi="Aptos Narrow" w:cs="Times New Roman"/>
                <w:color w:val="000000"/>
                <w:kern w:val="0"/>
                <w14:ligatures w14:val="none"/>
              </w:rPr>
              <w:t>$</w:t>
            </w:r>
            <w:r>
              <w:rPr>
                <w:rFonts w:ascii="Aptos Narrow" w:eastAsia="Times New Roman" w:hAnsi="Aptos Narrow" w:cs="Times New Roman"/>
                <w:color w:val="000000"/>
                <w:kern w:val="0"/>
                <w14:ligatures w14:val="none"/>
              </w:rPr>
              <w:t>1</w:t>
            </w:r>
            <w:r w:rsidRPr="0008287C">
              <w:rPr>
                <w:rFonts w:ascii="Aptos Narrow" w:eastAsia="Times New Roman" w:hAnsi="Aptos Narrow" w:cs="Times New Roman"/>
                <w:color w:val="000000"/>
                <w:kern w:val="0"/>
                <w14:ligatures w14:val="none"/>
              </w:rPr>
              <w:t xml:space="preserve"> to $29 </w:t>
            </w:r>
          </w:p>
        </w:tc>
        <w:tc>
          <w:tcPr>
            <w:tcW w:w="1540" w:type="dxa"/>
            <w:shd w:val="clear" w:color="auto" w:fill="auto"/>
            <w:noWrap/>
            <w:vAlign w:val="bottom"/>
          </w:tcPr>
          <w:p w14:paraId="78A7659E" w14:textId="251D822A" w:rsidR="0078476B" w:rsidRPr="7ABE8A08" w:rsidRDefault="0008287C" w:rsidP="0078476B">
            <w:pPr>
              <w:spacing w:after="0" w:line="240" w:lineRule="auto"/>
              <w:jc w:val="center"/>
              <w:rPr>
                <w:rFonts w:ascii="Aptos Narrow" w:eastAsia="Times New Roman" w:hAnsi="Aptos Narrow" w:cs="Times New Roman"/>
                <w:color w:val="000000" w:themeColor="text1"/>
              </w:rPr>
            </w:pPr>
            <w:r w:rsidRPr="0008287C">
              <w:rPr>
                <w:rFonts w:ascii="Aptos Narrow" w:eastAsia="Times New Roman" w:hAnsi="Aptos Narrow" w:cs="Times New Roman"/>
                <w:color w:val="000000"/>
                <w:kern w:val="0"/>
                <w14:ligatures w14:val="none"/>
              </w:rPr>
              <w:t xml:space="preserve">-$620 to -$748 </w:t>
            </w:r>
          </w:p>
        </w:tc>
      </w:tr>
      <w:tr w:rsidR="0046326F" w:rsidRPr="0046326F" w14:paraId="5834DA73" w14:textId="77777777" w:rsidTr="003273E9">
        <w:trPr>
          <w:trHeight w:val="290"/>
        </w:trPr>
        <w:tc>
          <w:tcPr>
            <w:tcW w:w="2695" w:type="dxa"/>
            <w:shd w:val="clear" w:color="auto" w:fill="auto"/>
            <w:noWrap/>
            <w:vAlign w:val="bottom"/>
            <w:hideMark/>
          </w:tcPr>
          <w:p w14:paraId="1EF1B782" w14:textId="094066D5" w:rsidR="0046326F" w:rsidRPr="00A844CF" w:rsidRDefault="0046326F" w:rsidP="0046326F">
            <w:pPr>
              <w:spacing w:after="0" w:line="240" w:lineRule="auto"/>
              <w:rPr>
                <w:rFonts w:ascii="Aptos Narrow" w:eastAsia="Times New Roman" w:hAnsi="Aptos Narrow" w:cs="Times New Roman"/>
                <w:b/>
                <w:color w:val="000000"/>
                <w:kern w:val="0"/>
                <w14:ligatures w14:val="none"/>
              </w:rPr>
            </w:pPr>
            <w:r w:rsidRPr="00A844CF">
              <w:rPr>
                <w:rFonts w:ascii="Aptos Narrow" w:eastAsia="Times New Roman" w:hAnsi="Aptos Narrow" w:cs="Times New Roman"/>
                <w:b/>
                <w:color w:val="000000" w:themeColor="text1"/>
              </w:rPr>
              <w:t>Supply-</w:t>
            </w:r>
            <w:r w:rsidR="522422C5" w:rsidRPr="00A844CF">
              <w:rPr>
                <w:rFonts w:ascii="Aptos Narrow" w:eastAsia="Times New Roman" w:hAnsi="Aptos Narrow" w:cs="Times New Roman"/>
                <w:b/>
                <w:color w:val="000000" w:themeColor="text1"/>
              </w:rPr>
              <w:t>S</w:t>
            </w:r>
            <w:r w:rsidRPr="00A844CF">
              <w:rPr>
                <w:rFonts w:ascii="Aptos Narrow" w:eastAsia="Times New Roman" w:hAnsi="Aptos Narrow" w:cs="Times New Roman"/>
                <w:b/>
                <w:color w:val="000000" w:themeColor="text1"/>
              </w:rPr>
              <w:t>ide Case</w:t>
            </w:r>
            <w:r w:rsidR="00670646" w:rsidRPr="00A844CF">
              <w:rPr>
                <w:rFonts w:ascii="Aptos Narrow" w:eastAsia="Times New Roman" w:hAnsi="Aptos Narrow" w:cs="Times New Roman"/>
                <w:b/>
                <w:color w:val="000000" w:themeColor="text1"/>
              </w:rPr>
              <w:t>*</w:t>
            </w:r>
          </w:p>
        </w:tc>
        <w:tc>
          <w:tcPr>
            <w:tcW w:w="1890" w:type="dxa"/>
            <w:shd w:val="clear" w:color="auto" w:fill="auto"/>
            <w:noWrap/>
            <w:vAlign w:val="bottom"/>
            <w:hideMark/>
          </w:tcPr>
          <w:p w14:paraId="3A19C6B3" w14:textId="141E1C53" w:rsidR="0046326F" w:rsidRPr="00A844CF" w:rsidRDefault="00670646" w:rsidP="00D85DE5">
            <w:pPr>
              <w:spacing w:after="0" w:line="240" w:lineRule="auto"/>
              <w:jc w:val="center"/>
              <w:rPr>
                <w:rFonts w:ascii="Aptos Narrow" w:eastAsia="Times New Roman" w:hAnsi="Aptos Narrow" w:cs="Times New Roman"/>
                <w:color w:val="000000"/>
                <w:kern w:val="0"/>
                <w14:ligatures w14:val="none"/>
              </w:rPr>
            </w:pPr>
            <w:r w:rsidRPr="00A844CF">
              <w:rPr>
                <w:rFonts w:ascii="Aptos Narrow" w:eastAsia="Times New Roman" w:hAnsi="Aptos Narrow" w:cs="Times New Roman"/>
                <w:color w:val="000000"/>
                <w:kern w:val="0"/>
                <w14:ligatures w14:val="none"/>
              </w:rPr>
              <w:t>N/A</w:t>
            </w:r>
          </w:p>
        </w:tc>
        <w:tc>
          <w:tcPr>
            <w:tcW w:w="1615" w:type="dxa"/>
            <w:shd w:val="clear" w:color="auto" w:fill="auto"/>
            <w:noWrap/>
            <w:vAlign w:val="bottom"/>
            <w:hideMark/>
          </w:tcPr>
          <w:p w14:paraId="09E89E04" w14:textId="2A59A4C4" w:rsidR="0046326F" w:rsidRPr="00A844CF" w:rsidRDefault="00670646" w:rsidP="00D85DE5">
            <w:pPr>
              <w:spacing w:after="0" w:line="240" w:lineRule="auto"/>
              <w:jc w:val="center"/>
              <w:rPr>
                <w:rFonts w:ascii="Aptos Narrow" w:eastAsia="Times New Roman" w:hAnsi="Aptos Narrow" w:cs="Times New Roman"/>
                <w:color w:val="000000"/>
                <w:kern w:val="0"/>
                <w14:ligatures w14:val="none"/>
              </w:rPr>
            </w:pPr>
            <w:r w:rsidRPr="00A844CF">
              <w:rPr>
                <w:rFonts w:ascii="Aptos Narrow" w:eastAsia="Times New Roman" w:hAnsi="Aptos Narrow" w:cs="Times New Roman"/>
                <w:color w:val="000000"/>
                <w:kern w:val="0"/>
                <w14:ligatures w14:val="none"/>
              </w:rPr>
              <w:t>N/A</w:t>
            </w:r>
          </w:p>
        </w:tc>
        <w:tc>
          <w:tcPr>
            <w:tcW w:w="1640" w:type="dxa"/>
            <w:shd w:val="clear" w:color="auto" w:fill="auto"/>
            <w:noWrap/>
            <w:vAlign w:val="bottom"/>
            <w:hideMark/>
          </w:tcPr>
          <w:p w14:paraId="3C02C2E4" w14:textId="0604D8AE" w:rsidR="0046326F" w:rsidRPr="00A844CF" w:rsidRDefault="00670646" w:rsidP="00D85DE5">
            <w:pPr>
              <w:spacing w:after="0" w:line="240" w:lineRule="auto"/>
              <w:jc w:val="center"/>
              <w:rPr>
                <w:rFonts w:ascii="Aptos Narrow" w:eastAsia="Times New Roman" w:hAnsi="Aptos Narrow" w:cs="Times New Roman"/>
                <w:color w:val="000000"/>
                <w:kern w:val="0"/>
                <w14:ligatures w14:val="none"/>
              </w:rPr>
            </w:pPr>
            <w:r w:rsidRPr="00A844CF">
              <w:rPr>
                <w:rFonts w:ascii="Aptos Narrow" w:eastAsia="Times New Roman" w:hAnsi="Aptos Narrow" w:cs="Times New Roman"/>
                <w:color w:val="000000"/>
                <w:kern w:val="0"/>
                <w14:ligatures w14:val="none"/>
              </w:rPr>
              <w:t>N/A</w:t>
            </w:r>
          </w:p>
        </w:tc>
        <w:tc>
          <w:tcPr>
            <w:tcW w:w="1540" w:type="dxa"/>
            <w:shd w:val="clear" w:color="auto" w:fill="auto"/>
            <w:noWrap/>
            <w:vAlign w:val="bottom"/>
            <w:hideMark/>
          </w:tcPr>
          <w:p w14:paraId="50FB6A96" w14:textId="518DA972" w:rsidR="0046326F" w:rsidRPr="00A844CF" w:rsidRDefault="00670646" w:rsidP="00D85DE5">
            <w:pPr>
              <w:spacing w:after="0" w:line="240" w:lineRule="auto"/>
              <w:jc w:val="center"/>
              <w:rPr>
                <w:rFonts w:ascii="Aptos Narrow" w:eastAsia="Times New Roman" w:hAnsi="Aptos Narrow" w:cs="Times New Roman"/>
                <w:color w:val="000000"/>
                <w:kern w:val="0"/>
                <w14:ligatures w14:val="none"/>
              </w:rPr>
            </w:pPr>
            <w:r w:rsidRPr="00A844CF">
              <w:rPr>
                <w:rFonts w:ascii="Aptos Narrow" w:eastAsia="Times New Roman" w:hAnsi="Aptos Narrow" w:cs="Times New Roman"/>
                <w:color w:val="000000"/>
                <w:kern w:val="0"/>
                <w14:ligatures w14:val="none"/>
              </w:rPr>
              <w:t>N/A</w:t>
            </w:r>
          </w:p>
        </w:tc>
      </w:tr>
      <w:tr w:rsidR="0046326F" w:rsidRPr="0046326F" w14:paraId="3EBF4F0B" w14:textId="77777777" w:rsidTr="003273E9">
        <w:trPr>
          <w:trHeight w:val="290"/>
        </w:trPr>
        <w:tc>
          <w:tcPr>
            <w:tcW w:w="2695" w:type="dxa"/>
            <w:shd w:val="clear" w:color="auto" w:fill="auto"/>
            <w:noWrap/>
            <w:vAlign w:val="bottom"/>
            <w:hideMark/>
          </w:tcPr>
          <w:p w14:paraId="7EAD656F" w14:textId="77777777" w:rsidR="0046326F" w:rsidRPr="0046326F" w:rsidRDefault="0046326F" w:rsidP="0046326F">
            <w:pPr>
              <w:spacing w:after="0" w:line="240" w:lineRule="auto"/>
              <w:rPr>
                <w:rFonts w:ascii="Aptos Narrow" w:eastAsia="Times New Roman" w:hAnsi="Aptos Narrow" w:cs="Times New Roman"/>
                <w:b/>
                <w:bCs/>
                <w:color w:val="000000"/>
                <w:kern w:val="0"/>
                <w14:ligatures w14:val="none"/>
              </w:rPr>
            </w:pPr>
            <w:r w:rsidRPr="0046326F">
              <w:rPr>
                <w:rFonts w:ascii="Aptos Narrow" w:eastAsia="Times New Roman" w:hAnsi="Aptos Narrow" w:cs="Times New Roman"/>
                <w:b/>
                <w:bCs/>
                <w:color w:val="000000"/>
                <w:kern w:val="0"/>
                <w14:ligatures w14:val="none"/>
              </w:rPr>
              <w:t>Capacity and Affordability Case</w:t>
            </w:r>
          </w:p>
        </w:tc>
        <w:tc>
          <w:tcPr>
            <w:tcW w:w="1890" w:type="dxa"/>
            <w:shd w:val="clear" w:color="auto" w:fill="auto"/>
            <w:noWrap/>
            <w:vAlign w:val="bottom"/>
            <w:hideMark/>
          </w:tcPr>
          <w:p w14:paraId="5D195699" w14:textId="0786FF21" w:rsidR="0046326F" w:rsidRPr="0046326F" w:rsidRDefault="0008287C" w:rsidP="00D85DE5">
            <w:pPr>
              <w:spacing w:after="0" w:line="240" w:lineRule="auto"/>
              <w:jc w:val="center"/>
              <w:rPr>
                <w:rFonts w:ascii="Aptos Narrow" w:eastAsia="Times New Roman" w:hAnsi="Aptos Narrow" w:cs="Times New Roman"/>
                <w:color w:val="000000"/>
                <w:kern w:val="0"/>
                <w14:ligatures w14:val="none"/>
              </w:rPr>
            </w:pPr>
            <w:r w:rsidRPr="0008287C">
              <w:rPr>
                <w:rFonts w:ascii="Aptos Narrow" w:eastAsia="Times New Roman" w:hAnsi="Aptos Narrow" w:cs="Times New Roman"/>
                <w:color w:val="000000"/>
                <w:kern w:val="0"/>
                <w14:ligatures w14:val="none"/>
              </w:rPr>
              <w:t xml:space="preserve">$80 to $92 </w:t>
            </w:r>
          </w:p>
        </w:tc>
        <w:tc>
          <w:tcPr>
            <w:tcW w:w="1615" w:type="dxa"/>
            <w:shd w:val="clear" w:color="auto" w:fill="auto"/>
            <w:noWrap/>
            <w:vAlign w:val="bottom"/>
            <w:hideMark/>
          </w:tcPr>
          <w:p w14:paraId="301C0E6A" w14:textId="58D1EF44" w:rsidR="0046326F" w:rsidRPr="0046326F" w:rsidRDefault="0008287C" w:rsidP="00D85DE5">
            <w:pPr>
              <w:spacing w:after="0" w:line="240" w:lineRule="auto"/>
              <w:jc w:val="center"/>
              <w:rPr>
                <w:rFonts w:ascii="Aptos Narrow" w:eastAsia="Times New Roman" w:hAnsi="Aptos Narrow" w:cs="Times New Roman"/>
                <w:color w:val="000000"/>
                <w:kern w:val="0"/>
                <w14:ligatures w14:val="none"/>
              </w:rPr>
            </w:pPr>
            <w:r w:rsidRPr="0008287C">
              <w:rPr>
                <w:rFonts w:ascii="Aptos Narrow" w:eastAsia="Times New Roman" w:hAnsi="Aptos Narrow" w:cs="Times New Roman"/>
                <w:color w:val="000000"/>
                <w:kern w:val="0"/>
                <w14:ligatures w14:val="none"/>
              </w:rPr>
              <w:t xml:space="preserve">-$162 to -$211 </w:t>
            </w:r>
          </w:p>
        </w:tc>
        <w:tc>
          <w:tcPr>
            <w:tcW w:w="1640" w:type="dxa"/>
            <w:shd w:val="clear" w:color="auto" w:fill="auto"/>
            <w:noWrap/>
            <w:vAlign w:val="bottom"/>
            <w:hideMark/>
          </w:tcPr>
          <w:p w14:paraId="3F61C263" w14:textId="224F60A4" w:rsidR="0046326F" w:rsidRPr="0046326F" w:rsidRDefault="0008287C" w:rsidP="00D85DE5">
            <w:pPr>
              <w:spacing w:after="0" w:line="240" w:lineRule="auto"/>
              <w:jc w:val="center"/>
              <w:rPr>
                <w:rFonts w:ascii="Aptos Narrow" w:eastAsia="Times New Roman" w:hAnsi="Aptos Narrow" w:cs="Times New Roman"/>
                <w:color w:val="000000"/>
                <w:kern w:val="0"/>
                <w14:ligatures w14:val="none"/>
              </w:rPr>
            </w:pPr>
            <w:r w:rsidRPr="0008287C">
              <w:rPr>
                <w:rFonts w:ascii="Aptos Narrow" w:eastAsia="Times New Roman" w:hAnsi="Aptos Narrow" w:cs="Times New Roman"/>
                <w:color w:val="000000"/>
                <w:kern w:val="0"/>
                <w14:ligatures w14:val="none"/>
              </w:rPr>
              <w:t xml:space="preserve">$84 to $100 </w:t>
            </w:r>
          </w:p>
        </w:tc>
        <w:tc>
          <w:tcPr>
            <w:tcW w:w="1540" w:type="dxa"/>
            <w:shd w:val="clear" w:color="auto" w:fill="auto"/>
            <w:noWrap/>
            <w:vAlign w:val="bottom"/>
            <w:hideMark/>
          </w:tcPr>
          <w:p w14:paraId="246B2D8D" w14:textId="31716779" w:rsidR="0046326F" w:rsidRPr="0046326F" w:rsidRDefault="0008287C" w:rsidP="00D85DE5">
            <w:pPr>
              <w:spacing w:after="0" w:line="240" w:lineRule="auto"/>
              <w:jc w:val="center"/>
              <w:rPr>
                <w:rFonts w:ascii="Aptos Narrow" w:eastAsia="Times New Roman" w:hAnsi="Aptos Narrow" w:cs="Times New Roman"/>
                <w:color w:val="000000"/>
                <w:kern w:val="0"/>
                <w14:ligatures w14:val="none"/>
              </w:rPr>
            </w:pPr>
            <w:r w:rsidRPr="0008287C">
              <w:rPr>
                <w:rFonts w:ascii="Aptos Narrow" w:eastAsia="Times New Roman" w:hAnsi="Aptos Narrow" w:cs="Times New Roman"/>
                <w:color w:val="000000"/>
                <w:kern w:val="0"/>
                <w14:ligatures w14:val="none"/>
              </w:rPr>
              <w:t xml:space="preserve">-$154 to -$206 </w:t>
            </w:r>
          </w:p>
        </w:tc>
      </w:tr>
    </w:tbl>
    <w:p w14:paraId="3D295E02" w14:textId="605D024E" w:rsidR="0046326F" w:rsidRDefault="00670646" w:rsidP="00CD30CB">
      <w:pPr>
        <w:jc w:val="both"/>
      </w:pPr>
      <w:r>
        <w:t xml:space="preserve">* The supply-side </w:t>
      </w:r>
      <w:r w:rsidR="00D756CA">
        <w:t>model, Aurora,</w:t>
      </w:r>
      <w:r>
        <w:t xml:space="preserve"> evaluates resources on a net present value basis and does not provide TRC or RIM results</w:t>
      </w:r>
      <w:r w:rsidR="00D756CA">
        <w:t>.</w:t>
      </w:r>
    </w:p>
    <w:p w14:paraId="57C1E7EC" w14:textId="7D497AD8" w:rsidR="002464EB" w:rsidRDefault="00940424" w:rsidP="00415007">
      <w:pPr>
        <w:pStyle w:val="Heading3"/>
        <w:spacing w:before="120" w:after="120"/>
      </w:pPr>
      <w:r>
        <w:lastRenderedPageBreak/>
        <w:t xml:space="preserve">7.3.3 – </w:t>
      </w:r>
      <w:r w:rsidR="002464EB">
        <w:t>Data Development</w:t>
      </w:r>
    </w:p>
    <w:p w14:paraId="44EB1DEE" w14:textId="507A12C6" w:rsidR="002464EB" w:rsidRDefault="002464EB" w:rsidP="00417E9E">
      <w:pPr>
        <w:keepNext/>
        <w:keepLines/>
        <w:jc w:val="both"/>
      </w:pPr>
      <w:r>
        <w:t>In developing its list of DSM measures for initial screening, the Company conducted a comprehensive review of technical information sources for demand-side and energy efficiency technologies. Th</w:t>
      </w:r>
      <w:r w:rsidR="0086723E">
        <w:t>e</w:t>
      </w:r>
      <w:r>
        <w:t xml:space="preserve"> Company</w:t>
      </w:r>
      <w:r w:rsidR="0086723E">
        <w:t xml:space="preserve"> evaluated it</w:t>
      </w:r>
      <w:r>
        <w:t xml:space="preserve">s previous IRP filings, as well as new sources of information, </w:t>
      </w:r>
      <w:r w:rsidR="00654927">
        <w:t>such as</w:t>
      </w:r>
      <w:r>
        <w:t xml:space="preserve"> industry conferences and trade associations. </w:t>
      </w:r>
      <w:r w:rsidR="002D3592">
        <w:t>Input was provided by the DSMWG</w:t>
      </w:r>
      <w:r>
        <w:t xml:space="preserve">, </w:t>
      </w:r>
      <w:r w:rsidR="00BE40CA">
        <w:t>which has</w:t>
      </w:r>
      <w:r w:rsidR="006F29B0">
        <w:t xml:space="preserve"> members with</w:t>
      </w:r>
      <w:r w:rsidDel="006F29B0">
        <w:t xml:space="preserve"> </w:t>
      </w:r>
      <w:r>
        <w:t xml:space="preserve">years of experience in DSM program development and implementation. Company representatives who work closely with Georgia Power’s customers also </w:t>
      </w:r>
      <w:r w:rsidR="007238D4">
        <w:t>provided</w:t>
      </w:r>
      <w:r>
        <w:t xml:space="preserve"> input.</w:t>
      </w:r>
      <w:r w:rsidR="007238D4">
        <w:t xml:space="preserve"> The Company shared the</w:t>
      </w:r>
      <w:r>
        <w:t xml:space="preserve"> </w:t>
      </w:r>
      <w:r w:rsidR="007238D4">
        <w:t>i</w:t>
      </w:r>
      <w:r>
        <w:t xml:space="preserve">nformation </w:t>
      </w:r>
      <w:r w:rsidR="007238D4">
        <w:t xml:space="preserve">it </w:t>
      </w:r>
      <w:r>
        <w:t xml:space="preserve">gathered with the DSMWG in program development discussions. The results of the qualitative screening </w:t>
      </w:r>
      <w:r w:rsidR="002D6930">
        <w:t>are set forth</w:t>
      </w:r>
      <w:r>
        <w:t xml:space="preserve"> in DSM Program Documentation in Technical Appendix Volume </w:t>
      </w:r>
      <w:r w:rsidR="000335D7">
        <w:t>1</w:t>
      </w:r>
      <w:r>
        <w:t>.</w:t>
      </w:r>
    </w:p>
    <w:p w14:paraId="0AE7FB19" w14:textId="551DB62A" w:rsidR="002464EB" w:rsidRDefault="00940424" w:rsidP="00415007">
      <w:pPr>
        <w:pStyle w:val="Heading3"/>
        <w:spacing w:before="120" w:after="120"/>
      </w:pPr>
      <w:r>
        <w:t xml:space="preserve">7.3.4 – </w:t>
      </w:r>
      <w:r w:rsidR="002464EB">
        <w:t>Residential Technology</w:t>
      </w:r>
    </w:p>
    <w:p w14:paraId="00989413" w14:textId="27236022" w:rsidR="002464EB" w:rsidRDefault="4778F06F" w:rsidP="00CD30CB">
      <w:pPr>
        <w:jc w:val="both"/>
      </w:pPr>
      <w:r w:rsidRPr="001B050E">
        <w:t>One hundred</w:t>
      </w:r>
      <w:r w:rsidR="7563CB55">
        <w:t xml:space="preserve"> </w:t>
      </w:r>
      <w:r w:rsidR="002464EB">
        <w:t xml:space="preserve">residential DSM measures were identified for economic screening and possible inclusion in residential programs. These measures provide potential energy savings through: </w:t>
      </w:r>
    </w:p>
    <w:p w14:paraId="787553E6" w14:textId="28BED67E" w:rsidR="002464EB" w:rsidRDefault="002464EB" w:rsidP="009A12F5">
      <w:pPr>
        <w:pStyle w:val="ListParagraph"/>
        <w:numPr>
          <w:ilvl w:val="0"/>
          <w:numId w:val="11"/>
        </w:numPr>
        <w:jc w:val="both"/>
      </w:pPr>
      <w:r>
        <w:t>Increased energy efficiency for electric equipment</w:t>
      </w:r>
    </w:p>
    <w:p w14:paraId="482084D5" w14:textId="3C376D2D" w:rsidR="002464EB" w:rsidRDefault="002464EB" w:rsidP="009A12F5">
      <w:pPr>
        <w:pStyle w:val="ListParagraph"/>
        <w:numPr>
          <w:ilvl w:val="0"/>
          <w:numId w:val="11"/>
        </w:numPr>
        <w:jc w:val="both"/>
      </w:pPr>
      <w:r>
        <w:t>Electric space cooling and heating equipment</w:t>
      </w:r>
    </w:p>
    <w:p w14:paraId="2294C283" w14:textId="3564232D" w:rsidR="002464EB" w:rsidRDefault="002464EB" w:rsidP="009A12F5">
      <w:pPr>
        <w:pStyle w:val="ListParagraph"/>
        <w:numPr>
          <w:ilvl w:val="0"/>
          <w:numId w:val="11"/>
        </w:numPr>
        <w:jc w:val="both"/>
      </w:pPr>
      <w:r>
        <w:t>Electric lighting</w:t>
      </w:r>
    </w:p>
    <w:p w14:paraId="3FF6DAFB" w14:textId="5DA6484B" w:rsidR="002464EB" w:rsidRDefault="002464EB" w:rsidP="009A12F5">
      <w:pPr>
        <w:pStyle w:val="ListParagraph"/>
        <w:numPr>
          <w:ilvl w:val="0"/>
          <w:numId w:val="11"/>
        </w:numPr>
        <w:jc w:val="both"/>
      </w:pPr>
      <w:r>
        <w:t>Electric water heating</w:t>
      </w:r>
    </w:p>
    <w:p w14:paraId="7C3B9C48" w14:textId="4F304202" w:rsidR="002464EB" w:rsidRDefault="002464EB" w:rsidP="009A12F5">
      <w:pPr>
        <w:pStyle w:val="ListParagraph"/>
        <w:numPr>
          <w:ilvl w:val="0"/>
          <w:numId w:val="11"/>
        </w:numPr>
        <w:jc w:val="both"/>
      </w:pPr>
      <w:r>
        <w:t>Customer behavior improvements</w:t>
      </w:r>
    </w:p>
    <w:p w14:paraId="15E772D7" w14:textId="09611BA0" w:rsidR="002464EB" w:rsidRDefault="002464EB" w:rsidP="009A12F5">
      <w:pPr>
        <w:pStyle w:val="ListParagraph"/>
        <w:numPr>
          <w:ilvl w:val="0"/>
          <w:numId w:val="11"/>
        </w:numPr>
        <w:jc w:val="both"/>
      </w:pPr>
      <w:r>
        <w:t>Heating and cooling savings resulting from improvements to the homes thermal shell</w:t>
      </w:r>
    </w:p>
    <w:p w14:paraId="6B2D5F2B" w14:textId="77777777" w:rsidR="002464EB" w:rsidRDefault="002464EB" w:rsidP="00CD30CB">
      <w:pPr>
        <w:jc w:val="both"/>
      </w:pPr>
      <w:r>
        <w:t>In addition to specific measures, building type (single family – new and existing; multifamily – new and existing; or manufactured housing – new and existing) was considered in the economic analysis.</w:t>
      </w:r>
    </w:p>
    <w:p w14:paraId="46A8F63F" w14:textId="5B482132" w:rsidR="002464EB" w:rsidRDefault="00940424" w:rsidP="00236E11">
      <w:pPr>
        <w:pStyle w:val="Heading3"/>
        <w:spacing w:before="120" w:after="120"/>
      </w:pPr>
      <w:r>
        <w:t xml:space="preserve">7.3.5 – </w:t>
      </w:r>
      <w:r w:rsidR="002464EB">
        <w:t>Commercial Technology</w:t>
      </w:r>
    </w:p>
    <w:p w14:paraId="5AFBB204" w14:textId="10BC0ED4" w:rsidR="002464EB" w:rsidRDefault="002464EB" w:rsidP="00CD30CB">
      <w:pPr>
        <w:jc w:val="both"/>
      </w:pPr>
      <w:r>
        <w:t>More than</w:t>
      </w:r>
      <w:r w:rsidR="5C87B73A">
        <w:t xml:space="preserve"> </w:t>
      </w:r>
      <w:r w:rsidR="4A997596">
        <w:t xml:space="preserve">120 </w:t>
      </w:r>
      <w:r>
        <w:t>commercial DSM measures were identified for economic screening and possible inclusion in commercial programs. These measures provide energy savings through:</w:t>
      </w:r>
    </w:p>
    <w:p w14:paraId="04E92936" w14:textId="365C48C3" w:rsidR="002464EB" w:rsidRDefault="002464EB" w:rsidP="009A12F5">
      <w:pPr>
        <w:pStyle w:val="ListParagraph"/>
        <w:numPr>
          <w:ilvl w:val="0"/>
          <w:numId w:val="12"/>
        </w:numPr>
        <w:jc w:val="both"/>
      </w:pPr>
      <w:r>
        <w:t>Increased energy efficiency for electric equipment</w:t>
      </w:r>
    </w:p>
    <w:p w14:paraId="7FDEA35A" w14:textId="0D602DCB" w:rsidR="002464EB" w:rsidRDefault="002464EB" w:rsidP="009A12F5">
      <w:pPr>
        <w:pStyle w:val="ListParagraph"/>
        <w:numPr>
          <w:ilvl w:val="0"/>
          <w:numId w:val="12"/>
        </w:numPr>
        <w:jc w:val="both"/>
      </w:pPr>
      <w:r>
        <w:t>Electric space cooling and heating equipment</w:t>
      </w:r>
    </w:p>
    <w:p w14:paraId="1B2DB061" w14:textId="3DC98D21" w:rsidR="002464EB" w:rsidRDefault="002464EB" w:rsidP="009A12F5">
      <w:pPr>
        <w:pStyle w:val="ListParagraph"/>
        <w:numPr>
          <w:ilvl w:val="0"/>
          <w:numId w:val="12"/>
        </w:numPr>
        <w:jc w:val="both"/>
      </w:pPr>
      <w:r>
        <w:t>Electric lighting</w:t>
      </w:r>
    </w:p>
    <w:p w14:paraId="42D4364E" w14:textId="7837F04B" w:rsidR="002464EB" w:rsidRDefault="002464EB" w:rsidP="009A12F5">
      <w:pPr>
        <w:pStyle w:val="ListParagraph"/>
        <w:numPr>
          <w:ilvl w:val="0"/>
          <w:numId w:val="12"/>
        </w:numPr>
        <w:jc w:val="both"/>
      </w:pPr>
      <w:r>
        <w:t>Electric water heating</w:t>
      </w:r>
    </w:p>
    <w:p w14:paraId="62342999" w14:textId="150A6E20" w:rsidR="002464EB" w:rsidRDefault="002464EB" w:rsidP="009A12F5">
      <w:pPr>
        <w:pStyle w:val="ListParagraph"/>
        <w:numPr>
          <w:ilvl w:val="0"/>
          <w:numId w:val="12"/>
        </w:numPr>
        <w:jc w:val="both"/>
      </w:pPr>
      <w:r>
        <w:t>Customer behavior improvements</w:t>
      </w:r>
    </w:p>
    <w:p w14:paraId="062CB591" w14:textId="4C2F8549" w:rsidR="002464EB" w:rsidRDefault="002464EB" w:rsidP="009A12F5">
      <w:pPr>
        <w:pStyle w:val="ListParagraph"/>
        <w:numPr>
          <w:ilvl w:val="0"/>
          <w:numId w:val="12"/>
        </w:numPr>
        <w:jc w:val="both"/>
      </w:pPr>
      <w:r>
        <w:t>Heating and cooling savings resulting from improvements to the building’s thermal shell</w:t>
      </w:r>
    </w:p>
    <w:p w14:paraId="7C3E2D20" w14:textId="77777777" w:rsidR="002464EB" w:rsidRDefault="002464EB" w:rsidP="00CD30CB">
      <w:pPr>
        <w:jc w:val="both"/>
      </w:pPr>
      <w:r>
        <w:t>In addition to specific measures, building type (the type of customer operation, such as schools or offices) was considered along with the construction type (new and existing) when conducting the economic analysis.</w:t>
      </w:r>
    </w:p>
    <w:p w14:paraId="78562054" w14:textId="5D436E4E" w:rsidR="002464EB" w:rsidRDefault="00940424" w:rsidP="00236E11">
      <w:pPr>
        <w:pStyle w:val="Heading3"/>
        <w:spacing w:before="120" w:after="120"/>
      </w:pPr>
      <w:r>
        <w:t xml:space="preserve">7.3.6 – </w:t>
      </w:r>
      <w:r w:rsidR="002464EB">
        <w:t>Industrial Technology</w:t>
      </w:r>
    </w:p>
    <w:p w14:paraId="1B233286" w14:textId="26FE4A4E" w:rsidR="002464EB" w:rsidRDefault="002C506A" w:rsidP="00CD30CB">
      <w:pPr>
        <w:jc w:val="both"/>
      </w:pPr>
      <w:r>
        <w:t>T</w:t>
      </w:r>
      <w:r w:rsidR="002464EB">
        <w:t xml:space="preserve">he Company’s Proposed Case </w:t>
      </w:r>
      <w:r>
        <w:t xml:space="preserve">does not include industrial programs </w:t>
      </w:r>
      <w:r w:rsidR="002464EB">
        <w:t xml:space="preserve">because the Company’s experience has shown that industrial customers generally adopt DSM and energy efficiency </w:t>
      </w:r>
      <w:r w:rsidR="002464EB">
        <w:lastRenderedPageBreak/>
        <w:t>measures on their own, without the need for customer</w:t>
      </w:r>
      <w:r w:rsidR="003F5044">
        <w:t>-</w:t>
      </w:r>
      <w:r w:rsidR="002464EB">
        <w:t xml:space="preserve">funded incentive programs. Nevertheless, an industrial pilot program was included in the DSMWG Advocacy sensitivity case. </w:t>
      </w:r>
    </w:p>
    <w:p w14:paraId="305609D6" w14:textId="39D321F4" w:rsidR="002464EB" w:rsidRDefault="00940424" w:rsidP="00236E11">
      <w:pPr>
        <w:pStyle w:val="Heading3"/>
        <w:spacing w:before="120" w:after="120"/>
      </w:pPr>
      <w:r>
        <w:t xml:space="preserve">7.3.7 – </w:t>
      </w:r>
      <w:r w:rsidR="002464EB">
        <w:t>Economic Screening</w:t>
      </w:r>
    </w:p>
    <w:p w14:paraId="6FC41155" w14:textId="7D9F4DCF" w:rsidR="002464EB" w:rsidRDefault="002464EB" w:rsidP="00CD30CB">
      <w:pPr>
        <w:jc w:val="both"/>
      </w:pPr>
      <w:r>
        <w:t xml:space="preserve">Energy consumption and savings were calculated for all measures that were passed to economic screening. First, the energy usage characteristics for weather-sensitive HVAC and thermal shell measures were calculated using both algorithms and an engineering simulation model (“OpenStudio/EnergyPlus™”), which is described in </w:t>
      </w:r>
      <w:r w:rsidR="00825B53">
        <w:t xml:space="preserve">Attachment </w:t>
      </w:r>
      <w:r w:rsidR="00BC4039">
        <w:t>E</w:t>
      </w:r>
      <w:r>
        <w:t xml:space="preserve">. </w:t>
      </w:r>
      <w:r w:rsidR="00F61A1E">
        <w:t>Then</w:t>
      </w:r>
      <w:r>
        <w:t xml:space="preserve">, each potential measure passed to economic screening </w:t>
      </w:r>
      <w:r w:rsidR="008C3928">
        <w:t xml:space="preserve">and </w:t>
      </w:r>
      <w:r>
        <w:t>was evaluated</w:t>
      </w:r>
      <w:r w:rsidDel="004665FA">
        <w:t xml:space="preserve"> </w:t>
      </w:r>
      <w:r w:rsidR="004665FA">
        <w:t xml:space="preserve">with </w:t>
      </w:r>
      <w:r>
        <w:t xml:space="preserve">the Profitability Reliability Incremental Cost Evaluation Model (“PRICEM”), which is </w:t>
      </w:r>
      <w:r w:rsidR="00606A96">
        <w:t xml:space="preserve">also </w:t>
      </w:r>
      <w:r>
        <w:t>described in A</w:t>
      </w:r>
      <w:r w:rsidR="00825B53">
        <w:t>ttachment</w:t>
      </w:r>
      <w:r>
        <w:t xml:space="preserve"> </w:t>
      </w:r>
      <w:r w:rsidR="00606A96">
        <w:t>E</w:t>
      </w:r>
      <w:r>
        <w:t>.</w:t>
      </w:r>
    </w:p>
    <w:p w14:paraId="4FD9EBBB" w14:textId="4B4F31A3" w:rsidR="002464EB" w:rsidRDefault="00B453BE" w:rsidP="00CD30CB">
      <w:pPr>
        <w:jc w:val="both"/>
      </w:pPr>
      <w:r>
        <w:t>T</w:t>
      </w:r>
      <w:r w:rsidR="002464EB">
        <w:t>he RIM Test, the TRC Test, the PT, the PACT, and the SCT</w:t>
      </w:r>
      <w:r w:rsidR="000D3F5D">
        <w:t xml:space="preserve"> were applied to each measure and program</w:t>
      </w:r>
      <w:r w:rsidR="002464EB">
        <w:t>. Additionally, the Cost of Saved Energy (“CSE”), also referred to as Levelized Cost per annual kWh saved, is provided for each program screened. The CSE is the total cost per kWh of realizing the efficiency improvement. CSE is determined by dividing levelized program costs by the annual energy savings, as shown in the following equation. Levelized program costs are calculated using a Capital Recovery Factor, which incorporates the number of years that the energy savings persist, and an annual discount rate.</w:t>
      </w:r>
    </w:p>
    <w:p w14:paraId="76353687" w14:textId="77777777" w:rsidR="002464EB" w:rsidRDefault="002464EB" w:rsidP="006A372C">
      <w:pPr>
        <w:jc w:val="center"/>
      </w:pPr>
      <w:r>
        <w:t>CSE Equation:</w:t>
      </w:r>
    </w:p>
    <w:p w14:paraId="7279D1D3" w14:textId="68977299" w:rsidR="002464EB" w:rsidRPr="00236E11" w:rsidRDefault="0022294D" w:rsidP="00521AEA">
      <w:pPr>
        <w:rPr>
          <w:rFonts w:ascii="Aptos" w:hAnsi="Aptos"/>
        </w:rPr>
      </w:pPr>
      <m:oMathPara>
        <m:oMath>
          <m:r>
            <w:rPr>
              <w:rFonts w:ascii="Cambria Math" w:hAnsi="Cambria Math"/>
            </w:rPr>
            <m:t xml:space="preserve">CSE= </m:t>
          </m:r>
          <m:f>
            <m:fPr>
              <m:ctrlPr>
                <w:rPr>
                  <w:rFonts w:ascii="Cambria Math" w:hAnsi="Cambria Math"/>
                  <w:i/>
                </w:rPr>
              </m:ctrlPr>
            </m:fPr>
            <m:num>
              <m:r>
                <w:rPr>
                  <w:rFonts w:ascii="Cambria Math" w:hAnsi="Cambria Math"/>
                </w:rPr>
                <m:t xml:space="preserve">Program Costs </m:t>
              </m:r>
              <m:d>
                <m:dPr>
                  <m:ctrlPr>
                    <w:rPr>
                      <w:rFonts w:ascii="Cambria Math" w:hAnsi="Cambria Math"/>
                      <w:i/>
                    </w:rPr>
                  </m:ctrlPr>
                </m:dPr>
                <m:e>
                  <m:r>
                    <w:rPr>
                      <w:rFonts w:ascii="Cambria Math" w:hAnsi="Cambria Math"/>
                    </w:rPr>
                    <m:t>$</m:t>
                  </m:r>
                </m:e>
              </m:d>
              <m:r>
                <w:rPr>
                  <w:rFonts w:ascii="Cambria Math" w:hAnsi="Cambria Math"/>
                </w:rPr>
                <m:t>×CRF</m:t>
              </m:r>
            </m:num>
            <m:den>
              <m:r>
                <w:rPr>
                  <w:rFonts w:ascii="Cambria Math" w:hAnsi="Cambria Math"/>
                </w:rPr>
                <m:t>Annual Energy Savings (kWh)</m:t>
              </m:r>
            </m:den>
          </m:f>
        </m:oMath>
      </m:oMathPara>
    </w:p>
    <w:p w14:paraId="4673845D" w14:textId="31B41F8A" w:rsidR="002464EB" w:rsidRDefault="00940424" w:rsidP="00237860">
      <w:pPr>
        <w:pStyle w:val="Heading3"/>
        <w:spacing w:before="240" w:after="120"/>
      </w:pPr>
      <w:r>
        <w:t xml:space="preserve">7.3.8 – </w:t>
      </w:r>
      <w:r w:rsidR="002464EB">
        <w:t>Long-Term Percentage Rate Impacts</w:t>
      </w:r>
    </w:p>
    <w:p w14:paraId="58A9AF3D" w14:textId="4C19D3AB" w:rsidR="002464EB" w:rsidRDefault="002464EB" w:rsidP="00CD30CB">
      <w:pPr>
        <w:jc w:val="both"/>
      </w:pPr>
      <w:r>
        <w:t>The Company analyzed the long-term percentage rate impact of its DSM Proposed Case</w:t>
      </w:r>
      <w:r w:rsidR="00700CE5">
        <w:t>,</w:t>
      </w:r>
      <w:r>
        <w:t xml:space="preserve"> </w:t>
      </w:r>
      <w:r w:rsidR="00DF0E4D">
        <w:t xml:space="preserve">as well as </w:t>
      </w:r>
      <w:r>
        <w:t>the Advoca</w:t>
      </w:r>
      <w:r w:rsidR="00477083">
        <w:t>cy</w:t>
      </w:r>
      <w:r w:rsidR="00DF0E4D">
        <w:t>,</w:t>
      </w:r>
      <w:r>
        <w:t xml:space="preserve"> </w:t>
      </w:r>
      <w:r w:rsidR="00DF0E4D">
        <w:t xml:space="preserve">and </w:t>
      </w:r>
      <w:r w:rsidR="00237860">
        <w:t>Capacity and Affordability</w:t>
      </w:r>
      <w:r>
        <w:t xml:space="preserve"> sensitivity cases. </w:t>
      </w:r>
      <w:r w:rsidR="00106315">
        <w:t>T</w:t>
      </w:r>
      <w:r>
        <w:t xml:space="preserve">he DSM Program Documentation section of Technical Appendix Volume </w:t>
      </w:r>
      <w:r w:rsidR="00870524">
        <w:t>1</w:t>
      </w:r>
      <w:r>
        <w:t xml:space="preserve"> </w:t>
      </w:r>
      <w:r w:rsidR="00106315">
        <w:t>contains</w:t>
      </w:r>
      <w:r>
        <w:t xml:space="preserve"> results of the long-term percentage rate impacts. </w:t>
      </w:r>
    </w:p>
    <w:p w14:paraId="00B48DA2" w14:textId="3438D311" w:rsidR="002464EB" w:rsidRDefault="00F203EE" w:rsidP="00F203EE">
      <w:pPr>
        <w:pStyle w:val="Heading2"/>
      </w:pPr>
      <w:bookmarkStart w:id="34" w:name="_Toc189122759"/>
      <w:r>
        <w:t xml:space="preserve">7.4 – </w:t>
      </w:r>
      <w:r w:rsidR="002464EB">
        <w:t>Demand-Side Program Development</w:t>
      </w:r>
      <w:bookmarkEnd w:id="34"/>
    </w:p>
    <w:p w14:paraId="29AA247E" w14:textId="5483C42C" w:rsidR="002464EB" w:rsidRDefault="00940424" w:rsidP="003504B7">
      <w:pPr>
        <w:pStyle w:val="Heading3"/>
      </w:pPr>
      <w:r>
        <w:t xml:space="preserve">7.4.1 – </w:t>
      </w:r>
      <w:r w:rsidR="002464EB">
        <w:t>Demand-Side Resource Policy</w:t>
      </w:r>
    </w:p>
    <w:p w14:paraId="7F46C8CB" w14:textId="25B9A381" w:rsidR="002464EB" w:rsidRDefault="002464EB" w:rsidP="00CD30CB">
      <w:pPr>
        <w:jc w:val="both"/>
      </w:pPr>
      <w:r>
        <w:t xml:space="preserve">In the 2004 IRP Order, the Commission directed that the Company’s proposed DSM plans should minimize upward pressure on rates (negative RIM results) and maximize economic efficiency (positive TRC results). The Commission further directed that the cost/benefit analysis results of each initiative should use the five tests mentioned above and should balance economic efficiency (TRC benefits) with fairness and equity (RIM benefits/cost). </w:t>
      </w:r>
      <w:r w:rsidR="00A35C50">
        <w:t>As</w:t>
      </w:r>
      <w:r w:rsidDel="00A35C50">
        <w:t xml:space="preserve"> </w:t>
      </w:r>
      <w:r>
        <w:t>in each IRP since 2004</w:t>
      </w:r>
      <w:r w:rsidR="0059621A">
        <w:t>, t</w:t>
      </w:r>
      <w:r>
        <w:t xml:space="preserve">he Company applied this </w:t>
      </w:r>
      <w:r w:rsidR="001D77D5">
        <w:t>Commission policy</w:t>
      </w:r>
      <w:r>
        <w:t xml:space="preserve"> in analyzing the programs for the 202</w:t>
      </w:r>
      <w:r w:rsidR="7DC647C7">
        <w:t>5</w:t>
      </w:r>
      <w:r>
        <w:t xml:space="preserve"> IRP</w:t>
      </w:r>
      <w:r w:rsidR="004238EE">
        <w:t xml:space="preserve"> and </w:t>
      </w:r>
      <w:r w:rsidR="003B5854">
        <w:t>developed</w:t>
      </w:r>
      <w:r w:rsidR="003B5854" w:rsidRPr="42700983">
        <w:rPr>
          <w:rFonts w:ascii="Aptos" w:eastAsia="Aptos" w:hAnsi="Aptos" w:cs="Aptos"/>
        </w:rPr>
        <w:t xml:space="preserve"> </w:t>
      </w:r>
      <w:r w:rsidR="004D4145" w:rsidRPr="42700983">
        <w:rPr>
          <w:rFonts w:ascii="Aptos" w:eastAsia="Aptos" w:hAnsi="Aptos" w:cs="Aptos"/>
        </w:rPr>
        <w:t>the DSM Proposed Case with a savings target of at least 0.75% of annual retail sales</w:t>
      </w:r>
      <w:r w:rsidR="004D4145">
        <w:rPr>
          <w:rFonts w:ascii="Aptos" w:eastAsia="Aptos" w:hAnsi="Aptos" w:cs="Aptos"/>
        </w:rPr>
        <w:t>, in accordance with the Vogtle Prudence Order</w:t>
      </w:r>
      <w:r>
        <w:t xml:space="preserve">. </w:t>
      </w:r>
      <w:r w:rsidR="00A3601F">
        <w:t>As noted above, t</w:t>
      </w:r>
      <w:r>
        <w:t xml:space="preserve">he Company </w:t>
      </w:r>
      <w:r w:rsidR="00B65B30">
        <w:t xml:space="preserve">also </w:t>
      </w:r>
      <w:r>
        <w:t>adhered to the DSM Program Planning Approach in developing the 202</w:t>
      </w:r>
      <w:r w:rsidR="435B7B89">
        <w:t>5</w:t>
      </w:r>
      <w:r>
        <w:t xml:space="preserve"> IRP.</w:t>
      </w:r>
    </w:p>
    <w:p w14:paraId="599202FA" w14:textId="09AC45D8" w:rsidR="002464EB" w:rsidRDefault="00940424" w:rsidP="003504B7">
      <w:pPr>
        <w:pStyle w:val="Heading3"/>
      </w:pPr>
      <w:r>
        <w:lastRenderedPageBreak/>
        <w:t xml:space="preserve">7.4.2 – </w:t>
      </w:r>
      <w:r w:rsidR="002464EB">
        <w:t>Twelve-Year DSM Program Plans</w:t>
      </w:r>
    </w:p>
    <w:p w14:paraId="5189105A" w14:textId="2AAAD98B" w:rsidR="002464EB" w:rsidRDefault="002464EB" w:rsidP="00CD30CB">
      <w:pPr>
        <w:jc w:val="both"/>
      </w:pPr>
      <w:r>
        <w:t>The Company</w:t>
      </w:r>
      <w:r w:rsidDel="00A37896">
        <w:t xml:space="preserve"> </w:t>
      </w:r>
      <w:r>
        <w:t xml:space="preserve">developed twelve-year program plans outlining the implementation details behind each individual program in </w:t>
      </w:r>
      <w:r w:rsidR="00A71945">
        <w:t>its</w:t>
      </w:r>
      <w:r>
        <w:t xml:space="preserve"> Proposed Case. The program plans are provided in the 202</w:t>
      </w:r>
      <w:r w:rsidR="18AD6BAC">
        <w:t>5</w:t>
      </w:r>
      <w:r>
        <w:t xml:space="preserve"> DSM Application.</w:t>
      </w:r>
    </w:p>
    <w:p w14:paraId="12453D3E" w14:textId="77777777" w:rsidR="002464EB" w:rsidRDefault="002464EB" w:rsidP="00CD30CB">
      <w:pPr>
        <w:jc w:val="both"/>
      </w:pPr>
      <w:r>
        <w:t>The following details are included in each program plan:</w:t>
      </w:r>
    </w:p>
    <w:p w14:paraId="054B2042" w14:textId="34E27438" w:rsidR="002464EB" w:rsidRDefault="002464EB" w:rsidP="009A12F5">
      <w:pPr>
        <w:pStyle w:val="ListParagraph"/>
        <w:numPr>
          <w:ilvl w:val="0"/>
          <w:numId w:val="13"/>
        </w:numPr>
        <w:spacing w:after="120"/>
        <w:contextualSpacing w:val="0"/>
        <w:jc w:val="both"/>
      </w:pPr>
      <w:r>
        <w:t>Program Summary – outlines the goals of the program</w:t>
      </w:r>
    </w:p>
    <w:p w14:paraId="2E214850" w14:textId="6E915930" w:rsidR="002464EB" w:rsidRDefault="002464EB" w:rsidP="009A12F5">
      <w:pPr>
        <w:pStyle w:val="ListParagraph"/>
        <w:numPr>
          <w:ilvl w:val="0"/>
          <w:numId w:val="13"/>
        </w:numPr>
        <w:spacing w:after="120"/>
        <w:contextualSpacing w:val="0"/>
        <w:jc w:val="both"/>
      </w:pPr>
      <w:r>
        <w:t>Program Structure – outlines the intended participant eligibility, home or facility eligibility, and specific measures and incentives where appropriate</w:t>
      </w:r>
    </w:p>
    <w:p w14:paraId="4DDFF1B7" w14:textId="59178644" w:rsidR="002464EB" w:rsidRDefault="002464EB" w:rsidP="009A12F5">
      <w:pPr>
        <w:pStyle w:val="ListParagraph"/>
        <w:numPr>
          <w:ilvl w:val="0"/>
          <w:numId w:val="13"/>
        </w:numPr>
        <w:spacing w:after="120"/>
        <w:contextualSpacing w:val="0"/>
        <w:jc w:val="both"/>
      </w:pPr>
      <w:r>
        <w:t>Program Implementation – outlines the intended target market, key market players, as well as marketing and outreach plans</w:t>
      </w:r>
    </w:p>
    <w:p w14:paraId="2348CC5A" w14:textId="7686B40B" w:rsidR="002464EB" w:rsidRDefault="002464EB" w:rsidP="009A12F5">
      <w:pPr>
        <w:pStyle w:val="ListParagraph"/>
        <w:numPr>
          <w:ilvl w:val="0"/>
          <w:numId w:val="13"/>
        </w:numPr>
        <w:spacing w:after="120"/>
        <w:contextualSpacing w:val="0"/>
        <w:jc w:val="both"/>
      </w:pPr>
      <w:r>
        <w:t>Program Operation – outlines the intended customer participation process and program administrative procedures</w:t>
      </w:r>
    </w:p>
    <w:p w14:paraId="3AD46E7D" w14:textId="28B605EE" w:rsidR="002464EB" w:rsidRDefault="002464EB" w:rsidP="009A12F5">
      <w:pPr>
        <w:pStyle w:val="ListParagraph"/>
        <w:numPr>
          <w:ilvl w:val="0"/>
          <w:numId w:val="13"/>
        </w:numPr>
        <w:spacing w:after="120"/>
        <w:contextualSpacing w:val="0"/>
        <w:jc w:val="both"/>
      </w:pPr>
      <w:r>
        <w:t>Program Evaluation – outlines the intended performance metrics, expected program budget, cost-effectiveness expectations, as well as plans to develop an independent third-party evaluation plan after programs are approved</w:t>
      </w:r>
    </w:p>
    <w:p w14:paraId="029F8A6E" w14:textId="24E07FA4" w:rsidR="002464EB" w:rsidRDefault="002464EB" w:rsidP="00CD30CB">
      <w:pPr>
        <w:jc w:val="both"/>
      </w:pPr>
      <w:r>
        <w:t>Each of the twelve-year DSM program plans allow for ongoing review and modification of program design features through regular</w:t>
      </w:r>
      <w:r w:rsidDel="00EB2999">
        <w:t xml:space="preserve"> </w:t>
      </w:r>
      <w:r>
        <w:t>monitoring. In addition, a formal program evaluation</w:t>
      </w:r>
      <w:r w:rsidR="007257B9">
        <w:t xml:space="preserve"> is conducted</w:t>
      </w:r>
      <w:r w:rsidDel="007257B9">
        <w:t xml:space="preserve"> </w:t>
      </w:r>
      <w:r>
        <w:t xml:space="preserve">at the end of the program cycle. Any significant changes to program design in support of market conditions or program economics will be included </w:t>
      </w:r>
      <w:r w:rsidR="00CB48A7">
        <w:t xml:space="preserve">in </w:t>
      </w:r>
      <w:r>
        <w:t xml:space="preserve">ongoing reports filed with the Commission, program evaluation filings, and/or </w:t>
      </w:r>
      <w:r w:rsidR="00175E26">
        <w:t xml:space="preserve">any future </w:t>
      </w:r>
      <w:r>
        <w:t>IRP updates. Additionally, as new measures and technologies evolve during the twelve-year program life, the Company may add such measures to these programs. Any new measures being added will follow the same economic screening process as those approved by the Commission, and the Commission would be made aware of any additions prior to the Company offering the new measures to customers as required.</w:t>
      </w:r>
    </w:p>
    <w:p w14:paraId="3D8E4958" w14:textId="02CEB258" w:rsidR="002464EB" w:rsidRDefault="009C78D1" w:rsidP="009C78D1">
      <w:pPr>
        <w:pStyle w:val="Heading2"/>
      </w:pPr>
      <w:bookmarkStart w:id="35" w:name="_Toc189122760"/>
      <w:r>
        <w:t xml:space="preserve">7.5 – </w:t>
      </w:r>
      <w:r w:rsidR="002464EB">
        <w:t>Regulatory Treatment of DSM Program Costs and the Additional Sum</w:t>
      </w:r>
      <w:bookmarkEnd w:id="35"/>
    </w:p>
    <w:p w14:paraId="16A09555" w14:textId="23741B43" w:rsidR="002464EB" w:rsidRDefault="002464EB" w:rsidP="00CD30CB">
      <w:pPr>
        <w:jc w:val="both"/>
      </w:pPr>
      <w:r>
        <w:t xml:space="preserve">The Company requests the continued collection of costs for all approved and certified DSM programs and activities through the existing Residential and Commercial DSM tariffs. These tariffs will be filed as part of the Company’s </w:t>
      </w:r>
      <w:r w:rsidR="00B03062">
        <w:t xml:space="preserve">next </w:t>
      </w:r>
      <w:r>
        <w:t>base rate case and would be implemented with any approved change in rates on January 1, 202</w:t>
      </w:r>
      <w:r w:rsidR="00D74D2B">
        <w:t>6</w:t>
      </w:r>
      <w:r>
        <w:t xml:space="preserve">. The Company also requests the continued collection of an additional sum amount for certified energy efficiency programs with energy savings through these tariffs pursuant to a revised additional sum calculation methodology presented in the Company’s DSM Certification Application in Docket No. </w:t>
      </w:r>
      <w:r w:rsidR="00D24161" w:rsidRPr="00D24161">
        <w:t>56003</w:t>
      </w:r>
      <w:r>
        <w:t xml:space="preserve">. </w:t>
      </w:r>
    </w:p>
    <w:p w14:paraId="35E5F259" w14:textId="77777777" w:rsidR="00BA1148" w:rsidRDefault="00BA1148">
      <w:pPr>
        <w:rPr>
          <w:rFonts w:asciiTheme="majorHAnsi" w:eastAsiaTheme="majorEastAsia" w:hAnsiTheme="majorHAnsi" w:cstheme="majorBidi"/>
          <w:color w:val="0F4761" w:themeColor="accent1" w:themeShade="BF"/>
          <w:sz w:val="32"/>
          <w:szCs w:val="32"/>
        </w:rPr>
      </w:pPr>
      <w:r>
        <w:br w:type="page"/>
      </w:r>
    </w:p>
    <w:p w14:paraId="298D98A0" w14:textId="12F580B1" w:rsidR="002464EB" w:rsidRDefault="009C78D1" w:rsidP="009C78D1">
      <w:pPr>
        <w:pStyle w:val="Heading2"/>
      </w:pPr>
      <w:bookmarkStart w:id="36" w:name="_Toc189122761"/>
      <w:r>
        <w:lastRenderedPageBreak/>
        <w:t xml:space="preserve">7.6 – </w:t>
      </w:r>
      <w:r w:rsidR="002464EB">
        <w:t>Summary of DSM Cases</w:t>
      </w:r>
      <w:bookmarkEnd w:id="36"/>
    </w:p>
    <w:p w14:paraId="2814BE0C" w14:textId="3A0D4415" w:rsidR="00684D9C" w:rsidRPr="00684D9C" w:rsidRDefault="000D29E9" w:rsidP="001A5920">
      <w:pPr>
        <w:jc w:val="both"/>
      </w:pPr>
      <w:r>
        <w:t xml:space="preserve">The Company has developed the Proposed </w:t>
      </w:r>
      <w:r w:rsidR="008A17FC">
        <w:t>C</w:t>
      </w:r>
      <w:r>
        <w:t xml:space="preserve">ase at portfolio energy savings </w:t>
      </w:r>
      <w:r w:rsidR="00C73069">
        <w:t xml:space="preserve">targets of 0.75% of annual retail sales, in accordance with the Vogtle Prudence Order. </w:t>
      </w:r>
      <w:r w:rsidR="00F75249">
        <w:t xml:space="preserve">Additionally, </w:t>
      </w:r>
      <w:r w:rsidR="00F16584">
        <w:t>the Company developed three</w:t>
      </w:r>
      <w:r w:rsidR="00F16584" w:rsidRPr="00CC07ED">
        <w:t xml:space="preserve"> alternative DSM sensitivity cases</w:t>
      </w:r>
      <w:r w:rsidR="008E0B16">
        <w:t>. The first</w:t>
      </w:r>
      <w:r w:rsidR="008E0B16" w:rsidRPr="00CC07ED">
        <w:t xml:space="preserve"> alternative sensitivity case, the Advocacy Case, presents a potential set of DSM programs designed based on the recommendations from members of the DSMWG. The </w:t>
      </w:r>
      <w:r w:rsidR="008E0B16">
        <w:t xml:space="preserve">second </w:t>
      </w:r>
      <w:r w:rsidR="008E0B16" w:rsidRPr="00CC07ED">
        <w:t xml:space="preserve">alternative sensitivity case represents the </w:t>
      </w:r>
      <w:r w:rsidR="008E0B16">
        <w:t>Supply-Side Case</w:t>
      </w:r>
      <w:r w:rsidR="008E0B16" w:rsidRPr="00CC07ED">
        <w:t xml:space="preserve"> </w:t>
      </w:r>
      <w:r w:rsidR="008E0B16">
        <w:t xml:space="preserve">which is outlined </w:t>
      </w:r>
      <w:r w:rsidR="008E0B16" w:rsidRPr="00B2730B">
        <w:t>in the DSM Program Planning Approach and stipulated in the 2022 IRP Order.</w:t>
      </w:r>
      <w:r w:rsidR="008E0B16" w:rsidRPr="00CC07ED">
        <w:t> </w:t>
      </w:r>
      <w:r w:rsidR="008E0B16">
        <w:t>The third alternative sensitivity case, Capacity and Affordability Case, was developed by the Company based on the Proposed Case and its intentional efforts to focus on customer affordability concerns and capacity constraints.</w:t>
      </w:r>
      <w:r w:rsidR="005A14A0">
        <w:t xml:space="preserve"> Table </w:t>
      </w:r>
      <w:r w:rsidR="00DF7156">
        <w:t xml:space="preserve">7.6 below outlines the programs offered </w:t>
      </w:r>
      <w:r w:rsidR="00E13DA7">
        <w:t>in these cases</w:t>
      </w:r>
      <w:r w:rsidR="00F77919">
        <w:t xml:space="preserve"> for the years 2026-2028</w:t>
      </w:r>
      <w:r w:rsidR="00C05606">
        <w:t xml:space="preserve">, “X” </w:t>
      </w:r>
      <w:r w:rsidR="000A0661">
        <w:t>indicates</w:t>
      </w:r>
      <w:r w:rsidR="00C05606">
        <w:t xml:space="preserve"> program inclusion </w:t>
      </w:r>
      <w:r w:rsidR="00EB3F2B">
        <w:t>under both MG0 and 111-MG0 economic scenario</w:t>
      </w:r>
      <w:r w:rsidR="00DF64B8">
        <w:t>s</w:t>
      </w:r>
      <w:r w:rsidR="00EB3F2B">
        <w:t xml:space="preserve"> while </w:t>
      </w:r>
      <w:r w:rsidR="008F2C4F">
        <w:t xml:space="preserve">“111-MG0” indicates </w:t>
      </w:r>
      <w:r w:rsidR="00621CB2">
        <w:t xml:space="preserve">program </w:t>
      </w:r>
      <w:r w:rsidR="008F2C4F">
        <w:t xml:space="preserve">inclusion in just </w:t>
      </w:r>
      <w:r w:rsidR="00A942F2">
        <w:t>the</w:t>
      </w:r>
      <w:r w:rsidR="008F2C4F">
        <w:t xml:space="preserve"> 111-MG0 economic scenario</w:t>
      </w:r>
      <w:r w:rsidR="00E13DA7">
        <w:t xml:space="preserve">. Additional details on these programs can be found </w:t>
      </w:r>
      <w:r w:rsidR="008935CE">
        <w:t xml:space="preserve">in the 2025 DSM Application, Docket No. </w:t>
      </w:r>
      <w:r w:rsidR="008935CE" w:rsidRPr="00E82EB4">
        <w:t>56003</w:t>
      </w:r>
      <w:r w:rsidR="007D705F">
        <w:t>, Appendix A</w:t>
      </w:r>
      <w:r w:rsidR="00B95022">
        <w:t xml:space="preserve"> Twelve-Year DSM Program Plans</w:t>
      </w:r>
      <w:r w:rsidR="00485C5C">
        <w:t xml:space="preserve">. Further, </w:t>
      </w:r>
      <w:r w:rsidR="00465712">
        <w:t>program</w:t>
      </w:r>
      <w:r w:rsidR="00134E94">
        <w:t xml:space="preserve"> savings targets</w:t>
      </w:r>
      <w:r w:rsidR="008510E2">
        <w:t xml:space="preserve"> and budgets can be found in DSM Program Documentation section of Technical Appendix Volume 1</w:t>
      </w:r>
      <w:r w:rsidR="00852279">
        <w:t xml:space="preserve">, </w:t>
      </w:r>
      <w:r w:rsidR="0092288F">
        <w:t>DSM Case Summary Data MG0 and 111-MG</w:t>
      </w:r>
      <w:r w:rsidR="00C01212">
        <w:t xml:space="preserve">0. </w:t>
      </w:r>
    </w:p>
    <w:p w14:paraId="6AA1A460" w14:textId="6CF3CF6A" w:rsidR="00B3761D" w:rsidRPr="00F914CD" w:rsidRDefault="00B3761D" w:rsidP="00B3761D">
      <w:pPr>
        <w:jc w:val="center"/>
        <w:rPr>
          <w:i/>
          <w:iCs/>
        </w:rPr>
      </w:pPr>
      <w:r w:rsidRPr="052DF2F6">
        <w:rPr>
          <w:i/>
          <w:iCs/>
        </w:rPr>
        <w:t>Table 7.</w:t>
      </w:r>
      <w:r>
        <w:rPr>
          <w:i/>
          <w:iCs/>
        </w:rPr>
        <w:t>6</w:t>
      </w:r>
      <w:r w:rsidRPr="052DF2F6">
        <w:rPr>
          <w:i/>
          <w:iCs/>
        </w:rPr>
        <w:t xml:space="preserve">: </w:t>
      </w:r>
      <w:r w:rsidR="00A27D25">
        <w:rPr>
          <w:i/>
          <w:iCs/>
        </w:rPr>
        <w:t>Program Inclusion Overview</w:t>
      </w:r>
      <w:r w:rsidRPr="052DF2F6">
        <w:rPr>
          <w:i/>
          <w:iCs/>
        </w:rPr>
        <w:t xml:space="preserve"> of DSM </w:t>
      </w:r>
      <w:r>
        <w:rPr>
          <w:i/>
          <w:iCs/>
        </w:rPr>
        <w:t>C</w:t>
      </w:r>
      <w:r w:rsidRPr="052DF2F6">
        <w:rPr>
          <w:i/>
          <w:iCs/>
        </w:rPr>
        <w:t>ases</w:t>
      </w:r>
    </w:p>
    <w:tbl>
      <w:tblPr>
        <w:tblW w:w="9740" w:type="dxa"/>
        <w:tblLook w:val="04A0" w:firstRow="1" w:lastRow="0" w:firstColumn="1" w:lastColumn="0" w:noHBand="0" w:noVBand="1"/>
      </w:tblPr>
      <w:tblGrid>
        <w:gridCol w:w="3300"/>
        <w:gridCol w:w="1440"/>
        <w:gridCol w:w="1460"/>
        <w:gridCol w:w="1720"/>
        <w:gridCol w:w="1820"/>
      </w:tblGrid>
      <w:tr w:rsidR="008A17FC" w:rsidRPr="008A17FC" w14:paraId="485C98C4" w14:textId="77777777" w:rsidTr="008A17FC">
        <w:trPr>
          <w:trHeight w:val="580"/>
        </w:trPr>
        <w:tc>
          <w:tcPr>
            <w:tcW w:w="33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AC12A03" w14:textId="77777777" w:rsidR="008A17FC" w:rsidRPr="008A17FC" w:rsidRDefault="008A17FC" w:rsidP="008A17FC">
            <w:pPr>
              <w:spacing w:after="0" w:line="240" w:lineRule="auto"/>
              <w:jc w:val="center"/>
              <w:rPr>
                <w:rFonts w:ascii="Aptos Narrow" w:eastAsia="Times New Roman" w:hAnsi="Aptos Narrow" w:cs="Times New Roman"/>
                <w:b/>
                <w:bCs/>
                <w:color w:val="000000"/>
                <w:kern w:val="0"/>
                <w14:ligatures w14:val="none"/>
              </w:rPr>
            </w:pPr>
            <w:r w:rsidRPr="008A17FC">
              <w:rPr>
                <w:rFonts w:ascii="Aptos Narrow" w:eastAsia="Times New Roman" w:hAnsi="Aptos Narrow" w:cs="Times New Roman"/>
                <w:b/>
                <w:bCs/>
                <w:color w:val="000000"/>
                <w:kern w:val="0"/>
                <w14:ligatures w14:val="none"/>
              </w:rPr>
              <w:t>Programs</w:t>
            </w:r>
          </w:p>
        </w:tc>
        <w:tc>
          <w:tcPr>
            <w:tcW w:w="1440" w:type="dxa"/>
            <w:tcBorders>
              <w:top w:val="single" w:sz="4" w:space="0" w:color="auto"/>
              <w:left w:val="nil"/>
              <w:bottom w:val="single" w:sz="4" w:space="0" w:color="auto"/>
              <w:right w:val="single" w:sz="4" w:space="0" w:color="auto"/>
            </w:tcBorders>
            <w:shd w:val="clear" w:color="auto" w:fill="auto"/>
            <w:vAlign w:val="bottom"/>
            <w:hideMark/>
          </w:tcPr>
          <w:p w14:paraId="4F7578E7" w14:textId="77777777" w:rsidR="008A17FC" w:rsidRPr="008A17FC" w:rsidRDefault="008A17FC" w:rsidP="008A17FC">
            <w:pPr>
              <w:spacing w:after="0" w:line="240" w:lineRule="auto"/>
              <w:jc w:val="center"/>
              <w:rPr>
                <w:rFonts w:ascii="Aptos Narrow" w:eastAsia="Times New Roman" w:hAnsi="Aptos Narrow" w:cs="Times New Roman"/>
                <w:b/>
                <w:bCs/>
                <w:color w:val="000000"/>
                <w:kern w:val="0"/>
                <w14:ligatures w14:val="none"/>
              </w:rPr>
            </w:pPr>
            <w:r w:rsidRPr="008A17FC">
              <w:rPr>
                <w:rFonts w:ascii="Aptos Narrow" w:eastAsia="Times New Roman" w:hAnsi="Aptos Narrow" w:cs="Times New Roman"/>
                <w:b/>
                <w:bCs/>
                <w:color w:val="000000"/>
                <w:kern w:val="0"/>
                <w14:ligatures w14:val="none"/>
              </w:rPr>
              <w:t>Proposed Case</w:t>
            </w:r>
          </w:p>
        </w:tc>
        <w:tc>
          <w:tcPr>
            <w:tcW w:w="1460" w:type="dxa"/>
            <w:tcBorders>
              <w:top w:val="single" w:sz="4" w:space="0" w:color="auto"/>
              <w:left w:val="nil"/>
              <w:bottom w:val="single" w:sz="4" w:space="0" w:color="auto"/>
              <w:right w:val="single" w:sz="4" w:space="0" w:color="auto"/>
            </w:tcBorders>
            <w:shd w:val="clear" w:color="auto" w:fill="auto"/>
            <w:vAlign w:val="bottom"/>
            <w:hideMark/>
          </w:tcPr>
          <w:p w14:paraId="68AC0F28" w14:textId="77777777" w:rsidR="008A17FC" w:rsidRPr="008A17FC" w:rsidRDefault="008A17FC" w:rsidP="008A17FC">
            <w:pPr>
              <w:spacing w:after="0" w:line="240" w:lineRule="auto"/>
              <w:jc w:val="center"/>
              <w:rPr>
                <w:rFonts w:ascii="Aptos Narrow" w:eastAsia="Times New Roman" w:hAnsi="Aptos Narrow" w:cs="Times New Roman"/>
                <w:b/>
                <w:bCs/>
                <w:color w:val="000000"/>
                <w:kern w:val="0"/>
                <w14:ligatures w14:val="none"/>
              </w:rPr>
            </w:pPr>
            <w:r w:rsidRPr="008A17FC">
              <w:rPr>
                <w:rFonts w:ascii="Aptos Narrow" w:eastAsia="Times New Roman" w:hAnsi="Aptos Narrow" w:cs="Times New Roman"/>
                <w:b/>
                <w:bCs/>
                <w:color w:val="000000"/>
                <w:kern w:val="0"/>
                <w14:ligatures w14:val="none"/>
              </w:rPr>
              <w:t>Advocacy Case</w:t>
            </w:r>
          </w:p>
        </w:tc>
        <w:tc>
          <w:tcPr>
            <w:tcW w:w="1720" w:type="dxa"/>
            <w:tcBorders>
              <w:top w:val="single" w:sz="4" w:space="0" w:color="auto"/>
              <w:left w:val="nil"/>
              <w:bottom w:val="single" w:sz="4" w:space="0" w:color="auto"/>
              <w:right w:val="single" w:sz="4" w:space="0" w:color="auto"/>
            </w:tcBorders>
            <w:shd w:val="clear" w:color="auto" w:fill="auto"/>
            <w:vAlign w:val="bottom"/>
            <w:hideMark/>
          </w:tcPr>
          <w:p w14:paraId="2BCE582F" w14:textId="77777777" w:rsidR="008A17FC" w:rsidRPr="008A17FC" w:rsidRDefault="008A17FC" w:rsidP="008A17FC">
            <w:pPr>
              <w:spacing w:after="0" w:line="240" w:lineRule="auto"/>
              <w:jc w:val="center"/>
              <w:rPr>
                <w:rFonts w:ascii="Aptos Narrow" w:eastAsia="Times New Roman" w:hAnsi="Aptos Narrow" w:cs="Times New Roman"/>
                <w:b/>
                <w:bCs/>
                <w:color w:val="000000"/>
                <w:kern w:val="0"/>
                <w14:ligatures w14:val="none"/>
              </w:rPr>
            </w:pPr>
            <w:r w:rsidRPr="008A17FC">
              <w:rPr>
                <w:rFonts w:ascii="Aptos Narrow" w:eastAsia="Times New Roman" w:hAnsi="Aptos Narrow" w:cs="Times New Roman"/>
                <w:b/>
                <w:bCs/>
                <w:color w:val="000000"/>
                <w:kern w:val="0"/>
                <w14:ligatures w14:val="none"/>
              </w:rPr>
              <w:t>Supply-Side Case</w:t>
            </w:r>
          </w:p>
        </w:tc>
        <w:tc>
          <w:tcPr>
            <w:tcW w:w="1820" w:type="dxa"/>
            <w:tcBorders>
              <w:top w:val="single" w:sz="4" w:space="0" w:color="auto"/>
              <w:left w:val="nil"/>
              <w:bottom w:val="single" w:sz="4" w:space="0" w:color="auto"/>
              <w:right w:val="single" w:sz="4" w:space="0" w:color="auto"/>
            </w:tcBorders>
            <w:shd w:val="clear" w:color="auto" w:fill="auto"/>
            <w:vAlign w:val="bottom"/>
            <w:hideMark/>
          </w:tcPr>
          <w:p w14:paraId="2619D712" w14:textId="77777777" w:rsidR="008A17FC" w:rsidRPr="008A17FC" w:rsidRDefault="008A17FC" w:rsidP="008A17FC">
            <w:pPr>
              <w:spacing w:after="0" w:line="240" w:lineRule="auto"/>
              <w:jc w:val="center"/>
              <w:rPr>
                <w:rFonts w:ascii="Aptos Narrow" w:eastAsia="Times New Roman" w:hAnsi="Aptos Narrow" w:cs="Times New Roman"/>
                <w:b/>
                <w:bCs/>
                <w:color w:val="000000"/>
                <w:kern w:val="0"/>
                <w14:ligatures w14:val="none"/>
              </w:rPr>
            </w:pPr>
            <w:r w:rsidRPr="008A17FC">
              <w:rPr>
                <w:rFonts w:ascii="Aptos Narrow" w:eastAsia="Times New Roman" w:hAnsi="Aptos Narrow" w:cs="Times New Roman"/>
                <w:b/>
                <w:bCs/>
                <w:color w:val="000000"/>
                <w:kern w:val="0"/>
                <w14:ligatures w14:val="none"/>
              </w:rPr>
              <w:t>Capacity &amp; Affordability Case</w:t>
            </w:r>
          </w:p>
        </w:tc>
      </w:tr>
      <w:tr w:rsidR="008A17FC" w:rsidRPr="008A17FC" w14:paraId="0574D29A" w14:textId="77777777" w:rsidTr="008A17FC">
        <w:trPr>
          <w:trHeight w:val="290"/>
        </w:trPr>
        <w:tc>
          <w:tcPr>
            <w:tcW w:w="3300" w:type="dxa"/>
            <w:tcBorders>
              <w:top w:val="nil"/>
              <w:left w:val="single" w:sz="4" w:space="0" w:color="auto"/>
              <w:bottom w:val="single" w:sz="4" w:space="0" w:color="auto"/>
              <w:right w:val="single" w:sz="4" w:space="0" w:color="auto"/>
            </w:tcBorders>
            <w:shd w:val="clear" w:color="auto" w:fill="auto"/>
            <w:vAlign w:val="bottom"/>
            <w:hideMark/>
          </w:tcPr>
          <w:p w14:paraId="235D7F21" w14:textId="77777777" w:rsidR="008A17FC" w:rsidRPr="008A17FC" w:rsidRDefault="008A17FC" w:rsidP="008A17FC">
            <w:pPr>
              <w:spacing w:after="0" w:line="240" w:lineRule="auto"/>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Products Program</w:t>
            </w:r>
          </w:p>
        </w:tc>
        <w:tc>
          <w:tcPr>
            <w:tcW w:w="1440" w:type="dxa"/>
            <w:tcBorders>
              <w:top w:val="nil"/>
              <w:left w:val="nil"/>
              <w:bottom w:val="single" w:sz="4" w:space="0" w:color="auto"/>
              <w:right w:val="single" w:sz="4" w:space="0" w:color="auto"/>
            </w:tcBorders>
            <w:shd w:val="clear" w:color="auto" w:fill="auto"/>
            <w:vAlign w:val="center"/>
            <w:hideMark/>
          </w:tcPr>
          <w:p w14:paraId="54E2EC5B"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460" w:type="dxa"/>
            <w:tcBorders>
              <w:top w:val="nil"/>
              <w:left w:val="nil"/>
              <w:bottom w:val="single" w:sz="4" w:space="0" w:color="auto"/>
              <w:right w:val="single" w:sz="4" w:space="0" w:color="auto"/>
            </w:tcBorders>
            <w:shd w:val="clear" w:color="auto" w:fill="auto"/>
            <w:vAlign w:val="center"/>
            <w:hideMark/>
          </w:tcPr>
          <w:p w14:paraId="209230F5"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720" w:type="dxa"/>
            <w:tcBorders>
              <w:top w:val="nil"/>
              <w:left w:val="nil"/>
              <w:bottom w:val="single" w:sz="4" w:space="0" w:color="auto"/>
              <w:right w:val="single" w:sz="4" w:space="0" w:color="auto"/>
            </w:tcBorders>
            <w:shd w:val="clear" w:color="auto" w:fill="auto"/>
            <w:vAlign w:val="center"/>
            <w:hideMark/>
          </w:tcPr>
          <w:p w14:paraId="236CEEF0"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111-MG0</w:t>
            </w:r>
          </w:p>
        </w:tc>
        <w:tc>
          <w:tcPr>
            <w:tcW w:w="1820" w:type="dxa"/>
            <w:tcBorders>
              <w:top w:val="nil"/>
              <w:left w:val="nil"/>
              <w:bottom w:val="single" w:sz="4" w:space="0" w:color="auto"/>
              <w:right w:val="single" w:sz="4" w:space="0" w:color="auto"/>
            </w:tcBorders>
            <w:shd w:val="clear" w:color="auto" w:fill="auto"/>
            <w:vAlign w:val="center"/>
            <w:hideMark/>
          </w:tcPr>
          <w:p w14:paraId="25172F0D"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 </w:t>
            </w:r>
          </w:p>
        </w:tc>
      </w:tr>
      <w:tr w:rsidR="008A17FC" w:rsidRPr="008A17FC" w14:paraId="50F26C7A" w14:textId="77777777" w:rsidTr="008A17FC">
        <w:trPr>
          <w:trHeight w:val="580"/>
        </w:trPr>
        <w:tc>
          <w:tcPr>
            <w:tcW w:w="3300" w:type="dxa"/>
            <w:tcBorders>
              <w:top w:val="nil"/>
              <w:left w:val="single" w:sz="4" w:space="0" w:color="auto"/>
              <w:bottom w:val="single" w:sz="4" w:space="0" w:color="auto"/>
              <w:right w:val="single" w:sz="4" w:space="0" w:color="auto"/>
            </w:tcBorders>
            <w:shd w:val="clear" w:color="auto" w:fill="auto"/>
            <w:vAlign w:val="bottom"/>
            <w:hideMark/>
          </w:tcPr>
          <w:p w14:paraId="6DC01F5B" w14:textId="77777777" w:rsidR="008A17FC" w:rsidRPr="008A17FC" w:rsidRDefault="008A17FC" w:rsidP="008A17FC">
            <w:pPr>
              <w:spacing w:after="0" w:line="240" w:lineRule="auto"/>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Home Energy Improvement Program (HEIP)</w:t>
            </w:r>
          </w:p>
        </w:tc>
        <w:tc>
          <w:tcPr>
            <w:tcW w:w="1440" w:type="dxa"/>
            <w:tcBorders>
              <w:top w:val="nil"/>
              <w:left w:val="nil"/>
              <w:bottom w:val="single" w:sz="4" w:space="0" w:color="auto"/>
              <w:right w:val="single" w:sz="4" w:space="0" w:color="auto"/>
            </w:tcBorders>
            <w:shd w:val="clear" w:color="auto" w:fill="auto"/>
            <w:vAlign w:val="center"/>
            <w:hideMark/>
          </w:tcPr>
          <w:p w14:paraId="7E7FD5D9"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460" w:type="dxa"/>
            <w:tcBorders>
              <w:top w:val="nil"/>
              <w:left w:val="nil"/>
              <w:bottom w:val="single" w:sz="4" w:space="0" w:color="auto"/>
              <w:right w:val="single" w:sz="4" w:space="0" w:color="auto"/>
            </w:tcBorders>
            <w:shd w:val="clear" w:color="auto" w:fill="auto"/>
            <w:vAlign w:val="center"/>
            <w:hideMark/>
          </w:tcPr>
          <w:p w14:paraId="093BE656"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720" w:type="dxa"/>
            <w:tcBorders>
              <w:top w:val="nil"/>
              <w:left w:val="nil"/>
              <w:bottom w:val="single" w:sz="4" w:space="0" w:color="auto"/>
              <w:right w:val="single" w:sz="4" w:space="0" w:color="auto"/>
            </w:tcBorders>
            <w:shd w:val="clear" w:color="auto" w:fill="auto"/>
            <w:vAlign w:val="center"/>
            <w:hideMark/>
          </w:tcPr>
          <w:p w14:paraId="5A00387F"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111-MG0</w:t>
            </w:r>
          </w:p>
        </w:tc>
        <w:tc>
          <w:tcPr>
            <w:tcW w:w="1820" w:type="dxa"/>
            <w:tcBorders>
              <w:top w:val="nil"/>
              <w:left w:val="nil"/>
              <w:bottom w:val="single" w:sz="4" w:space="0" w:color="auto"/>
              <w:right w:val="single" w:sz="4" w:space="0" w:color="auto"/>
            </w:tcBorders>
            <w:shd w:val="clear" w:color="auto" w:fill="auto"/>
            <w:vAlign w:val="center"/>
            <w:hideMark/>
          </w:tcPr>
          <w:p w14:paraId="5584565F"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 </w:t>
            </w:r>
          </w:p>
        </w:tc>
      </w:tr>
      <w:tr w:rsidR="008A17FC" w:rsidRPr="008A17FC" w14:paraId="562E66F9" w14:textId="77777777" w:rsidTr="008A17FC">
        <w:trPr>
          <w:trHeight w:val="620"/>
        </w:trPr>
        <w:tc>
          <w:tcPr>
            <w:tcW w:w="3300" w:type="dxa"/>
            <w:tcBorders>
              <w:top w:val="nil"/>
              <w:left w:val="single" w:sz="4" w:space="0" w:color="auto"/>
              <w:bottom w:val="single" w:sz="4" w:space="0" w:color="auto"/>
              <w:right w:val="single" w:sz="4" w:space="0" w:color="auto"/>
            </w:tcBorders>
            <w:shd w:val="clear" w:color="auto" w:fill="auto"/>
            <w:vAlign w:val="bottom"/>
            <w:hideMark/>
          </w:tcPr>
          <w:p w14:paraId="7F3868B8" w14:textId="77777777" w:rsidR="008A17FC" w:rsidRPr="008A17FC" w:rsidRDefault="008A17FC" w:rsidP="008A17FC">
            <w:pPr>
              <w:spacing w:after="0" w:line="240" w:lineRule="auto"/>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Energy Assistance for Savings and Efficiency (EASE)</w:t>
            </w:r>
          </w:p>
        </w:tc>
        <w:tc>
          <w:tcPr>
            <w:tcW w:w="1440" w:type="dxa"/>
            <w:tcBorders>
              <w:top w:val="nil"/>
              <w:left w:val="nil"/>
              <w:bottom w:val="single" w:sz="4" w:space="0" w:color="auto"/>
              <w:right w:val="single" w:sz="4" w:space="0" w:color="auto"/>
            </w:tcBorders>
            <w:shd w:val="clear" w:color="auto" w:fill="auto"/>
            <w:vAlign w:val="center"/>
            <w:hideMark/>
          </w:tcPr>
          <w:p w14:paraId="32166A55"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460" w:type="dxa"/>
            <w:tcBorders>
              <w:top w:val="nil"/>
              <w:left w:val="nil"/>
              <w:bottom w:val="single" w:sz="4" w:space="0" w:color="auto"/>
              <w:right w:val="single" w:sz="4" w:space="0" w:color="auto"/>
            </w:tcBorders>
            <w:shd w:val="clear" w:color="auto" w:fill="auto"/>
            <w:vAlign w:val="center"/>
            <w:hideMark/>
          </w:tcPr>
          <w:p w14:paraId="20FA12BA"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720" w:type="dxa"/>
            <w:tcBorders>
              <w:top w:val="nil"/>
              <w:left w:val="nil"/>
              <w:bottom w:val="single" w:sz="4" w:space="0" w:color="auto"/>
              <w:right w:val="single" w:sz="4" w:space="0" w:color="auto"/>
            </w:tcBorders>
            <w:shd w:val="clear" w:color="auto" w:fill="auto"/>
            <w:vAlign w:val="center"/>
            <w:hideMark/>
          </w:tcPr>
          <w:p w14:paraId="34AD26DD"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111-MG0</w:t>
            </w:r>
          </w:p>
        </w:tc>
        <w:tc>
          <w:tcPr>
            <w:tcW w:w="1820" w:type="dxa"/>
            <w:tcBorders>
              <w:top w:val="nil"/>
              <w:left w:val="nil"/>
              <w:bottom w:val="single" w:sz="4" w:space="0" w:color="auto"/>
              <w:right w:val="single" w:sz="4" w:space="0" w:color="auto"/>
            </w:tcBorders>
            <w:shd w:val="clear" w:color="auto" w:fill="auto"/>
            <w:vAlign w:val="center"/>
            <w:hideMark/>
          </w:tcPr>
          <w:p w14:paraId="71B8B616"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r>
      <w:tr w:rsidR="008A17FC" w:rsidRPr="008A17FC" w14:paraId="12682A61" w14:textId="77777777" w:rsidTr="008A17FC">
        <w:trPr>
          <w:trHeight w:val="580"/>
        </w:trPr>
        <w:tc>
          <w:tcPr>
            <w:tcW w:w="3300" w:type="dxa"/>
            <w:tcBorders>
              <w:top w:val="nil"/>
              <w:left w:val="single" w:sz="4" w:space="0" w:color="auto"/>
              <w:bottom w:val="single" w:sz="4" w:space="0" w:color="auto"/>
              <w:right w:val="single" w:sz="4" w:space="0" w:color="auto"/>
            </w:tcBorders>
            <w:shd w:val="clear" w:color="auto" w:fill="auto"/>
            <w:vAlign w:val="bottom"/>
            <w:hideMark/>
          </w:tcPr>
          <w:p w14:paraId="4D313765" w14:textId="77777777" w:rsidR="008A17FC" w:rsidRPr="008A17FC" w:rsidRDefault="008A17FC" w:rsidP="008A17FC">
            <w:pPr>
              <w:spacing w:after="0" w:line="240" w:lineRule="auto"/>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Demand Response Program (DR)</w:t>
            </w:r>
          </w:p>
        </w:tc>
        <w:tc>
          <w:tcPr>
            <w:tcW w:w="1440" w:type="dxa"/>
            <w:tcBorders>
              <w:top w:val="nil"/>
              <w:left w:val="nil"/>
              <w:bottom w:val="single" w:sz="4" w:space="0" w:color="auto"/>
              <w:right w:val="single" w:sz="4" w:space="0" w:color="auto"/>
            </w:tcBorders>
            <w:shd w:val="clear" w:color="auto" w:fill="auto"/>
            <w:vAlign w:val="center"/>
            <w:hideMark/>
          </w:tcPr>
          <w:p w14:paraId="74270ED5"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460" w:type="dxa"/>
            <w:tcBorders>
              <w:top w:val="nil"/>
              <w:left w:val="nil"/>
              <w:bottom w:val="single" w:sz="4" w:space="0" w:color="auto"/>
              <w:right w:val="single" w:sz="4" w:space="0" w:color="auto"/>
            </w:tcBorders>
            <w:shd w:val="clear" w:color="auto" w:fill="auto"/>
            <w:vAlign w:val="center"/>
            <w:hideMark/>
          </w:tcPr>
          <w:p w14:paraId="1970E5DC"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720" w:type="dxa"/>
            <w:tcBorders>
              <w:top w:val="nil"/>
              <w:left w:val="nil"/>
              <w:bottom w:val="single" w:sz="4" w:space="0" w:color="auto"/>
              <w:right w:val="single" w:sz="4" w:space="0" w:color="auto"/>
            </w:tcBorders>
            <w:shd w:val="clear" w:color="auto" w:fill="auto"/>
            <w:vAlign w:val="center"/>
            <w:hideMark/>
          </w:tcPr>
          <w:p w14:paraId="1B2EF2BB"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 </w:t>
            </w:r>
          </w:p>
        </w:tc>
        <w:tc>
          <w:tcPr>
            <w:tcW w:w="1820" w:type="dxa"/>
            <w:tcBorders>
              <w:top w:val="nil"/>
              <w:left w:val="nil"/>
              <w:bottom w:val="single" w:sz="4" w:space="0" w:color="auto"/>
              <w:right w:val="single" w:sz="4" w:space="0" w:color="auto"/>
            </w:tcBorders>
            <w:shd w:val="clear" w:color="auto" w:fill="auto"/>
            <w:vAlign w:val="center"/>
            <w:hideMark/>
          </w:tcPr>
          <w:p w14:paraId="7322A02F"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r>
      <w:tr w:rsidR="008A17FC" w:rsidRPr="008A17FC" w14:paraId="2E79334F" w14:textId="77777777" w:rsidTr="008A17FC">
        <w:trPr>
          <w:trHeight w:val="290"/>
        </w:trPr>
        <w:tc>
          <w:tcPr>
            <w:tcW w:w="3300" w:type="dxa"/>
            <w:tcBorders>
              <w:top w:val="nil"/>
              <w:left w:val="single" w:sz="4" w:space="0" w:color="auto"/>
              <w:bottom w:val="single" w:sz="4" w:space="0" w:color="auto"/>
              <w:right w:val="single" w:sz="4" w:space="0" w:color="auto"/>
            </w:tcBorders>
            <w:shd w:val="clear" w:color="auto" w:fill="auto"/>
            <w:vAlign w:val="bottom"/>
            <w:hideMark/>
          </w:tcPr>
          <w:p w14:paraId="412E9618" w14:textId="77777777" w:rsidR="008A17FC" w:rsidRPr="008A17FC" w:rsidRDefault="008A17FC" w:rsidP="008A17FC">
            <w:pPr>
              <w:spacing w:after="0" w:line="240" w:lineRule="auto"/>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Residential Behavioral</w:t>
            </w:r>
          </w:p>
        </w:tc>
        <w:tc>
          <w:tcPr>
            <w:tcW w:w="1440" w:type="dxa"/>
            <w:tcBorders>
              <w:top w:val="nil"/>
              <w:left w:val="nil"/>
              <w:bottom w:val="single" w:sz="4" w:space="0" w:color="auto"/>
              <w:right w:val="single" w:sz="4" w:space="0" w:color="auto"/>
            </w:tcBorders>
            <w:shd w:val="clear" w:color="auto" w:fill="auto"/>
            <w:vAlign w:val="center"/>
            <w:hideMark/>
          </w:tcPr>
          <w:p w14:paraId="3340DBCE"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460" w:type="dxa"/>
            <w:tcBorders>
              <w:top w:val="nil"/>
              <w:left w:val="nil"/>
              <w:bottom w:val="single" w:sz="4" w:space="0" w:color="auto"/>
              <w:right w:val="single" w:sz="4" w:space="0" w:color="auto"/>
            </w:tcBorders>
            <w:shd w:val="clear" w:color="auto" w:fill="auto"/>
            <w:vAlign w:val="center"/>
            <w:hideMark/>
          </w:tcPr>
          <w:p w14:paraId="5A3D3371"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720" w:type="dxa"/>
            <w:tcBorders>
              <w:top w:val="nil"/>
              <w:left w:val="nil"/>
              <w:bottom w:val="single" w:sz="4" w:space="0" w:color="auto"/>
              <w:right w:val="single" w:sz="4" w:space="0" w:color="auto"/>
            </w:tcBorders>
            <w:shd w:val="clear" w:color="auto" w:fill="auto"/>
            <w:vAlign w:val="center"/>
            <w:hideMark/>
          </w:tcPr>
          <w:p w14:paraId="78EB6C6F"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820" w:type="dxa"/>
            <w:tcBorders>
              <w:top w:val="nil"/>
              <w:left w:val="nil"/>
              <w:bottom w:val="single" w:sz="4" w:space="0" w:color="auto"/>
              <w:right w:val="single" w:sz="4" w:space="0" w:color="auto"/>
            </w:tcBorders>
            <w:shd w:val="clear" w:color="auto" w:fill="auto"/>
            <w:vAlign w:val="center"/>
            <w:hideMark/>
          </w:tcPr>
          <w:p w14:paraId="7AABDE39"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r>
      <w:tr w:rsidR="008A17FC" w:rsidRPr="008A17FC" w14:paraId="740A12C1" w14:textId="77777777" w:rsidTr="008A17FC">
        <w:trPr>
          <w:trHeight w:val="290"/>
        </w:trPr>
        <w:tc>
          <w:tcPr>
            <w:tcW w:w="3300" w:type="dxa"/>
            <w:tcBorders>
              <w:top w:val="nil"/>
              <w:left w:val="single" w:sz="4" w:space="0" w:color="auto"/>
              <w:bottom w:val="single" w:sz="4" w:space="0" w:color="auto"/>
              <w:right w:val="single" w:sz="4" w:space="0" w:color="auto"/>
            </w:tcBorders>
            <w:shd w:val="clear" w:color="auto" w:fill="auto"/>
            <w:vAlign w:val="bottom"/>
            <w:hideMark/>
          </w:tcPr>
          <w:p w14:paraId="7AB22840" w14:textId="77777777" w:rsidR="008A17FC" w:rsidRPr="008A17FC" w:rsidRDefault="008A17FC" w:rsidP="008A17FC">
            <w:pPr>
              <w:spacing w:after="0" w:line="240" w:lineRule="auto"/>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HopeWorks</w:t>
            </w:r>
          </w:p>
        </w:tc>
        <w:tc>
          <w:tcPr>
            <w:tcW w:w="1440" w:type="dxa"/>
            <w:tcBorders>
              <w:top w:val="nil"/>
              <w:left w:val="nil"/>
              <w:bottom w:val="single" w:sz="4" w:space="0" w:color="auto"/>
              <w:right w:val="single" w:sz="4" w:space="0" w:color="auto"/>
            </w:tcBorders>
            <w:shd w:val="clear" w:color="auto" w:fill="auto"/>
            <w:vAlign w:val="center"/>
            <w:hideMark/>
          </w:tcPr>
          <w:p w14:paraId="1FBF1530"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460" w:type="dxa"/>
            <w:tcBorders>
              <w:top w:val="nil"/>
              <w:left w:val="nil"/>
              <w:bottom w:val="single" w:sz="4" w:space="0" w:color="auto"/>
              <w:right w:val="single" w:sz="4" w:space="0" w:color="auto"/>
            </w:tcBorders>
            <w:shd w:val="clear" w:color="auto" w:fill="auto"/>
            <w:vAlign w:val="center"/>
            <w:hideMark/>
          </w:tcPr>
          <w:p w14:paraId="009CA8AF"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720" w:type="dxa"/>
            <w:tcBorders>
              <w:top w:val="nil"/>
              <w:left w:val="nil"/>
              <w:bottom w:val="single" w:sz="4" w:space="0" w:color="auto"/>
              <w:right w:val="single" w:sz="4" w:space="0" w:color="auto"/>
            </w:tcBorders>
            <w:shd w:val="clear" w:color="auto" w:fill="auto"/>
            <w:vAlign w:val="center"/>
            <w:hideMark/>
          </w:tcPr>
          <w:p w14:paraId="14FFF7AD"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 </w:t>
            </w:r>
          </w:p>
        </w:tc>
        <w:tc>
          <w:tcPr>
            <w:tcW w:w="1820" w:type="dxa"/>
            <w:tcBorders>
              <w:top w:val="nil"/>
              <w:left w:val="nil"/>
              <w:bottom w:val="single" w:sz="4" w:space="0" w:color="auto"/>
              <w:right w:val="single" w:sz="4" w:space="0" w:color="auto"/>
            </w:tcBorders>
            <w:shd w:val="clear" w:color="auto" w:fill="auto"/>
            <w:vAlign w:val="center"/>
            <w:hideMark/>
          </w:tcPr>
          <w:p w14:paraId="3ACD60DF"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r>
      <w:tr w:rsidR="008A17FC" w:rsidRPr="008A17FC" w14:paraId="68FF0984" w14:textId="77777777" w:rsidTr="008A17FC">
        <w:trPr>
          <w:trHeight w:val="300"/>
        </w:trPr>
        <w:tc>
          <w:tcPr>
            <w:tcW w:w="3300" w:type="dxa"/>
            <w:tcBorders>
              <w:top w:val="nil"/>
              <w:left w:val="single" w:sz="4" w:space="0" w:color="auto"/>
              <w:bottom w:val="single" w:sz="4" w:space="0" w:color="auto"/>
              <w:right w:val="single" w:sz="4" w:space="0" w:color="auto"/>
            </w:tcBorders>
            <w:shd w:val="clear" w:color="auto" w:fill="auto"/>
            <w:vAlign w:val="bottom"/>
            <w:hideMark/>
          </w:tcPr>
          <w:p w14:paraId="417E6010" w14:textId="77777777" w:rsidR="008A17FC" w:rsidRPr="008A17FC" w:rsidRDefault="008A17FC" w:rsidP="008A17FC">
            <w:pPr>
              <w:spacing w:after="0" w:line="240" w:lineRule="auto"/>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Commercial Custom Program</w:t>
            </w:r>
          </w:p>
        </w:tc>
        <w:tc>
          <w:tcPr>
            <w:tcW w:w="1440" w:type="dxa"/>
            <w:tcBorders>
              <w:top w:val="nil"/>
              <w:left w:val="nil"/>
              <w:bottom w:val="single" w:sz="4" w:space="0" w:color="auto"/>
              <w:right w:val="single" w:sz="4" w:space="0" w:color="auto"/>
            </w:tcBorders>
            <w:shd w:val="clear" w:color="auto" w:fill="auto"/>
            <w:vAlign w:val="center"/>
            <w:hideMark/>
          </w:tcPr>
          <w:p w14:paraId="283819A9"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460" w:type="dxa"/>
            <w:tcBorders>
              <w:top w:val="nil"/>
              <w:left w:val="nil"/>
              <w:bottom w:val="single" w:sz="4" w:space="0" w:color="auto"/>
              <w:right w:val="single" w:sz="4" w:space="0" w:color="auto"/>
            </w:tcBorders>
            <w:shd w:val="clear" w:color="auto" w:fill="auto"/>
            <w:vAlign w:val="center"/>
            <w:hideMark/>
          </w:tcPr>
          <w:p w14:paraId="0B3D25B0"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720" w:type="dxa"/>
            <w:tcBorders>
              <w:top w:val="nil"/>
              <w:left w:val="nil"/>
              <w:bottom w:val="single" w:sz="4" w:space="0" w:color="auto"/>
              <w:right w:val="single" w:sz="4" w:space="0" w:color="auto"/>
            </w:tcBorders>
            <w:shd w:val="clear" w:color="auto" w:fill="auto"/>
            <w:vAlign w:val="center"/>
            <w:hideMark/>
          </w:tcPr>
          <w:p w14:paraId="43DB9ABE"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820" w:type="dxa"/>
            <w:tcBorders>
              <w:top w:val="nil"/>
              <w:left w:val="nil"/>
              <w:bottom w:val="single" w:sz="4" w:space="0" w:color="auto"/>
              <w:right w:val="single" w:sz="4" w:space="0" w:color="auto"/>
            </w:tcBorders>
            <w:shd w:val="clear" w:color="auto" w:fill="auto"/>
            <w:vAlign w:val="center"/>
            <w:hideMark/>
          </w:tcPr>
          <w:p w14:paraId="5ACC41A4"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 </w:t>
            </w:r>
          </w:p>
        </w:tc>
      </w:tr>
      <w:tr w:rsidR="008A17FC" w:rsidRPr="008A17FC" w14:paraId="0DCFFAD8" w14:textId="77777777" w:rsidTr="008A17FC">
        <w:trPr>
          <w:trHeight w:val="290"/>
        </w:trPr>
        <w:tc>
          <w:tcPr>
            <w:tcW w:w="3300" w:type="dxa"/>
            <w:tcBorders>
              <w:top w:val="nil"/>
              <w:left w:val="single" w:sz="4" w:space="0" w:color="auto"/>
              <w:bottom w:val="single" w:sz="4" w:space="0" w:color="auto"/>
              <w:right w:val="single" w:sz="4" w:space="0" w:color="auto"/>
            </w:tcBorders>
            <w:shd w:val="clear" w:color="auto" w:fill="auto"/>
            <w:vAlign w:val="bottom"/>
            <w:hideMark/>
          </w:tcPr>
          <w:p w14:paraId="1B1CFE19" w14:textId="77777777" w:rsidR="008A17FC" w:rsidRPr="008A17FC" w:rsidRDefault="008A17FC" w:rsidP="008A17FC">
            <w:pPr>
              <w:spacing w:after="0" w:line="240" w:lineRule="auto"/>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Commercial Prescriptive Program</w:t>
            </w:r>
          </w:p>
        </w:tc>
        <w:tc>
          <w:tcPr>
            <w:tcW w:w="1440" w:type="dxa"/>
            <w:tcBorders>
              <w:top w:val="nil"/>
              <w:left w:val="nil"/>
              <w:bottom w:val="single" w:sz="4" w:space="0" w:color="auto"/>
              <w:right w:val="single" w:sz="4" w:space="0" w:color="auto"/>
            </w:tcBorders>
            <w:shd w:val="clear" w:color="auto" w:fill="auto"/>
            <w:vAlign w:val="center"/>
            <w:hideMark/>
          </w:tcPr>
          <w:p w14:paraId="424CC333"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460" w:type="dxa"/>
            <w:tcBorders>
              <w:top w:val="nil"/>
              <w:left w:val="nil"/>
              <w:bottom w:val="single" w:sz="4" w:space="0" w:color="auto"/>
              <w:right w:val="single" w:sz="4" w:space="0" w:color="auto"/>
            </w:tcBorders>
            <w:shd w:val="clear" w:color="auto" w:fill="auto"/>
            <w:vAlign w:val="center"/>
            <w:hideMark/>
          </w:tcPr>
          <w:p w14:paraId="15E94542"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720" w:type="dxa"/>
            <w:tcBorders>
              <w:top w:val="nil"/>
              <w:left w:val="nil"/>
              <w:bottom w:val="single" w:sz="4" w:space="0" w:color="auto"/>
              <w:right w:val="single" w:sz="4" w:space="0" w:color="auto"/>
            </w:tcBorders>
            <w:shd w:val="clear" w:color="auto" w:fill="auto"/>
            <w:vAlign w:val="center"/>
            <w:hideMark/>
          </w:tcPr>
          <w:p w14:paraId="3112C4A0"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820" w:type="dxa"/>
            <w:tcBorders>
              <w:top w:val="nil"/>
              <w:left w:val="nil"/>
              <w:bottom w:val="single" w:sz="4" w:space="0" w:color="auto"/>
              <w:right w:val="single" w:sz="4" w:space="0" w:color="auto"/>
            </w:tcBorders>
            <w:shd w:val="clear" w:color="auto" w:fill="auto"/>
            <w:vAlign w:val="center"/>
            <w:hideMark/>
          </w:tcPr>
          <w:p w14:paraId="380E0B30"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r>
      <w:tr w:rsidR="008A17FC" w:rsidRPr="008A17FC" w14:paraId="70FA6990" w14:textId="77777777" w:rsidTr="008A17FC">
        <w:trPr>
          <w:trHeight w:val="580"/>
        </w:trPr>
        <w:tc>
          <w:tcPr>
            <w:tcW w:w="3300" w:type="dxa"/>
            <w:tcBorders>
              <w:top w:val="nil"/>
              <w:left w:val="single" w:sz="4" w:space="0" w:color="auto"/>
              <w:bottom w:val="single" w:sz="4" w:space="0" w:color="auto"/>
              <w:right w:val="single" w:sz="4" w:space="0" w:color="auto"/>
            </w:tcBorders>
            <w:shd w:val="clear" w:color="auto" w:fill="auto"/>
            <w:vAlign w:val="bottom"/>
            <w:hideMark/>
          </w:tcPr>
          <w:p w14:paraId="7ED6F21A" w14:textId="77777777" w:rsidR="008A17FC" w:rsidRPr="008A17FC" w:rsidRDefault="008A17FC" w:rsidP="008A17FC">
            <w:pPr>
              <w:spacing w:after="0" w:line="240" w:lineRule="auto"/>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 xml:space="preserve">Small Commercial Direct Install Program (SCDI) </w:t>
            </w:r>
          </w:p>
        </w:tc>
        <w:tc>
          <w:tcPr>
            <w:tcW w:w="1440" w:type="dxa"/>
            <w:tcBorders>
              <w:top w:val="nil"/>
              <w:left w:val="nil"/>
              <w:bottom w:val="single" w:sz="4" w:space="0" w:color="auto"/>
              <w:right w:val="single" w:sz="4" w:space="0" w:color="auto"/>
            </w:tcBorders>
            <w:shd w:val="clear" w:color="auto" w:fill="auto"/>
            <w:vAlign w:val="center"/>
            <w:hideMark/>
          </w:tcPr>
          <w:p w14:paraId="1712D425"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460" w:type="dxa"/>
            <w:tcBorders>
              <w:top w:val="nil"/>
              <w:left w:val="nil"/>
              <w:bottom w:val="single" w:sz="4" w:space="0" w:color="auto"/>
              <w:right w:val="single" w:sz="4" w:space="0" w:color="auto"/>
            </w:tcBorders>
            <w:shd w:val="clear" w:color="auto" w:fill="auto"/>
            <w:vAlign w:val="center"/>
            <w:hideMark/>
          </w:tcPr>
          <w:p w14:paraId="48615D4B"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720" w:type="dxa"/>
            <w:tcBorders>
              <w:top w:val="nil"/>
              <w:left w:val="nil"/>
              <w:bottom w:val="single" w:sz="4" w:space="0" w:color="auto"/>
              <w:right w:val="single" w:sz="4" w:space="0" w:color="auto"/>
            </w:tcBorders>
            <w:shd w:val="clear" w:color="auto" w:fill="auto"/>
            <w:vAlign w:val="center"/>
            <w:hideMark/>
          </w:tcPr>
          <w:p w14:paraId="5A44D585"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820" w:type="dxa"/>
            <w:tcBorders>
              <w:top w:val="nil"/>
              <w:left w:val="nil"/>
              <w:bottom w:val="single" w:sz="4" w:space="0" w:color="auto"/>
              <w:right w:val="single" w:sz="4" w:space="0" w:color="auto"/>
            </w:tcBorders>
            <w:shd w:val="clear" w:color="auto" w:fill="auto"/>
            <w:vAlign w:val="center"/>
            <w:hideMark/>
          </w:tcPr>
          <w:p w14:paraId="1DC02FE7"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r>
      <w:tr w:rsidR="008A17FC" w:rsidRPr="008A17FC" w14:paraId="5A175BEA" w14:textId="77777777" w:rsidTr="008A17FC">
        <w:trPr>
          <w:trHeight w:val="290"/>
        </w:trPr>
        <w:tc>
          <w:tcPr>
            <w:tcW w:w="3300" w:type="dxa"/>
            <w:tcBorders>
              <w:top w:val="nil"/>
              <w:left w:val="single" w:sz="4" w:space="0" w:color="auto"/>
              <w:bottom w:val="single" w:sz="4" w:space="0" w:color="auto"/>
              <w:right w:val="single" w:sz="4" w:space="0" w:color="auto"/>
            </w:tcBorders>
            <w:shd w:val="clear" w:color="auto" w:fill="auto"/>
            <w:vAlign w:val="bottom"/>
            <w:hideMark/>
          </w:tcPr>
          <w:p w14:paraId="51B09F70" w14:textId="77777777" w:rsidR="008A17FC" w:rsidRPr="008A17FC" w:rsidRDefault="008A17FC" w:rsidP="008A17FC">
            <w:pPr>
              <w:spacing w:after="0" w:line="240" w:lineRule="auto"/>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Industrial Custom Program</w:t>
            </w:r>
          </w:p>
        </w:tc>
        <w:tc>
          <w:tcPr>
            <w:tcW w:w="1440" w:type="dxa"/>
            <w:tcBorders>
              <w:top w:val="nil"/>
              <w:left w:val="nil"/>
              <w:bottom w:val="single" w:sz="4" w:space="0" w:color="auto"/>
              <w:right w:val="single" w:sz="4" w:space="0" w:color="auto"/>
            </w:tcBorders>
            <w:shd w:val="clear" w:color="auto" w:fill="auto"/>
            <w:vAlign w:val="bottom"/>
            <w:hideMark/>
          </w:tcPr>
          <w:p w14:paraId="7FE17BB4" w14:textId="77777777" w:rsidR="008A17FC" w:rsidRPr="008A17FC" w:rsidRDefault="008A17FC" w:rsidP="00473F25">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 </w:t>
            </w:r>
          </w:p>
        </w:tc>
        <w:tc>
          <w:tcPr>
            <w:tcW w:w="1460" w:type="dxa"/>
            <w:tcBorders>
              <w:top w:val="nil"/>
              <w:left w:val="nil"/>
              <w:bottom w:val="single" w:sz="4" w:space="0" w:color="auto"/>
              <w:right w:val="single" w:sz="4" w:space="0" w:color="auto"/>
            </w:tcBorders>
            <w:shd w:val="clear" w:color="auto" w:fill="auto"/>
            <w:vAlign w:val="center"/>
            <w:hideMark/>
          </w:tcPr>
          <w:p w14:paraId="08539770" w14:textId="77777777" w:rsidR="008A17FC" w:rsidRPr="008A17FC" w:rsidRDefault="008A17FC" w:rsidP="008A17FC">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X</w:t>
            </w:r>
          </w:p>
        </w:tc>
        <w:tc>
          <w:tcPr>
            <w:tcW w:w="1720" w:type="dxa"/>
            <w:tcBorders>
              <w:top w:val="nil"/>
              <w:left w:val="nil"/>
              <w:bottom w:val="single" w:sz="4" w:space="0" w:color="auto"/>
              <w:right w:val="single" w:sz="4" w:space="0" w:color="auto"/>
            </w:tcBorders>
            <w:shd w:val="clear" w:color="auto" w:fill="auto"/>
            <w:vAlign w:val="bottom"/>
            <w:hideMark/>
          </w:tcPr>
          <w:p w14:paraId="09E55EA9" w14:textId="4732AD82" w:rsidR="008A17FC" w:rsidRPr="008A17FC" w:rsidRDefault="00473F25" w:rsidP="00473F25">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 </w:t>
            </w:r>
          </w:p>
        </w:tc>
        <w:tc>
          <w:tcPr>
            <w:tcW w:w="1820" w:type="dxa"/>
            <w:tcBorders>
              <w:top w:val="nil"/>
              <w:left w:val="nil"/>
              <w:bottom w:val="single" w:sz="4" w:space="0" w:color="auto"/>
              <w:right w:val="single" w:sz="4" w:space="0" w:color="auto"/>
            </w:tcBorders>
            <w:shd w:val="clear" w:color="auto" w:fill="auto"/>
            <w:vAlign w:val="bottom"/>
            <w:hideMark/>
          </w:tcPr>
          <w:p w14:paraId="3F6D2AFF" w14:textId="72872C61" w:rsidR="008A17FC" w:rsidRPr="008A17FC" w:rsidRDefault="00473F25" w:rsidP="00473F25">
            <w:pPr>
              <w:spacing w:after="0" w:line="240" w:lineRule="auto"/>
              <w:jc w:val="center"/>
              <w:rPr>
                <w:rFonts w:ascii="Aptos Narrow" w:eastAsia="Times New Roman" w:hAnsi="Aptos Narrow" w:cs="Times New Roman"/>
                <w:color w:val="000000"/>
                <w:kern w:val="0"/>
                <w14:ligatures w14:val="none"/>
              </w:rPr>
            </w:pPr>
            <w:r w:rsidRPr="008A17FC">
              <w:rPr>
                <w:rFonts w:ascii="Aptos Narrow" w:eastAsia="Times New Roman" w:hAnsi="Aptos Narrow" w:cs="Times New Roman"/>
                <w:color w:val="000000"/>
                <w:kern w:val="0"/>
                <w14:ligatures w14:val="none"/>
              </w:rPr>
              <w:t> </w:t>
            </w:r>
          </w:p>
        </w:tc>
      </w:tr>
    </w:tbl>
    <w:p w14:paraId="0D812D8C" w14:textId="77777777" w:rsidR="00F34ECA" w:rsidRPr="00684D9C" w:rsidRDefault="00F34ECA" w:rsidP="00D756CA"/>
    <w:p w14:paraId="3824F530" w14:textId="0AEC4BA7" w:rsidR="002464EB" w:rsidRDefault="00940424" w:rsidP="009C78D1">
      <w:pPr>
        <w:pStyle w:val="Heading3"/>
      </w:pPr>
      <w:r>
        <w:t xml:space="preserve">7.6.1 – </w:t>
      </w:r>
      <w:r w:rsidR="002464EB">
        <w:t>Proposed Case</w:t>
      </w:r>
    </w:p>
    <w:p w14:paraId="7CDEFBB7" w14:textId="2DA74C89" w:rsidR="002464EB" w:rsidRDefault="00197B4D" w:rsidP="00CD30CB">
      <w:pPr>
        <w:jc w:val="both"/>
      </w:pPr>
      <w:r w:rsidRPr="00197B4D">
        <w:t xml:space="preserve">The net TRC benefits and RIM impacts of energy efficiency and demand response programs in the Company’s Proposed Case for the 2025 IRP </w:t>
      </w:r>
      <w:r w:rsidR="000340FC">
        <w:t>are</w:t>
      </w:r>
      <w:r w:rsidRPr="00197B4D">
        <w:t xml:space="preserve"> listed in </w:t>
      </w:r>
      <w:r w:rsidR="00DF4A2F">
        <w:t>Table</w:t>
      </w:r>
      <w:r w:rsidRPr="00197B4D">
        <w:t xml:space="preserve"> 7.3 above.</w:t>
      </w:r>
      <w:r w:rsidR="003875FD">
        <w:t xml:space="preserve"> </w:t>
      </w:r>
      <w:r w:rsidR="002464EB">
        <w:t xml:space="preserve">The energy efficiency and demand response programs in the Company’s Proposed Case for the </w:t>
      </w:r>
      <w:r w:rsidR="00DB27E3">
        <w:t xml:space="preserve">2025 </w:t>
      </w:r>
      <w:r w:rsidR="002464EB">
        <w:t xml:space="preserve">IRP achieve approximately </w:t>
      </w:r>
      <w:r w:rsidR="00A942F2" w:rsidRPr="00A942F2">
        <w:t>-$16 to $3</w:t>
      </w:r>
      <w:r w:rsidR="00A942F2">
        <w:t xml:space="preserve"> </w:t>
      </w:r>
      <w:r w:rsidR="00F40A48">
        <w:t>million</w:t>
      </w:r>
      <w:r w:rsidR="002464EB">
        <w:t xml:space="preserve"> </w:t>
      </w:r>
      <w:r w:rsidR="00EB53D6">
        <w:t xml:space="preserve">in </w:t>
      </w:r>
      <w:r w:rsidR="00062A57">
        <w:t>annual</w:t>
      </w:r>
      <w:r w:rsidR="00EB53D6">
        <w:t xml:space="preserve"> </w:t>
      </w:r>
      <w:r w:rsidR="00DB3010">
        <w:t xml:space="preserve">net </w:t>
      </w:r>
      <w:r w:rsidR="00EB53D6">
        <w:t>TRC benefits while putting upward pressure on rates of approximately</w:t>
      </w:r>
      <w:r w:rsidR="002464EB">
        <w:t xml:space="preserve"> </w:t>
      </w:r>
      <w:r w:rsidR="00A942F2" w:rsidRPr="00A942F2">
        <w:t xml:space="preserve">$630 to $746 </w:t>
      </w:r>
      <w:r w:rsidR="00A41618">
        <w:t xml:space="preserve">million </w:t>
      </w:r>
      <w:r w:rsidR="002464EB">
        <w:t xml:space="preserve">annually </w:t>
      </w:r>
      <w:r w:rsidR="009537B4">
        <w:t>under</w:t>
      </w:r>
      <w:r w:rsidR="008E755F">
        <w:t xml:space="preserve"> the MG0 economic scenario and </w:t>
      </w:r>
      <w:r w:rsidR="00B6157A">
        <w:t xml:space="preserve">approximately </w:t>
      </w:r>
      <w:r w:rsidR="00A942F2" w:rsidRPr="00A942F2">
        <w:lastRenderedPageBreak/>
        <w:t xml:space="preserve">-$3 to $24 </w:t>
      </w:r>
      <w:r w:rsidR="004E0AA6">
        <w:t>million</w:t>
      </w:r>
      <w:r w:rsidR="00A12680">
        <w:t xml:space="preserve"> in </w:t>
      </w:r>
      <w:r w:rsidR="00062A57">
        <w:t>annual</w:t>
      </w:r>
      <w:r w:rsidR="00A12680">
        <w:t xml:space="preserve"> </w:t>
      </w:r>
      <w:r w:rsidR="00DB3010">
        <w:t xml:space="preserve">net </w:t>
      </w:r>
      <w:r w:rsidR="00A12680">
        <w:t>TRC benefits</w:t>
      </w:r>
      <w:r w:rsidR="00C4481E">
        <w:t xml:space="preserve"> while putting </w:t>
      </w:r>
      <w:r w:rsidR="00936250">
        <w:t xml:space="preserve">upward pressure on rates of approximately </w:t>
      </w:r>
      <w:r w:rsidR="00A942F2" w:rsidRPr="00A942F2">
        <w:t>$609 to $733</w:t>
      </w:r>
      <w:r w:rsidR="00A942F2">
        <w:t xml:space="preserve"> </w:t>
      </w:r>
      <w:r w:rsidR="007A56FC">
        <w:t xml:space="preserve">million annually </w:t>
      </w:r>
      <w:r w:rsidR="003B4932">
        <w:t xml:space="preserve">under the 111-MG0 economic scenario </w:t>
      </w:r>
      <w:r w:rsidR="002464EB">
        <w:t xml:space="preserve">over years </w:t>
      </w:r>
      <w:r w:rsidR="0028718A">
        <w:t>2026</w:t>
      </w:r>
      <w:r w:rsidR="00634F42">
        <w:t xml:space="preserve"> </w:t>
      </w:r>
      <w:r w:rsidR="0028718A">
        <w:t>-</w:t>
      </w:r>
      <w:r w:rsidR="00634F42">
        <w:t xml:space="preserve"> </w:t>
      </w:r>
      <w:r w:rsidR="0028718A">
        <w:t>2028</w:t>
      </w:r>
      <w:r w:rsidR="002464EB">
        <w:t xml:space="preserve">. </w:t>
      </w:r>
      <w:r w:rsidR="000E5E7D">
        <w:t>Nevertheless</w:t>
      </w:r>
      <w:r w:rsidR="00D53215">
        <w:t>,</w:t>
      </w:r>
      <w:r w:rsidR="002464EB">
        <w:t xml:space="preserve"> </w:t>
      </w:r>
      <w:r w:rsidR="00615096">
        <w:t>the Company</w:t>
      </w:r>
      <w:r w:rsidR="002464EB">
        <w:t xml:space="preserve"> </w:t>
      </w:r>
      <w:r w:rsidR="0046631C">
        <w:t>supports</w:t>
      </w:r>
      <w:r w:rsidR="002464EB">
        <w:t xml:space="preserve"> the </w:t>
      </w:r>
      <w:r w:rsidR="00A446B1">
        <w:t>DSM</w:t>
      </w:r>
      <w:r w:rsidR="002464EB">
        <w:t xml:space="preserve"> programs as </w:t>
      </w:r>
      <w:r w:rsidR="00C20617">
        <w:t>described</w:t>
      </w:r>
      <w:r w:rsidR="002464EB">
        <w:t xml:space="preserve"> above</w:t>
      </w:r>
      <w:r w:rsidR="00C667F1">
        <w:t xml:space="preserve"> and </w:t>
      </w:r>
      <w:r w:rsidR="00C20617">
        <w:t xml:space="preserve">included </w:t>
      </w:r>
      <w:r w:rsidR="00C667F1">
        <w:t>in</w:t>
      </w:r>
      <w:r w:rsidR="00D53215">
        <w:t xml:space="preserve"> </w:t>
      </w:r>
      <w:r w:rsidR="00C20617">
        <w:t>the</w:t>
      </w:r>
      <w:r w:rsidR="002E0ABE">
        <w:t xml:space="preserve"> 2025 DSM Application</w:t>
      </w:r>
      <w:r w:rsidR="002464EB">
        <w:t xml:space="preserve">, to achieve </w:t>
      </w:r>
      <w:r w:rsidR="003D3395">
        <w:t xml:space="preserve">the levels of energy </w:t>
      </w:r>
      <w:r w:rsidR="009F771D">
        <w:t>savings</w:t>
      </w:r>
      <w:r w:rsidR="003D3395">
        <w:t xml:space="preserve"> </w:t>
      </w:r>
      <w:r w:rsidR="00732284">
        <w:t>approved by the Commission in the Vogtle Prudence Order</w:t>
      </w:r>
      <w:r w:rsidR="002464EB">
        <w:t>.</w:t>
      </w:r>
      <w:r w:rsidDel="002464EB">
        <w:t xml:space="preserve"> </w:t>
      </w:r>
      <w:r w:rsidR="489EEAC4">
        <w:t>If approved, the</w:t>
      </w:r>
      <w:r w:rsidR="002464EB">
        <w:t xml:space="preserve"> Company plans to continue these programs to minimize market disruption, to continue meeting customers’ expectations, and to maintain positive relationships with vendors performing qualified program improvements. The Company’s DSM portfolio included in the </w:t>
      </w:r>
      <w:r w:rsidR="00A10E98">
        <w:t>2025</w:t>
      </w:r>
      <w:r w:rsidR="002464EB">
        <w:t xml:space="preserve"> IRP consists of currently certified programs as well as </w:t>
      </w:r>
      <w:r w:rsidR="007B1AB1">
        <w:t xml:space="preserve">a </w:t>
      </w:r>
      <w:r w:rsidR="002464EB">
        <w:t xml:space="preserve">new program, modified based on data gathered in the implementation phase, as well as input from the DSMWG and an independent third-party evaluation. The Proposed Case will continue to enhance these programs as more information becomes available relative to market penetration and customer feedback through an ongoing evaluation process. The Company will keep the Commission fully informed of potential changes to programs through notification to, or approval by, Commission Staff, as </w:t>
      </w:r>
      <w:r w:rsidR="006E36C5">
        <w:t>appropriate</w:t>
      </w:r>
      <w:r w:rsidR="002464EB">
        <w:t>.</w:t>
      </w:r>
    </w:p>
    <w:p w14:paraId="116B8E0D" w14:textId="08D85050" w:rsidR="002464EB" w:rsidRDefault="002464EB" w:rsidP="00CD30CB">
      <w:pPr>
        <w:jc w:val="both"/>
      </w:pPr>
      <w:r>
        <w:t xml:space="preserve">The Company’s Proposed Case economics are provided in the DSM Program Documentation section of Technical Appendix Volume </w:t>
      </w:r>
      <w:r w:rsidR="000276C9">
        <w:t>1</w:t>
      </w:r>
      <w:r>
        <w:t>.</w:t>
      </w:r>
      <w:r w:rsidR="007D58F7">
        <w:t xml:space="preserve"> Considering the significant upward pressure on rates resulting from the Proposed Case, the Company developed a Capacity and Affordability Case sensitivity, identified in Section 7.6.4 below, which substantially mitigates the upward pressure on rates associated with the Proposed Case.</w:t>
      </w:r>
    </w:p>
    <w:p w14:paraId="663531DB" w14:textId="07FC50D3" w:rsidR="002464EB" w:rsidRDefault="00940424" w:rsidP="00055375">
      <w:pPr>
        <w:pStyle w:val="Heading3"/>
      </w:pPr>
      <w:r>
        <w:t xml:space="preserve">7.6.2 – </w:t>
      </w:r>
      <w:r w:rsidR="002464EB">
        <w:t>DSMWG Advocacy Case</w:t>
      </w:r>
    </w:p>
    <w:p w14:paraId="21C6940C" w14:textId="790DB1DC" w:rsidR="002464EB" w:rsidRDefault="002464EB" w:rsidP="00CD30CB">
      <w:pPr>
        <w:jc w:val="both"/>
      </w:pPr>
      <w:r>
        <w:t>The DSMWG Advocacy Case was developed as a sensitivity case to the Company’s Proposed Case and is based on requests made by certain members of the DSMWG. The Company presents the results of this case for informational purposes. If the DSMWG Advocacy Case were to be implemented, the portfolio would put upward pressure on rates</w:t>
      </w:r>
      <w:r w:rsidR="2697665F">
        <w:t xml:space="preserve">, </w:t>
      </w:r>
      <w:r w:rsidR="1099F77B">
        <w:t>as</w:t>
      </w:r>
      <w:r w:rsidDel="002464EB">
        <w:t xml:space="preserve"> </w:t>
      </w:r>
      <w:r w:rsidR="43992C49">
        <w:t>listed in</w:t>
      </w:r>
      <w:r w:rsidR="00AD7AF2">
        <w:t xml:space="preserve"> </w:t>
      </w:r>
      <w:r w:rsidR="43992C49">
        <w:t>Table 7.3 above</w:t>
      </w:r>
      <w:r w:rsidR="00AD7AF2">
        <w:t>,</w:t>
      </w:r>
      <w:r>
        <w:t xml:space="preserve"> of approximately </w:t>
      </w:r>
      <w:r w:rsidR="00A942F2" w:rsidRPr="00A942F2">
        <w:t>$641 to $761</w:t>
      </w:r>
      <w:r w:rsidR="00A942F2">
        <w:t xml:space="preserve"> </w:t>
      </w:r>
      <w:r>
        <w:t xml:space="preserve">million annually </w:t>
      </w:r>
      <w:r w:rsidR="0022518A">
        <w:t>under the MG0</w:t>
      </w:r>
      <w:r w:rsidR="00E43F21">
        <w:t xml:space="preserve"> economic</w:t>
      </w:r>
      <w:r w:rsidR="00DB7971">
        <w:t xml:space="preserve"> scenario and approximately </w:t>
      </w:r>
      <w:r w:rsidR="00A942F2" w:rsidRPr="00A942F2">
        <w:t>$620 to $748</w:t>
      </w:r>
      <w:r w:rsidR="00A942F2">
        <w:t xml:space="preserve"> </w:t>
      </w:r>
      <w:r w:rsidR="00662D68">
        <w:t>million</w:t>
      </w:r>
      <w:r w:rsidR="009537B4">
        <w:t xml:space="preserve"> annually under the 111-MG0 economic scenario</w:t>
      </w:r>
      <w:r w:rsidR="00EC6073">
        <w:t xml:space="preserve"> </w:t>
      </w:r>
      <w:r>
        <w:t xml:space="preserve">for years </w:t>
      </w:r>
      <w:r w:rsidR="00E60A3F">
        <w:t xml:space="preserve">2026 </w:t>
      </w:r>
      <w:r w:rsidR="000C7079">
        <w:t>-</w:t>
      </w:r>
      <w:r w:rsidR="00E60A3F">
        <w:t xml:space="preserve"> 2028</w:t>
      </w:r>
      <w:r>
        <w:t xml:space="preserve">. The DSMWG Advocacy Case </w:t>
      </w:r>
      <w:r w:rsidR="003D0774">
        <w:t xml:space="preserve">is </w:t>
      </w:r>
      <w:r w:rsidR="00EF39E3">
        <w:t>similar to</w:t>
      </w:r>
      <w:r w:rsidR="003D0774">
        <w:t xml:space="preserve"> </w:t>
      </w:r>
      <w:r>
        <w:t xml:space="preserve">the Company’s Proposed Case </w:t>
      </w:r>
      <w:r w:rsidR="006B296B">
        <w:t xml:space="preserve">but </w:t>
      </w:r>
      <w:r w:rsidR="00EF39E3">
        <w:t>includes</w:t>
      </w:r>
      <w:r w:rsidR="006B296B">
        <w:t xml:space="preserve"> an </w:t>
      </w:r>
      <w:r w:rsidR="0056744B">
        <w:t>i</w:t>
      </w:r>
      <w:r w:rsidR="006B296B">
        <w:t>ndustrial program</w:t>
      </w:r>
      <w:r w:rsidR="00725C8B">
        <w:t>.</w:t>
      </w:r>
      <w:r w:rsidR="004C0330" w:rsidRPr="004C0330">
        <w:t xml:space="preserve"> </w:t>
      </w:r>
      <w:r w:rsidR="004C0330">
        <w:t>As previously explained, the Company does not support the inclusion of an industrial program because it is not necessary to incentivize industrial customers and would unnecessarily increase costs.</w:t>
      </w:r>
      <w:r>
        <w:t xml:space="preserve"> Therefore, the Company does not recommend approval of the DSMWG Advocacy Case.</w:t>
      </w:r>
    </w:p>
    <w:p w14:paraId="5A2A6301" w14:textId="360D2091" w:rsidR="002464EB" w:rsidRDefault="002464EB" w:rsidP="00CD30CB">
      <w:pPr>
        <w:jc w:val="both"/>
      </w:pPr>
      <w:r>
        <w:t xml:space="preserve">The DSMWG Advocacy Case summary tables are provided in the DSM Program Documentation section of Technical Appendix Volume </w:t>
      </w:r>
      <w:r w:rsidR="00AD0832">
        <w:t>1</w:t>
      </w:r>
      <w:r>
        <w:t>.</w:t>
      </w:r>
    </w:p>
    <w:p w14:paraId="2725049E" w14:textId="69930BA8" w:rsidR="002464EB" w:rsidRDefault="00940424" w:rsidP="00613C06">
      <w:pPr>
        <w:pStyle w:val="Heading3"/>
      </w:pPr>
      <w:r>
        <w:t xml:space="preserve">7.6.3 – </w:t>
      </w:r>
      <w:r w:rsidR="0043189E">
        <w:t xml:space="preserve">Supply-Side </w:t>
      </w:r>
      <w:r w:rsidR="002464EB">
        <w:t>Case</w:t>
      </w:r>
    </w:p>
    <w:p w14:paraId="6B641321" w14:textId="2311208E" w:rsidR="002464EB" w:rsidRDefault="00C03206" w:rsidP="00CD30CB">
      <w:pPr>
        <w:jc w:val="both"/>
      </w:pPr>
      <w:r w:rsidRPr="00C03206">
        <w:t xml:space="preserve">The Supply-Side Case was developed as a sensitivity case as outlined in the DSM Program Planning Approach and stipulated in the 2022 IRP Order. In this case, DSM </w:t>
      </w:r>
      <w:r w:rsidRPr="00327424">
        <w:t xml:space="preserve">programs </w:t>
      </w:r>
      <w:r w:rsidRPr="00C03206">
        <w:t xml:space="preserve">were modeled alongside supply-side resources, such that the most cost-effective combination of </w:t>
      </w:r>
      <w:r w:rsidRPr="00327424">
        <w:t>supply</w:t>
      </w:r>
      <w:r w:rsidR="00327424">
        <w:t>-</w:t>
      </w:r>
      <w:r w:rsidRPr="00327424">
        <w:t xml:space="preserve">side </w:t>
      </w:r>
      <w:r w:rsidRPr="00C03206">
        <w:t xml:space="preserve">resources </w:t>
      </w:r>
      <w:r w:rsidRPr="00327424">
        <w:t xml:space="preserve">and DSM </w:t>
      </w:r>
      <w:r w:rsidRPr="00C03206">
        <w:t>are identified to reliably meet load. Per the 2022 IRP Stipulation, the Supply-Side Case replaces the Aggressive Case in the DSM Program Planning Process for the 2025 IRP. The Company’s supply-side modeling system, Aurora, evaluates resources on a relative net present value basis</w:t>
      </w:r>
      <w:r w:rsidRPr="00327424">
        <w:t>,</w:t>
      </w:r>
      <w:r w:rsidRPr="00C03206">
        <w:t xml:space="preserve"> and therefore comparisons to traditional DSM cost-effectiveness tests are not </w:t>
      </w:r>
      <w:r w:rsidRPr="00327424">
        <w:t>applicable</w:t>
      </w:r>
      <w:r w:rsidRPr="00C03206">
        <w:t xml:space="preserve">. For both the </w:t>
      </w:r>
      <w:r w:rsidRPr="00C03206">
        <w:lastRenderedPageBreak/>
        <w:t>MG0 and 111-MG0 scenarios, the supply-side system more often selected commercial programs over residential programs as being cost-effective. In the MG0 scenario, no income-qualified programs were selected by the supply-side system in the years 2026-2028. </w:t>
      </w:r>
      <w:r w:rsidRPr="00327424">
        <w:t>T</w:t>
      </w:r>
      <w:r w:rsidRPr="00C03206">
        <w:t>he Company does not recommend approval of the Supply-Side Case. </w:t>
      </w:r>
      <w:r w:rsidR="002464EB">
        <w:t xml:space="preserve">The </w:t>
      </w:r>
      <w:r w:rsidR="00B059F3">
        <w:t>Supply-</w:t>
      </w:r>
      <w:r w:rsidR="00B6436B">
        <w:t>Side</w:t>
      </w:r>
      <w:r w:rsidR="002464EB">
        <w:t xml:space="preserve"> Case summary tables are provided in the DSM Program Documentation section of Technical Appendix Volume </w:t>
      </w:r>
      <w:r w:rsidR="009A0F69">
        <w:t>1</w:t>
      </w:r>
      <w:r w:rsidR="002464EB">
        <w:t>.</w:t>
      </w:r>
    </w:p>
    <w:p w14:paraId="2C6A0FBE" w14:textId="438B02AF" w:rsidR="00487BDC" w:rsidRDefault="004050AC" w:rsidP="00006992">
      <w:pPr>
        <w:pStyle w:val="Heading3"/>
      </w:pPr>
      <w:r>
        <w:t xml:space="preserve">7.6.4 </w:t>
      </w:r>
      <w:r w:rsidR="005A6E66">
        <w:t xml:space="preserve">– </w:t>
      </w:r>
      <w:r w:rsidR="008B1C46">
        <w:t>Capacity and Affordability Case</w:t>
      </w:r>
    </w:p>
    <w:p w14:paraId="680807DE" w14:textId="6C37FF62" w:rsidR="00FD08A7" w:rsidRPr="00FD08A7" w:rsidRDefault="00267768" w:rsidP="009D1C10">
      <w:pPr>
        <w:jc w:val="both"/>
      </w:pPr>
      <w:r>
        <w:t xml:space="preserve">The </w:t>
      </w:r>
      <w:r w:rsidR="00A51517">
        <w:t>Capacity and Affordability</w:t>
      </w:r>
      <w:r w:rsidR="00FD08A7">
        <w:t xml:space="preserve"> Case </w:t>
      </w:r>
      <w:r w:rsidR="00727B42">
        <w:t>is</w:t>
      </w:r>
      <w:r w:rsidR="00FD08A7">
        <w:t xml:space="preserve"> a sensitivity case </w:t>
      </w:r>
      <w:r w:rsidR="00727B42">
        <w:t xml:space="preserve">developed by the Company as an alternative </w:t>
      </w:r>
      <w:r w:rsidR="00FD08A7">
        <w:t>to the Proposed Case</w:t>
      </w:r>
      <w:r w:rsidR="007C3A26">
        <w:t xml:space="preserve"> </w:t>
      </w:r>
      <w:r w:rsidR="00FD08A7">
        <w:t xml:space="preserve">and is </w:t>
      </w:r>
      <w:r w:rsidR="007C3A26">
        <w:t xml:space="preserve">intended </w:t>
      </w:r>
      <w:r w:rsidR="00B02C28">
        <w:t xml:space="preserve">to address </w:t>
      </w:r>
      <w:r w:rsidR="004262AA">
        <w:t xml:space="preserve">customer </w:t>
      </w:r>
      <w:r w:rsidR="00B02C28">
        <w:t>affordability and capacity constraint</w:t>
      </w:r>
      <w:r w:rsidR="004262AA">
        <w:t>s</w:t>
      </w:r>
      <w:r w:rsidR="00B02C28">
        <w:t xml:space="preserve">. </w:t>
      </w:r>
      <w:r w:rsidR="00A63879">
        <w:t xml:space="preserve">The Company’s Capacity and Affordability Case for the 2025 IRP </w:t>
      </w:r>
      <w:r w:rsidR="004E3322">
        <w:t>achieve</w:t>
      </w:r>
      <w:r w:rsidR="0C656603">
        <w:t>s</w:t>
      </w:r>
      <w:r w:rsidR="001E0B51">
        <w:t xml:space="preserve"> approximately </w:t>
      </w:r>
      <w:r w:rsidR="00F903D1" w:rsidRPr="00F903D1">
        <w:t>$80 to $92</w:t>
      </w:r>
      <w:r w:rsidR="00F903D1">
        <w:t xml:space="preserve"> </w:t>
      </w:r>
      <w:r w:rsidR="001E0B51">
        <w:t>million</w:t>
      </w:r>
      <w:r w:rsidR="00F903D1">
        <w:t xml:space="preserve"> annually</w:t>
      </w:r>
      <w:r w:rsidR="001E0B51">
        <w:t xml:space="preserve"> in net TRC benefits </w:t>
      </w:r>
      <w:r w:rsidR="0529A9A2">
        <w:t>for years 2026-2028</w:t>
      </w:r>
      <w:r w:rsidR="37870AF6">
        <w:t xml:space="preserve"> </w:t>
      </w:r>
      <w:r w:rsidR="001E0B51">
        <w:t xml:space="preserve">while putting upward pressure on rates of approximately </w:t>
      </w:r>
      <w:r w:rsidR="00F903D1" w:rsidRPr="00F903D1">
        <w:t>$162 to $211</w:t>
      </w:r>
      <w:r w:rsidR="00F903D1">
        <w:t xml:space="preserve"> </w:t>
      </w:r>
      <w:r w:rsidR="001E0B51">
        <w:t xml:space="preserve">million </w:t>
      </w:r>
      <w:r w:rsidR="0010585F">
        <w:t xml:space="preserve">annually </w:t>
      </w:r>
      <w:r w:rsidR="00CB4BCF" w:rsidRPr="00CB4BCF">
        <w:t>under the MG0 economic scenario and</w:t>
      </w:r>
      <w:r w:rsidR="004E3322">
        <w:t xml:space="preserve"> </w:t>
      </w:r>
      <w:r w:rsidR="00CB4BCF" w:rsidRPr="00CB4BCF">
        <w:t xml:space="preserve">approximately </w:t>
      </w:r>
      <w:r w:rsidR="00F903D1" w:rsidRPr="00F903D1">
        <w:t>$84 to $100</w:t>
      </w:r>
      <w:r w:rsidR="00F903D1">
        <w:t xml:space="preserve"> </w:t>
      </w:r>
      <w:r w:rsidR="00CB4BCF" w:rsidRPr="00CB4BCF">
        <w:t>million</w:t>
      </w:r>
      <w:r w:rsidR="00F903D1">
        <w:t xml:space="preserve"> annually</w:t>
      </w:r>
      <w:r w:rsidR="00CB4BCF" w:rsidRPr="00CB4BCF">
        <w:t xml:space="preserve"> in </w:t>
      </w:r>
      <w:r w:rsidR="005D0525">
        <w:t xml:space="preserve">net </w:t>
      </w:r>
      <w:r w:rsidR="00CB4BCF" w:rsidRPr="00CB4BCF">
        <w:t xml:space="preserve">TRC benefits while putting upward pressure on rates of approximately </w:t>
      </w:r>
      <w:r w:rsidR="00F903D1" w:rsidRPr="00F903D1">
        <w:t>$154 to $206</w:t>
      </w:r>
      <w:r w:rsidR="00F903D1">
        <w:t xml:space="preserve"> </w:t>
      </w:r>
      <w:r w:rsidR="00CB4BCF" w:rsidRPr="00CB4BCF">
        <w:t>million annually under the 111-MG0 economic scenario</w:t>
      </w:r>
      <w:r w:rsidR="00096A37">
        <w:t xml:space="preserve"> over years 2026 - 2028</w:t>
      </w:r>
      <w:r w:rsidR="005D0525">
        <w:t>,</w:t>
      </w:r>
      <w:r w:rsidR="004E3322">
        <w:t xml:space="preserve"> </w:t>
      </w:r>
      <w:r w:rsidR="005D0525">
        <w:t>as</w:t>
      </w:r>
      <w:r w:rsidR="004E3322">
        <w:t xml:space="preserve"> </w:t>
      </w:r>
      <w:r w:rsidR="00A63879">
        <w:t xml:space="preserve">listed in </w:t>
      </w:r>
      <w:r w:rsidR="00AA6C6E">
        <w:t>Table</w:t>
      </w:r>
      <w:r w:rsidR="00A63879">
        <w:t xml:space="preserve"> 7.3 above</w:t>
      </w:r>
      <w:r w:rsidR="00BA0D7F">
        <w:t>.</w:t>
      </w:r>
      <w:r w:rsidR="005B772E">
        <w:t xml:space="preserve"> The </w:t>
      </w:r>
      <w:r w:rsidR="00520F25">
        <w:t>Capacity and Affordability</w:t>
      </w:r>
      <w:r w:rsidR="004262AA">
        <w:t xml:space="preserve"> C</w:t>
      </w:r>
      <w:r w:rsidR="005B772E">
        <w:t>ase strike</w:t>
      </w:r>
      <w:r w:rsidR="00D8676D">
        <w:t>s</w:t>
      </w:r>
      <w:r w:rsidR="005B772E">
        <w:t xml:space="preserve"> a balance </w:t>
      </w:r>
      <w:r w:rsidR="00B80E59">
        <w:t>between</w:t>
      </w:r>
      <w:r w:rsidR="00BD7D22">
        <w:t xml:space="preserve"> customer affordability concerns, capacity constraints</w:t>
      </w:r>
      <w:r w:rsidR="003E4DCA">
        <w:t>,</w:t>
      </w:r>
      <w:r w:rsidR="00BD7D22">
        <w:t xml:space="preserve"> and </w:t>
      </w:r>
      <w:r w:rsidR="002C3A06">
        <w:t xml:space="preserve">the </w:t>
      </w:r>
      <w:r w:rsidR="00BD7D22">
        <w:t>value of energy efficiency programs.</w:t>
      </w:r>
      <w:r w:rsidR="00750FE3">
        <w:t xml:space="preserve"> Programs in </w:t>
      </w:r>
      <w:r w:rsidR="00520F25">
        <w:t>the Capacity and Affordability</w:t>
      </w:r>
      <w:r w:rsidR="00474AA2">
        <w:t xml:space="preserve"> Case</w:t>
      </w:r>
      <w:r w:rsidR="00750FE3">
        <w:t xml:space="preserve"> are subsets of </w:t>
      </w:r>
      <w:r w:rsidR="00D8676D">
        <w:t xml:space="preserve">the Company’s Proposed Case and </w:t>
      </w:r>
      <w:r w:rsidR="00736116">
        <w:t xml:space="preserve">certified </w:t>
      </w:r>
      <w:r w:rsidR="00D8676D">
        <w:t>programs currently in market</w:t>
      </w:r>
      <w:r w:rsidR="00A329A5">
        <w:t>, modified based on data gathered in the implementation phase and an independent third-party evaluation.</w:t>
      </w:r>
      <w:r w:rsidR="00D8676D">
        <w:t xml:space="preserve"> </w:t>
      </w:r>
      <w:r w:rsidR="00A329A5">
        <w:t xml:space="preserve">If </w:t>
      </w:r>
      <w:r w:rsidR="17468B9F">
        <w:t>the Commission prefers to go in this direction</w:t>
      </w:r>
      <w:r w:rsidR="00A329A5">
        <w:t>, t</w:t>
      </w:r>
      <w:r w:rsidR="00D8676D">
        <w:t xml:space="preserve">he Company </w:t>
      </w:r>
      <w:r w:rsidR="34E39748">
        <w:t>will</w:t>
      </w:r>
      <w:r w:rsidR="00D8676D">
        <w:t xml:space="preserve"> continue these programs to minimize market disruption</w:t>
      </w:r>
      <w:r w:rsidR="00BD4F27">
        <w:t xml:space="preserve"> while continuing</w:t>
      </w:r>
      <w:r w:rsidR="00A301A8">
        <w:t xml:space="preserve"> to</w:t>
      </w:r>
      <w:r w:rsidR="00D8676D">
        <w:t xml:space="preserve"> meet customers’ expectations</w:t>
      </w:r>
      <w:r w:rsidR="00B850AE">
        <w:t>.</w:t>
      </w:r>
      <w:r w:rsidR="00D8676D">
        <w:t xml:space="preserve"> </w:t>
      </w:r>
      <w:r w:rsidR="3F6EED7C">
        <w:t>Th</w:t>
      </w:r>
      <w:r w:rsidR="430146AA">
        <w:t>e</w:t>
      </w:r>
      <w:r w:rsidR="3F6EED7C">
        <w:t xml:space="preserve"> Capacity and Affordability </w:t>
      </w:r>
      <w:r w:rsidR="42F7BC85">
        <w:t>C</w:t>
      </w:r>
      <w:r w:rsidR="3F6EED7C">
        <w:t>ase also includes an online residential</w:t>
      </w:r>
      <w:r w:rsidR="00B837F9">
        <w:t xml:space="preserve"> energy</w:t>
      </w:r>
      <w:r w:rsidR="3F6EED7C">
        <w:t xml:space="preserve"> audit tool </w:t>
      </w:r>
      <w:r w:rsidR="4BCF943E">
        <w:t xml:space="preserve">to help customers understand their energy usage and </w:t>
      </w:r>
      <w:r w:rsidR="00B63CC5">
        <w:t>help</w:t>
      </w:r>
      <w:r w:rsidR="00D82DB6">
        <w:t xml:space="preserve"> address and</w:t>
      </w:r>
      <w:r w:rsidR="00B63CC5">
        <w:t xml:space="preserve"> </w:t>
      </w:r>
      <w:r w:rsidR="7245E1DB">
        <w:t xml:space="preserve">alleviate </w:t>
      </w:r>
      <w:r w:rsidR="4BCF943E">
        <w:t xml:space="preserve">affordability concerns. </w:t>
      </w:r>
      <w:r w:rsidR="00F903D1">
        <w:t>In addition, the</w:t>
      </w:r>
      <w:r w:rsidR="3A4A2CD5">
        <w:t xml:space="preserve"> case includes a small team of energy experts (auditors) to further assist residential customers with </w:t>
      </w:r>
      <w:r w:rsidR="4BFF47AC">
        <w:t xml:space="preserve">advanced energy usage, comfort and affordability </w:t>
      </w:r>
      <w:r w:rsidR="66507041">
        <w:t xml:space="preserve">issues. </w:t>
      </w:r>
      <w:r w:rsidR="5A8BF021">
        <w:t>T</w:t>
      </w:r>
      <w:r w:rsidR="00D8676D">
        <w:t xml:space="preserve">he </w:t>
      </w:r>
      <w:r w:rsidR="005509A8">
        <w:t>Capacity and Affordability</w:t>
      </w:r>
      <w:r w:rsidR="00D8676D">
        <w:t xml:space="preserve"> Case will continue to enhance </w:t>
      </w:r>
      <w:r w:rsidR="6C2645C2">
        <w:t xml:space="preserve">the DSM </w:t>
      </w:r>
      <w:r w:rsidR="00D8676D">
        <w:t xml:space="preserve">programs as more information becomes available relative to market penetration and customer feedback through an ongoing evaluation process. </w:t>
      </w:r>
    </w:p>
    <w:p w14:paraId="793EC3E8" w14:textId="4F73FBB3" w:rsidR="002464EB" w:rsidRDefault="00E35168" w:rsidP="00E35168">
      <w:pPr>
        <w:pStyle w:val="Heading2"/>
      </w:pPr>
      <w:bookmarkStart w:id="37" w:name="_Toc189122762"/>
      <w:r>
        <w:t>7.7 –</w:t>
      </w:r>
      <w:r w:rsidDel="007B6B48">
        <w:t xml:space="preserve"> </w:t>
      </w:r>
      <w:bookmarkStart w:id="38" w:name="_Toc185523335"/>
      <w:r w:rsidR="007B6B48">
        <w:t>DSM Action Plan</w:t>
      </w:r>
      <w:bookmarkEnd w:id="37"/>
      <w:bookmarkEnd w:id="38"/>
    </w:p>
    <w:p w14:paraId="77EEA346" w14:textId="1E5EE85E" w:rsidR="002464EB" w:rsidRDefault="002464EB" w:rsidP="00CD30CB">
      <w:pPr>
        <w:jc w:val="both"/>
      </w:pPr>
      <w:r>
        <w:t xml:space="preserve">In summary, the Company’s DSM </w:t>
      </w:r>
      <w:r w:rsidR="00AF11BB">
        <w:t>A</w:t>
      </w:r>
      <w:r>
        <w:t xml:space="preserve">ction </w:t>
      </w:r>
      <w:r w:rsidR="00AF11BB">
        <w:t>P</w:t>
      </w:r>
      <w:r>
        <w:t xml:space="preserve">lan </w:t>
      </w:r>
      <w:r w:rsidR="00731644">
        <w:t>for the Proposed Case</w:t>
      </w:r>
      <w:r>
        <w:t xml:space="preserve"> includes the following items detailed in Section </w:t>
      </w:r>
      <w:r w:rsidR="2C0EEEF3">
        <w:t>7</w:t>
      </w:r>
      <w:r>
        <w:t>.2:</w:t>
      </w:r>
    </w:p>
    <w:p w14:paraId="18FAA859" w14:textId="62E9F8FE" w:rsidR="002464EB" w:rsidRDefault="002464EB" w:rsidP="009A12F5">
      <w:pPr>
        <w:pStyle w:val="ListParagraph"/>
        <w:numPr>
          <w:ilvl w:val="0"/>
          <w:numId w:val="14"/>
        </w:numPr>
        <w:jc w:val="both"/>
      </w:pPr>
      <w:r>
        <w:t xml:space="preserve">Implementation of the </w:t>
      </w:r>
      <w:r w:rsidR="000B5691">
        <w:t xml:space="preserve">six </w:t>
      </w:r>
      <w:r>
        <w:t xml:space="preserve">residential and </w:t>
      </w:r>
      <w:r w:rsidR="000B5691">
        <w:t xml:space="preserve">three </w:t>
      </w:r>
      <w:r>
        <w:t>commercial DSM programs</w:t>
      </w:r>
    </w:p>
    <w:p w14:paraId="0DE3B6A3" w14:textId="77A2734E" w:rsidR="00042B87" w:rsidRDefault="00042B87" w:rsidP="3814030E">
      <w:pPr>
        <w:pStyle w:val="ListParagraph"/>
        <w:numPr>
          <w:ilvl w:val="1"/>
          <w:numId w:val="14"/>
        </w:numPr>
        <w:jc w:val="both"/>
      </w:pPr>
      <w:r>
        <w:t>Continuation of Home Energy Improvement, Energy Assistance for Savings and Efficiency</w:t>
      </w:r>
      <w:r w:rsidR="000E2E29">
        <w:t xml:space="preserve"> (EASE)</w:t>
      </w:r>
      <w:r w:rsidR="00334BB0">
        <w:t>, HopeWorks</w:t>
      </w:r>
      <w:r w:rsidR="009500C4">
        <w:t xml:space="preserve"> and </w:t>
      </w:r>
      <w:r w:rsidR="00F6161E">
        <w:t>Custom</w:t>
      </w:r>
      <w:r w:rsidR="0076366C">
        <w:t xml:space="preserve"> programs in the 2025 IRP cycle pursuant to a waiver of the TRC requirement in Commission Rule 515-3-4-.04(4)(a)3</w:t>
      </w:r>
    </w:p>
    <w:p w14:paraId="33BF41E6" w14:textId="2695A363" w:rsidR="0C2850E5" w:rsidRDefault="0C2850E5" w:rsidP="3814030E">
      <w:pPr>
        <w:pStyle w:val="ListParagraph"/>
        <w:numPr>
          <w:ilvl w:val="1"/>
          <w:numId w:val="14"/>
        </w:numPr>
        <w:jc w:val="both"/>
      </w:pPr>
      <w:r>
        <w:t>Certification of residential Products Program</w:t>
      </w:r>
    </w:p>
    <w:p w14:paraId="631911CE" w14:textId="13FAEDD1" w:rsidR="002464EB" w:rsidRDefault="002464EB" w:rsidP="009A12F5">
      <w:pPr>
        <w:pStyle w:val="ListParagraph"/>
        <w:numPr>
          <w:ilvl w:val="0"/>
          <w:numId w:val="14"/>
        </w:numPr>
        <w:jc w:val="both"/>
      </w:pPr>
      <w:r>
        <w:t xml:space="preserve">Decertification of the residential </w:t>
      </w:r>
      <w:r w:rsidR="0078127B">
        <w:t>Refrigerator Recycling Plus and Specialty Lighting</w:t>
      </w:r>
      <w:r>
        <w:t xml:space="preserve"> and commercial </w:t>
      </w:r>
      <w:r w:rsidR="0078127B">
        <w:t xml:space="preserve">Behavioral </w:t>
      </w:r>
      <w:r>
        <w:t>program</w:t>
      </w:r>
      <w:r w:rsidR="0078127B">
        <w:t>s</w:t>
      </w:r>
    </w:p>
    <w:p w14:paraId="53CD03DF" w14:textId="1BBDD658" w:rsidR="002464EB" w:rsidRDefault="002464EB" w:rsidP="009A12F5">
      <w:pPr>
        <w:pStyle w:val="ListParagraph"/>
        <w:numPr>
          <w:ilvl w:val="0"/>
          <w:numId w:val="14"/>
        </w:numPr>
        <w:jc w:val="both"/>
      </w:pPr>
      <w:r>
        <w:t>Continuation of the Learning Power Education and Energy Efficiency Awareness initiatives</w:t>
      </w:r>
    </w:p>
    <w:p w14:paraId="4CB877EE" w14:textId="6F5A6C25" w:rsidR="00FC2E48" w:rsidRDefault="002464EB" w:rsidP="009A12F5">
      <w:pPr>
        <w:pStyle w:val="ListParagraph"/>
        <w:numPr>
          <w:ilvl w:val="0"/>
          <w:numId w:val="14"/>
        </w:numPr>
        <w:jc w:val="both"/>
      </w:pPr>
      <w:r>
        <w:t>Continuation of pilot studies and approval of</w:t>
      </w:r>
      <w:r w:rsidR="008050A3">
        <w:t xml:space="preserve"> the</w:t>
      </w:r>
      <w:r>
        <w:t xml:space="preserve"> annual pilot budget</w:t>
      </w:r>
    </w:p>
    <w:p w14:paraId="42EA102B" w14:textId="74026FC4" w:rsidR="00157EF8" w:rsidRDefault="00157EF8">
      <w:r>
        <w:br w:type="page"/>
      </w:r>
    </w:p>
    <w:p w14:paraId="6337B335" w14:textId="406CE30C" w:rsidR="00FC2E48" w:rsidRDefault="00E7163D" w:rsidP="00FC2E48">
      <w:pPr>
        <w:pStyle w:val="Heading1"/>
      </w:pPr>
      <w:bookmarkStart w:id="39" w:name="_Toc189122763"/>
      <w:r>
        <w:lastRenderedPageBreak/>
        <w:t xml:space="preserve">Chapter </w:t>
      </w:r>
      <w:r w:rsidR="00545B58">
        <w:t>8</w:t>
      </w:r>
      <w:r>
        <w:t xml:space="preserve">. </w:t>
      </w:r>
      <w:r w:rsidR="00FC2E48">
        <w:t>Supply-Side Strategy</w:t>
      </w:r>
      <w:bookmarkEnd w:id="39"/>
    </w:p>
    <w:p w14:paraId="33E01547" w14:textId="4362793E" w:rsidR="009B5AA9" w:rsidRDefault="009B5AA9" w:rsidP="009B5AA9">
      <w:pPr>
        <w:jc w:val="both"/>
      </w:pPr>
      <w:r>
        <w:t xml:space="preserve">This </w:t>
      </w:r>
      <w:r w:rsidR="008F6D00">
        <w:t>C</w:t>
      </w:r>
      <w:r>
        <w:t xml:space="preserve">hapter outlines the comprehensive supply-side strategy designed to enhance the reliability, </w:t>
      </w:r>
      <w:r w:rsidR="00160519">
        <w:t>flexibility</w:t>
      </w:r>
      <w:r>
        <w:t xml:space="preserve">, and </w:t>
      </w:r>
      <w:r w:rsidR="0083398C">
        <w:t>value</w:t>
      </w:r>
      <w:r>
        <w:t xml:space="preserve"> of resources</w:t>
      </w:r>
      <w:r w:rsidR="00D04D1F">
        <w:t xml:space="preserve"> to serve customer needs</w:t>
      </w:r>
      <w:r>
        <w:t xml:space="preserve">. </w:t>
      </w:r>
      <w:r w:rsidR="001A1D34">
        <w:t>In addition to the continued operation of Plant Bowen Units 1-4, k</w:t>
      </w:r>
      <w:r>
        <w:t>ey elements of this strategy include the following:</w:t>
      </w:r>
    </w:p>
    <w:p w14:paraId="369D1CFC" w14:textId="1252B9B4" w:rsidR="009B5AA9" w:rsidRDefault="009B5AA9" w:rsidP="009B5AA9">
      <w:pPr>
        <w:pStyle w:val="ListParagraph"/>
        <w:numPr>
          <w:ilvl w:val="0"/>
          <w:numId w:val="112"/>
        </w:numPr>
        <w:jc w:val="both"/>
      </w:pPr>
      <w:r>
        <w:t>Resource Extension</w:t>
      </w:r>
      <w:r w:rsidR="008F42F3">
        <w:t>s</w:t>
      </w:r>
      <w:r>
        <w:t>:</w:t>
      </w:r>
      <w:r w:rsidRPr="00042920">
        <w:t xml:space="preserve"> </w:t>
      </w:r>
      <w:r>
        <w:t xml:space="preserve">Includes extending operation of </w:t>
      </w:r>
      <w:r w:rsidR="007978E7">
        <w:t>six</w:t>
      </w:r>
      <w:r>
        <w:t xml:space="preserve"> existing generating units.</w:t>
      </w:r>
    </w:p>
    <w:p w14:paraId="446DC15E" w14:textId="711C608D" w:rsidR="009B5AA9" w:rsidRDefault="009B5AA9" w:rsidP="009B5AA9">
      <w:pPr>
        <w:pStyle w:val="ListParagraph"/>
        <w:numPr>
          <w:ilvl w:val="0"/>
          <w:numId w:val="112"/>
        </w:numPr>
        <w:jc w:val="both"/>
      </w:pPr>
      <w:r>
        <w:t xml:space="preserve">Resource </w:t>
      </w:r>
      <w:r w:rsidR="00EB5EE7">
        <w:t>Upgrades</w:t>
      </w:r>
      <w:r>
        <w:t xml:space="preserve">: Includes upgrade projects for 14 gas and nuclear units. </w:t>
      </w:r>
    </w:p>
    <w:p w14:paraId="41A01A7A" w14:textId="1CEF87D6" w:rsidR="009B5AA9" w:rsidRDefault="009B5AA9" w:rsidP="009B5AA9">
      <w:pPr>
        <w:pStyle w:val="ListParagraph"/>
        <w:numPr>
          <w:ilvl w:val="0"/>
          <w:numId w:val="112"/>
        </w:numPr>
        <w:jc w:val="both"/>
      </w:pPr>
      <w:r>
        <w:t>Hyd</w:t>
      </w:r>
      <w:r w:rsidR="007113A8">
        <w:t>r</w:t>
      </w:r>
      <w:r>
        <w:t>o Modernization: Includes investment in 42 hydroelectric units.</w:t>
      </w:r>
    </w:p>
    <w:p w14:paraId="3624804E" w14:textId="6C39CBDC" w:rsidR="009B5AA9" w:rsidRDefault="009B5AA9" w:rsidP="009B5AA9">
      <w:pPr>
        <w:pStyle w:val="ListParagraph"/>
        <w:numPr>
          <w:ilvl w:val="0"/>
          <w:numId w:val="112"/>
        </w:numPr>
        <w:jc w:val="both"/>
      </w:pPr>
      <w:r>
        <w:t>Flexible Procurement: Proposed changes to renewable procurement processes, including RFP</w:t>
      </w:r>
      <w:r w:rsidR="0043078F" w:rsidDel="00961149">
        <w:t xml:space="preserve"> </w:t>
      </w:r>
      <w:r w:rsidR="00961149">
        <w:t xml:space="preserve">process enhancements </w:t>
      </w:r>
      <w:r w:rsidR="0043078F">
        <w:t>and additional</w:t>
      </w:r>
      <w:r>
        <w:t xml:space="preserve"> customer subscription options.</w:t>
      </w:r>
    </w:p>
    <w:p w14:paraId="315AFCD7" w14:textId="0C54ABDC" w:rsidR="009B5AA9" w:rsidRDefault="009B5AA9" w:rsidP="007239EB">
      <w:pPr>
        <w:jc w:val="both"/>
      </w:pPr>
      <w:r>
        <w:t xml:space="preserve">The </w:t>
      </w:r>
      <w:r w:rsidR="007239EB">
        <w:t xml:space="preserve">2025 IRP </w:t>
      </w:r>
      <w:r>
        <w:t>supply-side strategy provides customers with substantial reliability and economic benefits by leveraging opportunities from existing resources and continuing to enhance the Company’s procurement processes and program offerings. With the 2025 IRP, the Company is seeking approval of the following actions to serve customers, as detailed further in this Chapter.</w:t>
      </w:r>
    </w:p>
    <w:p w14:paraId="26CE8948" w14:textId="7AAE0546" w:rsidR="00CB233E" w:rsidRDefault="008F0FF3" w:rsidP="007113A8">
      <w:pPr>
        <w:pStyle w:val="ListParagraph"/>
        <w:numPr>
          <w:ilvl w:val="0"/>
          <w:numId w:val="6"/>
        </w:numPr>
        <w:spacing w:before="240" w:after="120"/>
        <w:contextualSpacing w:val="0"/>
        <w:jc w:val="both"/>
      </w:pPr>
      <w:r>
        <w:t>P</w:t>
      </w:r>
      <w:r w:rsidR="00CB233E">
        <w:t xml:space="preserve">reserve 1,007 MW of </w:t>
      </w:r>
      <w:r w:rsidR="00B01A11">
        <w:t xml:space="preserve">reliable existing </w:t>
      </w:r>
      <w:r w:rsidR="007A3796">
        <w:t xml:space="preserve">operating </w:t>
      </w:r>
      <w:r w:rsidR="00CB233E">
        <w:t>capacity, beginning in the winter of 2028/2029</w:t>
      </w:r>
      <w:r w:rsidR="00AF217C">
        <w:t xml:space="preserve"> through extending</w:t>
      </w:r>
      <w:r w:rsidR="00FC3397">
        <w:t xml:space="preserve"> the </w:t>
      </w:r>
      <w:r w:rsidR="00DE4E95">
        <w:t xml:space="preserve">operation of six </w:t>
      </w:r>
      <w:r w:rsidR="00542896">
        <w:t xml:space="preserve">generating </w:t>
      </w:r>
      <w:r w:rsidR="00DE4E95">
        <w:t>units</w:t>
      </w:r>
      <w:r w:rsidR="007113A8">
        <w:t>:</w:t>
      </w:r>
    </w:p>
    <w:p w14:paraId="5C755596" w14:textId="1C72A239" w:rsidR="00CB233E" w:rsidRPr="007849C2" w:rsidRDefault="00CB233E" w:rsidP="000A7603">
      <w:pPr>
        <w:pStyle w:val="ListParagraph"/>
        <w:numPr>
          <w:ilvl w:val="1"/>
          <w:numId w:val="6"/>
        </w:numPr>
        <w:spacing w:before="120" w:after="120"/>
        <w:contextualSpacing w:val="0"/>
        <w:jc w:val="both"/>
        <w:rPr>
          <w:b/>
        </w:rPr>
      </w:pPr>
      <w:r w:rsidRPr="00857DD7">
        <w:rPr>
          <w:b/>
          <w:bCs/>
        </w:rPr>
        <w:t>Extend</w:t>
      </w:r>
      <w:r>
        <w:t xml:space="preserve"> </w:t>
      </w:r>
      <w:r>
        <w:rPr>
          <w:b/>
          <w:bCs/>
        </w:rPr>
        <w:t xml:space="preserve">Plant Scherer Unit 3 </w:t>
      </w:r>
      <w:r>
        <w:t>beyond December 31, 2028, assuming operation of this unit through 203</w:t>
      </w:r>
      <w:r w:rsidR="003E4348">
        <w:t>5</w:t>
      </w:r>
      <w:r>
        <w:t xml:space="preserve"> or 2038, depending on the planning scenario.</w:t>
      </w:r>
      <w:r w:rsidRPr="007849C2">
        <w:rPr>
          <w:b/>
        </w:rPr>
        <w:t xml:space="preserve"> </w:t>
      </w:r>
      <w:r w:rsidR="00414A45">
        <w:t xml:space="preserve">A request for </w:t>
      </w:r>
      <w:r w:rsidR="00BF595A">
        <w:t xml:space="preserve">return </w:t>
      </w:r>
      <w:r w:rsidR="00422AF5">
        <w:t xml:space="preserve">of </w:t>
      </w:r>
      <w:r w:rsidR="00BF595A">
        <w:t xml:space="preserve">187 MW of </w:t>
      </w:r>
      <w:r w:rsidR="00414A45">
        <w:t xml:space="preserve">wholesale </w:t>
      </w:r>
      <w:r w:rsidR="00BF595A">
        <w:t xml:space="preserve">capacity </w:t>
      </w:r>
      <w:r w:rsidR="00414A45">
        <w:t xml:space="preserve">from Plant Scherer Unit </w:t>
      </w:r>
      <w:r w:rsidR="00A5080D">
        <w:t>3</w:t>
      </w:r>
      <w:r w:rsidR="006E6748">
        <w:t xml:space="preserve"> to retail service.</w:t>
      </w:r>
    </w:p>
    <w:p w14:paraId="1C6151CE" w14:textId="50727C9B" w:rsidR="00CB233E" w:rsidRDefault="00CB233E" w:rsidP="0008265C">
      <w:pPr>
        <w:pStyle w:val="ListParagraph"/>
        <w:numPr>
          <w:ilvl w:val="1"/>
          <w:numId w:val="6"/>
        </w:numPr>
        <w:spacing w:before="120" w:after="120"/>
        <w:contextualSpacing w:val="0"/>
        <w:jc w:val="both"/>
      </w:pPr>
      <w:r w:rsidRPr="00857DD7">
        <w:rPr>
          <w:b/>
          <w:bCs/>
        </w:rPr>
        <w:t>Extend</w:t>
      </w:r>
      <w:r w:rsidRPr="007849C2">
        <w:rPr>
          <w:b/>
        </w:rPr>
        <w:t xml:space="preserve"> </w:t>
      </w:r>
      <w:r w:rsidRPr="006C3B31">
        <w:rPr>
          <w:b/>
          <w:bCs/>
        </w:rPr>
        <w:t>Plant Gaston</w:t>
      </w:r>
      <w:r w:rsidRPr="008B1EDC">
        <w:rPr>
          <w:b/>
          <w:bCs/>
        </w:rPr>
        <w:t xml:space="preserve"> </w:t>
      </w:r>
      <w:r>
        <w:rPr>
          <w:b/>
          <w:bCs/>
        </w:rPr>
        <w:t xml:space="preserve">Units </w:t>
      </w:r>
      <w:r w:rsidRPr="008B1EDC">
        <w:rPr>
          <w:b/>
          <w:bCs/>
        </w:rPr>
        <w:t>1-4 and A</w:t>
      </w:r>
      <w:r w:rsidRPr="007849C2">
        <w:rPr>
          <w:b/>
        </w:rPr>
        <w:t xml:space="preserve"> </w:t>
      </w:r>
      <w:r>
        <w:t xml:space="preserve">beyond December 31, 2028, and assume operation through the end of 2034. </w:t>
      </w:r>
    </w:p>
    <w:p w14:paraId="6F8447C1" w14:textId="323333AD" w:rsidR="00A62093" w:rsidRPr="007849C2" w:rsidRDefault="00A62093" w:rsidP="004574D3">
      <w:pPr>
        <w:pStyle w:val="ListParagraph"/>
        <w:numPr>
          <w:ilvl w:val="0"/>
          <w:numId w:val="6"/>
        </w:numPr>
        <w:spacing w:before="120" w:after="120"/>
        <w:contextualSpacing w:val="0"/>
        <w:jc w:val="both"/>
      </w:pPr>
      <w:r>
        <w:t xml:space="preserve">Upgrade </w:t>
      </w:r>
      <w:r w:rsidRPr="00816F39">
        <w:t>14</w:t>
      </w:r>
      <w:r>
        <w:t xml:space="preserve"> existing generating units to add a projected 380 MW of capacity </w:t>
      </w:r>
      <w:r w:rsidR="00017D18">
        <w:t xml:space="preserve">at already built and operating </w:t>
      </w:r>
      <w:r w:rsidR="0024471F">
        <w:t>resources:</w:t>
      </w:r>
    </w:p>
    <w:p w14:paraId="5C8C1E68" w14:textId="5CDAE337" w:rsidR="00CB233E" w:rsidRPr="00472E76" w:rsidRDefault="00CB233E" w:rsidP="00490D00">
      <w:pPr>
        <w:pStyle w:val="ListParagraph"/>
        <w:numPr>
          <w:ilvl w:val="1"/>
          <w:numId w:val="6"/>
        </w:numPr>
        <w:spacing w:before="120" w:after="120"/>
        <w:contextualSpacing w:val="0"/>
        <w:jc w:val="both"/>
      </w:pPr>
      <w:r>
        <w:rPr>
          <w:b/>
          <w:bCs/>
        </w:rPr>
        <w:t>Upgrade Plant McIntosh Units 10-11</w:t>
      </w:r>
      <w:r>
        <w:t xml:space="preserve"> to obtain a projected 194 MW of incremental capacity by the winter of 2028/2029. </w:t>
      </w:r>
    </w:p>
    <w:p w14:paraId="06775C11" w14:textId="1FCC98FD" w:rsidR="00CB233E" w:rsidRDefault="00CB233E" w:rsidP="0008265C">
      <w:pPr>
        <w:pStyle w:val="ListParagraph"/>
        <w:numPr>
          <w:ilvl w:val="1"/>
          <w:numId w:val="6"/>
        </w:numPr>
        <w:spacing w:before="120" w:after="120"/>
        <w:contextualSpacing w:val="0"/>
        <w:jc w:val="both"/>
      </w:pPr>
      <w:r>
        <w:rPr>
          <w:b/>
          <w:bCs/>
        </w:rPr>
        <w:t xml:space="preserve">Upgrade Plant McIntosh Units 1A-8A </w:t>
      </w:r>
      <w:r>
        <w:t xml:space="preserve">to obtain a projected 74 MW of incremental capacity, some of which would be available as early as the winter of 2027/2028. </w:t>
      </w:r>
    </w:p>
    <w:p w14:paraId="2C13BB50" w14:textId="05083B95" w:rsidR="00CB233E" w:rsidRDefault="00CB233E" w:rsidP="007113A8">
      <w:pPr>
        <w:pStyle w:val="ListParagraph"/>
        <w:numPr>
          <w:ilvl w:val="1"/>
          <w:numId w:val="6"/>
        </w:numPr>
        <w:spacing w:before="120" w:after="120"/>
        <w:contextualSpacing w:val="0"/>
        <w:jc w:val="both"/>
      </w:pPr>
      <w:r>
        <w:rPr>
          <w:b/>
          <w:bCs/>
        </w:rPr>
        <w:t>Upgrade Plant Hatch Units 1-2 and Plant Vogtle Units 1-2</w:t>
      </w:r>
      <w:r>
        <w:t xml:space="preserve"> to obtain a projected </w:t>
      </w:r>
      <w:r w:rsidR="007113A8">
        <w:t>58</w:t>
      </w:r>
      <w:r>
        <w:t xml:space="preserve">MW </w:t>
      </w:r>
      <w:r w:rsidR="00E211FD">
        <w:t xml:space="preserve">and </w:t>
      </w:r>
      <w:r w:rsidR="007113A8">
        <w:t>54</w:t>
      </w:r>
      <w:r w:rsidR="00E211FD">
        <w:t xml:space="preserve"> MW </w:t>
      </w:r>
      <w:r>
        <w:t>of incremental capacity</w:t>
      </w:r>
      <w:r w:rsidR="007113A8">
        <w:t>, respectively</w:t>
      </w:r>
      <w:r>
        <w:t xml:space="preserve">, some of which would be available as early as the winter of 2028/2029. </w:t>
      </w:r>
    </w:p>
    <w:p w14:paraId="0C05BC50" w14:textId="48B19CCE" w:rsidR="00CB233E" w:rsidRDefault="00841381" w:rsidP="007113A8">
      <w:pPr>
        <w:pStyle w:val="ListParagraph"/>
        <w:keepNext/>
        <w:keepLines/>
        <w:numPr>
          <w:ilvl w:val="0"/>
          <w:numId w:val="6"/>
        </w:numPr>
        <w:spacing w:before="120" w:after="120"/>
        <w:contextualSpacing w:val="0"/>
        <w:jc w:val="both"/>
      </w:pPr>
      <w:r>
        <w:t>Mai</w:t>
      </w:r>
      <w:r w:rsidR="00E00F1F">
        <w:t>ntain, i</w:t>
      </w:r>
      <w:r>
        <w:t xml:space="preserve">nvest </w:t>
      </w:r>
      <w:r w:rsidR="00CB233E">
        <w:t>in</w:t>
      </w:r>
      <w:r w:rsidR="0047652A">
        <w:t>,</w:t>
      </w:r>
      <w:r w:rsidR="00CB233E">
        <w:t xml:space="preserve"> and continue to operate </w:t>
      </w:r>
      <w:r w:rsidR="00CB233E" w:rsidRPr="00816F39">
        <w:t>nine</w:t>
      </w:r>
      <w:r w:rsidR="00CB233E" w:rsidRPr="00427210">
        <w:t xml:space="preserve"> </w:t>
      </w:r>
      <w:r w:rsidR="0024471F">
        <w:t xml:space="preserve">existing </w:t>
      </w:r>
      <w:r w:rsidR="00CB233E" w:rsidRPr="00427210">
        <w:t>emission-</w:t>
      </w:r>
      <w:r w:rsidR="00CB233E">
        <w:t xml:space="preserve">free hydroelectric </w:t>
      </w:r>
      <w:r w:rsidR="0070608B">
        <w:t>resources</w:t>
      </w:r>
      <w:r w:rsidR="00CB233E">
        <w:t>, consistent with applicable FERC license requirements, totaling 665 MW of capacity:</w:t>
      </w:r>
    </w:p>
    <w:p w14:paraId="53161125" w14:textId="77777777" w:rsidR="00CB233E" w:rsidRDefault="00CB233E" w:rsidP="007113A8">
      <w:pPr>
        <w:pStyle w:val="ListParagraph"/>
        <w:keepNext/>
        <w:keepLines/>
        <w:numPr>
          <w:ilvl w:val="1"/>
          <w:numId w:val="6"/>
        </w:numPr>
        <w:spacing w:before="120" w:after="120"/>
        <w:contextualSpacing w:val="0"/>
        <w:jc w:val="both"/>
      </w:pPr>
      <w:r>
        <w:rPr>
          <w:b/>
          <w:bCs/>
        </w:rPr>
        <w:t xml:space="preserve">Plant </w:t>
      </w:r>
      <w:r w:rsidRPr="006F78BD">
        <w:rPr>
          <w:b/>
          <w:bCs/>
        </w:rPr>
        <w:t>Tallulah</w:t>
      </w:r>
      <w:r>
        <w:rPr>
          <w:b/>
          <w:bCs/>
        </w:rPr>
        <w:t xml:space="preserve"> Units 1-6</w:t>
      </w:r>
      <w:r>
        <w:t>. Preserve 73 MW.</w:t>
      </w:r>
    </w:p>
    <w:p w14:paraId="109C883E" w14:textId="77777777" w:rsidR="00CB233E" w:rsidRPr="006F78BD" w:rsidRDefault="00CB233E" w:rsidP="00490D00">
      <w:pPr>
        <w:pStyle w:val="ListParagraph"/>
        <w:numPr>
          <w:ilvl w:val="1"/>
          <w:numId w:val="6"/>
        </w:numPr>
        <w:spacing w:before="120" w:after="120"/>
        <w:contextualSpacing w:val="0"/>
        <w:jc w:val="both"/>
        <w:rPr>
          <w:b/>
          <w:bCs/>
        </w:rPr>
      </w:pPr>
      <w:r>
        <w:rPr>
          <w:b/>
          <w:bCs/>
        </w:rPr>
        <w:t xml:space="preserve">Plant </w:t>
      </w:r>
      <w:r w:rsidRPr="006F78BD">
        <w:rPr>
          <w:b/>
          <w:bCs/>
        </w:rPr>
        <w:t>Yonah</w:t>
      </w:r>
      <w:r>
        <w:rPr>
          <w:b/>
          <w:bCs/>
        </w:rPr>
        <w:t xml:space="preserve"> Units 1-3</w:t>
      </w:r>
      <w:r w:rsidRPr="006F78BD">
        <w:t>.</w:t>
      </w:r>
      <w:r>
        <w:t xml:space="preserve"> Preserve 29 MW.</w:t>
      </w:r>
    </w:p>
    <w:p w14:paraId="60237728" w14:textId="77777777" w:rsidR="00CB233E" w:rsidRPr="006F78BD" w:rsidRDefault="00CB233E" w:rsidP="00490D00">
      <w:pPr>
        <w:pStyle w:val="ListParagraph"/>
        <w:numPr>
          <w:ilvl w:val="1"/>
          <w:numId w:val="6"/>
        </w:numPr>
        <w:spacing w:before="120" w:after="120"/>
        <w:contextualSpacing w:val="0"/>
        <w:jc w:val="both"/>
        <w:rPr>
          <w:b/>
          <w:bCs/>
        </w:rPr>
      </w:pPr>
      <w:r>
        <w:rPr>
          <w:b/>
          <w:bCs/>
        </w:rPr>
        <w:t xml:space="preserve">Plant </w:t>
      </w:r>
      <w:r w:rsidRPr="006F78BD">
        <w:rPr>
          <w:b/>
          <w:bCs/>
        </w:rPr>
        <w:t>Lloyd Shoals</w:t>
      </w:r>
      <w:r>
        <w:rPr>
          <w:b/>
          <w:bCs/>
        </w:rPr>
        <w:t xml:space="preserve"> Units 1-6</w:t>
      </w:r>
      <w:r w:rsidRPr="006F78BD">
        <w:t>.</w:t>
      </w:r>
      <w:r>
        <w:t xml:space="preserve"> Preserve 23 MW.</w:t>
      </w:r>
    </w:p>
    <w:p w14:paraId="4B9F220E" w14:textId="65FE94DF" w:rsidR="00CB233E" w:rsidRPr="006F78BD" w:rsidRDefault="00CB233E" w:rsidP="00490D00">
      <w:pPr>
        <w:pStyle w:val="ListParagraph"/>
        <w:numPr>
          <w:ilvl w:val="1"/>
          <w:numId w:val="6"/>
        </w:numPr>
        <w:spacing w:before="120" w:after="120"/>
        <w:contextualSpacing w:val="0"/>
        <w:jc w:val="both"/>
        <w:rPr>
          <w:b/>
          <w:bCs/>
        </w:rPr>
      </w:pPr>
      <w:r>
        <w:rPr>
          <w:b/>
          <w:bCs/>
        </w:rPr>
        <w:t xml:space="preserve">Plant </w:t>
      </w:r>
      <w:r w:rsidRPr="006F78BD">
        <w:rPr>
          <w:b/>
          <w:bCs/>
        </w:rPr>
        <w:t>Wallace</w:t>
      </w:r>
      <w:r>
        <w:rPr>
          <w:b/>
          <w:bCs/>
        </w:rPr>
        <w:t xml:space="preserve"> Units 1-6</w:t>
      </w:r>
      <w:r w:rsidRPr="006F78BD">
        <w:t>.</w:t>
      </w:r>
      <w:r>
        <w:t xml:space="preserve"> Preserve </w:t>
      </w:r>
      <w:r w:rsidDel="00CA59CF">
        <w:t xml:space="preserve">328 </w:t>
      </w:r>
      <w:r>
        <w:t>MW including 213 MW of pumped storage.</w:t>
      </w:r>
    </w:p>
    <w:p w14:paraId="32EA5BD6" w14:textId="77777777" w:rsidR="00CB233E" w:rsidRPr="006F78BD" w:rsidRDefault="00CB233E" w:rsidP="00490D00">
      <w:pPr>
        <w:pStyle w:val="ListParagraph"/>
        <w:numPr>
          <w:ilvl w:val="1"/>
          <w:numId w:val="6"/>
        </w:numPr>
        <w:spacing w:before="120" w:after="120"/>
        <w:contextualSpacing w:val="0"/>
        <w:jc w:val="both"/>
        <w:rPr>
          <w:b/>
          <w:bCs/>
        </w:rPr>
      </w:pPr>
      <w:r>
        <w:rPr>
          <w:b/>
          <w:bCs/>
        </w:rPr>
        <w:lastRenderedPageBreak/>
        <w:t xml:space="preserve">Plant </w:t>
      </w:r>
      <w:r w:rsidRPr="006F78BD">
        <w:rPr>
          <w:b/>
          <w:bCs/>
        </w:rPr>
        <w:t xml:space="preserve">Bartletts </w:t>
      </w:r>
      <w:r>
        <w:rPr>
          <w:b/>
          <w:bCs/>
        </w:rPr>
        <w:t>Ferry Units</w:t>
      </w:r>
      <w:r w:rsidRPr="006F78BD">
        <w:rPr>
          <w:b/>
          <w:bCs/>
        </w:rPr>
        <w:t xml:space="preserve"> 5-6</w:t>
      </w:r>
      <w:r w:rsidRPr="006F78BD">
        <w:t>.</w:t>
      </w:r>
      <w:r>
        <w:t xml:space="preserve"> Preserve 121 MW.</w:t>
      </w:r>
    </w:p>
    <w:p w14:paraId="63D1F808" w14:textId="72A22C84" w:rsidR="00CB233E" w:rsidRPr="006F78BD" w:rsidRDefault="00CB233E" w:rsidP="00490D00">
      <w:pPr>
        <w:pStyle w:val="ListParagraph"/>
        <w:numPr>
          <w:ilvl w:val="1"/>
          <w:numId w:val="6"/>
        </w:numPr>
        <w:spacing w:before="120" w:after="120"/>
        <w:contextualSpacing w:val="0"/>
        <w:jc w:val="both"/>
        <w:rPr>
          <w:b/>
          <w:bCs/>
        </w:rPr>
      </w:pPr>
      <w:r>
        <w:rPr>
          <w:b/>
          <w:bCs/>
        </w:rPr>
        <w:t xml:space="preserve">Plant </w:t>
      </w:r>
      <w:r w:rsidRPr="006F78BD">
        <w:rPr>
          <w:b/>
          <w:bCs/>
        </w:rPr>
        <w:t>Goat Rock</w:t>
      </w:r>
      <w:r>
        <w:rPr>
          <w:b/>
          <w:bCs/>
        </w:rPr>
        <w:t xml:space="preserve"> Units 3-8</w:t>
      </w:r>
      <w:r w:rsidRPr="006F78BD">
        <w:t>.</w:t>
      </w:r>
      <w:r>
        <w:t xml:space="preserve"> Preserve 29 MW and restore 10 MW, as well as develop, own and operate a projected incremental 16 MW from Units 3-6 to correct a flow imbalance in the Chattahoochee Hydro Group.</w:t>
      </w:r>
    </w:p>
    <w:p w14:paraId="09253C34" w14:textId="77777777" w:rsidR="00CB233E" w:rsidRPr="006F78BD" w:rsidRDefault="00CB233E" w:rsidP="00490D00">
      <w:pPr>
        <w:pStyle w:val="ListParagraph"/>
        <w:numPr>
          <w:ilvl w:val="1"/>
          <w:numId w:val="6"/>
        </w:numPr>
        <w:spacing w:before="120" w:after="120"/>
        <w:contextualSpacing w:val="0"/>
        <w:jc w:val="both"/>
        <w:rPr>
          <w:b/>
          <w:bCs/>
        </w:rPr>
      </w:pPr>
      <w:r>
        <w:rPr>
          <w:b/>
          <w:bCs/>
        </w:rPr>
        <w:t xml:space="preserve">Plant </w:t>
      </w:r>
      <w:r w:rsidRPr="006F78BD">
        <w:rPr>
          <w:b/>
          <w:bCs/>
        </w:rPr>
        <w:t>North Highlands</w:t>
      </w:r>
      <w:r>
        <w:rPr>
          <w:b/>
          <w:bCs/>
        </w:rPr>
        <w:t xml:space="preserve"> Units 1-4</w:t>
      </w:r>
      <w:r w:rsidRPr="006F78BD">
        <w:t>.</w:t>
      </w:r>
      <w:r>
        <w:t xml:space="preserve"> Preserve 35 MW.</w:t>
      </w:r>
    </w:p>
    <w:p w14:paraId="74833C94" w14:textId="77777777" w:rsidR="00CB233E" w:rsidRPr="00124A69" w:rsidRDefault="00CB233E" w:rsidP="00490D00">
      <w:pPr>
        <w:pStyle w:val="ListParagraph"/>
        <w:numPr>
          <w:ilvl w:val="1"/>
          <w:numId w:val="6"/>
        </w:numPr>
        <w:spacing w:before="120" w:after="120"/>
        <w:contextualSpacing w:val="0"/>
        <w:jc w:val="both"/>
      </w:pPr>
      <w:r>
        <w:rPr>
          <w:b/>
          <w:bCs/>
        </w:rPr>
        <w:t xml:space="preserve">Plant </w:t>
      </w:r>
      <w:r w:rsidRPr="00124A69">
        <w:rPr>
          <w:b/>
          <w:bCs/>
        </w:rPr>
        <w:t>Flint River</w:t>
      </w:r>
      <w:r>
        <w:rPr>
          <w:b/>
          <w:bCs/>
        </w:rPr>
        <w:t xml:space="preserve"> Units 1-3</w:t>
      </w:r>
      <w:r w:rsidRPr="002B4EDE">
        <w:t>.</w:t>
      </w:r>
      <w:r>
        <w:t xml:space="preserve"> Preserve 6 MW.</w:t>
      </w:r>
    </w:p>
    <w:p w14:paraId="69B7E19D" w14:textId="77777777" w:rsidR="00CB233E" w:rsidRDefault="00CB233E" w:rsidP="007113A8">
      <w:pPr>
        <w:pStyle w:val="ListParagraph"/>
        <w:numPr>
          <w:ilvl w:val="1"/>
          <w:numId w:val="6"/>
        </w:numPr>
        <w:spacing w:before="120" w:after="120"/>
        <w:contextualSpacing w:val="0"/>
        <w:jc w:val="both"/>
      </w:pPr>
      <w:r>
        <w:rPr>
          <w:b/>
          <w:bCs/>
        </w:rPr>
        <w:t xml:space="preserve">Plant </w:t>
      </w:r>
      <w:r w:rsidRPr="006F78BD">
        <w:rPr>
          <w:b/>
          <w:bCs/>
        </w:rPr>
        <w:t>Morgan Falls</w:t>
      </w:r>
      <w:r>
        <w:rPr>
          <w:b/>
          <w:bCs/>
        </w:rPr>
        <w:t xml:space="preserve"> Units 1-7</w:t>
      </w:r>
      <w:r w:rsidRPr="006F78BD">
        <w:t>.</w:t>
      </w:r>
      <w:r>
        <w:t xml:space="preserve"> Preserve 8 MW and restore 3 MW.</w:t>
      </w:r>
    </w:p>
    <w:p w14:paraId="0C815FA7" w14:textId="5CC39C36" w:rsidR="00CB233E" w:rsidRDefault="00CB233E" w:rsidP="00876D34">
      <w:pPr>
        <w:pStyle w:val="ListParagraph"/>
        <w:numPr>
          <w:ilvl w:val="0"/>
          <w:numId w:val="6"/>
        </w:numPr>
        <w:spacing w:before="120" w:after="120"/>
        <w:contextualSpacing w:val="0"/>
        <w:jc w:val="both"/>
      </w:pPr>
      <w:r>
        <w:t>Issue</w:t>
      </w:r>
      <w:r w:rsidR="00C17EBC">
        <w:t xml:space="preserve"> RFPs designed to procure energy from </w:t>
      </w:r>
      <w:r w:rsidR="00385914">
        <w:t xml:space="preserve">up to </w:t>
      </w:r>
      <w:r w:rsidR="00C17EBC">
        <w:t xml:space="preserve">4,000 MW of renewable resources by 2035, </w:t>
      </w:r>
      <w:r w:rsidR="00684071">
        <w:t>including</w:t>
      </w:r>
      <w:r w:rsidR="00C17EBC">
        <w:t xml:space="preserve"> </w:t>
      </w:r>
      <w:r>
        <w:t>the</w:t>
      </w:r>
      <w:r w:rsidRPr="0205F18D">
        <w:rPr>
          <w:b/>
          <w:bCs/>
        </w:rPr>
        <w:t xml:space="preserve"> 2026 </w:t>
      </w:r>
      <w:r w:rsidR="00816F39">
        <w:rPr>
          <w:b/>
          <w:bCs/>
        </w:rPr>
        <w:t>U</w:t>
      </w:r>
      <w:r w:rsidR="007B0B71">
        <w:rPr>
          <w:b/>
          <w:bCs/>
        </w:rPr>
        <w:t xml:space="preserve">tility </w:t>
      </w:r>
      <w:r w:rsidR="00816F39">
        <w:rPr>
          <w:b/>
          <w:bCs/>
        </w:rPr>
        <w:t>S</w:t>
      </w:r>
      <w:r w:rsidR="007B0B71">
        <w:rPr>
          <w:b/>
          <w:bCs/>
        </w:rPr>
        <w:t>cale</w:t>
      </w:r>
      <w:r w:rsidRPr="0205F18D">
        <w:rPr>
          <w:b/>
          <w:bCs/>
        </w:rPr>
        <w:t xml:space="preserve"> RFP </w:t>
      </w:r>
      <w:r w:rsidR="000F6808">
        <w:t>targeting</w:t>
      </w:r>
      <w:r>
        <w:t xml:space="preserve"> </w:t>
      </w:r>
      <w:r w:rsidRPr="000F6808">
        <w:t>1,000 MW</w:t>
      </w:r>
      <w:r>
        <w:t xml:space="preserve"> of utility-scale renewable resources </w:t>
      </w:r>
      <w:r w:rsidR="004D45DB">
        <w:t xml:space="preserve">expected </w:t>
      </w:r>
      <w:r>
        <w:t>to reach commercial operation between November 30, 2030, and November 30, 2032.</w:t>
      </w:r>
    </w:p>
    <w:p w14:paraId="1B79D455" w14:textId="18CCF633" w:rsidR="0030736E" w:rsidRDefault="0030736E" w:rsidP="00876D34">
      <w:pPr>
        <w:pStyle w:val="ListParagraph"/>
        <w:numPr>
          <w:ilvl w:val="0"/>
          <w:numId w:val="6"/>
        </w:numPr>
        <w:spacing w:before="120" w:after="120"/>
        <w:contextualSpacing w:val="0"/>
        <w:jc w:val="both"/>
      </w:pPr>
      <w:r>
        <w:t xml:space="preserve">Issue the </w:t>
      </w:r>
      <w:r w:rsidR="44B01DFC" w:rsidRPr="394C4551">
        <w:rPr>
          <w:b/>
          <w:bCs/>
        </w:rPr>
        <w:t>202</w:t>
      </w:r>
      <w:r w:rsidR="45F165BE" w:rsidRPr="394C4551">
        <w:rPr>
          <w:b/>
          <w:bCs/>
        </w:rPr>
        <w:t>6</w:t>
      </w:r>
      <w:r w:rsidR="00792D72" w:rsidRPr="00792D72">
        <w:rPr>
          <w:b/>
          <w:bCs/>
        </w:rPr>
        <w:t xml:space="preserve"> and </w:t>
      </w:r>
      <w:r w:rsidR="540A4FDC" w:rsidRPr="394C4551">
        <w:rPr>
          <w:b/>
          <w:bCs/>
        </w:rPr>
        <w:t>202</w:t>
      </w:r>
      <w:r w:rsidR="4EF9E668" w:rsidRPr="394C4551">
        <w:rPr>
          <w:b/>
          <w:bCs/>
        </w:rPr>
        <w:t>7</w:t>
      </w:r>
      <w:r w:rsidR="00792D72" w:rsidRPr="00792D72">
        <w:rPr>
          <w:b/>
          <w:bCs/>
        </w:rPr>
        <w:t xml:space="preserve"> </w:t>
      </w:r>
      <w:r w:rsidR="00816F39">
        <w:rPr>
          <w:b/>
          <w:bCs/>
        </w:rPr>
        <w:t>D</w:t>
      </w:r>
      <w:r w:rsidR="007B0B71">
        <w:rPr>
          <w:b/>
          <w:bCs/>
        </w:rPr>
        <w:t xml:space="preserve">istributed </w:t>
      </w:r>
      <w:r w:rsidR="00816F39">
        <w:rPr>
          <w:b/>
          <w:bCs/>
        </w:rPr>
        <w:t>G</w:t>
      </w:r>
      <w:r w:rsidR="007B0B71">
        <w:rPr>
          <w:b/>
          <w:bCs/>
        </w:rPr>
        <w:t>eneration</w:t>
      </w:r>
      <w:r w:rsidR="00792D72" w:rsidRPr="00792D72">
        <w:rPr>
          <w:b/>
          <w:bCs/>
        </w:rPr>
        <w:t xml:space="preserve"> RFPs</w:t>
      </w:r>
      <w:r w:rsidR="00347D32" w:rsidRPr="00347D32">
        <w:t>,</w:t>
      </w:r>
      <w:r w:rsidR="00792D72">
        <w:t xml:space="preserve"> </w:t>
      </w:r>
      <w:r w:rsidR="005C65BE">
        <w:t xml:space="preserve">each for </w:t>
      </w:r>
      <w:r w:rsidR="00684071" w:rsidRPr="000F6808">
        <w:t>5</w:t>
      </w:r>
      <w:r w:rsidR="005C65BE" w:rsidRPr="000F6808">
        <w:t>0 MW</w:t>
      </w:r>
      <w:r w:rsidR="0032689E">
        <w:t xml:space="preserve">, for a total of </w:t>
      </w:r>
      <w:r w:rsidR="00684071" w:rsidRPr="000F6808">
        <w:t>1</w:t>
      </w:r>
      <w:r w:rsidR="0032689E" w:rsidRPr="000F6808">
        <w:t>00 MW</w:t>
      </w:r>
      <w:r w:rsidR="00BE342D">
        <w:t xml:space="preserve"> </w:t>
      </w:r>
      <w:r w:rsidR="007002D9">
        <w:t xml:space="preserve">of distributed generation resources </w:t>
      </w:r>
      <w:r w:rsidR="0032689E">
        <w:t xml:space="preserve">to reach commercial operation in </w:t>
      </w:r>
      <w:r w:rsidR="00B745C5">
        <w:t xml:space="preserve">2027, </w:t>
      </w:r>
      <w:r w:rsidR="1AEF5B8F">
        <w:t>202</w:t>
      </w:r>
      <w:r w:rsidR="5858799B">
        <w:t>8</w:t>
      </w:r>
      <w:r>
        <w:t xml:space="preserve"> and </w:t>
      </w:r>
      <w:r w:rsidR="1AEF5B8F">
        <w:t>202</w:t>
      </w:r>
      <w:r w:rsidR="0AC9288D">
        <w:t>9</w:t>
      </w:r>
      <w:r>
        <w:t>.</w:t>
      </w:r>
    </w:p>
    <w:p w14:paraId="5A3F3DBE" w14:textId="5C88C559" w:rsidR="00CB233E" w:rsidRDefault="00CB233E" w:rsidP="007113A8">
      <w:pPr>
        <w:pStyle w:val="ListParagraph"/>
        <w:numPr>
          <w:ilvl w:val="0"/>
          <w:numId w:val="6"/>
        </w:numPr>
        <w:spacing w:before="120" w:after="120"/>
        <w:contextualSpacing w:val="0"/>
        <w:jc w:val="both"/>
      </w:pPr>
      <w:r w:rsidRPr="00DF4257">
        <w:t xml:space="preserve">Implement </w:t>
      </w:r>
      <w:r w:rsidR="00B019A7">
        <w:t>changes</w:t>
      </w:r>
      <w:r w:rsidR="00A13FBF">
        <w:t xml:space="preserve"> to the</w:t>
      </w:r>
      <w:r w:rsidRPr="00DF4257">
        <w:t xml:space="preserve"> </w:t>
      </w:r>
      <w:r w:rsidRPr="006A11BC">
        <w:rPr>
          <w:b/>
        </w:rPr>
        <w:t>Utility Scale</w:t>
      </w:r>
      <w:r>
        <w:t xml:space="preserve"> renewable p</w:t>
      </w:r>
      <w:r w:rsidRPr="00DF4257">
        <w:t xml:space="preserve">rocurement process </w:t>
      </w:r>
      <w:r w:rsidR="00A13FBF">
        <w:t>further detailed in C</w:t>
      </w:r>
      <w:r w:rsidR="0045374C">
        <w:t>hapter</w:t>
      </w:r>
      <w:r w:rsidR="00A13FBF">
        <w:t xml:space="preserve"> 8 and C</w:t>
      </w:r>
      <w:r w:rsidR="0045374C">
        <w:t>hapter</w:t>
      </w:r>
      <w:r w:rsidR="00A13FBF">
        <w:t xml:space="preserve"> 10</w:t>
      </w:r>
      <w:r w:rsidR="00D27F2C">
        <w:t>.</w:t>
      </w:r>
    </w:p>
    <w:p w14:paraId="1AA31CEE" w14:textId="3C980D6B" w:rsidR="00D27F2C" w:rsidRDefault="00D27F2C" w:rsidP="00490D00">
      <w:pPr>
        <w:pStyle w:val="ListParagraph"/>
        <w:numPr>
          <w:ilvl w:val="0"/>
          <w:numId w:val="6"/>
        </w:numPr>
        <w:spacing w:before="120" w:after="120"/>
        <w:contextualSpacing w:val="0"/>
        <w:jc w:val="both"/>
      </w:pPr>
      <w:r w:rsidRPr="00DF4257">
        <w:t xml:space="preserve">Implement </w:t>
      </w:r>
      <w:r>
        <w:t>changes to the</w:t>
      </w:r>
      <w:r w:rsidRPr="00DF4257">
        <w:t xml:space="preserve"> </w:t>
      </w:r>
      <w:r>
        <w:rPr>
          <w:b/>
        </w:rPr>
        <w:t>Distributed Gene</w:t>
      </w:r>
      <w:r w:rsidR="008F1AFE">
        <w:rPr>
          <w:b/>
        </w:rPr>
        <w:t>ration</w:t>
      </w:r>
      <w:r>
        <w:rPr>
          <w:b/>
        </w:rPr>
        <w:t xml:space="preserve"> </w:t>
      </w:r>
      <w:r>
        <w:t>renewable p</w:t>
      </w:r>
      <w:r w:rsidRPr="00DF4257">
        <w:t xml:space="preserve">rocurement process </w:t>
      </w:r>
      <w:r>
        <w:t xml:space="preserve">further detailed in </w:t>
      </w:r>
      <w:r w:rsidR="0045374C">
        <w:t>Chapter</w:t>
      </w:r>
      <w:r>
        <w:t xml:space="preserve"> 8 and </w:t>
      </w:r>
      <w:r w:rsidR="0045374C">
        <w:t>Chapter</w:t>
      </w:r>
      <w:r>
        <w:t xml:space="preserve"> 10.</w:t>
      </w:r>
    </w:p>
    <w:p w14:paraId="4C4D4FEF" w14:textId="0FA79E74" w:rsidR="009F6329" w:rsidRDefault="009F6329" w:rsidP="00261BF5">
      <w:pPr>
        <w:jc w:val="both"/>
      </w:pPr>
      <w:r>
        <w:t xml:space="preserve">A list of Georgia Power’s planned and committed resources is contained in </w:t>
      </w:r>
      <w:r w:rsidR="00606A96">
        <w:t>Attachment</w:t>
      </w:r>
      <w:r w:rsidR="00B73DC2">
        <w:t xml:space="preserve"> C.</w:t>
      </w:r>
    </w:p>
    <w:p w14:paraId="64B42550" w14:textId="59823D1F" w:rsidR="00D406CD" w:rsidRDefault="00545B58" w:rsidP="00B56A9C">
      <w:pPr>
        <w:pStyle w:val="Heading2"/>
      </w:pPr>
      <w:bookmarkStart w:id="40" w:name="_Toc189122764"/>
      <w:r>
        <w:t>8</w:t>
      </w:r>
      <w:r w:rsidR="00E7163D">
        <w:t xml:space="preserve">.1 – </w:t>
      </w:r>
      <w:r w:rsidR="00D406CD">
        <w:t>Capacity Needs</w:t>
      </w:r>
      <w:bookmarkEnd w:id="40"/>
    </w:p>
    <w:p w14:paraId="7E5F03BD" w14:textId="665FA5C4" w:rsidR="00076675" w:rsidRPr="001E2278" w:rsidRDefault="00533DEF" w:rsidP="005912BF">
      <w:pPr>
        <w:jc w:val="both"/>
        <w:rPr>
          <w:i/>
        </w:rPr>
      </w:pPr>
      <w:r>
        <w:t xml:space="preserve">The </w:t>
      </w:r>
      <w:r w:rsidR="005912BF" w:rsidRPr="005912BF">
        <w:t>C</w:t>
      </w:r>
      <w:r>
        <w:t>ompany determines its c</w:t>
      </w:r>
      <w:r w:rsidR="005912BF" w:rsidRPr="005912BF">
        <w:t xml:space="preserve">apacity needs by comparing </w:t>
      </w:r>
      <w:r w:rsidR="007756D4">
        <w:t>it</w:t>
      </w:r>
      <w:r w:rsidR="005912BF" w:rsidRPr="005912BF">
        <w:t>s forecasted demand and</w:t>
      </w:r>
      <w:r w:rsidR="00D91F4E">
        <w:t xml:space="preserve"> </w:t>
      </w:r>
      <w:r w:rsidR="00EE3BF7">
        <w:t xml:space="preserve">the </w:t>
      </w:r>
      <w:r w:rsidR="005912BF" w:rsidRPr="005912BF">
        <w:t>existing, planned, and committed supply</w:t>
      </w:r>
      <w:r w:rsidR="00D91F4E">
        <w:t>-</w:t>
      </w:r>
      <w:r w:rsidR="005912BF" w:rsidRPr="005912BF">
        <w:t xml:space="preserve"> and demand</w:t>
      </w:r>
      <w:r w:rsidR="00D91F4E">
        <w:t>-side</w:t>
      </w:r>
      <w:r w:rsidR="005912BF" w:rsidRPr="005912BF">
        <w:t xml:space="preserve"> resources</w:t>
      </w:r>
      <w:r w:rsidR="00B975B4">
        <w:t xml:space="preserve"> ava</w:t>
      </w:r>
      <w:r w:rsidR="00A13728">
        <w:t>ilable to meet that demand</w:t>
      </w:r>
      <w:r w:rsidR="005912BF" w:rsidRPr="005912BF">
        <w:t xml:space="preserve">. </w:t>
      </w:r>
      <w:r w:rsidR="00E64651">
        <w:t>T</w:t>
      </w:r>
      <w:r w:rsidR="00E64651" w:rsidRPr="005912BF">
        <w:t xml:space="preserve">he capacity need is </w:t>
      </w:r>
      <w:r w:rsidR="00AD1688">
        <w:t xml:space="preserve">represented by </w:t>
      </w:r>
      <w:r w:rsidR="00E64651" w:rsidRPr="005912BF">
        <w:t>the difference in megawatts between existing, planned, and committed supply</w:t>
      </w:r>
      <w:r w:rsidR="00E64651">
        <w:t>-</w:t>
      </w:r>
      <w:r w:rsidR="00E64651" w:rsidRPr="005912BF">
        <w:t xml:space="preserve"> and demand</w:t>
      </w:r>
      <w:r w:rsidR="00E64651">
        <w:t>-side</w:t>
      </w:r>
      <w:r w:rsidR="00E64651" w:rsidRPr="005912BF">
        <w:t xml:space="preserve"> resources and the forecasted annual peak </w:t>
      </w:r>
      <w:r w:rsidR="00E64651">
        <w:t xml:space="preserve">demand plus target </w:t>
      </w:r>
      <w:r w:rsidR="00E64651" w:rsidRPr="005912BF">
        <w:t xml:space="preserve">reserve </w:t>
      </w:r>
      <w:r w:rsidR="00E64651">
        <w:t xml:space="preserve">margin </w:t>
      </w:r>
      <w:r w:rsidR="00E64651" w:rsidRPr="005912BF">
        <w:t>requirements.</w:t>
      </w:r>
      <w:r w:rsidR="005912BF" w:rsidRPr="005912BF">
        <w:t xml:space="preserve"> </w:t>
      </w:r>
      <w:r w:rsidR="00940D36">
        <w:t>T</w:t>
      </w:r>
      <w:r w:rsidR="005912BF" w:rsidRPr="005912BF">
        <w:t xml:space="preserve">he Resource Mix Study in Technical Appendix Volume </w:t>
      </w:r>
      <w:r w:rsidR="00D71FE0">
        <w:t>2</w:t>
      </w:r>
      <w:r w:rsidR="005912BF" w:rsidRPr="005912BF">
        <w:t xml:space="preserve"> </w:t>
      </w:r>
      <w:r w:rsidR="00405AE3">
        <w:t>provides</w:t>
      </w:r>
      <w:r w:rsidR="00405AE3" w:rsidRPr="005912BF">
        <w:t xml:space="preserve"> </w:t>
      </w:r>
      <w:r w:rsidR="005912BF" w:rsidRPr="005912BF">
        <w:t>detailed information on the Company’s capacity needs.</w:t>
      </w:r>
      <w:r w:rsidR="001E4579">
        <w:t xml:space="preserve"> Tables 8.1A and 8.1B are provided below for projected winter and summer capacity needs for </w:t>
      </w:r>
      <w:r w:rsidR="009852F6">
        <w:t>years 2025 through 2044</w:t>
      </w:r>
      <w:r w:rsidR="0028030C">
        <w:t xml:space="preserve"> for the 111-MG0 and MG0 planning scenarios</w:t>
      </w:r>
      <w:r w:rsidR="005F5BB5">
        <w:t xml:space="preserve"> </w:t>
      </w:r>
      <w:r w:rsidR="00A670B2">
        <w:t xml:space="preserve">for both </w:t>
      </w:r>
      <w:r w:rsidR="001E4579">
        <w:t>Georgia Power</w:t>
      </w:r>
      <w:r w:rsidR="006B667B">
        <w:t xml:space="preserve"> and </w:t>
      </w:r>
      <w:r w:rsidR="00A670B2">
        <w:t xml:space="preserve">the </w:t>
      </w:r>
      <w:r w:rsidR="006B667B">
        <w:t>Southern Company retail operating companies</w:t>
      </w:r>
      <w:r w:rsidR="009852F6">
        <w:t>.</w:t>
      </w:r>
      <w:r w:rsidR="00FD469D">
        <w:t xml:space="preserve"> While the Georgia Power </w:t>
      </w:r>
      <w:r w:rsidR="007D290F">
        <w:t xml:space="preserve">capacity need in the summer exceeds that of the </w:t>
      </w:r>
      <w:r w:rsidR="009826D8">
        <w:t>preceding winter</w:t>
      </w:r>
      <w:r w:rsidR="00623DF1">
        <w:t xml:space="preserve"> </w:t>
      </w:r>
      <w:r w:rsidR="00662BF6">
        <w:t>until the summer of 2031</w:t>
      </w:r>
      <w:r w:rsidR="009826D8">
        <w:t>, that is not the case with the System needs</w:t>
      </w:r>
      <w:r w:rsidR="00C4477F">
        <w:t>. This indicates G</w:t>
      </w:r>
      <w:r w:rsidR="009826D8">
        <w:t xml:space="preserve">eorgia Power may not need to add resources to </w:t>
      </w:r>
      <w:r w:rsidR="00C03212">
        <w:t xml:space="preserve">fully </w:t>
      </w:r>
      <w:r w:rsidR="009826D8">
        <w:t xml:space="preserve">address </w:t>
      </w:r>
      <w:r w:rsidR="003A0FB8">
        <w:t>its own</w:t>
      </w:r>
      <w:r w:rsidR="009826D8">
        <w:t xml:space="preserve"> </w:t>
      </w:r>
      <w:r w:rsidR="008019B7">
        <w:t xml:space="preserve">incremental </w:t>
      </w:r>
      <w:r w:rsidR="009826D8">
        <w:t xml:space="preserve">summer </w:t>
      </w:r>
      <w:r w:rsidR="003A0FB8">
        <w:t xml:space="preserve">capacity </w:t>
      </w:r>
      <w:r w:rsidR="009826D8">
        <w:t xml:space="preserve">needs but rather could leverage other resources on the </w:t>
      </w:r>
      <w:r w:rsidR="00876D34">
        <w:t>S</w:t>
      </w:r>
      <w:r w:rsidR="009826D8">
        <w:t>ystem.</w:t>
      </w:r>
    </w:p>
    <w:p w14:paraId="5DF8ECDA" w14:textId="0AD19188" w:rsidR="000165B1" w:rsidRPr="001E2278" w:rsidRDefault="000165B1" w:rsidP="00816F39">
      <w:pPr>
        <w:keepNext/>
        <w:keepLines/>
        <w:jc w:val="center"/>
        <w:rPr>
          <w:i/>
          <w:iCs/>
        </w:rPr>
      </w:pPr>
      <w:r w:rsidRPr="001E2278">
        <w:rPr>
          <w:i/>
          <w:iCs/>
        </w:rPr>
        <w:lastRenderedPageBreak/>
        <w:t>Table 8.1</w:t>
      </w:r>
      <w:r w:rsidR="00F15A75">
        <w:rPr>
          <w:i/>
          <w:iCs/>
        </w:rPr>
        <w:t>A</w:t>
      </w:r>
      <w:r w:rsidR="003C6DBC" w:rsidRPr="001E2278">
        <w:rPr>
          <w:i/>
          <w:iCs/>
        </w:rPr>
        <w:t xml:space="preserve">: </w:t>
      </w:r>
      <w:r w:rsidR="004702FA">
        <w:rPr>
          <w:i/>
          <w:iCs/>
        </w:rPr>
        <w:t xml:space="preserve">Projected </w:t>
      </w:r>
      <w:r w:rsidR="001E2278" w:rsidRPr="001E2278">
        <w:rPr>
          <w:i/>
          <w:iCs/>
        </w:rPr>
        <w:t>Seasonal Capacity Needs</w:t>
      </w:r>
      <w:r w:rsidR="00F84F93">
        <w:rPr>
          <w:i/>
          <w:iCs/>
        </w:rPr>
        <w:t xml:space="preserve"> </w:t>
      </w:r>
      <w:r w:rsidR="0028030C">
        <w:rPr>
          <w:i/>
          <w:iCs/>
        </w:rPr>
        <w:t xml:space="preserve">(MW) </w:t>
      </w:r>
      <w:r w:rsidR="00736318">
        <w:rPr>
          <w:i/>
          <w:iCs/>
        </w:rPr>
        <w:t>–</w:t>
      </w:r>
      <w:r w:rsidR="00F80BE8">
        <w:rPr>
          <w:i/>
          <w:iCs/>
        </w:rPr>
        <w:t xml:space="preserve"> </w:t>
      </w:r>
      <w:r w:rsidR="00736318">
        <w:rPr>
          <w:i/>
          <w:iCs/>
        </w:rPr>
        <w:t>111-</w:t>
      </w:r>
      <w:r w:rsidR="00F84F93">
        <w:rPr>
          <w:i/>
          <w:iCs/>
        </w:rPr>
        <w:t>MG0</w:t>
      </w:r>
    </w:p>
    <w:tbl>
      <w:tblPr>
        <w:tblStyle w:val="TableGridLight"/>
        <w:tblW w:w="9350" w:type="dxa"/>
        <w:tblLook w:val="04A0" w:firstRow="1" w:lastRow="0" w:firstColumn="1" w:lastColumn="0" w:noHBand="0" w:noVBand="1"/>
      </w:tblPr>
      <w:tblGrid>
        <w:gridCol w:w="1320"/>
        <w:gridCol w:w="1334"/>
        <w:gridCol w:w="2111"/>
        <w:gridCol w:w="1137"/>
        <w:gridCol w:w="1293"/>
        <w:gridCol w:w="2155"/>
      </w:tblGrid>
      <w:tr w:rsidR="00A55D58" w:rsidRPr="00816F39" w14:paraId="2E6625DC" w14:textId="77777777">
        <w:trPr>
          <w:tblHeader/>
        </w:trPr>
        <w:tc>
          <w:tcPr>
            <w:tcW w:w="4765" w:type="dxa"/>
            <w:gridSpan w:val="3"/>
          </w:tcPr>
          <w:p w14:paraId="5763EB48" w14:textId="1EC862F2" w:rsidR="00A55D58" w:rsidRPr="00816F39" w:rsidRDefault="00A55D58">
            <w:pPr>
              <w:keepNext/>
              <w:keepLines/>
              <w:jc w:val="center"/>
              <w:rPr>
                <w:sz w:val="20"/>
                <w:szCs w:val="20"/>
              </w:rPr>
            </w:pPr>
            <w:r w:rsidRPr="00816F39">
              <w:rPr>
                <w:sz w:val="20"/>
                <w:szCs w:val="20"/>
              </w:rPr>
              <w:t>Winter</w:t>
            </w:r>
          </w:p>
        </w:tc>
        <w:tc>
          <w:tcPr>
            <w:tcW w:w="4585" w:type="dxa"/>
            <w:gridSpan w:val="3"/>
          </w:tcPr>
          <w:p w14:paraId="2F46137B" w14:textId="0168746E" w:rsidR="00A55D58" w:rsidRPr="00816F39" w:rsidRDefault="00A55D58">
            <w:pPr>
              <w:keepNext/>
              <w:keepLines/>
              <w:jc w:val="center"/>
              <w:rPr>
                <w:sz w:val="20"/>
                <w:szCs w:val="20"/>
              </w:rPr>
            </w:pPr>
            <w:r w:rsidRPr="00816F39">
              <w:rPr>
                <w:sz w:val="20"/>
                <w:szCs w:val="20"/>
              </w:rPr>
              <w:t>Summer</w:t>
            </w:r>
          </w:p>
        </w:tc>
      </w:tr>
      <w:tr w:rsidR="00A55D58" w:rsidRPr="00816F39" w14:paraId="17164A52" w14:textId="77777777" w:rsidTr="00D9245A">
        <w:trPr>
          <w:tblHeader/>
        </w:trPr>
        <w:tc>
          <w:tcPr>
            <w:tcW w:w="1320" w:type="dxa"/>
          </w:tcPr>
          <w:p w14:paraId="1FC72A09" w14:textId="77777777" w:rsidR="00A55D58" w:rsidRPr="00816F39" w:rsidRDefault="00A55D58">
            <w:pPr>
              <w:keepNext/>
              <w:keepLines/>
              <w:jc w:val="center"/>
              <w:rPr>
                <w:sz w:val="20"/>
                <w:szCs w:val="20"/>
              </w:rPr>
            </w:pPr>
            <w:r w:rsidRPr="00816F39">
              <w:rPr>
                <w:sz w:val="20"/>
                <w:szCs w:val="20"/>
              </w:rPr>
              <w:t>Year</w:t>
            </w:r>
          </w:p>
        </w:tc>
        <w:tc>
          <w:tcPr>
            <w:tcW w:w="1334" w:type="dxa"/>
          </w:tcPr>
          <w:p w14:paraId="36A46F31" w14:textId="77777777" w:rsidR="00A55D58" w:rsidRPr="00816F39" w:rsidRDefault="00A55D58">
            <w:pPr>
              <w:keepNext/>
              <w:keepLines/>
              <w:jc w:val="center"/>
              <w:rPr>
                <w:sz w:val="20"/>
                <w:szCs w:val="20"/>
              </w:rPr>
            </w:pPr>
            <w:r w:rsidRPr="00816F39">
              <w:rPr>
                <w:sz w:val="20"/>
                <w:szCs w:val="20"/>
              </w:rPr>
              <w:t>Georgia Power</w:t>
            </w:r>
          </w:p>
        </w:tc>
        <w:tc>
          <w:tcPr>
            <w:tcW w:w="2111" w:type="dxa"/>
          </w:tcPr>
          <w:p w14:paraId="5D4A6F0F" w14:textId="765FCA3C" w:rsidR="00A55D58" w:rsidRPr="00816F39" w:rsidRDefault="00A55D58">
            <w:pPr>
              <w:keepNext/>
              <w:keepLines/>
              <w:jc w:val="center"/>
              <w:rPr>
                <w:sz w:val="20"/>
                <w:szCs w:val="20"/>
              </w:rPr>
            </w:pPr>
            <w:r w:rsidRPr="00816F39">
              <w:rPr>
                <w:sz w:val="20"/>
                <w:szCs w:val="20"/>
              </w:rPr>
              <w:t>Southern Retail Operating</w:t>
            </w:r>
            <w:r w:rsidR="00D9245A">
              <w:rPr>
                <w:sz w:val="20"/>
                <w:szCs w:val="20"/>
              </w:rPr>
              <w:t xml:space="preserve"> Companies</w:t>
            </w:r>
          </w:p>
        </w:tc>
        <w:tc>
          <w:tcPr>
            <w:tcW w:w="1137" w:type="dxa"/>
          </w:tcPr>
          <w:p w14:paraId="0B937E80" w14:textId="77777777" w:rsidR="00A55D58" w:rsidRPr="00816F39" w:rsidRDefault="00A55D58">
            <w:pPr>
              <w:keepNext/>
              <w:keepLines/>
              <w:jc w:val="center"/>
              <w:rPr>
                <w:sz w:val="20"/>
                <w:szCs w:val="20"/>
              </w:rPr>
            </w:pPr>
            <w:r w:rsidRPr="00816F39">
              <w:rPr>
                <w:sz w:val="20"/>
                <w:szCs w:val="20"/>
              </w:rPr>
              <w:t>Year</w:t>
            </w:r>
          </w:p>
        </w:tc>
        <w:tc>
          <w:tcPr>
            <w:tcW w:w="1293" w:type="dxa"/>
          </w:tcPr>
          <w:p w14:paraId="3468A521" w14:textId="77777777" w:rsidR="00A55D58" w:rsidRPr="00816F39" w:rsidRDefault="00A55D58">
            <w:pPr>
              <w:keepNext/>
              <w:keepLines/>
              <w:jc w:val="center"/>
              <w:rPr>
                <w:sz w:val="20"/>
                <w:szCs w:val="20"/>
              </w:rPr>
            </w:pPr>
            <w:r w:rsidRPr="00816F39">
              <w:rPr>
                <w:sz w:val="20"/>
                <w:szCs w:val="20"/>
              </w:rPr>
              <w:t>Georgia Power</w:t>
            </w:r>
          </w:p>
        </w:tc>
        <w:tc>
          <w:tcPr>
            <w:tcW w:w="2155" w:type="dxa"/>
          </w:tcPr>
          <w:p w14:paraId="2D93B868" w14:textId="2E295B81" w:rsidR="00A55D58" w:rsidRPr="00816F39" w:rsidRDefault="00A55D58">
            <w:pPr>
              <w:keepNext/>
              <w:keepLines/>
              <w:jc w:val="center"/>
              <w:rPr>
                <w:sz w:val="20"/>
                <w:szCs w:val="20"/>
              </w:rPr>
            </w:pPr>
            <w:r w:rsidRPr="00816F39">
              <w:rPr>
                <w:sz w:val="20"/>
                <w:szCs w:val="20"/>
              </w:rPr>
              <w:t>Southern Retail Operating</w:t>
            </w:r>
            <w:r w:rsidR="00D9245A">
              <w:rPr>
                <w:sz w:val="20"/>
                <w:szCs w:val="20"/>
              </w:rPr>
              <w:t xml:space="preserve"> Companies</w:t>
            </w:r>
          </w:p>
        </w:tc>
      </w:tr>
      <w:tr w:rsidR="00A55D58" w:rsidRPr="00816F39" w14:paraId="73926FAD" w14:textId="77777777" w:rsidTr="00D9245A">
        <w:tc>
          <w:tcPr>
            <w:tcW w:w="1320" w:type="dxa"/>
          </w:tcPr>
          <w:p w14:paraId="4D2DEBC7" w14:textId="77777777" w:rsidR="00A55D58" w:rsidRPr="00816F39" w:rsidRDefault="00A55D58">
            <w:pPr>
              <w:keepNext/>
              <w:keepLines/>
              <w:jc w:val="center"/>
              <w:rPr>
                <w:sz w:val="20"/>
                <w:szCs w:val="20"/>
              </w:rPr>
            </w:pPr>
            <w:r w:rsidRPr="00816F39">
              <w:rPr>
                <w:sz w:val="20"/>
                <w:szCs w:val="20"/>
              </w:rPr>
              <w:t>2024/2025</w:t>
            </w:r>
          </w:p>
        </w:tc>
        <w:tc>
          <w:tcPr>
            <w:tcW w:w="1334" w:type="dxa"/>
          </w:tcPr>
          <w:p w14:paraId="75BB0FC6" w14:textId="77777777" w:rsidR="00A55D58" w:rsidRPr="00816F39" w:rsidRDefault="00A55D58">
            <w:pPr>
              <w:keepNext/>
              <w:keepLines/>
              <w:jc w:val="center"/>
              <w:rPr>
                <w:sz w:val="20"/>
                <w:szCs w:val="20"/>
              </w:rPr>
            </w:pPr>
            <w:r w:rsidRPr="00816F39">
              <w:rPr>
                <w:sz w:val="20"/>
                <w:szCs w:val="20"/>
              </w:rPr>
              <w:t>(602)</w:t>
            </w:r>
          </w:p>
        </w:tc>
        <w:tc>
          <w:tcPr>
            <w:tcW w:w="2111" w:type="dxa"/>
          </w:tcPr>
          <w:p w14:paraId="24592102" w14:textId="77777777" w:rsidR="00A55D58" w:rsidRPr="00816F39" w:rsidRDefault="00A55D58">
            <w:pPr>
              <w:keepNext/>
              <w:keepLines/>
              <w:jc w:val="center"/>
              <w:rPr>
                <w:sz w:val="20"/>
                <w:szCs w:val="20"/>
              </w:rPr>
            </w:pPr>
            <w:r w:rsidRPr="00816F39">
              <w:rPr>
                <w:sz w:val="20"/>
                <w:szCs w:val="20"/>
              </w:rPr>
              <w:t>(853)</w:t>
            </w:r>
          </w:p>
        </w:tc>
        <w:tc>
          <w:tcPr>
            <w:tcW w:w="1137" w:type="dxa"/>
          </w:tcPr>
          <w:p w14:paraId="0A5409CB" w14:textId="77777777" w:rsidR="00A55D58" w:rsidRPr="00816F39" w:rsidRDefault="00A55D58">
            <w:pPr>
              <w:keepNext/>
              <w:keepLines/>
              <w:jc w:val="center"/>
              <w:rPr>
                <w:sz w:val="20"/>
                <w:szCs w:val="20"/>
              </w:rPr>
            </w:pPr>
            <w:r w:rsidRPr="00816F39">
              <w:rPr>
                <w:sz w:val="20"/>
                <w:szCs w:val="20"/>
              </w:rPr>
              <w:t>2025</w:t>
            </w:r>
          </w:p>
        </w:tc>
        <w:tc>
          <w:tcPr>
            <w:tcW w:w="1293" w:type="dxa"/>
          </w:tcPr>
          <w:p w14:paraId="55086FD6" w14:textId="77777777" w:rsidR="00A55D58" w:rsidRPr="00816F39" w:rsidRDefault="00A55D58">
            <w:pPr>
              <w:keepNext/>
              <w:keepLines/>
              <w:jc w:val="center"/>
              <w:rPr>
                <w:sz w:val="20"/>
                <w:szCs w:val="20"/>
              </w:rPr>
            </w:pPr>
            <w:r w:rsidRPr="00816F39">
              <w:rPr>
                <w:sz w:val="20"/>
                <w:szCs w:val="20"/>
              </w:rPr>
              <w:t>(898)</w:t>
            </w:r>
          </w:p>
        </w:tc>
        <w:tc>
          <w:tcPr>
            <w:tcW w:w="2155" w:type="dxa"/>
          </w:tcPr>
          <w:p w14:paraId="3FB73C55" w14:textId="77777777" w:rsidR="00A55D58" w:rsidRPr="00816F39" w:rsidRDefault="00A55D58">
            <w:pPr>
              <w:keepNext/>
              <w:keepLines/>
              <w:jc w:val="center"/>
              <w:rPr>
                <w:sz w:val="20"/>
                <w:szCs w:val="20"/>
              </w:rPr>
            </w:pPr>
            <w:r w:rsidRPr="00816F39">
              <w:rPr>
                <w:sz w:val="20"/>
                <w:szCs w:val="20"/>
              </w:rPr>
              <w:t>(3,867)</w:t>
            </w:r>
          </w:p>
        </w:tc>
      </w:tr>
      <w:tr w:rsidR="00A55D58" w:rsidRPr="00816F39" w14:paraId="5DFFCD82" w14:textId="77777777" w:rsidTr="00D9245A">
        <w:tc>
          <w:tcPr>
            <w:tcW w:w="1320" w:type="dxa"/>
          </w:tcPr>
          <w:p w14:paraId="53D34824" w14:textId="77777777" w:rsidR="00A55D58" w:rsidRPr="00816F39" w:rsidRDefault="00A55D58">
            <w:pPr>
              <w:keepNext/>
              <w:keepLines/>
              <w:jc w:val="center"/>
              <w:rPr>
                <w:sz w:val="20"/>
                <w:szCs w:val="20"/>
              </w:rPr>
            </w:pPr>
            <w:r w:rsidRPr="00816F39">
              <w:rPr>
                <w:sz w:val="20"/>
                <w:szCs w:val="20"/>
              </w:rPr>
              <w:t>2025/2026</w:t>
            </w:r>
          </w:p>
        </w:tc>
        <w:tc>
          <w:tcPr>
            <w:tcW w:w="1334" w:type="dxa"/>
          </w:tcPr>
          <w:p w14:paraId="6B837680" w14:textId="77777777" w:rsidR="00A55D58" w:rsidRPr="00816F39" w:rsidRDefault="00A55D58">
            <w:pPr>
              <w:keepNext/>
              <w:keepLines/>
              <w:jc w:val="center"/>
              <w:rPr>
                <w:sz w:val="20"/>
                <w:szCs w:val="20"/>
              </w:rPr>
            </w:pPr>
            <w:r w:rsidRPr="00816F39">
              <w:rPr>
                <w:sz w:val="20"/>
                <w:szCs w:val="20"/>
              </w:rPr>
              <w:t>(781)</w:t>
            </w:r>
          </w:p>
        </w:tc>
        <w:tc>
          <w:tcPr>
            <w:tcW w:w="2111" w:type="dxa"/>
          </w:tcPr>
          <w:p w14:paraId="2D65FC25" w14:textId="77777777" w:rsidR="00A55D58" w:rsidRPr="00816F39" w:rsidRDefault="00A55D58">
            <w:pPr>
              <w:keepNext/>
              <w:keepLines/>
              <w:jc w:val="center"/>
              <w:rPr>
                <w:sz w:val="20"/>
                <w:szCs w:val="20"/>
              </w:rPr>
            </w:pPr>
            <w:r w:rsidRPr="00816F39">
              <w:rPr>
                <w:sz w:val="20"/>
                <w:szCs w:val="20"/>
              </w:rPr>
              <w:t>(1,602)</w:t>
            </w:r>
          </w:p>
        </w:tc>
        <w:tc>
          <w:tcPr>
            <w:tcW w:w="1137" w:type="dxa"/>
          </w:tcPr>
          <w:p w14:paraId="3C86E3CB" w14:textId="77777777" w:rsidR="00A55D58" w:rsidRPr="00816F39" w:rsidRDefault="00A55D58">
            <w:pPr>
              <w:keepNext/>
              <w:keepLines/>
              <w:jc w:val="center"/>
              <w:rPr>
                <w:sz w:val="20"/>
                <w:szCs w:val="20"/>
              </w:rPr>
            </w:pPr>
            <w:r w:rsidRPr="00816F39">
              <w:rPr>
                <w:sz w:val="20"/>
                <w:szCs w:val="20"/>
              </w:rPr>
              <w:t>2026</w:t>
            </w:r>
          </w:p>
        </w:tc>
        <w:tc>
          <w:tcPr>
            <w:tcW w:w="1293" w:type="dxa"/>
          </w:tcPr>
          <w:p w14:paraId="1DDDC01C" w14:textId="77777777" w:rsidR="00A55D58" w:rsidRPr="00816F39" w:rsidRDefault="00A55D58">
            <w:pPr>
              <w:keepNext/>
              <w:keepLines/>
              <w:jc w:val="center"/>
              <w:rPr>
                <w:sz w:val="20"/>
                <w:szCs w:val="20"/>
              </w:rPr>
            </w:pPr>
            <w:r w:rsidRPr="00816F39">
              <w:rPr>
                <w:sz w:val="20"/>
                <w:szCs w:val="20"/>
              </w:rPr>
              <w:t>(708)</w:t>
            </w:r>
          </w:p>
        </w:tc>
        <w:tc>
          <w:tcPr>
            <w:tcW w:w="2155" w:type="dxa"/>
          </w:tcPr>
          <w:p w14:paraId="5F1FB216" w14:textId="77777777" w:rsidR="00A55D58" w:rsidRPr="00816F39" w:rsidRDefault="00A55D58">
            <w:pPr>
              <w:keepNext/>
              <w:keepLines/>
              <w:jc w:val="center"/>
              <w:rPr>
                <w:sz w:val="20"/>
                <w:szCs w:val="20"/>
              </w:rPr>
            </w:pPr>
            <w:r w:rsidRPr="00816F39">
              <w:rPr>
                <w:sz w:val="20"/>
                <w:szCs w:val="20"/>
              </w:rPr>
              <w:t>(4,311)</w:t>
            </w:r>
          </w:p>
        </w:tc>
      </w:tr>
      <w:tr w:rsidR="00A55D58" w:rsidRPr="00816F39" w14:paraId="71A90442" w14:textId="77777777" w:rsidTr="00D9245A">
        <w:tc>
          <w:tcPr>
            <w:tcW w:w="1320" w:type="dxa"/>
          </w:tcPr>
          <w:p w14:paraId="397BD410" w14:textId="77777777" w:rsidR="00A55D58" w:rsidRPr="00816F39" w:rsidRDefault="00A55D58">
            <w:pPr>
              <w:keepNext/>
              <w:keepLines/>
              <w:jc w:val="center"/>
              <w:rPr>
                <w:sz w:val="20"/>
                <w:szCs w:val="20"/>
              </w:rPr>
            </w:pPr>
            <w:r w:rsidRPr="00816F39">
              <w:rPr>
                <w:sz w:val="20"/>
                <w:szCs w:val="20"/>
              </w:rPr>
              <w:t>2026/2027</w:t>
            </w:r>
          </w:p>
        </w:tc>
        <w:tc>
          <w:tcPr>
            <w:tcW w:w="1334" w:type="dxa"/>
          </w:tcPr>
          <w:p w14:paraId="5E832980" w14:textId="77777777" w:rsidR="00A55D58" w:rsidRPr="00816F39" w:rsidRDefault="00A55D58">
            <w:pPr>
              <w:keepNext/>
              <w:keepLines/>
              <w:jc w:val="center"/>
              <w:rPr>
                <w:color w:val="FF0000"/>
                <w:sz w:val="20"/>
                <w:szCs w:val="20"/>
              </w:rPr>
            </w:pPr>
            <w:r w:rsidRPr="00816F39">
              <w:rPr>
                <w:sz w:val="20"/>
                <w:szCs w:val="20"/>
              </w:rPr>
              <w:t>(598)</w:t>
            </w:r>
          </w:p>
        </w:tc>
        <w:tc>
          <w:tcPr>
            <w:tcW w:w="2111" w:type="dxa"/>
          </w:tcPr>
          <w:p w14:paraId="68DBFC79" w14:textId="77777777" w:rsidR="00A55D58" w:rsidRPr="00816F39" w:rsidRDefault="00A55D58">
            <w:pPr>
              <w:keepNext/>
              <w:keepLines/>
              <w:jc w:val="center"/>
              <w:rPr>
                <w:sz w:val="20"/>
                <w:szCs w:val="20"/>
              </w:rPr>
            </w:pPr>
            <w:r w:rsidRPr="00816F39">
              <w:rPr>
                <w:sz w:val="20"/>
                <w:szCs w:val="20"/>
              </w:rPr>
              <w:t>(1,014)</w:t>
            </w:r>
          </w:p>
        </w:tc>
        <w:tc>
          <w:tcPr>
            <w:tcW w:w="1137" w:type="dxa"/>
          </w:tcPr>
          <w:p w14:paraId="5A719A27" w14:textId="77777777" w:rsidR="00A55D58" w:rsidRPr="00816F39" w:rsidRDefault="00A55D58">
            <w:pPr>
              <w:keepNext/>
              <w:keepLines/>
              <w:jc w:val="center"/>
              <w:rPr>
                <w:sz w:val="20"/>
                <w:szCs w:val="20"/>
              </w:rPr>
            </w:pPr>
            <w:r w:rsidRPr="00816F39">
              <w:rPr>
                <w:sz w:val="20"/>
                <w:szCs w:val="20"/>
              </w:rPr>
              <w:t>2027</w:t>
            </w:r>
          </w:p>
        </w:tc>
        <w:tc>
          <w:tcPr>
            <w:tcW w:w="1293" w:type="dxa"/>
          </w:tcPr>
          <w:p w14:paraId="5333AF18" w14:textId="77777777" w:rsidR="00A55D58" w:rsidRPr="00816F39" w:rsidRDefault="00A55D58">
            <w:pPr>
              <w:keepNext/>
              <w:keepLines/>
              <w:jc w:val="center"/>
              <w:rPr>
                <w:color w:val="FF0000"/>
                <w:sz w:val="20"/>
                <w:szCs w:val="20"/>
              </w:rPr>
            </w:pPr>
            <w:r w:rsidRPr="00816F39">
              <w:rPr>
                <w:color w:val="FF0000"/>
                <w:sz w:val="20"/>
                <w:szCs w:val="20"/>
              </w:rPr>
              <w:t>80</w:t>
            </w:r>
          </w:p>
        </w:tc>
        <w:tc>
          <w:tcPr>
            <w:tcW w:w="2155" w:type="dxa"/>
          </w:tcPr>
          <w:p w14:paraId="00D11F43" w14:textId="77777777" w:rsidR="00A55D58" w:rsidRPr="00816F39" w:rsidRDefault="00A55D58">
            <w:pPr>
              <w:keepNext/>
              <w:keepLines/>
              <w:jc w:val="center"/>
              <w:rPr>
                <w:sz w:val="20"/>
                <w:szCs w:val="20"/>
              </w:rPr>
            </w:pPr>
            <w:r w:rsidRPr="00816F39">
              <w:rPr>
                <w:sz w:val="20"/>
                <w:szCs w:val="20"/>
              </w:rPr>
              <w:t>(3,527)</w:t>
            </w:r>
          </w:p>
        </w:tc>
      </w:tr>
      <w:tr w:rsidR="00A55D58" w:rsidRPr="00816F39" w14:paraId="4683E6F9" w14:textId="77777777" w:rsidTr="00D9245A">
        <w:tc>
          <w:tcPr>
            <w:tcW w:w="1320" w:type="dxa"/>
          </w:tcPr>
          <w:p w14:paraId="7C155DA5" w14:textId="77777777" w:rsidR="00A55D58" w:rsidRPr="00816F39" w:rsidRDefault="00A55D58">
            <w:pPr>
              <w:keepNext/>
              <w:keepLines/>
              <w:jc w:val="center"/>
              <w:rPr>
                <w:sz w:val="20"/>
                <w:szCs w:val="20"/>
              </w:rPr>
            </w:pPr>
            <w:r w:rsidRPr="00816F39">
              <w:rPr>
                <w:sz w:val="20"/>
                <w:szCs w:val="20"/>
              </w:rPr>
              <w:t>2027/2028</w:t>
            </w:r>
          </w:p>
        </w:tc>
        <w:tc>
          <w:tcPr>
            <w:tcW w:w="1334" w:type="dxa"/>
          </w:tcPr>
          <w:p w14:paraId="5AB6907B" w14:textId="77777777" w:rsidR="00A55D58" w:rsidRPr="00816F39" w:rsidRDefault="00A55D58">
            <w:pPr>
              <w:keepNext/>
              <w:keepLines/>
              <w:jc w:val="center"/>
              <w:rPr>
                <w:color w:val="FF0000"/>
                <w:sz w:val="20"/>
                <w:szCs w:val="20"/>
              </w:rPr>
            </w:pPr>
            <w:r w:rsidRPr="00816F39">
              <w:rPr>
                <w:color w:val="FF0000"/>
                <w:sz w:val="20"/>
                <w:szCs w:val="20"/>
              </w:rPr>
              <w:t>1,467</w:t>
            </w:r>
          </w:p>
        </w:tc>
        <w:tc>
          <w:tcPr>
            <w:tcW w:w="2111" w:type="dxa"/>
          </w:tcPr>
          <w:p w14:paraId="28D19D2B" w14:textId="77777777" w:rsidR="00A55D58" w:rsidRPr="00816F39" w:rsidRDefault="00A55D58">
            <w:pPr>
              <w:keepNext/>
              <w:keepLines/>
              <w:jc w:val="center"/>
              <w:rPr>
                <w:color w:val="FF0000"/>
                <w:sz w:val="20"/>
                <w:szCs w:val="20"/>
              </w:rPr>
            </w:pPr>
            <w:r w:rsidRPr="00816F39">
              <w:rPr>
                <w:color w:val="FF0000"/>
                <w:sz w:val="20"/>
                <w:szCs w:val="20"/>
              </w:rPr>
              <w:t>1,295</w:t>
            </w:r>
          </w:p>
        </w:tc>
        <w:tc>
          <w:tcPr>
            <w:tcW w:w="1137" w:type="dxa"/>
          </w:tcPr>
          <w:p w14:paraId="0C875656" w14:textId="77777777" w:rsidR="00A55D58" w:rsidRPr="00816F39" w:rsidRDefault="00A55D58">
            <w:pPr>
              <w:keepNext/>
              <w:keepLines/>
              <w:jc w:val="center"/>
              <w:rPr>
                <w:sz w:val="20"/>
                <w:szCs w:val="20"/>
              </w:rPr>
            </w:pPr>
            <w:r w:rsidRPr="00816F39">
              <w:rPr>
                <w:sz w:val="20"/>
                <w:szCs w:val="20"/>
              </w:rPr>
              <w:t>2028</w:t>
            </w:r>
          </w:p>
        </w:tc>
        <w:tc>
          <w:tcPr>
            <w:tcW w:w="1293" w:type="dxa"/>
          </w:tcPr>
          <w:p w14:paraId="3F07E14E" w14:textId="77777777" w:rsidR="00A55D58" w:rsidRPr="00816F39" w:rsidRDefault="00A55D58">
            <w:pPr>
              <w:keepNext/>
              <w:keepLines/>
              <w:jc w:val="center"/>
              <w:rPr>
                <w:color w:val="FF0000"/>
                <w:sz w:val="20"/>
                <w:szCs w:val="20"/>
              </w:rPr>
            </w:pPr>
            <w:r w:rsidRPr="00816F39">
              <w:rPr>
                <w:color w:val="FF0000"/>
                <w:sz w:val="20"/>
                <w:szCs w:val="20"/>
              </w:rPr>
              <w:t>2,132</w:t>
            </w:r>
          </w:p>
        </w:tc>
        <w:tc>
          <w:tcPr>
            <w:tcW w:w="2155" w:type="dxa"/>
          </w:tcPr>
          <w:p w14:paraId="2C5B52CA" w14:textId="77777777" w:rsidR="00A55D58" w:rsidRPr="00816F39" w:rsidRDefault="00A55D58">
            <w:pPr>
              <w:keepNext/>
              <w:keepLines/>
              <w:jc w:val="center"/>
              <w:rPr>
                <w:sz w:val="20"/>
                <w:szCs w:val="20"/>
              </w:rPr>
            </w:pPr>
            <w:r w:rsidRPr="00816F39">
              <w:rPr>
                <w:sz w:val="20"/>
                <w:szCs w:val="20"/>
              </w:rPr>
              <w:t>(191)</w:t>
            </w:r>
          </w:p>
        </w:tc>
      </w:tr>
      <w:tr w:rsidR="00A55D58" w:rsidRPr="00816F39" w14:paraId="4964A263" w14:textId="77777777" w:rsidTr="00D9245A">
        <w:tc>
          <w:tcPr>
            <w:tcW w:w="1320" w:type="dxa"/>
          </w:tcPr>
          <w:p w14:paraId="4D40C542" w14:textId="77777777" w:rsidR="00A55D58" w:rsidRPr="00816F39" w:rsidRDefault="00A55D58">
            <w:pPr>
              <w:keepNext/>
              <w:keepLines/>
              <w:jc w:val="center"/>
              <w:rPr>
                <w:sz w:val="20"/>
                <w:szCs w:val="20"/>
              </w:rPr>
            </w:pPr>
            <w:r w:rsidRPr="00816F39">
              <w:rPr>
                <w:sz w:val="20"/>
                <w:szCs w:val="20"/>
              </w:rPr>
              <w:t>2028/2029</w:t>
            </w:r>
          </w:p>
        </w:tc>
        <w:tc>
          <w:tcPr>
            <w:tcW w:w="1334" w:type="dxa"/>
          </w:tcPr>
          <w:p w14:paraId="48DC56E8" w14:textId="77777777" w:rsidR="00A55D58" w:rsidRPr="00816F39" w:rsidRDefault="00A55D58">
            <w:pPr>
              <w:keepNext/>
              <w:keepLines/>
              <w:jc w:val="center"/>
              <w:rPr>
                <w:color w:val="FF0000"/>
                <w:sz w:val="20"/>
                <w:szCs w:val="20"/>
              </w:rPr>
            </w:pPr>
            <w:r w:rsidRPr="00816F39">
              <w:rPr>
                <w:color w:val="FF0000"/>
                <w:sz w:val="20"/>
                <w:szCs w:val="20"/>
              </w:rPr>
              <w:t>4,086</w:t>
            </w:r>
          </w:p>
        </w:tc>
        <w:tc>
          <w:tcPr>
            <w:tcW w:w="2111" w:type="dxa"/>
          </w:tcPr>
          <w:p w14:paraId="47FEEBA1" w14:textId="77777777" w:rsidR="00A55D58" w:rsidRPr="00816F39" w:rsidRDefault="00A55D58">
            <w:pPr>
              <w:keepNext/>
              <w:keepLines/>
              <w:jc w:val="center"/>
              <w:rPr>
                <w:color w:val="FF0000"/>
                <w:sz w:val="20"/>
                <w:szCs w:val="20"/>
              </w:rPr>
            </w:pPr>
            <w:r w:rsidRPr="00816F39">
              <w:rPr>
                <w:color w:val="FF0000"/>
                <w:sz w:val="20"/>
                <w:szCs w:val="20"/>
              </w:rPr>
              <w:t>5,329</w:t>
            </w:r>
          </w:p>
        </w:tc>
        <w:tc>
          <w:tcPr>
            <w:tcW w:w="1137" w:type="dxa"/>
          </w:tcPr>
          <w:p w14:paraId="19A2682A" w14:textId="77777777" w:rsidR="00A55D58" w:rsidRPr="00816F39" w:rsidRDefault="00A55D58">
            <w:pPr>
              <w:keepNext/>
              <w:keepLines/>
              <w:jc w:val="center"/>
              <w:rPr>
                <w:color w:val="FF0000"/>
                <w:sz w:val="20"/>
                <w:szCs w:val="20"/>
              </w:rPr>
            </w:pPr>
            <w:r w:rsidRPr="00816F39">
              <w:rPr>
                <w:sz w:val="20"/>
                <w:szCs w:val="20"/>
              </w:rPr>
              <w:t>2029</w:t>
            </w:r>
          </w:p>
        </w:tc>
        <w:tc>
          <w:tcPr>
            <w:tcW w:w="1293" w:type="dxa"/>
          </w:tcPr>
          <w:p w14:paraId="0682E396" w14:textId="77777777" w:rsidR="00A55D58" w:rsidRPr="00816F39" w:rsidRDefault="00A55D58">
            <w:pPr>
              <w:keepNext/>
              <w:keepLines/>
              <w:jc w:val="center"/>
              <w:rPr>
                <w:color w:val="FF0000"/>
                <w:sz w:val="20"/>
                <w:szCs w:val="20"/>
              </w:rPr>
            </w:pPr>
            <w:r w:rsidRPr="00816F39">
              <w:rPr>
                <w:color w:val="FF0000"/>
                <w:sz w:val="20"/>
                <w:szCs w:val="20"/>
              </w:rPr>
              <w:t>4,846</w:t>
            </w:r>
          </w:p>
        </w:tc>
        <w:tc>
          <w:tcPr>
            <w:tcW w:w="2155" w:type="dxa"/>
          </w:tcPr>
          <w:p w14:paraId="66619A2D" w14:textId="77777777" w:rsidR="00A55D58" w:rsidRPr="00816F39" w:rsidRDefault="00A55D58">
            <w:pPr>
              <w:keepNext/>
              <w:keepLines/>
              <w:jc w:val="center"/>
              <w:rPr>
                <w:color w:val="FF0000"/>
                <w:sz w:val="20"/>
                <w:szCs w:val="20"/>
              </w:rPr>
            </w:pPr>
            <w:r w:rsidRPr="00816F39">
              <w:rPr>
                <w:color w:val="FF0000"/>
                <w:sz w:val="20"/>
                <w:szCs w:val="20"/>
              </w:rPr>
              <w:t>3,041</w:t>
            </w:r>
          </w:p>
        </w:tc>
      </w:tr>
      <w:tr w:rsidR="00A55D58" w:rsidRPr="00816F39" w14:paraId="629B8181" w14:textId="77777777" w:rsidTr="00D9245A">
        <w:tc>
          <w:tcPr>
            <w:tcW w:w="1320" w:type="dxa"/>
          </w:tcPr>
          <w:p w14:paraId="34B69B57" w14:textId="77777777" w:rsidR="00A55D58" w:rsidRPr="00816F39" w:rsidRDefault="00A55D58">
            <w:pPr>
              <w:keepNext/>
              <w:keepLines/>
              <w:jc w:val="center"/>
              <w:rPr>
                <w:sz w:val="20"/>
                <w:szCs w:val="20"/>
              </w:rPr>
            </w:pPr>
            <w:r w:rsidRPr="00816F39">
              <w:rPr>
                <w:sz w:val="20"/>
                <w:szCs w:val="20"/>
              </w:rPr>
              <w:t>2029/2030</w:t>
            </w:r>
          </w:p>
        </w:tc>
        <w:tc>
          <w:tcPr>
            <w:tcW w:w="1334" w:type="dxa"/>
          </w:tcPr>
          <w:p w14:paraId="5C72173E" w14:textId="77777777" w:rsidR="00A55D58" w:rsidRPr="00816F39" w:rsidRDefault="00A55D58">
            <w:pPr>
              <w:keepNext/>
              <w:keepLines/>
              <w:jc w:val="center"/>
              <w:rPr>
                <w:color w:val="FF0000"/>
                <w:sz w:val="20"/>
                <w:szCs w:val="20"/>
              </w:rPr>
            </w:pPr>
            <w:r w:rsidRPr="00816F39">
              <w:rPr>
                <w:color w:val="FF0000"/>
                <w:sz w:val="20"/>
                <w:szCs w:val="20"/>
              </w:rPr>
              <w:t>5,783</w:t>
            </w:r>
          </w:p>
        </w:tc>
        <w:tc>
          <w:tcPr>
            <w:tcW w:w="2111" w:type="dxa"/>
          </w:tcPr>
          <w:p w14:paraId="1FF2A009" w14:textId="77777777" w:rsidR="00A55D58" w:rsidRPr="00816F39" w:rsidRDefault="00A55D58">
            <w:pPr>
              <w:keepNext/>
              <w:keepLines/>
              <w:jc w:val="center"/>
              <w:rPr>
                <w:color w:val="FF0000"/>
                <w:sz w:val="20"/>
                <w:szCs w:val="20"/>
              </w:rPr>
            </w:pPr>
            <w:r w:rsidRPr="00816F39">
              <w:rPr>
                <w:color w:val="FF0000"/>
                <w:sz w:val="20"/>
                <w:szCs w:val="20"/>
              </w:rPr>
              <w:t>7,156</w:t>
            </w:r>
          </w:p>
        </w:tc>
        <w:tc>
          <w:tcPr>
            <w:tcW w:w="1137" w:type="dxa"/>
          </w:tcPr>
          <w:p w14:paraId="39F22C12" w14:textId="77777777" w:rsidR="00A55D58" w:rsidRPr="00816F39" w:rsidRDefault="00A55D58">
            <w:pPr>
              <w:keepNext/>
              <w:keepLines/>
              <w:jc w:val="center"/>
              <w:rPr>
                <w:color w:val="FF0000"/>
                <w:sz w:val="20"/>
                <w:szCs w:val="20"/>
              </w:rPr>
            </w:pPr>
            <w:r w:rsidRPr="00816F39">
              <w:rPr>
                <w:sz w:val="20"/>
                <w:szCs w:val="20"/>
              </w:rPr>
              <w:t>2030</w:t>
            </w:r>
          </w:p>
        </w:tc>
        <w:tc>
          <w:tcPr>
            <w:tcW w:w="1293" w:type="dxa"/>
          </w:tcPr>
          <w:p w14:paraId="1A918E3A" w14:textId="77777777" w:rsidR="00A55D58" w:rsidRPr="00816F39" w:rsidRDefault="00A55D58">
            <w:pPr>
              <w:keepNext/>
              <w:keepLines/>
              <w:jc w:val="center"/>
              <w:rPr>
                <w:color w:val="FF0000"/>
                <w:sz w:val="20"/>
                <w:szCs w:val="20"/>
              </w:rPr>
            </w:pPr>
            <w:r w:rsidRPr="00816F39">
              <w:rPr>
                <w:color w:val="FF0000"/>
                <w:sz w:val="20"/>
                <w:szCs w:val="20"/>
              </w:rPr>
              <w:t>7,568</w:t>
            </w:r>
          </w:p>
        </w:tc>
        <w:tc>
          <w:tcPr>
            <w:tcW w:w="2155" w:type="dxa"/>
          </w:tcPr>
          <w:p w14:paraId="5D09F8D2" w14:textId="77777777" w:rsidR="00A55D58" w:rsidRPr="00816F39" w:rsidRDefault="00A55D58">
            <w:pPr>
              <w:keepNext/>
              <w:keepLines/>
              <w:jc w:val="center"/>
              <w:rPr>
                <w:color w:val="FF0000"/>
                <w:sz w:val="20"/>
                <w:szCs w:val="20"/>
              </w:rPr>
            </w:pPr>
            <w:r w:rsidRPr="00816F39">
              <w:rPr>
                <w:color w:val="FF0000"/>
                <w:sz w:val="20"/>
                <w:szCs w:val="20"/>
              </w:rPr>
              <w:t>5,801</w:t>
            </w:r>
          </w:p>
        </w:tc>
      </w:tr>
      <w:tr w:rsidR="00A55D58" w:rsidRPr="00816F39" w14:paraId="2F8EFF5F" w14:textId="77777777" w:rsidTr="00D9245A">
        <w:tc>
          <w:tcPr>
            <w:tcW w:w="1320" w:type="dxa"/>
          </w:tcPr>
          <w:p w14:paraId="02C41D51" w14:textId="77777777" w:rsidR="00A55D58" w:rsidRPr="00816F39" w:rsidRDefault="00A55D58">
            <w:pPr>
              <w:keepNext/>
              <w:keepLines/>
              <w:jc w:val="center"/>
              <w:rPr>
                <w:sz w:val="20"/>
                <w:szCs w:val="20"/>
              </w:rPr>
            </w:pPr>
            <w:r w:rsidRPr="00816F39">
              <w:rPr>
                <w:sz w:val="20"/>
                <w:szCs w:val="20"/>
              </w:rPr>
              <w:t>2030/2031</w:t>
            </w:r>
          </w:p>
        </w:tc>
        <w:tc>
          <w:tcPr>
            <w:tcW w:w="1334" w:type="dxa"/>
          </w:tcPr>
          <w:p w14:paraId="38A54BAC" w14:textId="77777777" w:rsidR="00A55D58" w:rsidRPr="00816F39" w:rsidRDefault="00A55D58">
            <w:pPr>
              <w:keepNext/>
              <w:keepLines/>
              <w:jc w:val="center"/>
              <w:rPr>
                <w:color w:val="FF0000"/>
                <w:sz w:val="20"/>
                <w:szCs w:val="20"/>
              </w:rPr>
            </w:pPr>
            <w:r w:rsidRPr="00816F39">
              <w:rPr>
                <w:color w:val="FF0000"/>
                <w:sz w:val="20"/>
                <w:szCs w:val="20"/>
              </w:rPr>
              <w:t>8,948</w:t>
            </w:r>
          </w:p>
        </w:tc>
        <w:tc>
          <w:tcPr>
            <w:tcW w:w="2111" w:type="dxa"/>
          </w:tcPr>
          <w:p w14:paraId="3854D583" w14:textId="77777777" w:rsidR="00A55D58" w:rsidRPr="00816F39" w:rsidRDefault="00A55D58">
            <w:pPr>
              <w:keepNext/>
              <w:keepLines/>
              <w:jc w:val="center"/>
              <w:rPr>
                <w:color w:val="FF0000"/>
                <w:sz w:val="20"/>
                <w:szCs w:val="20"/>
              </w:rPr>
            </w:pPr>
            <w:r w:rsidRPr="00816F39">
              <w:rPr>
                <w:color w:val="FF0000"/>
                <w:sz w:val="20"/>
                <w:szCs w:val="20"/>
              </w:rPr>
              <w:t>10,508</w:t>
            </w:r>
          </w:p>
        </w:tc>
        <w:tc>
          <w:tcPr>
            <w:tcW w:w="1137" w:type="dxa"/>
          </w:tcPr>
          <w:p w14:paraId="298FCCC5" w14:textId="77777777" w:rsidR="00A55D58" w:rsidRPr="00816F39" w:rsidRDefault="00A55D58">
            <w:pPr>
              <w:keepNext/>
              <w:keepLines/>
              <w:jc w:val="center"/>
              <w:rPr>
                <w:color w:val="FF0000"/>
                <w:sz w:val="20"/>
                <w:szCs w:val="20"/>
              </w:rPr>
            </w:pPr>
            <w:r w:rsidRPr="00816F39">
              <w:rPr>
                <w:sz w:val="20"/>
                <w:szCs w:val="20"/>
              </w:rPr>
              <w:t>2031</w:t>
            </w:r>
          </w:p>
        </w:tc>
        <w:tc>
          <w:tcPr>
            <w:tcW w:w="1293" w:type="dxa"/>
          </w:tcPr>
          <w:p w14:paraId="0CAF74AA" w14:textId="77777777" w:rsidR="00A55D58" w:rsidRPr="00816F39" w:rsidRDefault="00A55D58">
            <w:pPr>
              <w:keepNext/>
              <w:keepLines/>
              <w:jc w:val="center"/>
              <w:rPr>
                <w:color w:val="FF0000"/>
                <w:sz w:val="20"/>
                <w:szCs w:val="20"/>
              </w:rPr>
            </w:pPr>
            <w:r w:rsidRPr="00816F39">
              <w:rPr>
                <w:color w:val="FF0000"/>
                <w:sz w:val="20"/>
                <w:szCs w:val="20"/>
              </w:rPr>
              <w:t>8,277</w:t>
            </w:r>
          </w:p>
        </w:tc>
        <w:tc>
          <w:tcPr>
            <w:tcW w:w="2155" w:type="dxa"/>
          </w:tcPr>
          <w:p w14:paraId="421B6218" w14:textId="77777777" w:rsidR="00A55D58" w:rsidRPr="00816F39" w:rsidRDefault="00A55D58">
            <w:pPr>
              <w:keepNext/>
              <w:keepLines/>
              <w:jc w:val="center"/>
              <w:rPr>
                <w:color w:val="FF0000"/>
                <w:sz w:val="20"/>
                <w:szCs w:val="20"/>
              </w:rPr>
            </w:pPr>
            <w:r w:rsidRPr="00816F39">
              <w:rPr>
                <w:color w:val="FF0000"/>
                <w:sz w:val="20"/>
                <w:szCs w:val="20"/>
              </w:rPr>
              <w:t>6,641</w:t>
            </w:r>
          </w:p>
        </w:tc>
      </w:tr>
      <w:tr w:rsidR="00A55D58" w:rsidRPr="00816F39" w14:paraId="794573AB" w14:textId="77777777" w:rsidTr="00D9245A">
        <w:tc>
          <w:tcPr>
            <w:tcW w:w="1320" w:type="dxa"/>
          </w:tcPr>
          <w:p w14:paraId="1BE7B263" w14:textId="77777777" w:rsidR="00A55D58" w:rsidRPr="00816F39" w:rsidRDefault="00A55D58">
            <w:pPr>
              <w:keepNext/>
              <w:keepLines/>
              <w:jc w:val="center"/>
              <w:rPr>
                <w:sz w:val="20"/>
                <w:szCs w:val="20"/>
              </w:rPr>
            </w:pPr>
            <w:r w:rsidRPr="00816F39">
              <w:rPr>
                <w:sz w:val="20"/>
                <w:szCs w:val="20"/>
              </w:rPr>
              <w:t>2031/2032</w:t>
            </w:r>
          </w:p>
        </w:tc>
        <w:tc>
          <w:tcPr>
            <w:tcW w:w="1334" w:type="dxa"/>
          </w:tcPr>
          <w:p w14:paraId="22B32F66" w14:textId="77777777" w:rsidR="00A55D58" w:rsidRPr="00816F39" w:rsidRDefault="00A55D58">
            <w:pPr>
              <w:keepNext/>
              <w:keepLines/>
              <w:jc w:val="center"/>
              <w:rPr>
                <w:color w:val="FF0000"/>
                <w:sz w:val="20"/>
                <w:szCs w:val="20"/>
              </w:rPr>
            </w:pPr>
            <w:r w:rsidRPr="00816F39">
              <w:rPr>
                <w:color w:val="FF0000"/>
                <w:sz w:val="20"/>
                <w:szCs w:val="20"/>
              </w:rPr>
              <w:t>9,511</w:t>
            </w:r>
          </w:p>
        </w:tc>
        <w:tc>
          <w:tcPr>
            <w:tcW w:w="2111" w:type="dxa"/>
          </w:tcPr>
          <w:p w14:paraId="4F2E0EB5" w14:textId="77777777" w:rsidR="00A55D58" w:rsidRPr="00816F39" w:rsidRDefault="00A55D58">
            <w:pPr>
              <w:keepNext/>
              <w:keepLines/>
              <w:jc w:val="center"/>
              <w:rPr>
                <w:color w:val="FF0000"/>
                <w:sz w:val="20"/>
                <w:szCs w:val="20"/>
              </w:rPr>
            </w:pPr>
            <w:r w:rsidRPr="00816F39">
              <w:rPr>
                <w:color w:val="FF0000"/>
                <w:sz w:val="20"/>
                <w:szCs w:val="20"/>
              </w:rPr>
              <w:t>11,116</w:t>
            </w:r>
          </w:p>
        </w:tc>
        <w:tc>
          <w:tcPr>
            <w:tcW w:w="1137" w:type="dxa"/>
          </w:tcPr>
          <w:p w14:paraId="34F70780" w14:textId="77777777" w:rsidR="00A55D58" w:rsidRPr="00816F39" w:rsidRDefault="00A55D58">
            <w:pPr>
              <w:keepNext/>
              <w:keepLines/>
              <w:jc w:val="center"/>
              <w:rPr>
                <w:color w:val="FF0000"/>
                <w:sz w:val="20"/>
                <w:szCs w:val="20"/>
              </w:rPr>
            </w:pPr>
            <w:r w:rsidRPr="00816F39">
              <w:rPr>
                <w:sz w:val="20"/>
                <w:szCs w:val="20"/>
              </w:rPr>
              <w:t>2032</w:t>
            </w:r>
          </w:p>
        </w:tc>
        <w:tc>
          <w:tcPr>
            <w:tcW w:w="1293" w:type="dxa"/>
          </w:tcPr>
          <w:p w14:paraId="03E799DD" w14:textId="77777777" w:rsidR="00A55D58" w:rsidRPr="00816F39" w:rsidRDefault="00A55D58">
            <w:pPr>
              <w:keepNext/>
              <w:keepLines/>
              <w:jc w:val="center"/>
              <w:rPr>
                <w:color w:val="FF0000"/>
                <w:sz w:val="20"/>
                <w:szCs w:val="20"/>
              </w:rPr>
            </w:pPr>
            <w:r w:rsidRPr="00816F39">
              <w:rPr>
                <w:color w:val="FF0000"/>
                <w:sz w:val="20"/>
                <w:szCs w:val="20"/>
              </w:rPr>
              <w:t>8,680</w:t>
            </w:r>
          </w:p>
        </w:tc>
        <w:tc>
          <w:tcPr>
            <w:tcW w:w="2155" w:type="dxa"/>
          </w:tcPr>
          <w:p w14:paraId="67065706" w14:textId="77777777" w:rsidR="00A55D58" w:rsidRPr="00816F39" w:rsidRDefault="00A55D58">
            <w:pPr>
              <w:keepNext/>
              <w:keepLines/>
              <w:jc w:val="center"/>
              <w:rPr>
                <w:color w:val="FF0000"/>
                <w:sz w:val="20"/>
                <w:szCs w:val="20"/>
              </w:rPr>
            </w:pPr>
            <w:r w:rsidRPr="00816F39">
              <w:rPr>
                <w:color w:val="FF0000"/>
                <w:sz w:val="20"/>
                <w:szCs w:val="20"/>
              </w:rPr>
              <w:t>7,043</w:t>
            </w:r>
          </w:p>
        </w:tc>
      </w:tr>
      <w:tr w:rsidR="00A55D58" w:rsidRPr="00816F39" w14:paraId="4CAFD5FF" w14:textId="77777777" w:rsidTr="00D9245A">
        <w:tc>
          <w:tcPr>
            <w:tcW w:w="1320" w:type="dxa"/>
          </w:tcPr>
          <w:p w14:paraId="787355F0" w14:textId="77777777" w:rsidR="00A55D58" w:rsidRPr="00816F39" w:rsidRDefault="00A55D58">
            <w:pPr>
              <w:keepNext/>
              <w:keepLines/>
              <w:jc w:val="center"/>
              <w:rPr>
                <w:sz w:val="20"/>
                <w:szCs w:val="20"/>
              </w:rPr>
            </w:pPr>
            <w:r w:rsidRPr="00816F39">
              <w:rPr>
                <w:sz w:val="20"/>
                <w:szCs w:val="20"/>
              </w:rPr>
              <w:t>2032/2033</w:t>
            </w:r>
          </w:p>
        </w:tc>
        <w:tc>
          <w:tcPr>
            <w:tcW w:w="1334" w:type="dxa"/>
          </w:tcPr>
          <w:p w14:paraId="7BB4CAE6" w14:textId="77777777" w:rsidR="00A55D58" w:rsidRPr="00816F39" w:rsidRDefault="00A55D58">
            <w:pPr>
              <w:keepNext/>
              <w:keepLines/>
              <w:jc w:val="center"/>
              <w:rPr>
                <w:color w:val="FF0000"/>
                <w:sz w:val="20"/>
                <w:szCs w:val="20"/>
              </w:rPr>
            </w:pPr>
            <w:r w:rsidRPr="00816F39">
              <w:rPr>
                <w:color w:val="FF0000"/>
                <w:sz w:val="20"/>
                <w:szCs w:val="20"/>
              </w:rPr>
              <w:t>9,954</w:t>
            </w:r>
          </w:p>
        </w:tc>
        <w:tc>
          <w:tcPr>
            <w:tcW w:w="2111" w:type="dxa"/>
          </w:tcPr>
          <w:p w14:paraId="61D8DD5A" w14:textId="77777777" w:rsidR="00A55D58" w:rsidRPr="00816F39" w:rsidRDefault="00A55D58">
            <w:pPr>
              <w:keepNext/>
              <w:keepLines/>
              <w:jc w:val="center"/>
              <w:rPr>
                <w:color w:val="FF0000"/>
                <w:sz w:val="20"/>
                <w:szCs w:val="20"/>
              </w:rPr>
            </w:pPr>
            <w:r w:rsidRPr="00816F39">
              <w:rPr>
                <w:color w:val="FF0000"/>
                <w:sz w:val="20"/>
                <w:szCs w:val="20"/>
              </w:rPr>
              <w:t>11,702</w:t>
            </w:r>
          </w:p>
        </w:tc>
        <w:tc>
          <w:tcPr>
            <w:tcW w:w="1137" w:type="dxa"/>
          </w:tcPr>
          <w:p w14:paraId="57B0B304" w14:textId="77777777" w:rsidR="00A55D58" w:rsidRPr="00816F39" w:rsidRDefault="00A55D58">
            <w:pPr>
              <w:keepNext/>
              <w:keepLines/>
              <w:jc w:val="center"/>
              <w:rPr>
                <w:color w:val="FF0000"/>
                <w:sz w:val="20"/>
                <w:szCs w:val="20"/>
              </w:rPr>
            </w:pPr>
            <w:r w:rsidRPr="00816F39">
              <w:rPr>
                <w:sz w:val="20"/>
                <w:szCs w:val="20"/>
              </w:rPr>
              <w:t>2033</w:t>
            </w:r>
          </w:p>
        </w:tc>
        <w:tc>
          <w:tcPr>
            <w:tcW w:w="1293" w:type="dxa"/>
          </w:tcPr>
          <w:p w14:paraId="30D07AD1" w14:textId="77777777" w:rsidR="00A55D58" w:rsidRPr="00816F39" w:rsidRDefault="00A55D58">
            <w:pPr>
              <w:keepNext/>
              <w:keepLines/>
              <w:jc w:val="center"/>
              <w:rPr>
                <w:color w:val="FF0000"/>
                <w:sz w:val="20"/>
                <w:szCs w:val="20"/>
              </w:rPr>
            </w:pPr>
            <w:r w:rsidRPr="00816F39">
              <w:rPr>
                <w:color w:val="FF0000"/>
                <w:sz w:val="20"/>
                <w:szCs w:val="20"/>
              </w:rPr>
              <w:t>9,176</w:t>
            </w:r>
          </w:p>
        </w:tc>
        <w:tc>
          <w:tcPr>
            <w:tcW w:w="2155" w:type="dxa"/>
          </w:tcPr>
          <w:p w14:paraId="49048003" w14:textId="77777777" w:rsidR="00A55D58" w:rsidRPr="00816F39" w:rsidRDefault="00A55D58">
            <w:pPr>
              <w:keepNext/>
              <w:keepLines/>
              <w:jc w:val="center"/>
              <w:rPr>
                <w:color w:val="FF0000"/>
                <w:sz w:val="20"/>
                <w:szCs w:val="20"/>
              </w:rPr>
            </w:pPr>
            <w:r w:rsidRPr="00816F39">
              <w:rPr>
                <w:color w:val="FF0000"/>
                <w:sz w:val="20"/>
                <w:szCs w:val="20"/>
              </w:rPr>
              <w:t>7,647</w:t>
            </w:r>
          </w:p>
        </w:tc>
      </w:tr>
      <w:tr w:rsidR="00A55D58" w:rsidRPr="00816F39" w14:paraId="5C1773E5" w14:textId="77777777" w:rsidTr="00D9245A">
        <w:tc>
          <w:tcPr>
            <w:tcW w:w="1320" w:type="dxa"/>
          </w:tcPr>
          <w:p w14:paraId="10B1687D" w14:textId="77777777" w:rsidR="00A55D58" w:rsidRPr="00816F39" w:rsidRDefault="00A55D58">
            <w:pPr>
              <w:keepNext/>
              <w:keepLines/>
              <w:jc w:val="center"/>
              <w:rPr>
                <w:sz w:val="20"/>
                <w:szCs w:val="20"/>
              </w:rPr>
            </w:pPr>
            <w:r w:rsidRPr="00816F39">
              <w:rPr>
                <w:sz w:val="20"/>
                <w:szCs w:val="20"/>
              </w:rPr>
              <w:t>2033/2034</w:t>
            </w:r>
          </w:p>
        </w:tc>
        <w:tc>
          <w:tcPr>
            <w:tcW w:w="1334" w:type="dxa"/>
          </w:tcPr>
          <w:p w14:paraId="01023684" w14:textId="77777777" w:rsidR="00A55D58" w:rsidRPr="00816F39" w:rsidRDefault="00A55D58">
            <w:pPr>
              <w:keepNext/>
              <w:keepLines/>
              <w:jc w:val="center"/>
              <w:rPr>
                <w:color w:val="FF0000"/>
                <w:sz w:val="20"/>
                <w:szCs w:val="20"/>
              </w:rPr>
            </w:pPr>
            <w:r w:rsidRPr="00816F39">
              <w:rPr>
                <w:color w:val="FF0000"/>
                <w:sz w:val="20"/>
                <w:szCs w:val="20"/>
              </w:rPr>
              <w:t>10,252</w:t>
            </w:r>
          </w:p>
        </w:tc>
        <w:tc>
          <w:tcPr>
            <w:tcW w:w="2111" w:type="dxa"/>
          </w:tcPr>
          <w:p w14:paraId="4CF214C8" w14:textId="77777777" w:rsidR="00A55D58" w:rsidRPr="00816F39" w:rsidRDefault="00A55D58">
            <w:pPr>
              <w:keepNext/>
              <w:keepLines/>
              <w:jc w:val="center"/>
              <w:rPr>
                <w:color w:val="FF0000"/>
                <w:sz w:val="20"/>
                <w:szCs w:val="20"/>
              </w:rPr>
            </w:pPr>
            <w:r w:rsidRPr="00816F39">
              <w:rPr>
                <w:color w:val="FF0000"/>
                <w:sz w:val="20"/>
                <w:szCs w:val="20"/>
              </w:rPr>
              <w:t>12,158</w:t>
            </w:r>
          </w:p>
        </w:tc>
        <w:tc>
          <w:tcPr>
            <w:tcW w:w="1137" w:type="dxa"/>
          </w:tcPr>
          <w:p w14:paraId="7E142AA6" w14:textId="77777777" w:rsidR="00A55D58" w:rsidRPr="00816F39" w:rsidRDefault="00A55D58">
            <w:pPr>
              <w:keepNext/>
              <w:keepLines/>
              <w:jc w:val="center"/>
              <w:rPr>
                <w:color w:val="FF0000"/>
                <w:sz w:val="20"/>
                <w:szCs w:val="20"/>
              </w:rPr>
            </w:pPr>
            <w:r w:rsidRPr="00816F39">
              <w:rPr>
                <w:sz w:val="20"/>
                <w:szCs w:val="20"/>
              </w:rPr>
              <w:t>2034</w:t>
            </w:r>
          </w:p>
        </w:tc>
        <w:tc>
          <w:tcPr>
            <w:tcW w:w="1293" w:type="dxa"/>
          </w:tcPr>
          <w:p w14:paraId="66B5207B" w14:textId="77777777" w:rsidR="00A55D58" w:rsidRPr="00816F39" w:rsidRDefault="00A55D58">
            <w:pPr>
              <w:keepNext/>
              <w:keepLines/>
              <w:jc w:val="center"/>
              <w:rPr>
                <w:color w:val="FF0000"/>
                <w:sz w:val="20"/>
                <w:szCs w:val="20"/>
              </w:rPr>
            </w:pPr>
            <w:r w:rsidRPr="00816F39">
              <w:rPr>
                <w:color w:val="FF0000"/>
                <w:sz w:val="20"/>
                <w:szCs w:val="20"/>
              </w:rPr>
              <w:t>9,522</w:t>
            </w:r>
          </w:p>
        </w:tc>
        <w:tc>
          <w:tcPr>
            <w:tcW w:w="2155" w:type="dxa"/>
          </w:tcPr>
          <w:p w14:paraId="4DAC0A64" w14:textId="77777777" w:rsidR="00A55D58" w:rsidRPr="00816F39" w:rsidRDefault="00A55D58">
            <w:pPr>
              <w:keepNext/>
              <w:keepLines/>
              <w:jc w:val="center"/>
              <w:rPr>
                <w:color w:val="FF0000"/>
                <w:sz w:val="20"/>
                <w:szCs w:val="20"/>
              </w:rPr>
            </w:pPr>
            <w:r w:rsidRPr="00816F39">
              <w:rPr>
                <w:color w:val="FF0000"/>
                <w:sz w:val="20"/>
                <w:szCs w:val="20"/>
              </w:rPr>
              <w:t>8,118</w:t>
            </w:r>
          </w:p>
        </w:tc>
      </w:tr>
      <w:tr w:rsidR="00A55D58" w:rsidRPr="00816F39" w14:paraId="67F4CD50" w14:textId="77777777" w:rsidTr="00D9245A">
        <w:tc>
          <w:tcPr>
            <w:tcW w:w="1320" w:type="dxa"/>
          </w:tcPr>
          <w:p w14:paraId="0AC602AB" w14:textId="77777777" w:rsidR="00A55D58" w:rsidRPr="00816F39" w:rsidRDefault="00A55D58">
            <w:pPr>
              <w:keepNext/>
              <w:keepLines/>
              <w:jc w:val="center"/>
              <w:rPr>
                <w:sz w:val="20"/>
                <w:szCs w:val="20"/>
              </w:rPr>
            </w:pPr>
            <w:r w:rsidRPr="00816F39">
              <w:rPr>
                <w:sz w:val="20"/>
                <w:szCs w:val="20"/>
              </w:rPr>
              <w:t>2034/2035</w:t>
            </w:r>
          </w:p>
        </w:tc>
        <w:tc>
          <w:tcPr>
            <w:tcW w:w="1334" w:type="dxa"/>
          </w:tcPr>
          <w:p w14:paraId="696111DE" w14:textId="77777777" w:rsidR="00A55D58" w:rsidRPr="00816F39" w:rsidRDefault="00A55D58">
            <w:pPr>
              <w:keepNext/>
              <w:keepLines/>
              <w:jc w:val="center"/>
              <w:rPr>
                <w:color w:val="FF0000"/>
                <w:sz w:val="20"/>
                <w:szCs w:val="20"/>
              </w:rPr>
            </w:pPr>
            <w:r w:rsidRPr="00816F39">
              <w:rPr>
                <w:color w:val="FF0000"/>
                <w:sz w:val="20"/>
                <w:szCs w:val="20"/>
              </w:rPr>
              <w:t>12,290</w:t>
            </w:r>
          </w:p>
        </w:tc>
        <w:tc>
          <w:tcPr>
            <w:tcW w:w="2111" w:type="dxa"/>
          </w:tcPr>
          <w:p w14:paraId="4BF750E2" w14:textId="77777777" w:rsidR="00A55D58" w:rsidRPr="00816F39" w:rsidRDefault="00A55D58">
            <w:pPr>
              <w:keepNext/>
              <w:keepLines/>
              <w:jc w:val="center"/>
              <w:rPr>
                <w:color w:val="FF0000"/>
                <w:sz w:val="20"/>
                <w:szCs w:val="20"/>
              </w:rPr>
            </w:pPr>
            <w:r w:rsidRPr="00816F39">
              <w:rPr>
                <w:color w:val="FF0000"/>
                <w:sz w:val="20"/>
                <w:szCs w:val="20"/>
              </w:rPr>
              <w:t>14,688</w:t>
            </w:r>
          </w:p>
        </w:tc>
        <w:tc>
          <w:tcPr>
            <w:tcW w:w="1137" w:type="dxa"/>
          </w:tcPr>
          <w:p w14:paraId="69E6C2C5" w14:textId="77777777" w:rsidR="00A55D58" w:rsidRPr="00816F39" w:rsidRDefault="00A55D58">
            <w:pPr>
              <w:keepNext/>
              <w:keepLines/>
              <w:jc w:val="center"/>
              <w:rPr>
                <w:color w:val="FF0000"/>
                <w:sz w:val="20"/>
                <w:szCs w:val="20"/>
              </w:rPr>
            </w:pPr>
            <w:r w:rsidRPr="00816F39">
              <w:rPr>
                <w:sz w:val="20"/>
                <w:szCs w:val="20"/>
              </w:rPr>
              <w:t>2035</w:t>
            </w:r>
          </w:p>
        </w:tc>
        <w:tc>
          <w:tcPr>
            <w:tcW w:w="1293" w:type="dxa"/>
          </w:tcPr>
          <w:p w14:paraId="54CAE325" w14:textId="77777777" w:rsidR="00A55D58" w:rsidRPr="00816F39" w:rsidRDefault="00A55D58">
            <w:pPr>
              <w:keepNext/>
              <w:keepLines/>
              <w:jc w:val="center"/>
              <w:rPr>
                <w:color w:val="FF0000"/>
                <w:sz w:val="20"/>
                <w:szCs w:val="20"/>
              </w:rPr>
            </w:pPr>
            <w:r w:rsidRPr="00816F39">
              <w:rPr>
                <w:color w:val="FF0000"/>
                <w:sz w:val="20"/>
                <w:szCs w:val="20"/>
              </w:rPr>
              <w:t>11,989</w:t>
            </w:r>
          </w:p>
        </w:tc>
        <w:tc>
          <w:tcPr>
            <w:tcW w:w="2155" w:type="dxa"/>
          </w:tcPr>
          <w:p w14:paraId="0678EBA5" w14:textId="77777777" w:rsidR="00A55D58" w:rsidRPr="00816F39" w:rsidRDefault="00A55D58">
            <w:pPr>
              <w:keepNext/>
              <w:keepLines/>
              <w:jc w:val="center"/>
              <w:rPr>
                <w:color w:val="FF0000"/>
                <w:sz w:val="20"/>
                <w:szCs w:val="20"/>
              </w:rPr>
            </w:pPr>
            <w:r w:rsidRPr="00816F39">
              <w:rPr>
                <w:color w:val="FF0000"/>
                <w:sz w:val="20"/>
                <w:szCs w:val="20"/>
              </w:rPr>
              <w:t>11,429</w:t>
            </w:r>
          </w:p>
        </w:tc>
      </w:tr>
      <w:tr w:rsidR="00A55D58" w:rsidRPr="00816F39" w14:paraId="49561243" w14:textId="77777777" w:rsidTr="00D9245A">
        <w:tc>
          <w:tcPr>
            <w:tcW w:w="1320" w:type="dxa"/>
          </w:tcPr>
          <w:p w14:paraId="357574FE" w14:textId="77777777" w:rsidR="00A55D58" w:rsidRPr="00816F39" w:rsidRDefault="00A55D58">
            <w:pPr>
              <w:keepNext/>
              <w:keepLines/>
              <w:jc w:val="center"/>
              <w:rPr>
                <w:sz w:val="20"/>
                <w:szCs w:val="20"/>
              </w:rPr>
            </w:pPr>
            <w:r w:rsidRPr="00816F39">
              <w:rPr>
                <w:sz w:val="20"/>
                <w:szCs w:val="20"/>
              </w:rPr>
              <w:t>2035/2036</w:t>
            </w:r>
          </w:p>
        </w:tc>
        <w:tc>
          <w:tcPr>
            <w:tcW w:w="1334" w:type="dxa"/>
          </w:tcPr>
          <w:p w14:paraId="76160292" w14:textId="77777777" w:rsidR="00A55D58" w:rsidRPr="00816F39" w:rsidRDefault="00A55D58">
            <w:pPr>
              <w:keepNext/>
              <w:keepLines/>
              <w:jc w:val="center"/>
              <w:rPr>
                <w:color w:val="FF0000"/>
                <w:sz w:val="20"/>
                <w:szCs w:val="20"/>
              </w:rPr>
            </w:pPr>
            <w:r w:rsidRPr="00816F39">
              <w:rPr>
                <w:color w:val="FF0000"/>
                <w:sz w:val="20"/>
                <w:szCs w:val="20"/>
              </w:rPr>
              <w:t>13,015</w:t>
            </w:r>
          </w:p>
        </w:tc>
        <w:tc>
          <w:tcPr>
            <w:tcW w:w="2111" w:type="dxa"/>
          </w:tcPr>
          <w:p w14:paraId="456D9420" w14:textId="77777777" w:rsidR="00A55D58" w:rsidRPr="00816F39" w:rsidRDefault="00A55D58">
            <w:pPr>
              <w:keepNext/>
              <w:keepLines/>
              <w:jc w:val="center"/>
              <w:rPr>
                <w:color w:val="FF0000"/>
                <w:sz w:val="20"/>
                <w:szCs w:val="20"/>
              </w:rPr>
            </w:pPr>
            <w:r w:rsidRPr="00816F39">
              <w:rPr>
                <w:color w:val="FF0000"/>
                <w:sz w:val="20"/>
                <w:szCs w:val="20"/>
              </w:rPr>
              <w:t>15,903</w:t>
            </w:r>
          </w:p>
        </w:tc>
        <w:tc>
          <w:tcPr>
            <w:tcW w:w="1137" w:type="dxa"/>
          </w:tcPr>
          <w:p w14:paraId="17D8577C" w14:textId="77777777" w:rsidR="00A55D58" w:rsidRPr="00816F39" w:rsidRDefault="00A55D58">
            <w:pPr>
              <w:keepNext/>
              <w:keepLines/>
              <w:jc w:val="center"/>
              <w:rPr>
                <w:sz w:val="20"/>
                <w:szCs w:val="20"/>
              </w:rPr>
            </w:pPr>
            <w:r w:rsidRPr="00816F39">
              <w:rPr>
                <w:sz w:val="20"/>
                <w:szCs w:val="20"/>
              </w:rPr>
              <w:t>2036</w:t>
            </w:r>
          </w:p>
        </w:tc>
        <w:tc>
          <w:tcPr>
            <w:tcW w:w="1293" w:type="dxa"/>
          </w:tcPr>
          <w:p w14:paraId="61A0EAF0" w14:textId="77777777" w:rsidR="00A55D58" w:rsidRPr="00816F39" w:rsidRDefault="00A55D58">
            <w:pPr>
              <w:keepNext/>
              <w:keepLines/>
              <w:jc w:val="center"/>
              <w:rPr>
                <w:color w:val="FF0000"/>
                <w:sz w:val="20"/>
                <w:szCs w:val="20"/>
              </w:rPr>
            </w:pPr>
            <w:r w:rsidRPr="00816F39">
              <w:rPr>
                <w:color w:val="FF0000"/>
                <w:sz w:val="20"/>
                <w:szCs w:val="20"/>
              </w:rPr>
              <w:t>12,290</w:t>
            </w:r>
          </w:p>
        </w:tc>
        <w:tc>
          <w:tcPr>
            <w:tcW w:w="2155" w:type="dxa"/>
          </w:tcPr>
          <w:p w14:paraId="7561F08C" w14:textId="77777777" w:rsidR="00A55D58" w:rsidRPr="00816F39" w:rsidRDefault="00A55D58">
            <w:pPr>
              <w:keepNext/>
              <w:keepLines/>
              <w:jc w:val="center"/>
              <w:rPr>
                <w:color w:val="FF0000"/>
                <w:sz w:val="20"/>
                <w:szCs w:val="20"/>
              </w:rPr>
            </w:pPr>
            <w:r w:rsidRPr="00816F39">
              <w:rPr>
                <w:color w:val="FF0000"/>
                <w:sz w:val="20"/>
                <w:szCs w:val="20"/>
              </w:rPr>
              <w:t>11,832</w:t>
            </w:r>
          </w:p>
        </w:tc>
      </w:tr>
      <w:tr w:rsidR="00A55D58" w:rsidRPr="00816F39" w14:paraId="0007272E" w14:textId="77777777" w:rsidTr="00D9245A">
        <w:tc>
          <w:tcPr>
            <w:tcW w:w="1320" w:type="dxa"/>
          </w:tcPr>
          <w:p w14:paraId="0607614C" w14:textId="77777777" w:rsidR="00A55D58" w:rsidRPr="00816F39" w:rsidRDefault="00A55D58">
            <w:pPr>
              <w:keepNext/>
              <w:keepLines/>
              <w:jc w:val="center"/>
              <w:rPr>
                <w:sz w:val="20"/>
                <w:szCs w:val="20"/>
              </w:rPr>
            </w:pPr>
            <w:r w:rsidRPr="00816F39">
              <w:rPr>
                <w:sz w:val="20"/>
                <w:szCs w:val="20"/>
              </w:rPr>
              <w:t>2036/2037</w:t>
            </w:r>
          </w:p>
        </w:tc>
        <w:tc>
          <w:tcPr>
            <w:tcW w:w="1334" w:type="dxa"/>
          </w:tcPr>
          <w:p w14:paraId="642C42A0" w14:textId="77777777" w:rsidR="00A55D58" w:rsidRPr="00816F39" w:rsidRDefault="00A55D58">
            <w:pPr>
              <w:keepNext/>
              <w:keepLines/>
              <w:jc w:val="center"/>
              <w:rPr>
                <w:color w:val="FF0000"/>
                <w:sz w:val="20"/>
                <w:szCs w:val="20"/>
              </w:rPr>
            </w:pPr>
            <w:r w:rsidRPr="00816F39">
              <w:rPr>
                <w:color w:val="FF0000"/>
                <w:sz w:val="20"/>
                <w:szCs w:val="20"/>
              </w:rPr>
              <w:t>13,351</w:t>
            </w:r>
          </w:p>
        </w:tc>
        <w:tc>
          <w:tcPr>
            <w:tcW w:w="2111" w:type="dxa"/>
          </w:tcPr>
          <w:p w14:paraId="1104DFCD" w14:textId="77777777" w:rsidR="00A55D58" w:rsidRPr="00816F39" w:rsidRDefault="00A55D58">
            <w:pPr>
              <w:keepNext/>
              <w:keepLines/>
              <w:jc w:val="center"/>
              <w:rPr>
                <w:color w:val="FF0000"/>
                <w:sz w:val="20"/>
                <w:szCs w:val="20"/>
              </w:rPr>
            </w:pPr>
            <w:r w:rsidRPr="00816F39">
              <w:rPr>
                <w:color w:val="FF0000"/>
                <w:sz w:val="20"/>
                <w:szCs w:val="20"/>
              </w:rPr>
              <w:t>16,273</w:t>
            </w:r>
          </w:p>
        </w:tc>
        <w:tc>
          <w:tcPr>
            <w:tcW w:w="1137" w:type="dxa"/>
          </w:tcPr>
          <w:p w14:paraId="030A6FA0" w14:textId="77777777" w:rsidR="00A55D58" w:rsidRPr="00816F39" w:rsidRDefault="00A55D58">
            <w:pPr>
              <w:keepNext/>
              <w:keepLines/>
              <w:jc w:val="center"/>
              <w:rPr>
                <w:sz w:val="20"/>
                <w:szCs w:val="20"/>
              </w:rPr>
            </w:pPr>
            <w:r w:rsidRPr="00816F39">
              <w:rPr>
                <w:sz w:val="20"/>
                <w:szCs w:val="20"/>
              </w:rPr>
              <w:t>2037</w:t>
            </w:r>
          </w:p>
        </w:tc>
        <w:tc>
          <w:tcPr>
            <w:tcW w:w="1293" w:type="dxa"/>
          </w:tcPr>
          <w:p w14:paraId="426910C9" w14:textId="77777777" w:rsidR="00A55D58" w:rsidRPr="00816F39" w:rsidRDefault="00A55D58">
            <w:pPr>
              <w:keepNext/>
              <w:keepLines/>
              <w:jc w:val="center"/>
              <w:rPr>
                <w:color w:val="FF0000"/>
                <w:sz w:val="20"/>
                <w:szCs w:val="20"/>
              </w:rPr>
            </w:pPr>
            <w:r w:rsidRPr="00816F39">
              <w:rPr>
                <w:color w:val="FF0000"/>
                <w:sz w:val="20"/>
                <w:szCs w:val="20"/>
              </w:rPr>
              <w:t>12,760</w:t>
            </w:r>
          </w:p>
        </w:tc>
        <w:tc>
          <w:tcPr>
            <w:tcW w:w="2155" w:type="dxa"/>
          </w:tcPr>
          <w:p w14:paraId="53B5C9AF" w14:textId="77777777" w:rsidR="00A55D58" w:rsidRPr="00816F39" w:rsidRDefault="00A55D58">
            <w:pPr>
              <w:keepNext/>
              <w:keepLines/>
              <w:jc w:val="center"/>
              <w:rPr>
                <w:color w:val="FF0000"/>
                <w:sz w:val="20"/>
                <w:szCs w:val="20"/>
              </w:rPr>
            </w:pPr>
            <w:r w:rsidRPr="00816F39">
              <w:rPr>
                <w:color w:val="FF0000"/>
                <w:sz w:val="20"/>
                <w:szCs w:val="20"/>
              </w:rPr>
              <w:t>12,301</w:t>
            </w:r>
          </w:p>
        </w:tc>
      </w:tr>
      <w:tr w:rsidR="00A55D58" w:rsidRPr="00816F39" w14:paraId="36E98B68" w14:textId="77777777" w:rsidTr="00D9245A">
        <w:tc>
          <w:tcPr>
            <w:tcW w:w="1320" w:type="dxa"/>
          </w:tcPr>
          <w:p w14:paraId="2D76B2B4" w14:textId="77777777" w:rsidR="00A55D58" w:rsidRPr="00816F39" w:rsidRDefault="00A55D58">
            <w:pPr>
              <w:keepNext/>
              <w:keepLines/>
              <w:jc w:val="center"/>
              <w:rPr>
                <w:sz w:val="20"/>
                <w:szCs w:val="20"/>
              </w:rPr>
            </w:pPr>
            <w:r w:rsidRPr="00816F39">
              <w:rPr>
                <w:sz w:val="20"/>
                <w:szCs w:val="20"/>
              </w:rPr>
              <w:t>2037/2038</w:t>
            </w:r>
          </w:p>
        </w:tc>
        <w:tc>
          <w:tcPr>
            <w:tcW w:w="1334" w:type="dxa"/>
          </w:tcPr>
          <w:p w14:paraId="3DB27690" w14:textId="77777777" w:rsidR="00A55D58" w:rsidRPr="00816F39" w:rsidRDefault="00A55D58">
            <w:pPr>
              <w:keepNext/>
              <w:keepLines/>
              <w:jc w:val="center"/>
              <w:rPr>
                <w:color w:val="FF0000"/>
                <w:sz w:val="20"/>
                <w:szCs w:val="20"/>
              </w:rPr>
            </w:pPr>
            <w:r w:rsidRPr="00816F39">
              <w:rPr>
                <w:color w:val="FF0000"/>
                <w:sz w:val="20"/>
                <w:szCs w:val="20"/>
              </w:rPr>
              <w:t>13,965</w:t>
            </w:r>
          </w:p>
        </w:tc>
        <w:tc>
          <w:tcPr>
            <w:tcW w:w="2111" w:type="dxa"/>
          </w:tcPr>
          <w:p w14:paraId="027B4B42" w14:textId="77777777" w:rsidR="00A55D58" w:rsidRPr="00816F39" w:rsidRDefault="00A55D58">
            <w:pPr>
              <w:keepNext/>
              <w:keepLines/>
              <w:jc w:val="center"/>
              <w:rPr>
                <w:color w:val="FF0000"/>
                <w:sz w:val="20"/>
                <w:szCs w:val="20"/>
              </w:rPr>
            </w:pPr>
            <w:r w:rsidRPr="00816F39">
              <w:rPr>
                <w:color w:val="FF0000"/>
                <w:sz w:val="20"/>
                <w:szCs w:val="20"/>
              </w:rPr>
              <w:t>16,939</w:t>
            </w:r>
          </w:p>
        </w:tc>
        <w:tc>
          <w:tcPr>
            <w:tcW w:w="1137" w:type="dxa"/>
          </w:tcPr>
          <w:p w14:paraId="4F02C764" w14:textId="77777777" w:rsidR="00A55D58" w:rsidRPr="00816F39" w:rsidRDefault="00A55D58">
            <w:pPr>
              <w:keepNext/>
              <w:keepLines/>
              <w:jc w:val="center"/>
              <w:rPr>
                <w:sz w:val="20"/>
                <w:szCs w:val="20"/>
              </w:rPr>
            </w:pPr>
            <w:r w:rsidRPr="00816F39">
              <w:rPr>
                <w:sz w:val="20"/>
                <w:szCs w:val="20"/>
              </w:rPr>
              <w:t>2038</w:t>
            </w:r>
          </w:p>
        </w:tc>
        <w:tc>
          <w:tcPr>
            <w:tcW w:w="1293" w:type="dxa"/>
          </w:tcPr>
          <w:p w14:paraId="38A82BCF" w14:textId="77777777" w:rsidR="00A55D58" w:rsidRPr="00816F39" w:rsidRDefault="00A55D58">
            <w:pPr>
              <w:keepNext/>
              <w:keepLines/>
              <w:jc w:val="center"/>
              <w:rPr>
                <w:color w:val="FF0000"/>
                <w:sz w:val="20"/>
                <w:szCs w:val="20"/>
              </w:rPr>
            </w:pPr>
            <w:r w:rsidRPr="00816F39">
              <w:rPr>
                <w:color w:val="FF0000"/>
                <w:sz w:val="20"/>
                <w:szCs w:val="20"/>
              </w:rPr>
              <w:t>13,224</w:t>
            </w:r>
          </w:p>
        </w:tc>
        <w:tc>
          <w:tcPr>
            <w:tcW w:w="2155" w:type="dxa"/>
          </w:tcPr>
          <w:p w14:paraId="26A584EF" w14:textId="77777777" w:rsidR="00A55D58" w:rsidRPr="00816F39" w:rsidRDefault="00A55D58">
            <w:pPr>
              <w:keepNext/>
              <w:keepLines/>
              <w:jc w:val="center"/>
              <w:rPr>
                <w:color w:val="FF0000"/>
                <w:sz w:val="20"/>
                <w:szCs w:val="20"/>
              </w:rPr>
            </w:pPr>
            <w:r w:rsidRPr="00816F39">
              <w:rPr>
                <w:color w:val="FF0000"/>
                <w:sz w:val="20"/>
                <w:szCs w:val="20"/>
              </w:rPr>
              <w:t>12,770</w:t>
            </w:r>
          </w:p>
        </w:tc>
      </w:tr>
      <w:tr w:rsidR="00A55D58" w:rsidRPr="00816F39" w14:paraId="2AA05E51" w14:textId="77777777" w:rsidTr="00D9245A">
        <w:tc>
          <w:tcPr>
            <w:tcW w:w="1320" w:type="dxa"/>
          </w:tcPr>
          <w:p w14:paraId="3895F2AB" w14:textId="77777777" w:rsidR="00A55D58" w:rsidRPr="00816F39" w:rsidRDefault="00A55D58">
            <w:pPr>
              <w:keepNext/>
              <w:keepLines/>
              <w:jc w:val="center"/>
              <w:rPr>
                <w:sz w:val="20"/>
                <w:szCs w:val="20"/>
              </w:rPr>
            </w:pPr>
            <w:r w:rsidRPr="00816F39">
              <w:rPr>
                <w:sz w:val="20"/>
                <w:szCs w:val="20"/>
              </w:rPr>
              <w:t>2038/2039</w:t>
            </w:r>
          </w:p>
        </w:tc>
        <w:tc>
          <w:tcPr>
            <w:tcW w:w="1334" w:type="dxa"/>
          </w:tcPr>
          <w:p w14:paraId="6B8B5473" w14:textId="77777777" w:rsidR="00A55D58" w:rsidRPr="00816F39" w:rsidRDefault="00A55D58">
            <w:pPr>
              <w:keepNext/>
              <w:keepLines/>
              <w:jc w:val="center"/>
              <w:rPr>
                <w:color w:val="FF0000"/>
                <w:sz w:val="20"/>
                <w:szCs w:val="20"/>
              </w:rPr>
            </w:pPr>
            <w:r w:rsidRPr="00816F39">
              <w:rPr>
                <w:color w:val="FF0000"/>
                <w:sz w:val="20"/>
                <w:szCs w:val="20"/>
              </w:rPr>
              <w:t>19,057</w:t>
            </w:r>
          </w:p>
        </w:tc>
        <w:tc>
          <w:tcPr>
            <w:tcW w:w="2111" w:type="dxa"/>
          </w:tcPr>
          <w:p w14:paraId="5B33A0CF" w14:textId="77777777" w:rsidR="00A55D58" w:rsidRPr="00816F39" w:rsidRDefault="00A55D58">
            <w:pPr>
              <w:keepNext/>
              <w:keepLines/>
              <w:jc w:val="center"/>
              <w:rPr>
                <w:color w:val="FF0000"/>
                <w:sz w:val="20"/>
                <w:szCs w:val="20"/>
              </w:rPr>
            </w:pPr>
            <w:r w:rsidRPr="00816F39">
              <w:rPr>
                <w:color w:val="FF0000"/>
                <w:sz w:val="20"/>
                <w:szCs w:val="20"/>
              </w:rPr>
              <w:t>22,391</w:t>
            </w:r>
          </w:p>
        </w:tc>
        <w:tc>
          <w:tcPr>
            <w:tcW w:w="1137" w:type="dxa"/>
          </w:tcPr>
          <w:p w14:paraId="66AD07BA" w14:textId="77777777" w:rsidR="00A55D58" w:rsidRPr="00816F39" w:rsidRDefault="00A55D58">
            <w:pPr>
              <w:keepNext/>
              <w:keepLines/>
              <w:jc w:val="center"/>
              <w:rPr>
                <w:sz w:val="20"/>
                <w:szCs w:val="20"/>
              </w:rPr>
            </w:pPr>
            <w:r w:rsidRPr="00816F39">
              <w:rPr>
                <w:sz w:val="20"/>
                <w:szCs w:val="20"/>
              </w:rPr>
              <w:t>2039</w:t>
            </w:r>
          </w:p>
        </w:tc>
        <w:tc>
          <w:tcPr>
            <w:tcW w:w="1293" w:type="dxa"/>
          </w:tcPr>
          <w:p w14:paraId="170E654E" w14:textId="77777777" w:rsidR="00A55D58" w:rsidRPr="00816F39" w:rsidRDefault="00A55D58">
            <w:pPr>
              <w:keepNext/>
              <w:keepLines/>
              <w:jc w:val="center"/>
              <w:rPr>
                <w:color w:val="FF0000"/>
                <w:sz w:val="20"/>
                <w:szCs w:val="20"/>
              </w:rPr>
            </w:pPr>
            <w:r w:rsidRPr="00816F39">
              <w:rPr>
                <w:color w:val="FF0000"/>
                <w:sz w:val="20"/>
                <w:szCs w:val="20"/>
              </w:rPr>
              <w:t>18,025</w:t>
            </w:r>
          </w:p>
        </w:tc>
        <w:tc>
          <w:tcPr>
            <w:tcW w:w="2155" w:type="dxa"/>
          </w:tcPr>
          <w:p w14:paraId="1E51290B" w14:textId="77777777" w:rsidR="00A55D58" w:rsidRPr="00816F39" w:rsidRDefault="00A55D58">
            <w:pPr>
              <w:keepNext/>
              <w:keepLines/>
              <w:jc w:val="center"/>
              <w:rPr>
                <w:color w:val="FF0000"/>
                <w:sz w:val="20"/>
                <w:szCs w:val="20"/>
              </w:rPr>
            </w:pPr>
            <w:r w:rsidRPr="00816F39">
              <w:rPr>
                <w:color w:val="FF0000"/>
                <w:sz w:val="20"/>
                <w:szCs w:val="20"/>
              </w:rPr>
              <w:t>17,944</w:t>
            </w:r>
          </w:p>
        </w:tc>
      </w:tr>
      <w:tr w:rsidR="00A55D58" w:rsidRPr="00816F39" w14:paraId="06E2B8A8" w14:textId="77777777" w:rsidTr="00D9245A">
        <w:tc>
          <w:tcPr>
            <w:tcW w:w="1320" w:type="dxa"/>
          </w:tcPr>
          <w:p w14:paraId="654F22AA" w14:textId="77777777" w:rsidR="00A55D58" w:rsidRPr="00816F39" w:rsidRDefault="00A55D58">
            <w:pPr>
              <w:keepNext/>
              <w:keepLines/>
              <w:jc w:val="center"/>
              <w:rPr>
                <w:sz w:val="20"/>
                <w:szCs w:val="20"/>
              </w:rPr>
            </w:pPr>
            <w:r w:rsidRPr="00816F39">
              <w:rPr>
                <w:sz w:val="20"/>
                <w:szCs w:val="20"/>
              </w:rPr>
              <w:t>2039/2040</w:t>
            </w:r>
          </w:p>
        </w:tc>
        <w:tc>
          <w:tcPr>
            <w:tcW w:w="1334" w:type="dxa"/>
          </w:tcPr>
          <w:p w14:paraId="27F1BA69" w14:textId="77777777" w:rsidR="00A55D58" w:rsidRPr="00816F39" w:rsidRDefault="00A55D58">
            <w:pPr>
              <w:keepNext/>
              <w:keepLines/>
              <w:jc w:val="center"/>
              <w:rPr>
                <w:color w:val="FF0000"/>
                <w:sz w:val="20"/>
                <w:szCs w:val="20"/>
              </w:rPr>
            </w:pPr>
            <w:r w:rsidRPr="00816F39">
              <w:rPr>
                <w:color w:val="FF0000"/>
                <w:sz w:val="20"/>
                <w:szCs w:val="20"/>
              </w:rPr>
              <w:t>19,799</w:t>
            </w:r>
          </w:p>
        </w:tc>
        <w:tc>
          <w:tcPr>
            <w:tcW w:w="2111" w:type="dxa"/>
          </w:tcPr>
          <w:p w14:paraId="7F892223" w14:textId="77777777" w:rsidR="00A55D58" w:rsidRPr="00816F39" w:rsidRDefault="00A55D58">
            <w:pPr>
              <w:keepNext/>
              <w:keepLines/>
              <w:jc w:val="center"/>
              <w:rPr>
                <w:color w:val="FF0000"/>
                <w:sz w:val="20"/>
                <w:szCs w:val="20"/>
              </w:rPr>
            </w:pPr>
            <w:r w:rsidRPr="00816F39">
              <w:rPr>
                <w:color w:val="FF0000"/>
                <w:sz w:val="20"/>
                <w:szCs w:val="20"/>
              </w:rPr>
              <w:t>23,140</w:t>
            </w:r>
          </w:p>
        </w:tc>
        <w:tc>
          <w:tcPr>
            <w:tcW w:w="1137" w:type="dxa"/>
          </w:tcPr>
          <w:p w14:paraId="4AEF8A4E" w14:textId="77777777" w:rsidR="00A55D58" w:rsidRPr="00816F39" w:rsidRDefault="00A55D58">
            <w:pPr>
              <w:keepNext/>
              <w:keepLines/>
              <w:jc w:val="center"/>
              <w:rPr>
                <w:sz w:val="20"/>
                <w:szCs w:val="20"/>
              </w:rPr>
            </w:pPr>
            <w:r w:rsidRPr="00816F39">
              <w:rPr>
                <w:sz w:val="20"/>
                <w:szCs w:val="20"/>
              </w:rPr>
              <w:t>2040</w:t>
            </w:r>
          </w:p>
        </w:tc>
        <w:tc>
          <w:tcPr>
            <w:tcW w:w="1293" w:type="dxa"/>
          </w:tcPr>
          <w:p w14:paraId="6299BA42" w14:textId="77777777" w:rsidR="00A55D58" w:rsidRPr="00816F39" w:rsidRDefault="00A55D58">
            <w:pPr>
              <w:keepNext/>
              <w:keepLines/>
              <w:jc w:val="center"/>
              <w:rPr>
                <w:color w:val="FF0000"/>
                <w:sz w:val="20"/>
                <w:szCs w:val="20"/>
              </w:rPr>
            </w:pPr>
            <w:r w:rsidRPr="00816F39">
              <w:rPr>
                <w:color w:val="FF0000"/>
                <w:sz w:val="20"/>
                <w:szCs w:val="20"/>
              </w:rPr>
              <w:t>18,515</w:t>
            </w:r>
          </w:p>
        </w:tc>
        <w:tc>
          <w:tcPr>
            <w:tcW w:w="2155" w:type="dxa"/>
          </w:tcPr>
          <w:p w14:paraId="3E8B73B5" w14:textId="77777777" w:rsidR="00A55D58" w:rsidRPr="00816F39" w:rsidRDefault="00A55D58">
            <w:pPr>
              <w:keepNext/>
              <w:keepLines/>
              <w:jc w:val="center"/>
              <w:rPr>
                <w:color w:val="FF0000"/>
                <w:sz w:val="20"/>
                <w:szCs w:val="20"/>
              </w:rPr>
            </w:pPr>
            <w:r w:rsidRPr="00816F39">
              <w:rPr>
                <w:color w:val="FF0000"/>
                <w:sz w:val="20"/>
                <w:szCs w:val="20"/>
              </w:rPr>
              <w:t>19,316</w:t>
            </w:r>
          </w:p>
        </w:tc>
      </w:tr>
      <w:tr w:rsidR="00A55D58" w:rsidRPr="00816F39" w14:paraId="737B4806" w14:textId="77777777" w:rsidTr="00D9245A">
        <w:tc>
          <w:tcPr>
            <w:tcW w:w="1320" w:type="dxa"/>
          </w:tcPr>
          <w:p w14:paraId="42D2A699" w14:textId="77777777" w:rsidR="00A55D58" w:rsidRPr="00816F39" w:rsidRDefault="00A55D58">
            <w:pPr>
              <w:keepNext/>
              <w:keepLines/>
              <w:jc w:val="center"/>
              <w:rPr>
                <w:sz w:val="20"/>
                <w:szCs w:val="20"/>
              </w:rPr>
            </w:pPr>
            <w:r w:rsidRPr="00816F39">
              <w:rPr>
                <w:sz w:val="20"/>
                <w:szCs w:val="20"/>
              </w:rPr>
              <w:t>2040/2041</w:t>
            </w:r>
          </w:p>
        </w:tc>
        <w:tc>
          <w:tcPr>
            <w:tcW w:w="1334" w:type="dxa"/>
          </w:tcPr>
          <w:p w14:paraId="264E23CF" w14:textId="77777777" w:rsidR="00A55D58" w:rsidRPr="00816F39" w:rsidRDefault="00A55D58">
            <w:pPr>
              <w:keepNext/>
              <w:keepLines/>
              <w:jc w:val="center"/>
              <w:rPr>
                <w:color w:val="FF0000"/>
                <w:sz w:val="20"/>
                <w:szCs w:val="20"/>
              </w:rPr>
            </w:pPr>
            <w:r w:rsidRPr="00816F39">
              <w:rPr>
                <w:color w:val="FF0000"/>
                <w:sz w:val="20"/>
                <w:szCs w:val="20"/>
              </w:rPr>
              <w:t>20,284</w:t>
            </w:r>
          </w:p>
        </w:tc>
        <w:tc>
          <w:tcPr>
            <w:tcW w:w="2111" w:type="dxa"/>
          </w:tcPr>
          <w:p w14:paraId="1EC08914" w14:textId="77777777" w:rsidR="00A55D58" w:rsidRPr="00816F39" w:rsidRDefault="00A55D58">
            <w:pPr>
              <w:keepNext/>
              <w:keepLines/>
              <w:jc w:val="center"/>
              <w:rPr>
                <w:color w:val="FF0000"/>
                <w:sz w:val="20"/>
                <w:szCs w:val="20"/>
              </w:rPr>
            </w:pPr>
            <w:r w:rsidRPr="00816F39">
              <w:rPr>
                <w:color w:val="FF0000"/>
                <w:sz w:val="20"/>
                <w:szCs w:val="20"/>
              </w:rPr>
              <w:t>24,603</w:t>
            </w:r>
          </w:p>
        </w:tc>
        <w:tc>
          <w:tcPr>
            <w:tcW w:w="1137" w:type="dxa"/>
          </w:tcPr>
          <w:p w14:paraId="5B5785AD" w14:textId="77777777" w:rsidR="00A55D58" w:rsidRPr="00816F39" w:rsidRDefault="00A55D58">
            <w:pPr>
              <w:keepNext/>
              <w:keepLines/>
              <w:jc w:val="center"/>
              <w:rPr>
                <w:sz w:val="20"/>
                <w:szCs w:val="20"/>
              </w:rPr>
            </w:pPr>
            <w:r w:rsidRPr="00816F39">
              <w:rPr>
                <w:sz w:val="20"/>
                <w:szCs w:val="20"/>
              </w:rPr>
              <w:t>2041</w:t>
            </w:r>
          </w:p>
        </w:tc>
        <w:tc>
          <w:tcPr>
            <w:tcW w:w="1293" w:type="dxa"/>
          </w:tcPr>
          <w:p w14:paraId="47B02DA4" w14:textId="77777777" w:rsidR="00A55D58" w:rsidRPr="00816F39" w:rsidRDefault="00A55D58">
            <w:pPr>
              <w:keepNext/>
              <w:keepLines/>
              <w:jc w:val="center"/>
              <w:rPr>
                <w:color w:val="FF0000"/>
                <w:sz w:val="20"/>
                <w:szCs w:val="20"/>
              </w:rPr>
            </w:pPr>
            <w:r w:rsidRPr="00816F39">
              <w:rPr>
                <w:color w:val="FF0000"/>
                <w:sz w:val="20"/>
                <w:szCs w:val="20"/>
              </w:rPr>
              <w:t>19,009</w:t>
            </w:r>
          </w:p>
        </w:tc>
        <w:tc>
          <w:tcPr>
            <w:tcW w:w="2155" w:type="dxa"/>
          </w:tcPr>
          <w:p w14:paraId="4CD3C6B7" w14:textId="77777777" w:rsidR="00A55D58" w:rsidRPr="00816F39" w:rsidRDefault="00A55D58">
            <w:pPr>
              <w:keepNext/>
              <w:keepLines/>
              <w:jc w:val="center"/>
              <w:rPr>
                <w:color w:val="FF0000"/>
                <w:sz w:val="20"/>
                <w:szCs w:val="20"/>
              </w:rPr>
            </w:pPr>
            <w:r w:rsidRPr="00816F39">
              <w:rPr>
                <w:color w:val="FF0000"/>
                <w:sz w:val="20"/>
                <w:szCs w:val="20"/>
              </w:rPr>
              <w:t>20,208</w:t>
            </w:r>
          </w:p>
        </w:tc>
      </w:tr>
      <w:tr w:rsidR="00A55D58" w:rsidRPr="00816F39" w14:paraId="08B1AFD2" w14:textId="77777777" w:rsidTr="00D9245A">
        <w:tc>
          <w:tcPr>
            <w:tcW w:w="1320" w:type="dxa"/>
          </w:tcPr>
          <w:p w14:paraId="5B86FD72" w14:textId="77777777" w:rsidR="00A55D58" w:rsidRPr="00816F39" w:rsidRDefault="00A55D58">
            <w:pPr>
              <w:keepNext/>
              <w:keepLines/>
              <w:jc w:val="center"/>
              <w:rPr>
                <w:sz w:val="20"/>
                <w:szCs w:val="20"/>
              </w:rPr>
            </w:pPr>
            <w:r w:rsidRPr="00816F39">
              <w:rPr>
                <w:sz w:val="20"/>
                <w:szCs w:val="20"/>
              </w:rPr>
              <w:t>2041/2042</w:t>
            </w:r>
          </w:p>
        </w:tc>
        <w:tc>
          <w:tcPr>
            <w:tcW w:w="1334" w:type="dxa"/>
          </w:tcPr>
          <w:p w14:paraId="64B5F493" w14:textId="77777777" w:rsidR="00A55D58" w:rsidRPr="00816F39" w:rsidRDefault="00A55D58">
            <w:pPr>
              <w:keepNext/>
              <w:keepLines/>
              <w:jc w:val="center"/>
              <w:rPr>
                <w:color w:val="FF0000"/>
                <w:sz w:val="20"/>
                <w:szCs w:val="20"/>
              </w:rPr>
            </w:pPr>
            <w:r w:rsidRPr="00816F39">
              <w:rPr>
                <w:color w:val="FF0000"/>
                <w:sz w:val="20"/>
                <w:szCs w:val="20"/>
              </w:rPr>
              <w:t>20,768</w:t>
            </w:r>
          </w:p>
        </w:tc>
        <w:tc>
          <w:tcPr>
            <w:tcW w:w="2111" w:type="dxa"/>
          </w:tcPr>
          <w:p w14:paraId="33749667" w14:textId="77777777" w:rsidR="00A55D58" w:rsidRPr="00816F39" w:rsidRDefault="00A55D58">
            <w:pPr>
              <w:keepNext/>
              <w:keepLines/>
              <w:jc w:val="center"/>
              <w:rPr>
                <w:color w:val="FF0000"/>
                <w:sz w:val="20"/>
                <w:szCs w:val="20"/>
              </w:rPr>
            </w:pPr>
            <w:r w:rsidRPr="00816F39">
              <w:rPr>
                <w:color w:val="FF0000"/>
                <w:sz w:val="20"/>
                <w:szCs w:val="20"/>
              </w:rPr>
              <w:t>25,571</w:t>
            </w:r>
          </w:p>
        </w:tc>
        <w:tc>
          <w:tcPr>
            <w:tcW w:w="1137" w:type="dxa"/>
          </w:tcPr>
          <w:p w14:paraId="1ABAAF95" w14:textId="77777777" w:rsidR="00A55D58" w:rsidRPr="00816F39" w:rsidRDefault="00A55D58">
            <w:pPr>
              <w:keepNext/>
              <w:keepLines/>
              <w:jc w:val="center"/>
              <w:rPr>
                <w:sz w:val="20"/>
                <w:szCs w:val="20"/>
              </w:rPr>
            </w:pPr>
            <w:r w:rsidRPr="00816F39">
              <w:rPr>
                <w:sz w:val="20"/>
                <w:szCs w:val="20"/>
              </w:rPr>
              <w:t>2042</w:t>
            </w:r>
          </w:p>
        </w:tc>
        <w:tc>
          <w:tcPr>
            <w:tcW w:w="1293" w:type="dxa"/>
          </w:tcPr>
          <w:p w14:paraId="06EEA985" w14:textId="77777777" w:rsidR="00A55D58" w:rsidRPr="00816F39" w:rsidRDefault="00A55D58">
            <w:pPr>
              <w:keepNext/>
              <w:keepLines/>
              <w:jc w:val="center"/>
              <w:rPr>
                <w:color w:val="FF0000"/>
                <w:sz w:val="20"/>
                <w:szCs w:val="20"/>
              </w:rPr>
            </w:pPr>
            <w:r w:rsidRPr="00816F39">
              <w:rPr>
                <w:color w:val="FF0000"/>
                <w:sz w:val="20"/>
                <w:szCs w:val="20"/>
              </w:rPr>
              <w:t>19,484</w:t>
            </w:r>
          </w:p>
        </w:tc>
        <w:tc>
          <w:tcPr>
            <w:tcW w:w="2155" w:type="dxa"/>
          </w:tcPr>
          <w:p w14:paraId="0CEA043F" w14:textId="77777777" w:rsidR="00A55D58" w:rsidRPr="00816F39" w:rsidRDefault="00A55D58">
            <w:pPr>
              <w:keepNext/>
              <w:keepLines/>
              <w:jc w:val="center"/>
              <w:rPr>
                <w:color w:val="FF0000"/>
                <w:sz w:val="20"/>
                <w:szCs w:val="20"/>
              </w:rPr>
            </w:pPr>
            <w:r w:rsidRPr="00816F39">
              <w:rPr>
                <w:color w:val="FF0000"/>
                <w:sz w:val="20"/>
                <w:szCs w:val="20"/>
              </w:rPr>
              <w:t>21,042</w:t>
            </w:r>
          </w:p>
        </w:tc>
      </w:tr>
      <w:tr w:rsidR="00A55D58" w:rsidRPr="00816F39" w14:paraId="3830CCF8" w14:textId="77777777" w:rsidTr="00D9245A">
        <w:tc>
          <w:tcPr>
            <w:tcW w:w="1320" w:type="dxa"/>
          </w:tcPr>
          <w:p w14:paraId="23B2B0FB" w14:textId="77777777" w:rsidR="00A55D58" w:rsidRPr="00816F39" w:rsidRDefault="00A55D58">
            <w:pPr>
              <w:keepNext/>
              <w:keepLines/>
              <w:jc w:val="center"/>
              <w:rPr>
                <w:sz w:val="20"/>
                <w:szCs w:val="20"/>
              </w:rPr>
            </w:pPr>
            <w:r w:rsidRPr="00816F39">
              <w:rPr>
                <w:sz w:val="20"/>
                <w:szCs w:val="20"/>
              </w:rPr>
              <w:t>2042/2043</w:t>
            </w:r>
          </w:p>
        </w:tc>
        <w:tc>
          <w:tcPr>
            <w:tcW w:w="1334" w:type="dxa"/>
          </w:tcPr>
          <w:p w14:paraId="193C4EAC" w14:textId="77777777" w:rsidR="00A55D58" w:rsidRPr="00816F39" w:rsidRDefault="00A55D58">
            <w:pPr>
              <w:keepNext/>
              <w:keepLines/>
              <w:jc w:val="center"/>
              <w:rPr>
                <w:color w:val="FF0000"/>
                <w:sz w:val="20"/>
                <w:szCs w:val="20"/>
              </w:rPr>
            </w:pPr>
            <w:r w:rsidRPr="00816F39">
              <w:rPr>
                <w:color w:val="FF0000"/>
                <w:sz w:val="20"/>
                <w:szCs w:val="20"/>
              </w:rPr>
              <w:t>21,299</w:t>
            </w:r>
          </w:p>
        </w:tc>
        <w:tc>
          <w:tcPr>
            <w:tcW w:w="2111" w:type="dxa"/>
          </w:tcPr>
          <w:p w14:paraId="39A2ECE2" w14:textId="77777777" w:rsidR="00A55D58" w:rsidRPr="00816F39" w:rsidRDefault="00A55D58">
            <w:pPr>
              <w:keepNext/>
              <w:keepLines/>
              <w:jc w:val="center"/>
              <w:rPr>
                <w:color w:val="FF0000"/>
                <w:sz w:val="20"/>
                <w:szCs w:val="20"/>
              </w:rPr>
            </w:pPr>
            <w:r w:rsidRPr="00816F39">
              <w:rPr>
                <w:color w:val="FF0000"/>
                <w:sz w:val="20"/>
                <w:szCs w:val="20"/>
              </w:rPr>
              <w:t>26,572</w:t>
            </w:r>
          </w:p>
        </w:tc>
        <w:tc>
          <w:tcPr>
            <w:tcW w:w="1137" w:type="dxa"/>
          </w:tcPr>
          <w:p w14:paraId="3A66701F" w14:textId="77777777" w:rsidR="00A55D58" w:rsidRPr="00816F39" w:rsidRDefault="00A55D58">
            <w:pPr>
              <w:keepNext/>
              <w:keepLines/>
              <w:jc w:val="center"/>
              <w:rPr>
                <w:sz w:val="20"/>
                <w:szCs w:val="20"/>
              </w:rPr>
            </w:pPr>
            <w:r w:rsidRPr="00816F39">
              <w:rPr>
                <w:sz w:val="20"/>
                <w:szCs w:val="20"/>
              </w:rPr>
              <w:t>2043</w:t>
            </w:r>
          </w:p>
        </w:tc>
        <w:tc>
          <w:tcPr>
            <w:tcW w:w="1293" w:type="dxa"/>
          </w:tcPr>
          <w:p w14:paraId="06E81CD2" w14:textId="77777777" w:rsidR="00A55D58" w:rsidRPr="00816F39" w:rsidRDefault="00A55D58">
            <w:pPr>
              <w:keepNext/>
              <w:keepLines/>
              <w:jc w:val="center"/>
              <w:rPr>
                <w:color w:val="FF0000"/>
                <w:sz w:val="20"/>
                <w:szCs w:val="20"/>
              </w:rPr>
            </w:pPr>
            <w:r w:rsidRPr="00816F39">
              <w:rPr>
                <w:color w:val="FF0000"/>
                <w:sz w:val="20"/>
                <w:szCs w:val="20"/>
              </w:rPr>
              <w:t>19,968</w:t>
            </w:r>
          </w:p>
        </w:tc>
        <w:tc>
          <w:tcPr>
            <w:tcW w:w="2155" w:type="dxa"/>
          </w:tcPr>
          <w:p w14:paraId="11A669AD" w14:textId="77777777" w:rsidR="00A55D58" w:rsidRPr="00816F39" w:rsidRDefault="00A55D58">
            <w:pPr>
              <w:keepNext/>
              <w:keepLines/>
              <w:jc w:val="center"/>
              <w:rPr>
                <w:color w:val="FF0000"/>
                <w:sz w:val="20"/>
                <w:szCs w:val="20"/>
              </w:rPr>
            </w:pPr>
            <w:r w:rsidRPr="00816F39">
              <w:rPr>
                <w:color w:val="FF0000"/>
                <w:sz w:val="20"/>
                <w:szCs w:val="20"/>
              </w:rPr>
              <w:t>21,624</w:t>
            </w:r>
          </w:p>
        </w:tc>
      </w:tr>
      <w:tr w:rsidR="00A55D58" w:rsidRPr="00816F39" w14:paraId="5F93E05F" w14:textId="77777777" w:rsidTr="00D9245A">
        <w:tc>
          <w:tcPr>
            <w:tcW w:w="1320" w:type="dxa"/>
          </w:tcPr>
          <w:p w14:paraId="433405A2" w14:textId="77777777" w:rsidR="00A55D58" w:rsidRPr="00816F39" w:rsidRDefault="00A55D58">
            <w:pPr>
              <w:keepNext/>
              <w:keepLines/>
              <w:jc w:val="center"/>
              <w:rPr>
                <w:sz w:val="20"/>
                <w:szCs w:val="20"/>
              </w:rPr>
            </w:pPr>
            <w:r w:rsidRPr="00816F39">
              <w:rPr>
                <w:sz w:val="20"/>
                <w:szCs w:val="20"/>
              </w:rPr>
              <w:t>2043/2044</w:t>
            </w:r>
          </w:p>
        </w:tc>
        <w:tc>
          <w:tcPr>
            <w:tcW w:w="1334" w:type="dxa"/>
          </w:tcPr>
          <w:p w14:paraId="3DC8F2E4" w14:textId="77777777" w:rsidR="00A55D58" w:rsidRPr="00816F39" w:rsidRDefault="00A55D58">
            <w:pPr>
              <w:keepNext/>
              <w:keepLines/>
              <w:jc w:val="center"/>
              <w:rPr>
                <w:color w:val="FF0000"/>
                <w:sz w:val="20"/>
                <w:szCs w:val="20"/>
              </w:rPr>
            </w:pPr>
            <w:r w:rsidRPr="00816F39">
              <w:rPr>
                <w:color w:val="FF0000"/>
                <w:sz w:val="20"/>
                <w:szCs w:val="20"/>
              </w:rPr>
              <w:t>21,822</w:t>
            </w:r>
          </w:p>
        </w:tc>
        <w:tc>
          <w:tcPr>
            <w:tcW w:w="2111" w:type="dxa"/>
          </w:tcPr>
          <w:p w14:paraId="611AE2E7" w14:textId="77777777" w:rsidR="00A55D58" w:rsidRPr="00816F39" w:rsidRDefault="00A55D58">
            <w:pPr>
              <w:keepNext/>
              <w:keepLines/>
              <w:jc w:val="center"/>
              <w:rPr>
                <w:color w:val="FF0000"/>
                <w:sz w:val="20"/>
                <w:szCs w:val="20"/>
              </w:rPr>
            </w:pPr>
            <w:r w:rsidRPr="00816F39">
              <w:rPr>
                <w:color w:val="FF0000"/>
                <w:sz w:val="20"/>
                <w:szCs w:val="20"/>
              </w:rPr>
              <w:t>27,198</w:t>
            </w:r>
          </w:p>
        </w:tc>
        <w:tc>
          <w:tcPr>
            <w:tcW w:w="1137" w:type="dxa"/>
          </w:tcPr>
          <w:p w14:paraId="5F7F9C18" w14:textId="77777777" w:rsidR="00A55D58" w:rsidRPr="00816F39" w:rsidRDefault="00A55D58">
            <w:pPr>
              <w:keepNext/>
              <w:keepLines/>
              <w:jc w:val="center"/>
              <w:rPr>
                <w:sz w:val="20"/>
                <w:szCs w:val="20"/>
              </w:rPr>
            </w:pPr>
            <w:r w:rsidRPr="00816F39">
              <w:rPr>
                <w:sz w:val="20"/>
                <w:szCs w:val="20"/>
              </w:rPr>
              <w:t>2044</w:t>
            </w:r>
          </w:p>
        </w:tc>
        <w:tc>
          <w:tcPr>
            <w:tcW w:w="1293" w:type="dxa"/>
          </w:tcPr>
          <w:p w14:paraId="3D943F4D" w14:textId="77777777" w:rsidR="00A55D58" w:rsidRPr="00816F39" w:rsidRDefault="00A55D58">
            <w:pPr>
              <w:keepNext/>
              <w:keepLines/>
              <w:jc w:val="center"/>
              <w:rPr>
                <w:color w:val="FF0000"/>
                <w:sz w:val="20"/>
                <w:szCs w:val="20"/>
              </w:rPr>
            </w:pPr>
            <w:r w:rsidRPr="00816F39">
              <w:rPr>
                <w:color w:val="FF0000"/>
                <w:sz w:val="20"/>
                <w:szCs w:val="20"/>
              </w:rPr>
              <w:t>20,536</w:t>
            </w:r>
          </w:p>
        </w:tc>
        <w:tc>
          <w:tcPr>
            <w:tcW w:w="2155" w:type="dxa"/>
          </w:tcPr>
          <w:p w14:paraId="7B4D4D1A" w14:textId="77777777" w:rsidR="00A55D58" w:rsidRPr="00816F39" w:rsidRDefault="00A55D58">
            <w:pPr>
              <w:keepNext/>
              <w:keepLines/>
              <w:jc w:val="center"/>
              <w:rPr>
                <w:color w:val="FF0000"/>
                <w:sz w:val="20"/>
                <w:szCs w:val="20"/>
              </w:rPr>
            </w:pPr>
            <w:r w:rsidRPr="00816F39">
              <w:rPr>
                <w:color w:val="FF0000"/>
                <w:sz w:val="20"/>
                <w:szCs w:val="20"/>
              </w:rPr>
              <w:t>23,060</w:t>
            </w:r>
          </w:p>
        </w:tc>
      </w:tr>
    </w:tbl>
    <w:p w14:paraId="7D6DD81C" w14:textId="77777777" w:rsidR="00A55D58" w:rsidRPr="001E2278" w:rsidRDefault="00A55D58" w:rsidP="00A55D58">
      <w:pPr>
        <w:keepNext/>
        <w:keepLines/>
        <w:spacing w:before="240"/>
        <w:jc w:val="center"/>
        <w:rPr>
          <w:i/>
          <w:iCs/>
        </w:rPr>
      </w:pPr>
      <w:r w:rsidRPr="001E2278">
        <w:rPr>
          <w:i/>
          <w:iCs/>
        </w:rPr>
        <w:t>Table 8.</w:t>
      </w:r>
      <w:r>
        <w:rPr>
          <w:i/>
          <w:iCs/>
        </w:rPr>
        <w:t>1B</w:t>
      </w:r>
      <w:r w:rsidRPr="001E2278">
        <w:rPr>
          <w:i/>
          <w:iCs/>
        </w:rPr>
        <w:t xml:space="preserve">: </w:t>
      </w:r>
      <w:r>
        <w:rPr>
          <w:i/>
          <w:iCs/>
        </w:rPr>
        <w:t xml:space="preserve">Projected </w:t>
      </w:r>
      <w:r w:rsidRPr="001E2278">
        <w:rPr>
          <w:i/>
          <w:iCs/>
        </w:rPr>
        <w:t>Seasonal Capacity Needs</w:t>
      </w:r>
      <w:r>
        <w:rPr>
          <w:i/>
          <w:iCs/>
        </w:rPr>
        <w:t xml:space="preserve"> (MW) – MG0</w:t>
      </w:r>
    </w:p>
    <w:tbl>
      <w:tblPr>
        <w:tblStyle w:val="TableGridLight"/>
        <w:tblW w:w="9350" w:type="dxa"/>
        <w:tblLook w:val="04A0" w:firstRow="1" w:lastRow="0" w:firstColumn="1" w:lastColumn="0" w:noHBand="0" w:noVBand="1"/>
      </w:tblPr>
      <w:tblGrid>
        <w:gridCol w:w="1305"/>
        <w:gridCol w:w="1349"/>
        <w:gridCol w:w="2111"/>
        <w:gridCol w:w="1137"/>
        <w:gridCol w:w="1293"/>
        <w:gridCol w:w="2155"/>
      </w:tblGrid>
      <w:tr w:rsidR="006F5901" w:rsidRPr="00816F39" w14:paraId="4685D33E" w14:textId="2F8B6D55" w:rsidTr="3BD2F014">
        <w:tc>
          <w:tcPr>
            <w:tcW w:w="4765" w:type="dxa"/>
            <w:gridSpan w:val="3"/>
          </w:tcPr>
          <w:p w14:paraId="223E2E60" w14:textId="3F98A0B5" w:rsidR="006F5901" w:rsidRPr="00816F39" w:rsidRDefault="00BE1379" w:rsidP="00816F39">
            <w:pPr>
              <w:keepNext/>
              <w:keepLines/>
              <w:jc w:val="center"/>
              <w:rPr>
                <w:sz w:val="20"/>
                <w:szCs w:val="20"/>
              </w:rPr>
            </w:pPr>
            <w:r w:rsidRPr="00816F39">
              <w:rPr>
                <w:sz w:val="20"/>
                <w:szCs w:val="20"/>
              </w:rPr>
              <w:t>Wint</w:t>
            </w:r>
            <w:r w:rsidR="006F5901" w:rsidRPr="00816F39">
              <w:rPr>
                <w:sz w:val="20"/>
                <w:szCs w:val="20"/>
              </w:rPr>
              <w:t>er</w:t>
            </w:r>
          </w:p>
        </w:tc>
        <w:tc>
          <w:tcPr>
            <w:tcW w:w="4585" w:type="dxa"/>
            <w:gridSpan w:val="3"/>
          </w:tcPr>
          <w:p w14:paraId="12EE1160" w14:textId="7837F716" w:rsidR="006F5901" w:rsidRPr="00816F39" w:rsidRDefault="006F5901" w:rsidP="00816F39">
            <w:pPr>
              <w:keepNext/>
              <w:keepLines/>
              <w:jc w:val="center"/>
              <w:rPr>
                <w:sz w:val="20"/>
                <w:szCs w:val="20"/>
              </w:rPr>
            </w:pPr>
            <w:r w:rsidRPr="00816F39">
              <w:rPr>
                <w:sz w:val="20"/>
                <w:szCs w:val="20"/>
              </w:rPr>
              <w:t>Summer</w:t>
            </w:r>
          </w:p>
        </w:tc>
      </w:tr>
      <w:tr w:rsidR="00760B62" w:rsidRPr="00816F39" w14:paraId="12D5C020" w14:textId="07090814" w:rsidTr="00D9245A">
        <w:tc>
          <w:tcPr>
            <w:tcW w:w="1305" w:type="dxa"/>
          </w:tcPr>
          <w:p w14:paraId="1705DE79" w14:textId="1E5EB142" w:rsidR="006F5901" w:rsidRPr="00816F39" w:rsidRDefault="006F5901" w:rsidP="00816F39">
            <w:pPr>
              <w:keepNext/>
              <w:keepLines/>
              <w:jc w:val="center"/>
              <w:rPr>
                <w:sz w:val="20"/>
                <w:szCs w:val="20"/>
              </w:rPr>
            </w:pPr>
            <w:r w:rsidRPr="00816F39">
              <w:rPr>
                <w:sz w:val="20"/>
                <w:szCs w:val="20"/>
              </w:rPr>
              <w:t>Year</w:t>
            </w:r>
          </w:p>
        </w:tc>
        <w:tc>
          <w:tcPr>
            <w:tcW w:w="1349" w:type="dxa"/>
          </w:tcPr>
          <w:p w14:paraId="57347F7A" w14:textId="1243204D" w:rsidR="006F5901" w:rsidRPr="00816F39" w:rsidRDefault="00BE1379" w:rsidP="00816F39">
            <w:pPr>
              <w:keepNext/>
              <w:keepLines/>
              <w:jc w:val="center"/>
              <w:rPr>
                <w:sz w:val="20"/>
                <w:szCs w:val="20"/>
              </w:rPr>
            </w:pPr>
            <w:r w:rsidRPr="00816F39">
              <w:rPr>
                <w:sz w:val="20"/>
                <w:szCs w:val="20"/>
              </w:rPr>
              <w:t>Georgia Power</w:t>
            </w:r>
          </w:p>
        </w:tc>
        <w:tc>
          <w:tcPr>
            <w:tcW w:w="2111" w:type="dxa"/>
          </w:tcPr>
          <w:p w14:paraId="140B5C04" w14:textId="0F448D4E" w:rsidR="006F5901" w:rsidRPr="00816F39" w:rsidRDefault="00BE1379" w:rsidP="00816F39">
            <w:pPr>
              <w:keepNext/>
              <w:keepLines/>
              <w:jc w:val="center"/>
              <w:rPr>
                <w:sz w:val="20"/>
                <w:szCs w:val="20"/>
              </w:rPr>
            </w:pPr>
            <w:r w:rsidRPr="00816F39">
              <w:rPr>
                <w:sz w:val="20"/>
                <w:szCs w:val="20"/>
              </w:rPr>
              <w:t>Southern Retail Operating</w:t>
            </w:r>
            <w:r w:rsidR="00D9245A">
              <w:rPr>
                <w:sz w:val="20"/>
                <w:szCs w:val="20"/>
              </w:rPr>
              <w:t xml:space="preserve"> Companies</w:t>
            </w:r>
          </w:p>
        </w:tc>
        <w:tc>
          <w:tcPr>
            <w:tcW w:w="1137" w:type="dxa"/>
          </w:tcPr>
          <w:p w14:paraId="7EA5A6F3" w14:textId="75A4CA7D" w:rsidR="006F5901" w:rsidRPr="00816F39" w:rsidRDefault="006F5901" w:rsidP="00816F39">
            <w:pPr>
              <w:keepNext/>
              <w:keepLines/>
              <w:jc w:val="center"/>
              <w:rPr>
                <w:sz w:val="20"/>
                <w:szCs w:val="20"/>
              </w:rPr>
            </w:pPr>
            <w:r w:rsidRPr="00816F39">
              <w:rPr>
                <w:sz w:val="20"/>
                <w:szCs w:val="20"/>
              </w:rPr>
              <w:t>Year</w:t>
            </w:r>
          </w:p>
        </w:tc>
        <w:tc>
          <w:tcPr>
            <w:tcW w:w="1293" w:type="dxa"/>
          </w:tcPr>
          <w:p w14:paraId="4F52866B" w14:textId="2E4325FE" w:rsidR="006F5901" w:rsidRPr="00816F39" w:rsidRDefault="006F5901" w:rsidP="00816F39">
            <w:pPr>
              <w:keepNext/>
              <w:keepLines/>
              <w:jc w:val="center"/>
              <w:rPr>
                <w:sz w:val="20"/>
                <w:szCs w:val="20"/>
              </w:rPr>
            </w:pPr>
            <w:r w:rsidRPr="00816F39">
              <w:rPr>
                <w:sz w:val="20"/>
                <w:szCs w:val="20"/>
              </w:rPr>
              <w:t>Georgia Power</w:t>
            </w:r>
          </w:p>
        </w:tc>
        <w:tc>
          <w:tcPr>
            <w:tcW w:w="2155" w:type="dxa"/>
          </w:tcPr>
          <w:p w14:paraId="0087937A" w14:textId="07546B30" w:rsidR="006F5901" w:rsidRPr="00816F39" w:rsidRDefault="006F5901" w:rsidP="00816F39">
            <w:pPr>
              <w:keepNext/>
              <w:keepLines/>
              <w:jc w:val="center"/>
              <w:rPr>
                <w:sz w:val="20"/>
                <w:szCs w:val="20"/>
              </w:rPr>
            </w:pPr>
            <w:r w:rsidRPr="00816F39">
              <w:rPr>
                <w:sz w:val="20"/>
                <w:szCs w:val="20"/>
              </w:rPr>
              <w:t>Southern Retail Operating</w:t>
            </w:r>
            <w:r w:rsidR="00D9245A">
              <w:rPr>
                <w:sz w:val="20"/>
                <w:szCs w:val="20"/>
              </w:rPr>
              <w:t xml:space="preserve"> Companies</w:t>
            </w:r>
          </w:p>
        </w:tc>
      </w:tr>
      <w:tr w:rsidR="00760B62" w:rsidRPr="00816F39" w14:paraId="5F48CE6D" w14:textId="7C67592E" w:rsidTr="00D9245A">
        <w:tc>
          <w:tcPr>
            <w:tcW w:w="1305" w:type="dxa"/>
          </w:tcPr>
          <w:p w14:paraId="2D3847B8" w14:textId="4E00FA42" w:rsidR="006F5901" w:rsidRPr="00816F39" w:rsidRDefault="00BE1379" w:rsidP="00816F39">
            <w:pPr>
              <w:keepNext/>
              <w:keepLines/>
              <w:jc w:val="center"/>
              <w:rPr>
                <w:sz w:val="20"/>
                <w:szCs w:val="20"/>
              </w:rPr>
            </w:pPr>
            <w:r w:rsidRPr="00816F39">
              <w:rPr>
                <w:sz w:val="20"/>
                <w:szCs w:val="20"/>
              </w:rPr>
              <w:t>2024/</w:t>
            </w:r>
            <w:r w:rsidR="006F5901" w:rsidRPr="00816F39">
              <w:rPr>
                <w:sz w:val="20"/>
                <w:szCs w:val="20"/>
              </w:rPr>
              <w:t>2025</w:t>
            </w:r>
          </w:p>
        </w:tc>
        <w:tc>
          <w:tcPr>
            <w:tcW w:w="1349" w:type="dxa"/>
          </w:tcPr>
          <w:p w14:paraId="63242B3E" w14:textId="1D9BEB50" w:rsidR="006F5901" w:rsidRPr="00816F39" w:rsidRDefault="00760B62" w:rsidP="00816F39">
            <w:pPr>
              <w:keepNext/>
              <w:keepLines/>
              <w:jc w:val="center"/>
              <w:rPr>
                <w:sz w:val="20"/>
                <w:szCs w:val="20"/>
              </w:rPr>
            </w:pPr>
            <w:r w:rsidRPr="00816F39">
              <w:rPr>
                <w:sz w:val="20"/>
                <w:szCs w:val="20"/>
              </w:rPr>
              <w:t>(602)</w:t>
            </w:r>
          </w:p>
        </w:tc>
        <w:tc>
          <w:tcPr>
            <w:tcW w:w="2111" w:type="dxa"/>
          </w:tcPr>
          <w:p w14:paraId="7D9BDBB6" w14:textId="0128CE23" w:rsidR="006F5901" w:rsidRPr="00816F39" w:rsidRDefault="00922B41" w:rsidP="00816F39">
            <w:pPr>
              <w:keepNext/>
              <w:keepLines/>
              <w:jc w:val="center"/>
              <w:rPr>
                <w:sz w:val="20"/>
                <w:szCs w:val="20"/>
              </w:rPr>
            </w:pPr>
            <w:r w:rsidRPr="00816F39">
              <w:rPr>
                <w:sz w:val="20"/>
                <w:szCs w:val="20"/>
              </w:rPr>
              <w:t>(853)</w:t>
            </w:r>
          </w:p>
        </w:tc>
        <w:tc>
          <w:tcPr>
            <w:tcW w:w="1137" w:type="dxa"/>
          </w:tcPr>
          <w:p w14:paraId="02B80A4D" w14:textId="45DB031D" w:rsidR="006F5901" w:rsidRPr="00816F39" w:rsidRDefault="006F5901" w:rsidP="00816F39">
            <w:pPr>
              <w:keepNext/>
              <w:keepLines/>
              <w:jc w:val="center"/>
              <w:rPr>
                <w:sz w:val="20"/>
                <w:szCs w:val="20"/>
              </w:rPr>
            </w:pPr>
            <w:r w:rsidRPr="00816F39">
              <w:rPr>
                <w:sz w:val="20"/>
                <w:szCs w:val="20"/>
              </w:rPr>
              <w:t>2025</w:t>
            </w:r>
          </w:p>
        </w:tc>
        <w:tc>
          <w:tcPr>
            <w:tcW w:w="1293" w:type="dxa"/>
          </w:tcPr>
          <w:p w14:paraId="3B6B62D8" w14:textId="5F4B1D97" w:rsidR="006F5901" w:rsidRPr="00816F39" w:rsidRDefault="006F5901" w:rsidP="00816F39">
            <w:pPr>
              <w:keepNext/>
              <w:keepLines/>
              <w:jc w:val="center"/>
              <w:rPr>
                <w:sz w:val="20"/>
                <w:szCs w:val="20"/>
              </w:rPr>
            </w:pPr>
            <w:r w:rsidRPr="00816F39">
              <w:rPr>
                <w:sz w:val="20"/>
                <w:szCs w:val="20"/>
              </w:rPr>
              <w:t>(</w:t>
            </w:r>
            <w:r w:rsidR="00157761" w:rsidRPr="00816F39">
              <w:rPr>
                <w:sz w:val="20"/>
                <w:szCs w:val="20"/>
              </w:rPr>
              <w:t>898</w:t>
            </w:r>
            <w:r w:rsidRPr="00816F39">
              <w:rPr>
                <w:sz w:val="20"/>
                <w:szCs w:val="20"/>
              </w:rPr>
              <w:t>)</w:t>
            </w:r>
          </w:p>
        </w:tc>
        <w:tc>
          <w:tcPr>
            <w:tcW w:w="2155" w:type="dxa"/>
          </w:tcPr>
          <w:p w14:paraId="23D5271C" w14:textId="1E86BDF3" w:rsidR="006F5901" w:rsidRPr="00816F39" w:rsidRDefault="0098325F" w:rsidP="00816F39">
            <w:pPr>
              <w:keepNext/>
              <w:keepLines/>
              <w:jc w:val="center"/>
              <w:rPr>
                <w:sz w:val="20"/>
                <w:szCs w:val="20"/>
              </w:rPr>
            </w:pPr>
            <w:r w:rsidRPr="00816F39">
              <w:rPr>
                <w:sz w:val="20"/>
                <w:szCs w:val="20"/>
              </w:rPr>
              <w:t>(3,</w:t>
            </w:r>
            <w:r w:rsidR="00157761" w:rsidRPr="00816F39">
              <w:rPr>
                <w:sz w:val="20"/>
                <w:szCs w:val="20"/>
              </w:rPr>
              <w:t>867</w:t>
            </w:r>
            <w:r w:rsidRPr="00816F39">
              <w:rPr>
                <w:sz w:val="20"/>
                <w:szCs w:val="20"/>
              </w:rPr>
              <w:t>)</w:t>
            </w:r>
          </w:p>
        </w:tc>
      </w:tr>
      <w:tr w:rsidR="00760B62" w:rsidRPr="00816F39" w14:paraId="5D5D5EE6" w14:textId="16A18A47" w:rsidTr="00D9245A">
        <w:tc>
          <w:tcPr>
            <w:tcW w:w="1305" w:type="dxa"/>
          </w:tcPr>
          <w:p w14:paraId="07240870" w14:textId="57A60290" w:rsidR="006F5901" w:rsidRPr="00816F39" w:rsidRDefault="00BE1379" w:rsidP="00816F39">
            <w:pPr>
              <w:keepNext/>
              <w:keepLines/>
              <w:jc w:val="center"/>
              <w:rPr>
                <w:sz w:val="20"/>
                <w:szCs w:val="20"/>
              </w:rPr>
            </w:pPr>
            <w:r w:rsidRPr="00816F39">
              <w:rPr>
                <w:sz w:val="20"/>
                <w:szCs w:val="20"/>
              </w:rPr>
              <w:t>2025/</w:t>
            </w:r>
            <w:r w:rsidR="006F5901" w:rsidRPr="00816F39">
              <w:rPr>
                <w:sz w:val="20"/>
                <w:szCs w:val="20"/>
              </w:rPr>
              <w:t>2026</w:t>
            </w:r>
          </w:p>
        </w:tc>
        <w:tc>
          <w:tcPr>
            <w:tcW w:w="1349" w:type="dxa"/>
          </w:tcPr>
          <w:p w14:paraId="0C646631" w14:textId="30330AF5" w:rsidR="006F5901" w:rsidRPr="00816F39" w:rsidRDefault="00760B62" w:rsidP="00816F39">
            <w:pPr>
              <w:keepNext/>
              <w:keepLines/>
              <w:jc w:val="center"/>
              <w:rPr>
                <w:sz w:val="20"/>
                <w:szCs w:val="20"/>
              </w:rPr>
            </w:pPr>
            <w:r w:rsidRPr="00816F39">
              <w:rPr>
                <w:sz w:val="20"/>
                <w:szCs w:val="20"/>
              </w:rPr>
              <w:t>(781)</w:t>
            </w:r>
          </w:p>
        </w:tc>
        <w:tc>
          <w:tcPr>
            <w:tcW w:w="2111" w:type="dxa"/>
          </w:tcPr>
          <w:p w14:paraId="02B10D71" w14:textId="50277ECC" w:rsidR="006F5901" w:rsidRPr="00816F39" w:rsidRDefault="00922B41" w:rsidP="00816F39">
            <w:pPr>
              <w:keepNext/>
              <w:keepLines/>
              <w:jc w:val="center"/>
              <w:rPr>
                <w:sz w:val="20"/>
                <w:szCs w:val="20"/>
              </w:rPr>
            </w:pPr>
            <w:r w:rsidRPr="00816F39">
              <w:rPr>
                <w:sz w:val="20"/>
                <w:szCs w:val="20"/>
              </w:rPr>
              <w:t>(1,602)</w:t>
            </w:r>
          </w:p>
        </w:tc>
        <w:tc>
          <w:tcPr>
            <w:tcW w:w="1137" w:type="dxa"/>
          </w:tcPr>
          <w:p w14:paraId="246C7D67" w14:textId="45F84DC7" w:rsidR="006F5901" w:rsidRPr="00816F39" w:rsidRDefault="006F5901" w:rsidP="00816F39">
            <w:pPr>
              <w:keepNext/>
              <w:keepLines/>
              <w:jc w:val="center"/>
              <w:rPr>
                <w:sz w:val="20"/>
                <w:szCs w:val="20"/>
              </w:rPr>
            </w:pPr>
            <w:r w:rsidRPr="00816F39">
              <w:rPr>
                <w:sz w:val="20"/>
                <w:szCs w:val="20"/>
              </w:rPr>
              <w:t>2026</w:t>
            </w:r>
          </w:p>
        </w:tc>
        <w:tc>
          <w:tcPr>
            <w:tcW w:w="1293" w:type="dxa"/>
          </w:tcPr>
          <w:p w14:paraId="12497C79" w14:textId="1C73BAF4" w:rsidR="006F5901" w:rsidRPr="00816F39" w:rsidRDefault="006F5901" w:rsidP="00816F39">
            <w:pPr>
              <w:keepNext/>
              <w:keepLines/>
              <w:jc w:val="center"/>
              <w:rPr>
                <w:sz w:val="20"/>
                <w:szCs w:val="20"/>
              </w:rPr>
            </w:pPr>
            <w:r w:rsidRPr="00816F39">
              <w:rPr>
                <w:sz w:val="20"/>
                <w:szCs w:val="20"/>
              </w:rPr>
              <w:t>(7</w:t>
            </w:r>
            <w:r w:rsidR="00157761" w:rsidRPr="00816F39">
              <w:rPr>
                <w:sz w:val="20"/>
                <w:szCs w:val="20"/>
              </w:rPr>
              <w:t>08</w:t>
            </w:r>
            <w:r w:rsidRPr="00816F39">
              <w:rPr>
                <w:sz w:val="20"/>
                <w:szCs w:val="20"/>
              </w:rPr>
              <w:t>)</w:t>
            </w:r>
          </w:p>
        </w:tc>
        <w:tc>
          <w:tcPr>
            <w:tcW w:w="2155" w:type="dxa"/>
          </w:tcPr>
          <w:p w14:paraId="4E42931E" w14:textId="5AE35C2A" w:rsidR="006F5901" w:rsidRPr="00816F39" w:rsidRDefault="0098325F" w:rsidP="00816F39">
            <w:pPr>
              <w:keepNext/>
              <w:keepLines/>
              <w:jc w:val="center"/>
              <w:rPr>
                <w:sz w:val="20"/>
                <w:szCs w:val="20"/>
              </w:rPr>
            </w:pPr>
            <w:r w:rsidRPr="00816F39">
              <w:rPr>
                <w:sz w:val="20"/>
                <w:szCs w:val="20"/>
              </w:rPr>
              <w:t>(4,3</w:t>
            </w:r>
            <w:r w:rsidR="00157761" w:rsidRPr="00816F39">
              <w:rPr>
                <w:sz w:val="20"/>
                <w:szCs w:val="20"/>
              </w:rPr>
              <w:t>11</w:t>
            </w:r>
            <w:r w:rsidRPr="00816F39">
              <w:rPr>
                <w:sz w:val="20"/>
                <w:szCs w:val="20"/>
              </w:rPr>
              <w:t>)</w:t>
            </w:r>
          </w:p>
        </w:tc>
      </w:tr>
      <w:tr w:rsidR="00760B62" w:rsidRPr="00816F39" w14:paraId="2E7630F4" w14:textId="6DEE980D" w:rsidTr="00D9245A">
        <w:tc>
          <w:tcPr>
            <w:tcW w:w="1305" w:type="dxa"/>
          </w:tcPr>
          <w:p w14:paraId="620E75E5" w14:textId="4CA05D30" w:rsidR="006F5901" w:rsidRPr="00816F39" w:rsidRDefault="00BE1379" w:rsidP="00816F39">
            <w:pPr>
              <w:keepNext/>
              <w:keepLines/>
              <w:jc w:val="center"/>
              <w:rPr>
                <w:sz w:val="20"/>
                <w:szCs w:val="20"/>
              </w:rPr>
            </w:pPr>
            <w:r w:rsidRPr="00816F39">
              <w:rPr>
                <w:sz w:val="20"/>
                <w:szCs w:val="20"/>
              </w:rPr>
              <w:t>2026/</w:t>
            </w:r>
            <w:r w:rsidR="006F5901" w:rsidRPr="00816F39">
              <w:rPr>
                <w:sz w:val="20"/>
                <w:szCs w:val="20"/>
              </w:rPr>
              <w:t>2027</w:t>
            </w:r>
          </w:p>
        </w:tc>
        <w:tc>
          <w:tcPr>
            <w:tcW w:w="1349" w:type="dxa"/>
          </w:tcPr>
          <w:p w14:paraId="5FCDC8F3" w14:textId="7DC7C471" w:rsidR="006F5901" w:rsidRPr="00816F39" w:rsidRDefault="00760B62" w:rsidP="00816F39">
            <w:pPr>
              <w:keepNext/>
              <w:keepLines/>
              <w:jc w:val="center"/>
              <w:rPr>
                <w:color w:val="FF0000"/>
                <w:sz w:val="20"/>
                <w:szCs w:val="20"/>
              </w:rPr>
            </w:pPr>
            <w:r w:rsidRPr="00816F39">
              <w:rPr>
                <w:sz w:val="20"/>
                <w:szCs w:val="20"/>
              </w:rPr>
              <w:t>(598)</w:t>
            </w:r>
          </w:p>
        </w:tc>
        <w:tc>
          <w:tcPr>
            <w:tcW w:w="2111" w:type="dxa"/>
          </w:tcPr>
          <w:p w14:paraId="74A30EA8" w14:textId="2925A889" w:rsidR="006F5901" w:rsidRPr="00816F39" w:rsidRDefault="00922B41" w:rsidP="00816F39">
            <w:pPr>
              <w:keepNext/>
              <w:keepLines/>
              <w:jc w:val="center"/>
              <w:rPr>
                <w:sz w:val="20"/>
                <w:szCs w:val="20"/>
              </w:rPr>
            </w:pPr>
            <w:r w:rsidRPr="00816F39">
              <w:rPr>
                <w:sz w:val="20"/>
                <w:szCs w:val="20"/>
              </w:rPr>
              <w:t>(1,</w:t>
            </w:r>
            <w:r w:rsidR="00F44D53" w:rsidRPr="00816F39">
              <w:rPr>
                <w:sz w:val="20"/>
                <w:szCs w:val="20"/>
              </w:rPr>
              <w:t>01</w:t>
            </w:r>
            <w:r w:rsidRPr="00816F39">
              <w:rPr>
                <w:sz w:val="20"/>
                <w:szCs w:val="20"/>
              </w:rPr>
              <w:t>4)</w:t>
            </w:r>
          </w:p>
        </w:tc>
        <w:tc>
          <w:tcPr>
            <w:tcW w:w="1137" w:type="dxa"/>
          </w:tcPr>
          <w:p w14:paraId="25832A3F" w14:textId="3DFF7B92" w:rsidR="006F5901" w:rsidRPr="00816F39" w:rsidRDefault="006F5901" w:rsidP="00816F39">
            <w:pPr>
              <w:keepNext/>
              <w:keepLines/>
              <w:jc w:val="center"/>
              <w:rPr>
                <w:sz w:val="20"/>
                <w:szCs w:val="20"/>
              </w:rPr>
            </w:pPr>
            <w:r w:rsidRPr="00816F39">
              <w:rPr>
                <w:sz w:val="20"/>
                <w:szCs w:val="20"/>
              </w:rPr>
              <w:t>2027</w:t>
            </w:r>
          </w:p>
        </w:tc>
        <w:tc>
          <w:tcPr>
            <w:tcW w:w="1293" w:type="dxa"/>
          </w:tcPr>
          <w:p w14:paraId="3F464D09" w14:textId="233A502E" w:rsidR="006F5901" w:rsidRPr="00816F39" w:rsidRDefault="00157761" w:rsidP="00816F39">
            <w:pPr>
              <w:keepNext/>
              <w:keepLines/>
              <w:jc w:val="center"/>
              <w:rPr>
                <w:color w:val="FF0000"/>
                <w:sz w:val="20"/>
                <w:szCs w:val="20"/>
              </w:rPr>
            </w:pPr>
            <w:r w:rsidRPr="00816F39">
              <w:rPr>
                <w:color w:val="FF0000"/>
                <w:sz w:val="20"/>
                <w:szCs w:val="20"/>
              </w:rPr>
              <w:t>80</w:t>
            </w:r>
          </w:p>
        </w:tc>
        <w:tc>
          <w:tcPr>
            <w:tcW w:w="2155" w:type="dxa"/>
          </w:tcPr>
          <w:p w14:paraId="754C1112" w14:textId="1E98A889" w:rsidR="006F5901" w:rsidRPr="00816F39" w:rsidRDefault="0098325F" w:rsidP="00816F39">
            <w:pPr>
              <w:keepNext/>
              <w:keepLines/>
              <w:jc w:val="center"/>
              <w:rPr>
                <w:sz w:val="20"/>
                <w:szCs w:val="20"/>
              </w:rPr>
            </w:pPr>
            <w:r w:rsidRPr="00816F39">
              <w:rPr>
                <w:sz w:val="20"/>
                <w:szCs w:val="20"/>
              </w:rPr>
              <w:t>(3,5</w:t>
            </w:r>
            <w:r w:rsidR="00F84F93" w:rsidRPr="00816F39">
              <w:rPr>
                <w:sz w:val="20"/>
                <w:szCs w:val="20"/>
              </w:rPr>
              <w:t>27</w:t>
            </w:r>
            <w:r w:rsidRPr="00816F39">
              <w:rPr>
                <w:sz w:val="20"/>
                <w:szCs w:val="20"/>
              </w:rPr>
              <w:t>)</w:t>
            </w:r>
          </w:p>
        </w:tc>
      </w:tr>
      <w:tr w:rsidR="00760B62" w:rsidRPr="00816F39" w14:paraId="7B6D60D9" w14:textId="0A41D7EF" w:rsidTr="00D9245A">
        <w:tc>
          <w:tcPr>
            <w:tcW w:w="1305" w:type="dxa"/>
          </w:tcPr>
          <w:p w14:paraId="0740C61A" w14:textId="67F4C1EE" w:rsidR="006F5901" w:rsidRPr="00816F39" w:rsidRDefault="00BE1379" w:rsidP="00816F39">
            <w:pPr>
              <w:keepNext/>
              <w:keepLines/>
              <w:jc w:val="center"/>
              <w:rPr>
                <w:sz w:val="20"/>
                <w:szCs w:val="20"/>
              </w:rPr>
            </w:pPr>
            <w:r w:rsidRPr="00816F39">
              <w:rPr>
                <w:sz w:val="20"/>
                <w:szCs w:val="20"/>
              </w:rPr>
              <w:t>2027/</w:t>
            </w:r>
            <w:r w:rsidR="006F5901" w:rsidRPr="00816F39">
              <w:rPr>
                <w:sz w:val="20"/>
                <w:szCs w:val="20"/>
              </w:rPr>
              <w:t>2028</w:t>
            </w:r>
          </w:p>
        </w:tc>
        <w:tc>
          <w:tcPr>
            <w:tcW w:w="1349" w:type="dxa"/>
          </w:tcPr>
          <w:p w14:paraId="5AFC9588" w14:textId="3177B089" w:rsidR="006F5901" w:rsidRPr="00816F39" w:rsidRDefault="00760B62" w:rsidP="00816F39">
            <w:pPr>
              <w:keepNext/>
              <w:keepLines/>
              <w:jc w:val="center"/>
              <w:rPr>
                <w:color w:val="FF0000"/>
                <w:sz w:val="20"/>
                <w:szCs w:val="20"/>
              </w:rPr>
            </w:pPr>
            <w:r w:rsidRPr="00816F39">
              <w:rPr>
                <w:color w:val="FF0000"/>
                <w:sz w:val="20"/>
                <w:szCs w:val="20"/>
              </w:rPr>
              <w:t>1,467</w:t>
            </w:r>
          </w:p>
        </w:tc>
        <w:tc>
          <w:tcPr>
            <w:tcW w:w="2111" w:type="dxa"/>
          </w:tcPr>
          <w:p w14:paraId="27016431" w14:textId="6F7013E0" w:rsidR="006F5901" w:rsidRPr="00816F39" w:rsidRDefault="00922B41" w:rsidP="00816F39">
            <w:pPr>
              <w:keepNext/>
              <w:keepLines/>
              <w:jc w:val="center"/>
              <w:rPr>
                <w:color w:val="FF0000"/>
                <w:sz w:val="20"/>
                <w:szCs w:val="20"/>
              </w:rPr>
            </w:pPr>
            <w:r w:rsidRPr="00816F39">
              <w:rPr>
                <w:color w:val="FF0000"/>
                <w:sz w:val="20"/>
                <w:szCs w:val="20"/>
              </w:rPr>
              <w:t>1,295</w:t>
            </w:r>
          </w:p>
        </w:tc>
        <w:tc>
          <w:tcPr>
            <w:tcW w:w="1137" w:type="dxa"/>
          </w:tcPr>
          <w:p w14:paraId="6BCA1F65" w14:textId="51042524" w:rsidR="006F5901" w:rsidRPr="00816F39" w:rsidRDefault="006F5901" w:rsidP="00816F39">
            <w:pPr>
              <w:keepNext/>
              <w:keepLines/>
              <w:jc w:val="center"/>
              <w:rPr>
                <w:sz w:val="20"/>
                <w:szCs w:val="20"/>
              </w:rPr>
            </w:pPr>
            <w:r w:rsidRPr="00816F39">
              <w:rPr>
                <w:sz w:val="20"/>
                <w:szCs w:val="20"/>
              </w:rPr>
              <w:t>2028</w:t>
            </w:r>
          </w:p>
        </w:tc>
        <w:tc>
          <w:tcPr>
            <w:tcW w:w="1293" w:type="dxa"/>
          </w:tcPr>
          <w:p w14:paraId="40051484" w14:textId="46C4920F" w:rsidR="006F5901" w:rsidRPr="00816F39" w:rsidRDefault="00922B41" w:rsidP="00816F39">
            <w:pPr>
              <w:keepNext/>
              <w:keepLines/>
              <w:jc w:val="center"/>
              <w:rPr>
                <w:color w:val="FF0000"/>
                <w:sz w:val="20"/>
                <w:szCs w:val="20"/>
              </w:rPr>
            </w:pPr>
            <w:r w:rsidRPr="00816F39">
              <w:rPr>
                <w:color w:val="FF0000"/>
                <w:sz w:val="20"/>
                <w:szCs w:val="20"/>
              </w:rPr>
              <w:t>2,1</w:t>
            </w:r>
            <w:r w:rsidR="00157761" w:rsidRPr="00816F39">
              <w:rPr>
                <w:color w:val="FF0000"/>
                <w:sz w:val="20"/>
                <w:szCs w:val="20"/>
              </w:rPr>
              <w:t>32</w:t>
            </w:r>
          </w:p>
        </w:tc>
        <w:tc>
          <w:tcPr>
            <w:tcW w:w="2155" w:type="dxa"/>
          </w:tcPr>
          <w:p w14:paraId="1B05982F" w14:textId="57C35329" w:rsidR="006F5901" w:rsidRPr="00816F39" w:rsidRDefault="0098325F" w:rsidP="00816F39">
            <w:pPr>
              <w:keepNext/>
              <w:keepLines/>
              <w:jc w:val="center"/>
              <w:rPr>
                <w:sz w:val="20"/>
                <w:szCs w:val="20"/>
              </w:rPr>
            </w:pPr>
            <w:r w:rsidRPr="00816F39">
              <w:rPr>
                <w:sz w:val="20"/>
                <w:szCs w:val="20"/>
              </w:rPr>
              <w:t>(</w:t>
            </w:r>
            <w:r w:rsidR="00F84F93" w:rsidRPr="00816F39">
              <w:rPr>
                <w:sz w:val="20"/>
                <w:szCs w:val="20"/>
              </w:rPr>
              <w:t>191</w:t>
            </w:r>
            <w:r w:rsidRPr="00816F39">
              <w:rPr>
                <w:sz w:val="20"/>
                <w:szCs w:val="20"/>
              </w:rPr>
              <w:t>)</w:t>
            </w:r>
          </w:p>
        </w:tc>
      </w:tr>
      <w:tr w:rsidR="00760B62" w:rsidRPr="00816F39" w14:paraId="13CCBD4F" w14:textId="70E2BCD7" w:rsidTr="00D9245A">
        <w:tc>
          <w:tcPr>
            <w:tcW w:w="1305" w:type="dxa"/>
          </w:tcPr>
          <w:p w14:paraId="2E2955C0" w14:textId="50B6881A" w:rsidR="006F5901" w:rsidRPr="00816F39" w:rsidRDefault="00BE1379" w:rsidP="00816F39">
            <w:pPr>
              <w:keepNext/>
              <w:keepLines/>
              <w:jc w:val="center"/>
              <w:rPr>
                <w:sz w:val="20"/>
                <w:szCs w:val="20"/>
              </w:rPr>
            </w:pPr>
            <w:r w:rsidRPr="00816F39">
              <w:rPr>
                <w:sz w:val="20"/>
                <w:szCs w:val="20"/>
              </w:rPr>
              <w:t>2028/</w:t>
            </w:r>
            <w:r w:rsidR="006F5901" w:rsidRPr="00816F39">
              <w:rPr>
                <w:sz w:val="20"/>
                <w:szCs w:val="20"/>
              </w:rPr>
              <w:t>2029</w:t>
            </w:r>
          </w:p>
        </w:tc>
        <w:tc>
          <w:tcPr>
            <w:tcW w:w="1349" w:type="dxa"/>
          </w:tcPr>
          <w:p w14:paraId="02CB7667" w14:textId="648B88F2" w:rsidR="006F5901" w:rsidRPr="00816F39" w:rsidRDefault="00760B62" w:rsidP="00816F39">
            <w:pPr>
              <w:keepNext/>
              <w:keepLines/>
              <w:jc w:val="center"/>
              <w:rPr>
                <w:color w:val="FF0000"/>
                <w:sz w:val="20"/>
                <w:szCs w:val="20"/>
              </w:rPr>
            </w:pPr>
            <w:r w:rsidRPr="00816F39">
              <w:rPr>
                <w:color w:val="FF0000"/>
                <w:sz w:val="20"/>
                <w:szCs w:val="20"/>
              </w:rPr>
              <w:t>4,086</w:t>
            </w:r>
          </w:p>
        </w:tc>
        <w:tc>
          <w:tcPr>
            <w:tcW w:w="2111" w:type="dxa"/>
          </w:tcPr>
          <w:p w14:paraId="528A041D" w14:textId="01ABDC3A" w:rsidR="006F5901" w:rsidRPr="00816F39" w:rsidRDefault="00922B41" w:rsidP="00816F39">
            <w:pPr>
              <w:keepNext/>
              <w:keepLines/>
              <w:jc w:val="center"/>
              <w:rPr>
                <w:color w:val="FF0000"/>
                <w:sz w:val="20"/>
                <w:szCs w:val="20"/>
              </w:rPr>
            </w:pPr>
            <w:r w:rsidRPr="00816F39">
              <w:rPr>
                <w:color w:val="FF0000"/>
                <w:sz w:val="20"/>
                <w:szCs w:val="20"/>
              </w:rPr>
              <w:t>5,329</w:t>
            </w:r>
          </w:p>
        </w:tc>
        <w:tc>
          <w:tcPr>
            <w:tcW w:w="1137" w:type="dxa"/>
          </w:tcPr>
          <w:p w14:paraId="3D20E750" w14:textId="62F5E215" w:rsidR="006F5901" w:rsidRPr="00816F39" w:rsidRDefault="006F5901" w:rsidP="00816F39">
            <w:pPr>
              <w:keepNext/>
              <w:keepLines/>
              <w:jc w:val="center"/>
              <w:rPr>
                <w:color w:val="FF0000"/>
                <w:sz w:val="20"/>
                <w:szCs w:val="20"/>
              </w:rPr>
            </w:pPr>
            <w:r w:rsidRPr="00816F39">
              <w:rPr>
                <w:sz w:val="20"/>
                <w:szCs w:val="20"/>
              </w:rPr>
              <w:t>2029</w:t>
            </w:r>
          </w:p>
        </w:tc>
        <w:tc>
          <w:tcPr>
            <w:tcW w:w="1293" w:type="dxa"/>
          </w:tcPr>
          <w:p w14:paraId="41CAA403" w14:textId="709F9B47" w:rsidR="006F5901" w:rsidRPr="00816F39" w:rsidRDefault="0098325F" w:rsidP="00816F39">
            <w:pPr>
              <w:keepNext/>
              <w:keepLines/>
              <w:jc w:val="center"/>
              <w:rPr>
                <w:color w:val="FF0000"/>
                <w:sz w:val="20"/>
                <w:szCs w:val="20"/>
              </w:rPr>
            </w:pPr>
            <w:r w:rsidRPr="00816F39">
              <w:rPr>
                <w:color w:val="FF0000"/>
                <w:sz w:val="20"/>
                <w:szCs w:val="20"/>
              </w:rPr>
              <w:t>4,846</w:t>
            </w:r>
          </w:p>
        </w:tc>
        <w:tc>
          <w:tcPr>
            <w:tcW w:w="2155" w:type="dxa"/>
          </w:tcPr>
          <w:p w14:paraId="45736B82" w14:textId="7891E038" w:rsidR="006F5901" w:rsidRPr="00816F39" w:rsidRDefault="0098325F" w:rsidP="00816F39">
            <w:pPr>
              <w:keepNext/>
              <w:keepLines/>
              <w:jc w:val="center"/>
              <w:rPr>
                <w:color w:val="FF0000"/>
                <w:sz w:val="20"/>
                <w:szCs w:val="20"/>
              </w:rPr>
            </w:pPr>
            <w:r w:rsidRPr="00816F39">
              <w:rPr>
                <w:color w:val="FF0000"/>
                <w:sz w:val="20"/>
                <w:szCs w:val="20"/>
              </w:rPr>
              <w:t>3,041</w:t>
            </w:r>
          </w:p>
        </w:tc>
      </w:tr>
      <w:tr w:rsidR="00760B62" w:rsidRPr="00816F39" w14:paraId="7E1E603B" w14:textId="6E3DD62D" w:rsidTr="00D9245A">
        <w:tc>
          <w:tcPr>
            <w:tcW w:w="1305" w:type="dxa"/>
          </w:tcPr>
          <w:p w14:paraId="308731FA" w14:textId="7D10FE4F" w:rsidR="006F5901" w:rsidRPr="00816F39" w:rsidRDefault="00BE1379" w:rsidP="00816F39">
            <w:pPr>
              <w:keepNext/>
              <w:keepLines/>
              <w:jc w:val="center"/>
              <w:rPr>
                <w:sz w:val="20"/>
                <w:szCs w:val="20"/>
              </w:rPr>
            </w:pPr>
            <w:r w:rsidRPr="00816F39">
              <w:rPr>
                <w:sz w:val="20"/>
                <w:szCs w:val="20"/>
              </w:rPr>
              <w:t>2029/</w:t>
            </w:r>
            <w:r w:rsidR="006F5901" w:rsidRPr="00816F39">
              <w:rPr>
                <w:sz w:val="20"/>
                <w:szCs w:val="20"/>
              </w:rPr>
              <w:t>2030</w:t>
            </w:r>
          </w:p>
        </w:tc>
        <w:tc>
          <w:tcPr>
            <w:tcW w:w="1349" w:type="dxa"/>
          </w:tcPr>
          <w:p w14:paraId="4D951917" w14:textId="67D4F950" w:rsidR="006F5901" w:rsidRPr="00816F39" w:rsidRDefault="00922B41" w:rsidP="00816F39">
            <w:pPr>
              <w:keepNext/>
              <w:keepLines/>
              <w:jc w:val="center"/>
              <w:rPr>
                <w:color w:val="FF0000"/>
                <w:sz w:val="20"/>
                <w:szCs w:val="20"/>
              </w:rPr>
            </w:pPr>
            <w:r w:rsidRPr="00816F39">
              <w:rPr>
                <w:color w:val="FF0000"/>
                <w:sz w:val="20"/>
                <w:szCs w:val="20"/>
              </w:rPr>
              <w:t>5,783</w:t>
            </w:r>
          </w:p>
        </w:tc>
        <w:tc>
          <w:tcPr>
            <w:tcW w:w="2111" w:type="dxa"/>
          </w:tcPr>
          <w:p w14:paraId="6BF055F4" w14:textId="64DB1735" w:rsidR="006F5901" w:rsidRPr="00816F39" w:rsidRDefault="00922B41" w:rsidP="00816F39">
            <w:pPr>
              <w:keepNext/>
              <w:keepLines/>
              <w:jc w:val="center"/>
              <w:rPr>
                <w:color w:val="FF0000"/>
                <w:sz w:val="20"/>
                <w:szCs w:val="20"/>
              </w:rPr>
            </w:pPr>
            <w:r w:rsidRPr="00816F39">
              <w:rPr>
                <w:color w:val="FF0000"/>
                <w:sz w:val="20"/>
                <w:szCs w:val="20"/>
              </w:rPr>
              <w:t>7,236</w:t>
            </w:r>
          </w:p>
        </w:tc>
        <w:tc>
          <w:tcPr>
            <w:tcW w:w="1137" w:type="dxa"/>
          </w:tcPr>
          <w:p w14:paraId="30C3CBBB" w14:textId="1C318DE1" w:rsidR="006F5901" w:rsidRPr="00816F39" w:rsidRDefault="006F5901" w:rsidP="00816F39">
            <w:pPr>
              <w:keepNext/>
              <w:keepLines/>
              <w:jc w:val="center"/>
              <w:rPr>
                <w:color w:val="FF0000"/>
                <w:sz w:val="20"/>
                <w:szCs w:val="20"/>
              </w:rPr>
            </w:pPr>
            <w:r w:rsidRPr="00816F39">
              <w:rPr>
                <w:sz w:val="20"/>
                <w:szCs w:val="20"/>
              </w:rPr>
              <w:t>2030</w:t>
            </w:r>
          </w:p>
        </w:tc>
        <w:tc>
          <w:tcPr>
            <w:tcW w:w="1293" w:type="dxa"/>
          </w:tcPr>
          <w:p w14:paraId="0D7377F5" w14:textId="331FC9BA" w:rsidR="006F5901" w:rsidRPr="00816F39" w:rsidRDefault="0098325F" w:rsidP="00816F39">
            <w:pPr>
              <w:keepNext/>
              <w:keepLines/>
              <w:jc w:val="center"/>
              <w:rPr>
                <w:color w:val="FF0000"/>
                <w:sz w:val="20"/>
                <w:szCs w:val="20"/>
              </w:rPr>
            </w:pPr>
            <w:r w:rsidRPr="00816F39">
              <w:rPr>
                <w:color w:val="FF0000"/>
                <w:sz w:val="20"/>
                <w:szCs w:val="20"/>
              </w:rPr>
              <w:t>7,568</w:t>
            </w:r>
          </w:p>
        </w:tc>
        <w:tc>
          <w:tcPr>
            <w:tcW w:w="2155" w:type="dxa"/>
          </w:tcPr>
          <w:p w14:paraId="554E64CC" w14:textId="0F79D63A" w:rsidR="006F5901" w:rsidRPr="00816F39" w:rsidRDefault="0098325F" w:rsidP="00816F39">
            <w:pPr>
              <w:keepNext/>
              <w:keepLines/>
              <w:jc w:val="center"/>
              <w:rPr>
                <w:color w:val="FF0000"/>
                <w:sz w:val="20"/>
                <w:szCs w:val="20"/>
              </w:rPr>
            </w:pPr>
            <w:r w:rsidRPr="00816F39">
              <w:rPr>
                <w:color w:val="FF0000"/>
                <w:sz w:val="20"/>
                <w:szCs w:val="20"/>
              </w:rPr>
              <w:t>5,881</w:t>
            </w:r>
          </w:p>
        </w:tc>
      </w:tr>
      <w:tr w:rsidR="00760B62" w:rsidRPr="00816F39" w14:paraId="16A0BE17" w14:textId="5D4855DB" w:rsidTr="00D9245A">
        <w:tc>
          <w:tcPr>
            <w:tcW w:w="1305" w:type="dxa"/>
          </w:tcPr>
          <w:p w14:paraId="6E5EBB88" w14:textId="49F3FA78" w:rsidR="006F5901" w:rsidRPr="00816F39" w:rsidRDefault="00BE1379" w:rsidP="00816F39">
            <w:pPr>
              <w:keepNext/>
              <w:keepLines/>
              <w:jc w:val="center"/>
              <w:rPr>
                <w:sz w:val="20"/>
                <w:szCs w:val="20"/>
              </w:rPr>
            </w:pPr>
            <w:r w:rsidRPr="00816F39">
              <w:rPr>
                <w:sz w:val="20"/>
                <w:szCs w:val="20"/>
              </w:rPr>
              <w:t>2030/</w:t>
            </w:r>
            <w:r w:rsidR="006F5901" w:rsidRPr="00816F39">
              <w:rPr>
                <w:sz w:val="20"/>
                <w:szCs w:val="20"/>
              </w:rPr>
              <w:t>2031</w:t>
            </w:r>
          </w:p>
        </w:tc>
        <w:tc>
          <w:tcPr>
            <w:tcW w:w="1349" w:type="dxa"/>
          </w:tcPr>
          <w:p w14:paraId="434D333D" w14:textId="1C1CAB61" w:rsidR="006F5901" w:rsidRPr="00816F39" w:rsidRDefault="00922B41" w:rsidP="00816F39">
            <w:pPr>
              <w:keepNext/>
              <w:keepLines/>
              <w:jc w:val="center"/>
              <w:rPr>
                <w:color w:val="FF0000"/>
                <w:sz w:val="20"/>
                <w:szCs w:val="20"/>
              </w:rPr>
            </w:pPr>
            <w:r w:rsidRPr="00816F39">
              <w:rPr>
                <w:color w:val="FF0000"/>
                <w:sz w:val="20"/>
                <w:szCs w:val="20"/>
              </w:rPr>
              <w:t>8,948</w:t>
            </w:r>
          </w:p>
        </w:tc>
        <w:tc>
          <w:tcPr>
            <w:tcW w:w="2111" w:type="dxa"/>
          </w:tcPr>
          <w:p w14:paraId="03B3751E" w14:textId="152CA6FA" w:rsidR="006F5901" w:rsidRPr="00816F39" w:rsidRDefault="00922B41" w:rsidP="00816F39">
            <w:pPr>
              <w:keepNext/>
              <w:keepLines/>
              <w:jc w:val="center"/>
              <w:rPr>
                <w:color w:val="FF0000"/>
                <w:sz w:val="20"/>
                <w:szCs w:val="20"/>
              </w:rPr>
            </w:pPr>
            <w:r w:rsidRPr="00816F39">
              <w:rPr>
                <w:color w:val="FF0000"/>
                <w:sz w:val="20"/>
                <w:szCs w:val="20"/>
              </w:rPr>
              <w:t>10,588</w:t>
            </w:r>
          </w:p>
        </w:tc>
        <w:tc>
          <w:tcPr>
            <w:tcW w:w="1137" w:type="dxa"/>
          </w:tcPr>
          <w:p w14:paraId="79A35DBE" w14:textId="096A2F58" w:rsidR="006F5901" w:rsidRPr="00816F39" w:rsidRDefault="006F5901" w:rsidP="00816F39">
            <w:pPr>
              <w:keepNext/>
              <w:keepLines/>
              <w:jc w:val="center"/>
              <w:rPr>
                <w:color w:val="FF0000"/>
                <w:sz w:val="20"/>
                <w:szCs w:val="20"/>
              </w:rPr>
            </w:pPr>
            <w:r w:rsidRPr="00816F39">
              <w:rPr>
                <w:sz w:val="20"/>
                <w:szCs w:val="20"/>
              </w:rPr>
              <w:t>2031</w:t>
            </w:r>
          </w:p>
        </w:tc>
        <w:tc>
          <w:tcPr>
            <w:tcW w:w="1293" w:type="dxa"/>
          </w:tcPr>
          <w:p w14:paraId="44E9BE02" w14:textId="68DD14F4" w:rsidR="006F5901" w:rsidRPr="00816F39" w:rsidRDefault="0098325F" w:rsidP="00816F39">
            <w:pPr>
              <w:keepNext/>
              <w:keepLines/>
              <w:jc w:val="center"/>
              <w:rPr>
                <w:color w:val="FF0000"/>
                <w:sz w:val="20"/>
                <w:szCs w:val="20"/>
              </w:rPr>
            </w:pPr>
            <w:r w:rsidRPr="00816F39">
              <w:rPr>
                <w:color w:val="FF0000"/>
                <w:sz w:val="20"/>
                <w:szCs w:val="20"/>
              </w:rPr>
              <w:t>8,277</w:t>
            </w:r>
          </w:p>
        </w:tc>
        <w:tc>
          <w:tcPr>
            <w:tcW w:w="2155" w:type="dxa"/>
          </w:tcPr>
          <w:p w14:paraId="3B12A93F" w14:textId="0ABCD442" w:rsidR="006F5901" w:rsidRPr="00816F39" w:rsidRDefault="0098325F" w:rsidP="00816F39">
            <w:pPr>
              <w:keepNext/>
              <w:keepLines/>
              <w:jc w:val="center"/>
              <w:rPr>
                <w:color w:val="FF0000"/>
                <w:sz w:val="20"/>
                <w:szCs w:val="20"/>
              </w:rPr>
            </w:pPr>
            <w:r w:rsidRPr="00816F39">
              <w:rPr>
                <w:color w:val="FF0000"/>
                <w:sz w:val="20"/>
                <w:szCs w:val="20"/>
              </w:rPr>
              <w:t>6,721</w:t>
            </w:r>
          </w:p>
        </w:tc>
      </w:tr>
      <w:tr w:rsidR="00760B62" w:rsidRPr="00816F39" w14:paraId="118AADD8" w14:textId="18932C25" w:rsidTr="00D9245A">
        <w:tc>
          <w:tcPr>
            <w:tcW w:w="1305" w:type="dxa"/>
          </w:tcPr>
          <w:p w14:paraId="2FA9490E" w14:textId="2B043437" w:rsidR="006F5901" w:rsidRPr="00816F39" w:rsidRDefault="00BE1379" w:rsidP="00816F39">
            <w:pPr>
              <w:keepNext/>
              <w:keepLines/>
              <w:jc w:val="center"/>
              <w:rPr>
                <w:sz w:val="20"/>
                <w:szCs w:val="20"/>
              </w:rPr>
            </w:pPr>
            <w:r w:rsidRPr="00816F39">
              <w:rPr>
                <w:sz w:val="20"/>
                <w:szCs w:val="20"/>
              </w:rPr>
              <w:t>2031/</w:t>
            </w:r>
            <w:r w:rsidR="006F5901" w:rsidRPr="00816F39">
              <w:rPr>
                <w:sz w:val="20"/>
                <w:szCs w:val="20"/>
              </w:rPr>
              <w:t>2032</w:t>
            </w:r>
          </w:p>
        </w:tc>
        <w:tc>
          <w:tcPr>
            <w:tcW w:w="1349" w:type="dxa"/>
          </w:tcPr>
          <w:p w14:paraId="0C64699E" w14:textId="4E060CA1" w:rsidR="006F5901" w:rsidRPr="00816F39" w:rsidRDefault="00922B41" w:rsidP="00816F39">
            <w:pPr>
              <w:keepNext/>
              <w:keepLines/>
              <w:jc w:val="center"/>
              <w:rPr>
                <w:color w:val="FF0000"/>
                <w:sz w:val="20"/>
                <w:szCs w:val="20"/>
              </w:rPr>
            </w:pPr>
            <w:r w:rsidRPr="00816F39">
              <w:rPr>
                <w:color w:val="FF0000"/>
                <w:sz w:val="20"/>
                <w:szCs w:val="20"/>
              </w:rPr>
              <w:t>9,511</w:t>
            </w:r>
          </w:p>
        </w:tc>
        <w:tc>
          <w:tcPr>
            <w:tcW w:w="2111" w:type="dxa"/>
          </w:tcPr>
          <w:p w14:paraId="0334897A" w14:textId="4D7B2160" w:rsidR="006F5901" w:rsidRPr="00816F39" w:rsidRDefault="00922B41" w:rsidP="00816F39">
            <w:pPr>
              <w:keepNext/>
              <w:keepLines/>
              <w:jc w:val="center"/>
              <w:rPr>
                <w:color w:val="FF0000"/>
                <w:sz w:val="20"/>
                <w:szCs w:val="20"/>
              </w:rPr>
            </w:pPr>
            <w:r w:rsidRPr="00816F39">
              <w:rPr>
                <w:color w:val="FF0000"/>
                <w:sz w:val="20"/>
                <w:szCs w:val="20"/>
              </w:rPr>
              <w:t>11,196</w:t>
            </w:r>
          </w:p>
        </w:tc>
        <w:tc>
          <w:tcPr>
            <w:tcW w:w="1137" w:type="dxa"/>
          </w:tcPr>
          <w:p w14:paraId="5F2BFFBD" w14:textId="7795F8C3" w:rsidR="006F5901" w:rsidRPr="00816F39" w:rsidRDefault="006F5901" w:rsidP="00816F39">
            <w:pPr>
              <w:keepNext/>
              <w:keepLines/>
              <w:jc w:val="center"/>
              <w:rPr>
                <w:color w:val="FF0000"/>
                <w:sz w:val="20"/>
                <w:szCs w:val="20"/>
              </w:rPr>
            </w:pPr>
            <w:r w:rsidRPr="00816F39">
              <w:rPr>
                <w:sz w:val="20"/>
                <w:szCs w:val="20"/>
              </w:rPr>
              <w:t>2032</w:t>
            </w:r>
          </w:p>
        </w:tc>
        <w:tc>
          <w:tcPr>
            <w:tcW w:w="1293" w:type="dxa"/>
          </w:tcPr>
          <w:p w14:paraId="3F805236" w14:textId="1891BC9E" w:rsidR="006F5901" w:rsidRPr="00816F39" w:rsidRDefault="0098325F" w:rsidP="00816F39">
            <w:pPr>
              <w:keepNext/>
              <w:keepLines/>
              <w:jc w:val="center"/>
              <w:rPr>
                <w:color w:val="FF0000"/>
                <w:sz w:val="20"/>
                <w:szCs w:val="20"/>
              </w:rPr>
            </w:pPr>
            <w:r w:rsidRPr="00816F39">
              <w:rPr>
                <w:color w:val="FF0000"/>
                <w:sz w:val="20"/>
                <w:szCs w:val="20"/>
              </w:rPr>
              <w:t>8,680</w:t>
            </w:r>
          </w:p>
        </w:tc>
        <w:tc>
          <w:tcPr>
            <w:tcW w:w="2155" w:type="dxa"/>
          </w:tcPr>
          <w:p w14:paraId="6111543E" w14:textId="4AE50F9B" w:rsidR="006F5901" w:rsidRPr="00816F39" w:rsidRDefault="0098325F" w:rsidP="00816F39">
            <w:pPr>
              <w:keepNext/>
              <w:keepLines/>
              <w:jc w:val="center"/>
              <w:rPr>
                <w:color w:val="FF0000"/>
                <w:sz w:val="20"/>
                <w:szCs w:val="20"/>
              </w:rPr>
            </w:pPr>
            <w:r w:rsidRPr="00816F39">
              <w:rPr>
                <w:color w:val="FF0000"/>
                <w:sz w:val="20"/>
                <w:szCs w:val="20"/>
              </w:rPr>
              <w:t>7,123</w:t>
            </w:r>
          </w:p>
        </w:tc>
      </w:tr>
      <w:tr w:rsidR="00760B62" w:rsidRPr="00816F39" w14:paraId="1729ED53" w14:textId="1FFDDECD" w:rsidTr="00D9245A">
        <w:tc>
          <w:tcPr>
            <w:tcW w:w="1305" w:type="dxa"/>
          </w:tcPr>
          <w:p w14:paraId="103BE482" w14:textId="5829D32F" w:rsidR="006F5901" w:rsidRPr="00816F39" w:rsidRDefault="00BE1379" w:rsidP="00816F39">
            <w:pPr>
              <w:keepNext/>
              <w:keepLines/>
              <w:jc w:val="center"/>
              <w:rPr>
                <w:sz w:val="20"/>
                <w:szCs w:val="20"/>
              </w:rPr>
            </w:pPr>
            <w:r w:rsidRPr="00816F39">
              <w:rPr>
                <w:sz w:val="20"/>
                <w:szCs w:val="20"/>
              </w:rPr>
              <w:t>2032/</w:t>
            </w:r>
            <w:r w:rsidR="006F5901" w:rsidRPr="00816F39">
              <w:rPr>
                <w:sz w:val="20"/>
                <w:szCs w:val="20"/>
              </w:rPr>
              <w:t>2033</w:t>
            </w:r>
          </w:p>
        </w:tc>
        <w:tc>
          <w:tcPr>
            <w:tcW w:w="1349" w:type="dxa"/>
          </w:tcPr>
          <w:p w14:paraId="64B9F9B6" w14:textId="173C69D1" w:rsidR="006F5901" w:rsidRPr="00816F39" w:rsidRDefault="00922B41" w:rsidP="00816F39">
            <w:pPr>
              <w:keepNext/>
              <w:keepLines/>
              <w:jc w:val="center"/>
              <w:rPr>
                <w:color w:val="FF0000"/>
                <w:sz w:val="20"/>
                <w:szCs w:val="20"/>
              </w:rPr>
            </w:pPr>
            <w:r w:rsidRPr="00816F39">
              <w:rPr>
                <w:color w:val="FF0000"/>
                <w:sz w:val="20"/>
                <w:szCs w:val="20"/>
              </w:rPr>
              <w:t>9,954</w:t>
            </w:r>
          </w:p>
        </w:tc>
        <w:tc>
          <w:tcPr>
            <w:tcW w:w="2111" w:type="dxa"/>
          </w:tcPr>
          <w:p w14:paraId="4DAD9495" w14:textId="2AAE276E" w:rsidR="006F5901" w:rsidRPr="00816F39" w:rsidRDefault="00922B41" w:rsidP="00816F39">
            <w:pPr>
              <w:keepNext/>
              <w:keepLines/>
              <w:jc w:val="center"/>
              <w:rPr>
                <w:color w:val="FF0000"/>
                <w:sz w:val="20"/>
                <w:szCs w:val="20"/>
              </w:rPr>
            </w:pPr>
            <w:r w:rsidRPr="00816F39">
              <w:rPr>
                <w:color w:val="FF0000"/>
                <w:sz w:val="20"/>
                <w:szCs w:val="20"/>
              </w:rPr>
              <w:t>11,782</w:t>
            </w:r>
          </w:p>
        </w:tc>
        <w:tc>
          <w:tcPr>
            <w:tcW w:w="1137" w:type="dxa"/>
          </w:tcPr>
          <w:p w14:paraId="1A721AED" w14:textId="5FEFC48E" w:rsidR="006F5901" w:rsidRPr="00816F39" w:rsidRDefault="006F5901" w:rsidP="00816F39">
            <w:pPr>
              <w:keepNext/>
              <w:keepLines/>
              <w:jc w:val="center"/>
              <w:rPr>
                <w:color w:val="FF0000"/>
                <w:sz w:val="20"/>
                <w:szCs w:val="20"/>
              </w:rPr>
            </w:pPr>
            <w:r w:rsidRPr="00816F39">
              <w:rPr>
                <w:sz w:val="20"/>
                <w:szCs w:val="20"/>
              </w:rPr>
              <w:t>2033</w:t>
            </w:r>
          </w:p>
        </w:tc>
        <w:tc>
          <w:tcPr>
            <w:tcW w:w="1293" w:type="dxa"/>
          </w:tcPr>
          <w:p w14:paraId="4AD58A74" w14:textId="52D6FEA8" w:rsidR="006F5901" w:rsidRPr="00816F39" w:rsidRDefault="0098325F" w:rsidP="00816F39">
            <w:pPr>
              <w:keepNext/>
              <w:keepLines/>
              <w:jc w:val="center"/>
              <w:rPr>
                <w:color w:val="FF0000"/>
                <w:sz w:val="20"/>
                <w:szCs w:val="20"/>
              </w:rPr>
            </w:pPr>
            <w:r w:rsidRPr="00816F39">
              <w:rPr>
                <w:color w:val="FF0000"/>
                <w:sz w:val="20"/>
                <w:szCs w:val="20"/>
              </w:rPr>
              <w:t>9,176</w:t>
            </w:r>
          </w:p>
        </w:tc>
        <w:tc>
          <w:tcPr>
            <w:tcW w:w="2155" w:type="dxa"/>
          </w:tcPr>
          <w:p w14:paraId="69593024" w14:textId="459D1003" w:rsidR="006F5901" w:rsidRPr="00816F39" w:rsidRDefault="0098325F" w:rsidP="00816F39">
            <w:pPr>
              <w:keepNext/>
              <w:keepLines/>
              <w:jc w:val="center"/>
              <w:rPr>
                <w:color w:val="FF0000"/>
                <w:sz w:val="20"/>
                <w:szCs w:val="20"/>
              </w:rPr>
            </w:pPr>
            <w:r w:rsidRPr="00816F39">
              <w:rPr>
                <w:color w:val="FF0000"/>
                <w:sz w:val="20"/>
                <w:szCs w:val="20"/>
              </w:rPr>
              <w:t>7,727</w:t>
            </w:r>
          </w:p>
        </w:tc>
      </w:tr>
      <w:tr w:rsidR="00760B62" w:rsidRPr="00816F39" w14:paraId="49F9794A" w14:textId="5B5BAF0F" w:rsidTr="00D9245A">
        <w:tc>
          <w:tcPr>
            <w:tcW w:w="1305" w:type="dxa"/>
          </w:tcPr>
          <w:p w14:paraId="3E8250C9" w14:textId="3C0AFFFF" w:rsidR="006F5901" w:rsidRPr="00816F39" w:rsidRDefault="00BE1379" w:rsidP="00816F39">
            <w:pPr>
              <w:keepNext/>
              <w:keepLines/>
              <w:jc w:val="center"/>
              <w:rPr>
                <w:sz w:val="20"/>
                <w:szCs w:val="20"/>
              </w:rPr>
            </w:pPr>
            <w:r w:rsidRPr="00816F39">
              <w:rPr>
                <w:sz w:val="20"/>
                <w:szCs w:val="20"/>
              </w:rPr>
              <w:t>2033/</w:t>
            </w:r>
            <w:r w:rsidR="006F5901" w:rsidRPr="00816F39">
              <w:rPr>
                <w:sz w:val="20"/>
                <w:szCs w:val="20"/>
              </w:rPr>
              <w:t>2034</w:t>
            </w:r>
          </w:p>
        </w:tc>
        <w:tc>
          <w:tcPr>
            <w:tcW w:w="1349" w:type="dxa"/>
          </w:tcPr>
          <w:p w14:paraId="2861FB60" w14:textId="288F2BF6" w:rsidR="006F5901" w:rsidRPr="00816F39" w:rsidRDefault="00922B41" w:rsidP="00816F39">
            <w:pPr>
              <w:keepNext/>
              <w:keepLines/>
              <w:jc w:val="center"/>
              <w:rPr>
                <w:color w:val="FF0000"/>
                <w:sz w:val="20"/>
                <w:szCs w:val="20"/>
              </w:rPr>
            </w:pPr>
            <w:r w:rsidRPr="00816F39">
              <w:rPr>
                <w:color w:val="FF0000"/>
                <w:sz w:val="20"/>
                <w:szCs w:val="20"/>
              </w:rPr>
              <w:t>10,252</w:t>
            </w:r>
          </w:p>
        </w:tc>
        <w:tc>
          <w:tcPr>
            <w:tcW w:w="2111" w:type="dxa"/>
          </w:tcPr>
          <w:p w14:paraId="51F548DF" w14:textId="7D118E86" w:rsidR="006F5901" w:rsidRPr="00816F39" w:rsidRDefault="00922B41" w:rsidP="00816F39">
            <w:pPr>
              <w:keepNext/>
              <w:keepLines/>
              <w:jc w:val="center"/>
              <w:rPr>
                <w:color w:val="FF0000"/>
                <w:sz w:val="20"/>
                <w:szCs w:val="20"/>
              </w:rPr>
            </w:pPr>
            <w:r w:rsidRPr="00816F39">
              <w:rPr>
                <w:color w:val="FF0000"/>
                <w:sz w:val="20"/>
                <w:szCs w:val="20"/>
              </w:rPr>
              <w:t>12,238</w:t>
            </w:r>
          </w:p>
        </w:tc>
        <w:tc>
          <w:tcPr>
            <w:tcW w:w="1137" w:type="dxa"/>
          </w:tcPr>
          <w:p w14:paraId="4D6CC737" w14:textId="0654411D" w:rsidR="006F5901" w:rsidRPr="00816F39" w:rsidRDefault="006F5901" w:rsidP="00816F39">
            <w:pPr>
              <w:keepNext/>
              <w:keepLines/>
              <w:jc w:val="center"/>
              <w:rPr>
                <w:color w:val="FF0000"/>
                <w:sz w:val="20"/>
                <w:szCs w:val="20"/>
              </w:rPr>
            </w:pPr>
            <w:r w:rsidRPr="00816F39">
              <w:rPr>
                <w:sz w:val="20"/>
                <w:szCs w:val="20"/>
              </w:rPr>
              <w:t>2034</w:t>
            </w:r>
          </w:p>
        </w:tc>
        <w:tc>
          <w:tcPr>
            <w:tcW w:w="1293" w:type="dxa"/>
          </w:tcPr>
          <w:p w14:paraId="32D84DAB" w14:textId="35EDF52D" w:rsidR="006F5901" w:rsidRPr="00816F39" w:rsidRDefault="0098325F" w:rsidP="00816F39">
            <w:pPr>
              <w:keepNext/>
              <w:keepLines/>
              <w:jc w:val="center"/>
              <w:rPr>
                <w:color w:val="FF0000"/>
                <w:sz w:val="20"/>
                <w:szCs w:val="20"/>
              </w:rPr>
            </w:pPr>
            <w:r w:rsidRPr="00816F39">
              <w:rPr>
                <w:color w:val="FF0000"/>
                <w:sz w:val="20"/>
                <w:szCs w:val="20"/>
              </w:rPr>
              <w:t>9,522</w:t>
            </w:r>
          </w:p>
        </w:tc>
        <w:tc>
          <w:tcPr>
            <w:tcW w:w="2155" w:type="dxa"/>
          </w:tcPr>
          <w:p w14:paraId="6757C4CA" w14:textId="6E76664D" w:rsidR="006F5901" w:rsidRPr="00816F39" w:rsidRDefault="0098325F" w:rsidP="00816F39">
            <w:pPr>
              <w:keepNext/>
              <w:keepLines/>
              <w:jc w:val="center"/>
              <w:rPr>
                <w:color w:val="FF0000"/>
                <w:sz w:val="20"/>
                <w:szCs w:val="20"/>
              </w:rPr>
            </w:pPr>
            <w:r w:rsidRPr="00816F39">
              <w:rPr>
                <w:color w:val="FF0000"/>
                <w:sz w:val="20"/>
                <w:szCs w:val="20"/>
              </w:rPr>
              <w:t>8,198</w:t>
            </w:r>
          </w:p>
        </w:tc>
      </w:tr>
      <w:tr w:rsidR="00760B62" w:rsidRPr="00816F39" w14:paraId="244DA0EC" w14:textId="08F5DB5B" w:rsidTr="00D9245A">
        <w:tc>
          <w:tcPr>
            <w:tcW w:w="1305" w:type="dxa"/>
          </w:tcPr>
          <w:p w14:paraId="02AEE367" w14:textId="67B53D06" w:rsidR="006F5901" w:rsidRPr="00816F39" w:rsidRDefault="00BE1379" w:rsidP="00816F39">
            <w:pPr>
              <w:keepNext/>
              <w:keepLines/>
              <w:jc w:val="center"/>
              <w:rPr>
                <w:sz w:val="20"/>
                <w:szCs w:val="20"/>
              </w:rPr>
            </w:pPr>
            <w:r w:rsidRPr="00816F39">
              <w:rPr>
                <w:sz w:val="20"/>
                <w:szCs w:val="20"/>
              </w:rPr>
              <w:t>2034/</w:t>
            </w:r>
            <w:r w:rsidR="006F5901" w:rsidRPr="00816F39">
              <w:rPr>
                <w:sz w:val="20"/>
                <w:szCs w:val="20"/>
              </w:rPr>
              <w:t>2035</w:t>
            </w:r>
          </w:p>
        </w:tc>
        <w:tc>
          <w:tcPr>
            <w:tcW w:w="1349" w:type="dxa"/>
          </w:tcPr>
          <w:p w14:paraId="0A569FE4" w14:textId="35715FC2" w:rsidR="006F5901" w:rsidRPr="00816F39" w:rsidRDefault="00922B41" w:rsidP="00816F39">
            <w:pPr>
              <w:keepNext/>
              <w:keepLines/>
              <w:jc w:val="center"/>
              <w:rPr>
                <w:color w:val="FF0000"/>
                <w:sz w:val="20"/>
                <w:szCs w:val="20"/>
              </w:rPr>
            </w:pPr>
            <w:r w:rsidRPr="00816F39">
              <w:rPr>
                <w:color w:val="FF0000"/>
                <w:sz w:val="20"/>
                <w:szCs w:val="20"/>
              </w:rPr>
              <w:t>12,290</w:t>
            </w:r>
          </w:p>
        </w:tc>
        <w:tc>
          <w:tcPr>
            <w:tcW w:w="2111" w:type="dxa"/>
          </w:tcPr>
          <w:p w14:paraId="3840AD85" w14:textId="033B8A2B" w:rsidR="006F5901" w:rsidRPr="00816F39" w:rsidRDefault="00922B41" w:rsidP="00816F39">
            <w:pPr>
              <w:keepNext/>
              <w:keepLines/>
              <w:jc w:val="center"/>
              <w:rPr>
                <w:color w:val="FF0000"/>
                <w:sz w:val="20"/>
                <w:szCs w:val="20"/>
              </w:rPr>
            </w:pPr>
            <w:r w:rsidRPr="00816F39">
              <w:rPr>
                <w:color w:val="FF0000"/>
                <w:sz w:val="20"/>
                <w:szCs w:val="20"/>
              </w:rPr>
              <w:t>14,768</w:t>
            </w:r>
          </w:p>
        </w:tc>
        <w:tc>
          <w:tcPr>
            <w:tcW w:w="1137" w:type="dxa"/>
          </w:tcPr>
          <w:p w14:paraId="54876CB5" w14:textId="214D7F3B" w:rsidR="006F5901" w:rsidRPr="00816F39" w:rsidRDefault="006F5901" w:rsidP="00816F39">
            <w:pPr>
              <w:keepNext/>
              <w:keepLines/>
              <w:jc w:val="center"/>
              <w:rPr>
                <w:color w:val="FF0000"/>
                <w:sz w:val="20"/>
                <w:szCs w:val="20"/>
              </w:rPr>
            </w:pPr>
            <w:r w:rsidRPr="00816F39">
              <w:rPr>
                <w:sz w:val="20"/>
                <w:szCs w:val="20"/>
              </w:rPr>
              <w:t>2035</w:t>
            </w:r>
          </w:p>
        </w:tc>
        <w:tc>
          <w:tcPr>
            <w:tcW w:w="1293" w:type="dxa"/>
          </w:tcPr>
          <w:p w14:paraId="7FA20043" w14:textId="7EFE07C5" w:rsidR="006F5901" w:rsidRPr="00816F39" w:rsidRDefault="0098325F" w:rsidP="00816F39">
            <w:pPr>
              <w:keepNext/>
              <w:keepLines/>
              <w:jc w:val="center"/>
              <w:rPr>
                <w:color w:val="FF0000"/>
                <w:sz w:val="20"/>
                <w:szCs w:val="20"/>
              </w:rPr>
            </w:pPr>
            <w:r w:rsidRPr="00816F39">
              <w:rPr>
                <w:color w:val="FF0000"/>
                <w:sz w:val="20"/>
                <w:szCs w:val="20"/>
              </w:rPr>
              <w:t>11,989</w:t>
            </w:r>
          </w:p>
        </w:tc>
        <w:tc>
          <w:tcPr>
            <w:tcW w:w="2155" w:type="dxa"/>
          </w:tcPr>
          <w:p w14:paraId="5AECD6C6" w14:textId="5C4FA992" w:rsidR="006F5901" w:rsidRPr="00816F39" w:rsidRDefault="0098325F" w:rsidP="00816F39">
            <w:pPr>
              <w:keepNext/>
              <w:keepLines/>
              <w:jc w:val="center"/>
              <w:rPr>
                <w:color w:val="FF0000"/>
                <w:sz w:val="20"/>
                <w:szCs w:val="20"/>
              </w:rPr>
            </w:pPr>
            <w:r w:rsidRPr="00816F39">
              <w:rPr>
                <w:color w:val="FF0000"/>
                <w:sz w:val="20"/>
                <w:szCs w:val="20"/>
              </w:rPr>
              <w:t>11,509</w:t>
            </w:r>
          </w:p>
        </w:tc>
      </w:tr>
      <w:tr w:rsidR="00AF071F" w:rsidRPr="00816F39" w14:paraId="3ADC6341" w14:textId="77777777" w:rsidTr="00D9245A">
        <w:tc>
          <w:tcPr>
            <w:tcW w:w="1305" w:type="dxa"/>
          </w:tcPr>
          <w:p w14:paraId="28F67EA8" w14:textId="69EF25B1" w:rsidR="00AF071F" w:rsidRPr="00816F39" w:rsidRDefault="00AF071F" w:rsidP="00816F39">
            <w:pPr>
              <w:keepNext/>
              <w:keepLines/>
              <w:jc w:val="center"/>
              <w:rPr>
                <w:sz w:val="20"/>
                <w:szCs w:val="20"/>
              </w:rPr>
            </w:pPr>
            <w:r w:rsidRPr="00816F39">
              <w:rPr>
                <w:sz w:val="20"/>
                <w:szCs w:val="20"/>
              </w:rPr>
              <w:t>2035/2036</w:t>
            </w:r>
          </w:p>
        </w:tc>
        <w:tc>
          <w:tcPr>
            <w:tcW w:w="1349" w:type="dxa"/>
          </w:tcPr>
          <w:p w14:paraId="1365CB3A" w14:textId="36922A63" w:rsidR="00AF071F" w:rsidRPr="00816F39" w:rsidRDefault="00037EEE" w:rsidP="00816F39">
            <w:pPr>
              <w:keepNext/>
              <w:keepLines/>
              <w:jc w:val="center"/>
              <w:rPr>
                <w:color w:val="FF0000"/>
                <w:sz w:val="20"/>
                <w:szCs w:val="20"/>
              </w:rPr>
            </w:pPr>
            <w:r w:rsidRPr="00816F39">
              <w:rPr>
                <w:color w:val="FF0000"/>
                <w:sz w:val="20"/>
                <w:szCs w:val="20"/>
              </w:rPr>
              <w:t>16,980</w:t>
            </w:r>
          </w:p>
        </w:tc>
        <w:tc>
          <w:tcPr>
            <w:tcW w:w="2111" w:type="dxa"/>
          </w:tcPr>
          <w:p w14:paraId="43321B87" w14:textId="424C8446" w:rsidR="00AF071F" w:rsidRPr="00816F39" w:rsidRDefault="00F123D3" w:rsidP="00816F39">
            <w:pPr>
              <w:keepNext/>
              <w:keepLines/>
              <w:jc w:val="center"/>
              <w:rPr>
                <w:color w:val="FF0000"/>
                <w:sz w:val="20"/>
                <w:szCs w:val="20"/>
              </w:rPr>
            </w:pPr>
            <w:r w:rsidRPr="00816F39">
              <w:rPr>
                <w:color w:val="FF0000"/>
                <w:sz w:val="20"/>
                <w:szCs w:val="20"/>
              </w:rPr>
              <w:t>19,949</w:t>
            </w:r>
          </w:p>
        </w:tc>
        <w:tc>
          <w:tcPr>
            <w:tcW w:w="1137" w:type="dxa"/>
          </w:tcPr>
          <w:p w14:paraId="7456F15E" w14:textId="2AFFEC90" w:rsidR="00AF071F" w:rsidRPr="00816F39" w:rsidRDefault="00BF48B1" w:rsidP="00816F39">
            <w:pPr>
              <w:keepNext/>
              <w:keepLines/>
              <w:jc w:val="center"/>
              <w:rPr>
                <w:sz w:val="20"/>
                <w:szCs w:val="20"/>
              </w:rPr>
            </w:pPr>
            <w:r w:rsidRPr="00816F39">
              <w:rPr>
                <w:sz w:val="20"/>
                <w:szCs w:val="20"/>
              </w:rPr>
              <w:t>2036</w:t>
            </w:r>
          </w:p>
        </w:tc>
        <w:tc>
          <w:tcPr>
            <w:tcW w:w="1293" w:type="dxa"/>
          </w:tcPr>
          <w:p w14:paraId="46768F7F" w14:textId="491C5ADA" w:rsidR="00AF071F" w:rsidRPr="00816F39" w:rsidRDefault="007136A4" w:rsidP="00816F39">
            <w:pPr>
              <w:keepNext/>
              <w:keepLines/>
              <w:jc w:val="center"/>
              <w:rPr>
                <w:color w:val="FF0000"/>
                <w:sz w:val="20"/>
                <w:szCs w:val="20"/>
              </w:rPr>
            </w:pPr>
            <w:r w:rsidRPr="00816F39">
              <w:rPr>
                <w:color w:val="FF0000"/>
                <w:sz w:val="20"/>
                <w:szCs w:val="20"/>
              </w:rPr>
              <w:t>16,135</w:t>
            </w:r>
          </w:p>
        </w:tc>
        <w:tc>
          <w:tcPr>
            <w:tcW w:w="2155" w:type="dxa"/>
          </w:tcPr>
          <w:p w14:paraId="4D6BC7CA" w14:textId="758A9384" w:rsidR="00AF071F" w:rsidRPr="00816F39" w:rsidRDefault="00FB6A32" w:rsidP="00816F39">
            <w:pPr>
              <w:keepNext/>
              <w:keepLines/>
              <w:jc w:val="center"/>
              <w:rPr>
                <w:color w:val="FF0000"/>
                <w:sz w:val="20"/>
                <w:szCs w:val="20"/>
              </w:rPr>
            </w:pPr>
            <w:r w:rsidRPr="00816F39">
              <w:rPr>
                <w:color w:val="FF0000"/>
                <w:sz w:val="20"/>
                <w:szCs w:val="20"/>
              </w:rPr>
              <w:t>15,756</w:t>
            </w:r>
          </w:p>
        </w:tc>
      </w:tr>
      <w:tr w:rsidR="00AF071F" w:rsidRPr="00816F39" w14:paraId="2B9AA93C" w14:textId="77777777" w:rsidTr="00D9245A">
        <w:tc>
          <w:tcPr>
            <w:tcW w:w="1305" w:type="dxa"/>
          </w:tcPr>
          <w:p w14:paraId="33D88A68" w14:textId="1AA9999C" w:rsidR="00AF071F" w:rsidRPr="00816F39" w:rsidRDefault="00AF071F" w:rsidP="00816F39">
            <w:pPr>
              <w:keepNext/>
              <w:keepLines/>
              <w:jc w:val="center"/>
              <w:rPr>
                <w:sz w:val="20"/>
                <w:szCs w:val="20"/>
              </w:rPr>
            </w:pPr>
            <w:r w:rsidRPr="00816F39">
              <w:rPr>
                <w:sz w:val="20"/>
                <w:szCs w:val="20"/>
              </w:rPr>
              <w:t>2036/2037</w:t>
            </w:r>
          </w:p>
        </w:tc>
        <w:tc>
          <w:tcPr>
            <w:tcW w:w="1349" w:type="dxa"/>
          </w:tcPr>
          <w:p w14:paraId="154290CD" w14:textId="1276A013" w:rsidR="00AF071F" w:rsidRPr="00816F39" w:rsidRDefault="00037EEE" w:rsidP="00816F39">
            <w:pPr>
              <w:keepNext/>
              <w:keepLines/>
              <w:jc w:val="center"/>
              <w:rPr>
                <w:color w:val="FF0000"/>
                <w:sz w:val="20"/>
                <w:szCs w:val="20"/>
              </w:rPr>
            </w:pPr>
            <w:r w:rsidRPr="00816F39">
              <w:rPr>
                <w:color w:val="FF0000"/>
                <w:sz w:val="20"/>
                <w:szCs w:val="20"/>
              </w:rPr>
              <w:t>17,316</w:t>
            </w:r>
          </w:p>
        </w:tc>
        <w:tc>
          <w:tcPr>
            <w:tcW w:w="2111" w:type="dxa"/>
          </w:tcPr>
          <w:p w14:paraId="35B9B3DB" w14:textId="785C68C6" w:rsidR="00AF071F" w:rsidRPr="00816F39" w:rsidRDefault="00F123D3" w:rsidP="00816F39">
            <w:pPr>
              <w:keepNext/>
              <w:keepLines/>
              <w:jc w:val="center"/>
              <w:rPr>
                <w:color w:val="FF0000"/>
                <w:sz w:val="20"/>
                <w:szCs w:val="20"/>
              </w:rPr>
            </w:pPr>
            <w:r w:rsidRPr="00816F39">
              <w:rPr>
                <w:color w:val="FF0000"/>
                <w:sz w:val="20"/>
                <w:szCs w:val="20"/>
              </w:rPr>
              <w:t>20,318</w:t>
            </w:r>
          </w:p>
        </w:tc>
        <w:tc>
          <w:tcPr>
            <w:tcW w:w="1137" w:type="dxa"/>
          </w:tcPr>
          <w:p w14:paraId="3035B8EB" w14:textId="17F6E843" w:rsidR="00AF071F" w:rsidRPr="00816F39" w:rsidRDefault="00BF48B1" w:rsidP="00816F39">
            <w:pPr>
              <w:keepNext/>
              <w:keepLines/>
              <w:jc w:val="center"/>
              <w:rPr>
                <w:sz w:val="20"/>
                <w:szCs w:val="20"/>
              </w:rPr>
            </w:pPr>
            <w:r w:rsidRPr="00816F39">
              <w:rPr>
                <w:sz w:val="20"/>
                <w:szCs w:val="20"/>
              </w:rPr>
              <w:t>2037</w:t>
            </w:r>
          </w:p>
        </w:tc>
        <w:tc>
          <w:tcPr>
            <w:tcW w:w="1293" w:type="dxa"/>
          </w:tcPr>
          <w:p w14:paraId="1803D97A" w14:textId="50CA5AB3" w:rsidR="00AF071F" w:rsidRPr="00816F39" w:rsidRDefault="007136A4" w:rsidP="00816F39">
            <w:pPr>
              <w:keepNext/>
              <w:keepLines/>
              <w:jc w:val="center"/>
              <w:rPr>
                <w:color w:val="FF0000"/>
                <w:sz w:val="20"/>
                <w:szCs w:val="20"/>
              </w:rPr>
            </w:pPr>
            <w:r w:rsidRPr="00816F39">
              <w:rPr>
                <w:color w:val="FF0000"/>
                <w:sz w:val="20"/>
                <w:szCs w:val="20"/>
              </w:rPr>
              <w:t>16,605</w:t>
            </w:r>
          </w:p>
        </w:tc>
        <w:tc>
          <w:tcPr>
            <w:tcW w:w="2155" w:type="dxa"/>
          </w:tcPr>
          <w:p w14:paraId="66BAE972" w14:textId="1264F9F6" w:rsidR="00AF071F" w:rsidRPr="00816F39" w:rsidRDefault="00FB6A32" w:rsidP="00816F39">
            <w:pPr>
              <w:keepNext/>
              <w:keepLines/>
              <w:jc w:val="center"/>
              <w:rPr>
                <w:color w:val="FF0000"/>
                <w:sz w:val="20"/>
                <w:szCs w:val="20"/>
              </w:rPr>
            </w:pPr>
            <w:r w:rsidRPr="00816F39">
              <w:rPr>
                <w:color w:val="FF0000"/>
                <w:sz w:val="20"/>
                <w:szCs w:val="20"/>
              </w:rPr>
              <w:t>16,225</w:t>
            </w:r>
          </w:p>
        </w:tc>
      </w:tr>
      <w:tr w:rsidR="00AF071F" w:rsidRPr="00816F39" w14:paraId="440947F3" w14:textId="77777777" w:rsidTr="00D9245A">
        <w:tc>
          <w:tcPr>
            <w:tcW w:w="1305" w:type="dxa"/>
          </w:tcPr>
          <w:p w14:paraId="675B2F12" w14:textId="68DCCEF7" w:rsidR="00AF071F" w:rsidRPr="00816F39" w:rsidRDefault="00AF071F" w:rsidP="00816F39">
            <w:pPr>
              <w:keepNext/>
              <w:keepLines/>
              <w:jc w:val="center"/>
              <w:rPr>
                <w:sz w:val="20"/>
                <w:szCs w:val="20"/>
              </w:rPr>
            </w:pPr>
            <w:r w:rsidRPr="00816F39">
              <w:rPr>
                <w:sz w:val="20"/>
                <w:szCs w:val="20"/>
              </w:rPr>
              <w:t>2037/2038</w:t>
            </w:r>
          </w:p>
        </w:tc>
        <w:tc>
          <w:tcPr>
            <w:tcW w:w="1349" w:type="dxa"/>
          </w:tcPr>
          <w:p w14:paraId="3029C24C" w14:textId="6B21ACCA" w:rsidR="00AF071F" w:rsidRPr="00816F39" w:rsidRDefault="00037EEE" w:rsidP="00816F39">
            <w:pPr>
              <w:keepNext/>
              <w:keepLines/>
              <w:jc w:val="center"/>
              <w:rPr>
                <w:color w:val="FF0000"/>
                <w:sz w:val="20"/>
                <w:szCs w:val="20"/>
              </w:rPr>
            </w:pPr>
            <w:r w:rsidRPr="00816F39">
              <w:rPr>
                <w:color w:val="FF0000"/>
                <w:sz w:val="20"/>
                <w:szCs w:val="20"/>
              </w:rPr>
              <w:t>17,930</w:t>
            </w:r>
          </w:p>
        </w:tc>
        <w:tc>
          <w:tcPr>
            <w:tcW w:w="2111" w:type="dxa"/>
          </w:tcPr>
          <w:p w14:paraId="4D0FA1A5" w14:textId="1E283C82" w:rsidR="00AF071F" w:rsidRPr="00816F39" w:rsidRDefault="00F123D3" w:rsidP="00816F39">
            <w:pPr>
              <w:keepNext/>
              <w:keepLines/>
              <w:jc w:val="center"/>
              <w:rPr>
                <w:color w:val="FF0000"/>
                <w:sz w:val="20"/>
                <w:szCs w:val="20"/>
              </w:rPr>
            </w:pPr>
            <w:r w:rsidRPr="00816F39">
              <w:rPr>
                <w:color w:val="FF0000"/>
                <w:sz w:val="20"/>
                <w:szCs w:val="20"/>
              </w:rPr>
              <w:t>20,984</w:t>
            </w:r>
          </w:p>
        </w:tc>
        <w:tc>
          <w:tcPr>
            <w:tcW w:w="1137" w:type="dxa"/>
          </w:tcPr>
          <w:p w14:paraId="6BB90E15" w14:textId="195BBAF2" w:rsidR="00AF071F" w:rsidRPr="00816F39" w:rsidRDefault="00BF48B1" w:rsidP="00816F39">
            <w:pPr>
              <w:keepNext/>
              <w:keepLines/>
              <w:jc w:val="center"/>
              <w:rPr>
                <w:sz w:val="20"/>
                <w:szCs w:val="20"/>
              </w:rPr>
            </w:pPr>
            <w:r w:rsidRPr="00816F39">
              <w:rPr>
                <w:sz w:val="20"/>
                <w:szCs w:val="20"/>
              </w:rPr>
              <w:t>2038</w:t>
            </w:r>
          </w:p>
        </w:tc>
        <w:tc>
          <w:tcPr>
            <w:tcW w:w="1293" w:type="dxa"/>
          </w:tcPr>
          <w:p w14:paraId="355E1EFC" w14:textId="459F8DA4" w:rsidR="00AF071F" w:rsidRPr="00816F39" w:rsidRDefault="007136A4" w:rsidP="00816F39">
            <w:pPr>
              <w:keepNext/>
              <w:keepLines/>
              <w:jc w:val="center"/>
              <w:rPr>
                <w:color w:val="FF0000"/>
                <w:sz w:val="20"/>
                <w:szCs w:val="20"/>
              </w:rPr>
            </w:pPr>
            <w:r w:rsidRPr="00816F39">
              <w:rPr>
                <w:color w:val="FF0000"/>
                <w:sz w:val="20"/>
                <w:szCs w:val="20"/>
              </w:rPr>
              <w:t>17,069</w:t>
            </w:r>
          </w:p>
        </w:tc>
        <w:tc>
          <w:tcPr>
            <w:tcW w:w="2155" w:type="dxa"/>
          </w:tcPr>
          <w:p w14:paraId="76D77DFD" w14:textId="45BA5239" w:rsidR="00AF071F" w:rsidRPr="00816F39" w:rsidRDefault="00FB6A32" w:rsidP="00816F39">
            <w:pPr>
              <w:keepNext/>
              <w:keepLines/>
              <w:jc w:val="center"/>
              <w:rPr>
                <w:color w:val="FF0000"/>
                <w:sz w:val="20"/>
                <w:szCs w:val="20"/>
              </w:rPr>
            </w:pPr>
            <w:r w:rsidRPr="00816F39">
              <w:rPr>
                <w:color w:val="FF0000"/>
                <w:sz w:val="20"/>
                <w:szCs w:val="20"/>
              </w:rPr>
              <w:t>16,694</w:t>
            </w:r>
          </w:p>
        </w:tc>
      </w:tr>
      <w:tr w:rsidR="00AF071F" w:rsidRPr="00816F39" w14:paraId="48E3CCB3" w14:textId="77777777" w:rsidTr="00D9245A">
        <w:tc>
          <w:tcPr>
            <w:tcW w:w="1305" w:type="dxa"/>
          </w:tcPr>
          <w:p w14:paraId="331A04A1" w14:textId="2E69CBD1" w:rsidR="00AF071F" w:rsidRPr="00816F39" w:rsidRDefault="00AF071F" w:rsidP="00816F39">
            <w:pPr>
              <w:keepNext/>
              <w:keepLines/>
              <w:jc w:val="center"/>
              <w:rPr>
                <w:sz w:val="20"/>
                <w:szCs w:val="20"/>
              </w:rPr>
            </w:pPr>
            <w:r w:rsidRPr="00816F39">
              <w:rPr>
                <w:sz w:val="20"/>
                <w:szCs w:val="20"/>
              </w:rPr>
              <w:t>2038/2039</w:t>
            </w:r>
          </w:p>
        </w:tc>
        <w:tc>
          <w:tcPr>
            <w:tcW w:w="1349" w:type="dxa"/>
          </w:tcPr>
          <w:p w14:paraId="083055AE" w14:textId="7EA40C52" w:rsidR="00AF071F" w:rsidRPr="00816F39" w:rsidRDefault="00037EEE" w:rsidP="00816F39">
            <w:pPr>
              <w:keepNext/>
              <w:keepLines/>
              <w:jc w:val="center"/>
              <w:rPr>
                <w:color w:val="FF0000"/>
                <w:sz w:val="20"/>
                <w:szCs w:val="20"/>
              </w:rPr>
            </w:pPr>
            <w:r w:rsidRPr="00816F39">
              <w:rPr>
                <w:color w:val="FF0000"/>
                <w:sz w:val="20"/>
                <w:szCs w:val="20"/>
              </w:rPr>
              <w:t>19,057</w:t>
            </w:r>
          </w:p>
        </w:tc>
        <w:tc>
          <w:tcPr>
            <w:tcW w:w="2111" w:type="dxa"/>
          </w:tcPr>
          <w:p w14:paraId="4153A8BC" w14:textId="5428C984" w:rsidR="00AF071F" w:rsidRPr="00816F39" w:rsidRDefault="001B4BA5" w:rsidP="00816F39">
            <w:pPr>
              <w:keepNext/>
              <w:keepLines/>
              <w:jc w:val="center"/>
              <w:rPr>
                <w:color w:val="FF0000"/>
                <w:sz w:val="20"/>
                <w:szCs w:val="20"/>
              </w:rPr>
            </w:pPr>
            <w:r w:rsidRPr="00816F39">
              <w:rPr>
                <w:color w:val="FF0000"/>
                <w:sz w:val="20"/>
                <w:szCs w:val="20"/>
              </w:rPr>
              <w:t>22,471</w:t>
            </w:r>
          </w:p>
        </w:tc>
        <w:tc>
          <w:tcPr>
            <w:tcW w:w="1137" w:type="dxa"/>
          </w:tcPr>
          <w:p w14:paraId="417D1ACD" w14:textId="7C090E69" w:rsidR="00AF071F" w:rsidRPr="00816F39" w:rsidRDefault="00BF48B1" w:rsidP="00816F39">
            <w:pPr>
              <w:keepNext/>
              <w:keepLines/>
              <w:jc w:val="center"/>
              <w:rPr>
                <w:sz w:val="20"/>
                <w:szCs w:val="20"/>
              </w:rPr>
            </w:pPr>
            <w:r w:rsidRPr="00816F39">
              <w:rPr>
                <w:sz w:val="20"/>
                <w:szCs w:val="20"/>
              </w:rPr>
              <w:t>2039</w:t>
            </w:r>
          </w:p>
        </w:tc>
        <w:tc>
          <w:tcPr>
            <w:tcW w:w="1293" w:type="dxa"/>
          </w:tcPr>
          <w:p w14:paraId="7779F087" w14:textId="67557029" w:rsidR="00AF071F" w:rsidRPr="00816F39" w:rsidRDefault="00FF572A" w:rsidP="00816F39">
            <w:pPr>
              <w:keepNext/>
              <w:keepLines/>
              <w:jc w:val="center"/>
              <w:rPr>
                <w:color w:val="FF0000"/>
                <w:sz w:val="20"/>
                <w:szCs w:val="20"/>
              </w:rPr>
            </w:pPr>
            <w:r w:rsidRPr="00816F39">
              <w:rPr>
                <w:color w:val="FF0000"/>
                <w:sz w:val="20"/>
                <w:szCs w:val="20"/>
              </w:rPr>
              <w:t>18,025</w:t>
            </w:r>
          </w:p>
        </w:tc>
        <w:tc>
          <w:tcPr>
            <w:tcW w:w="2155" w:type="dxa"/>
          </w:tcPr>
          <w:p w14:paraId="1C0D64E1" w14:textId="745C2639" w:rsidR="00AF071F" w:rsidRPr="00816F39" w:rsidRDefault="00FB6A32" w:rsidP="00816F39">
            <w:pPr>
              <w:keepNext/>
              <w:keepLines/>
              <w:jc w:val="center"/>
              <w:rPr>
                <w:color w:val="FF0000"/>
                <w:sz w:val="20"/>
                <w:szCs w:val="20"/>
              </w:rPr>
            </w:pPr>
            <w:r w:rsidRPr="00816F39">
              <w:rPr>
                <w:color w:val="FF0000"/>
                <w:sz w:val="20"/>
                <w:szCs w:val="20"/>
              </w:rPr>
              <w:t>18,024</w:t>
            </w:r>
          </w:p>
        </w:tc>
      </w:tr>
      <w:tr w:rsidR="00AF071F" w:rsidRPr="00816F39" w14:paraId="4E266C27" w14:textId="77777777" w:rsidTr="00D9245A">
        <w:tc>
          <w:tcPr>
            <w:tcW w:w="1305" w:type="dxa"/>
          </w:tcPr>
          <w:p w14:paraId="6630DB5F" w14:textId="1573A91A" w:rsidR="00AF071F" w:rsidRPr="00816F39" w:rsidRDefault="00AF071F" w:rsidP="00816F39">
            <w:pPr>
              <w:keepNext/>
              <w:keepLines/>
              <w:jc w:val="center"/>
              <w:rPr>
                <w:sz w:val="20"/>
                <w:szCs w:val="20"/>
              </w:rPr>
            </w:pPr>
            <w:r w:rsidRPr="00816F39">
              <w:rPr>
                <w:sz w:val="20"/>
                <w:szCs w:val="20"/>
              </w:rPr>
              <w:t>2039/2040</w:t>
            </w:r>
          </w:p>
        </w:tc>
        <w:tc>
          <w:tcPr>
            <w:tcW w:w="1349" w:type="dxa"/>
          </w:tcPr>
          <w:p w14:paraId="7B5CBE60" w14:textId="69B348BA" w:rsidR="00AF071F" w:rsidRPr="00816F39" w:rsidRDefault="0001470E" w:rsidP="00816F39">
            <w:pPr>
              <w:keepNext/>
              <w:keepLines/>
              <w:jc w:val="center"/>
              <w:rPr>
                <w:color w:val="FF0000"/>
                <w:sz w:val="20"/>
                <w:szCs w:val="20"/>
              </w:rPr>
            </w:pPr>
            <w:r w:rsidRPr="00816F39">
              <w:rPr>
                <w:color w:val="FF0000"/>
                <w:sz w:val="20"/>
                <w:szCs w:val="20"/>
              </w:rPr>
              <w:t>19,799</w:t>
            </w:r>
          </w:p>
        </w:tc>
        <w:tc>
          <w:tcPr>
            <w:tcW w:w="2111" w:type="dxa"/>
          </w:tcPr>
          <w:p w14:paraId="3000542C" w14:textId="4A06C926" w:rsidR="00AF071F" w:rsidRPr="00816F39" w:rsidRDefault="001B4BA5" w:rsidP="00816F39">
            <w:pPr>
              <w:keepNext/>
              <w:keepLines/>
              <w:jc w:val="center"/>
              <w:rPr>
                <w:color w:val="FF0000"/>
                <w:sz w:val="20"/>
                <w:szCs w:val="20"/>
              </w:rPr>
            </w:pPr>
            <w:r w:rsidRPr="00816F39">
              <w:rPr>
                <w:color w:val="FF0000"/>
                <w:sz w:val="20"/>
                <w:szCs w:val="20"/>
              </w:rPr>
              <w:t>23,220</w:t>
            </w:r>
          </w:p>
        </w:tc>
        <w:tc>
          <w:tcPr>
            <w:tcW w:w="1137" w:type="dxa"/>
          </w:tcPr>
          <w:p w14:paraId="17A9FA06" w14:textId="77E90553" w:rsidR="00AF071F" w:rsidRPr="00816F39" w:rsidRDefault="00BF48B1" w:rsidP="00816F39">
            <w:pPr>
              <w:keepNext/>
              <w:keepLines/>
              <w:jc w:val="center"/>
              <w:rPr>
                <w:sz w:val="20"/>
                <w:szCs w:val="20"/>
              </w:rPr>
            </w:pPr>
            <w:r w:rsidRPr="00816F39">
              <w:rPr>
                <w:sz w:val="20"/>
                <w:szCs w:val="20"/>
              </w:rPr>
              <w:t>2040</w:t>
            </w:r>
          </w:p>
        </w:tc>
        <w:tc>
          <w:tcPr>
            <w:tcW w:w="1293" w:type="dxa"/>
          </w:tcPr>
          <w:p w14:paraId="6EE96A14" w14:textId="20782BD7" w:rsidR="00AF071F" w:rsidRPr="00816F39" w:rsidRDefault="00FF572A" w:rsidP="00816F39">
            <w:pPr>
              <w:keepNext/>
              <w:keepLines/>
              <w:jc w:val="center"/>
              <w:rPr>
                <w:color w:val="FF0000"/>
                <w:sz w:val="20"/>
                <w:szCs w:val="20"/>
              </w:rPr>
            </w:pPr>
            <w:r w:rsidRPr="00816F39">
              <w:rPr>
                <w:color w:val="FF0000"/>
                <w:sz w:val="20"/>
                <w:szCs w:val="20"/>
              </w:rPr>
              <w:t>18,515</w:t>
            </w:r>
          </w:p>
        </w:tc>
        <w:tc>
          <w:tcPr>
            <w:tcW w:w="2155" w:type="dxa"/>
          </w:tcPr>
          <w:p w14:paraId="0B97806C" w14:textId="2098E449" w:rsidR="00AF071F" w:rsidRPr="00816F39" w:rsidRDefault="00FB6A32" w:rsidP="00816F39">
            <w:pPr>
              <w:keepNext/>
              <w:keepLines/>
              <w:jc w:val="center"/>
              <w:rPr>
                <w:color w:val="FF0000"/>
                <w:sz w:val="20"/>
                <w:szCs w:val="20"/>
              </w:rPr>
            </w:pPr>
            <w:r w:rsidRPr="00816F39">
              <w:rPr>
                <w:color w:val="FF0000"/>
                <w:sz w:val="20"/>
                <w:szCs w:val="20"/>
              </w:rPr>
              <w:t>19,396</w:t>
            </w:r>
          </w:p>
        </w:tc>
      </w:tr>
      <w:tr w:rsidR="00AF071F" w:rsidRPr="00816F39" w14:paraId="4CB48914" w14:textId="77777777" w:rsidTr="00D9245A">
        <w:tc>
          <w:tcPr>
            <w:tcW w:w="1305" w:type="dxa"/>
          </w:tcPr>
          <w:p w14:paraId="330FE17F" w14:textId="54A92E71" w:rsidR="00AF071F" w:rsidRPr="00816F39" w:rsidRDefault="00AF071F" w:rsidP="00816F39">
            <w:pPr>
              <w:keepNext/>
              <w:keepLines/>
              <w:jc w:val="center"/>
              <w:rPr>
                <w:sz w:val="20"/>
                <w:szCs w:val="20"/>
              </w:rPr>
            </w:pPr>
            <w:r w:rsidRPr="00816F39">
              <w:rPr>
                <w:sz w:val="20"/>
                <w:szCs w:val="20"/>
              </w:rPr>
              <w:t>2040/2041</w:t>
            </w:r>
          </w:p>
        </w:tc>
        <w:tc>
          <w:tcPr>
            <w:tcW w:w="1349" w:type="dxa"/>
          </w:tcPr>
          <w:p w14:paraId="034A8A00" w14:textId="6C4F1714" w:rsidR="00AF071F" w:rsidRPr="00816F39" w:rsidRDefault="0001470E" w:rsidP="00816F39">
            <w:pPr>
              <w:keepNext/>
              <w:keepLines/>
              <w:jc w:val="center"/>
              <w:rPr>
                <w:color w:val="FF0000"/>
                <w:sz w:val="20"/>
                <w:szCs w:val="20"/>
              </w:rPr>
            </w:pPr>
            <w:r w:rsidRPr="00816F39">
              <w:rPr>
                <w:color w:val="FF0000"/>
                <w:sz w:val="20"/>
                <w:szCs w:val="20"/>
              </w:rPr>
              <w:t>20,284</w:t>
            </w:r>
          </w:p>
        </w:tc>
        <w:tc>
          <w:tcPr>
            <w:tcW w:w="2111" w:type="dxa"/>
          </w:tcPr>
          <w:p w14:paraId="5D9CD2B4" w14:textId="084F6FC1" w:rsidR="00AF071F" w:rsidRPr="00816F39" w:rsidRDefault="001B4BA5" w:rsidP="00816F39">
            <w:pPr>
              <w:keepNext/>
              <w:keepLines/>
              <w:jc w:val="center"/>
              <w:rPr>
                <w:color w:val="FF0000"/>
                <w:sz w:val="20"/>
                <w:szCs w:val="20"/>
              </w:rPr>
            </w:pPr>
            <w:r w:rsidRPr="00816F39">
              <w:rPr>
                <w:color w:val="FF0000"/>
                <w:sz w:val="20"/>
                <w:szCs w:val="20"/>
              </w:rPr>
              <w:t>24,683</w:t>
            </w:r>
          </w:p>
        </w:tc>
        <w:tc>
          <w:tcPr>
            <w:tcW w:w="1137" w:type="dxa"/>
          </w:tcPr>
          <w:p w14:paraId="644C1FC7" w14:textId="7DAB09F7" w:rsidR="00AF071F" w:rsidRPr="00816F39" w:rsidRDefault="00BF48B1" w:rsidP="00816F39">
            <w:pPr>
              <w:keepNext/>
              <w:keepLines/>
              <w:jc w:val="center"/>
              <w:rPr>
                <w:sz w:val="20"/>
                <w:szCs w:val="20"/>
              </w:rPr>
            </w:pPr>
            <w:r w:rsidRPr="00816F39">
              <w:rPr>
                <w:sz w:val="20"/>
                <w:szCs w:val="20"/>
              </w:rPr>
              <w:t>2041</w:t>
            </w:r>
          </w:p>
        </w:tc>
        <w:tc>
          <w:tcPr>
            <w:tcW w:w="1293" w:type="dxa"/>
          </w:tcPr>
          <w:p w14:paraId="576C04B6" w14:textId="44F82D89" w:rsidR="00AF071F" w:rsidRPr="00816F39" w:rsidRDefault="00FF572A" w:rsidP="00816F39">
            <w:pPr>
              <w:keepNext/>
              <w:keepLines/>
              <w:jc w:val="center"/>
              <w:rPr>
                <w:color w:val="FF0000"/>
                <w:sz w:val="20"/>
                <w:szCs w:val="20"/>
              </w:rPr>
            </w:pPr>
            <w:r w:rsidRPr="00816F39">
              <w:rPr>
                <w:color w:val="FF0000"/>
                <w:sz w:val="20"/>
                <w:szCs w:val="20"/>
              </w:rPr>
              <w:t>19,009</w:t>
            </w:r>
          </w:p>
        </w:tc>
        <w:tc>
          <w:tcPr>
            <w:tcW w:w="2155" w:type="dxa"/>
          </w:tcPr>
          <w:p w14:paraId="65FD97C7" w14:textId="63ADEDD2" w:rsidR="00AF071F" w:rsidRPr="00816F39" w:rsidRDefault="00FB6A32" w:rsidP="00816F39">
            <w:pPr>
              <w:keepNext/>
              <w:keepLines/>
              <w:jc w:val="center"/>
              <w:rPr>
                <w:color w:val="FF0000"/>
                <w:sz w:val="20"/>
                <w:szCs w:val="20"/>
              </w:rPr>
            </w:pPr>
            <w:r w:rsidRPr="00816F39">
              <w:rPr>
                <w:color w:val="FF0000"/>
                <w:sz w:val="20"/>
                <w:szCs w:val="20"/>
              </w:rPr>
              <w:t>20,288</w:t>
            </w:r>
          </w:p>
        </w:tc>
      </w:tr>
      <w:tr w:rsidR="00AF071F" w:rsidRPr="00816F39" w14:paraId="7D0A5131" w14:textId="77777777" w:rsidTr="00D9245A">
        <w:tc>
          <w:tcPr>
            <w:tcW w:w="1305" w:type="dxa"/>
          </w:tcPr>
          <w:p w14:paraId="44FBB1A9" w14:textId="32F061E4" w:rsidR="00AF071F" w:rsidRPr="00816F39" w:rsidRDefault="00AF071F" w:rsidP="00816F39">
            <w:pPr>
              <w:keepNext/>
              <w:keepLines/>
              <w:jc w:val="center"/>
              <w:rPr>
                <w:sz w:val="20"/>
                <w:szCs w:val="20"/>
              </w:rPr>
            </w:pPr>
            <w:r w:rsidRPr="00816F39">
              <w:rPr>
                <w:sz w:val="20"/>
                <w:szCs w:val="20"/>
              </w:rPr>
              <w:t>2041/2042</w:t>
            </w:r>
          </w:p>
        </w:tc>
        <w:tc>
          <w:tcPr>
            <w:tcW w:w="1349" w:type="dxa"/>
          </w:tcPr>
          <w:p w14:paraId="06DB81BB" w14:textId="565CCC69" w:rsidR="00AF071F" w:rsidRPr="00816F39" w:rsidRDefault="0001470E" w:rsidP="00816F39">
            <w:pPr>
              <w:keepNext/>
              <w:keepLines/>
              <w:jc w:val="center"/>
              <w:rPr>
                <w:color w:val="FF0000"/>
                <w:sz w:val="20"/>
                <w:szCs w:val="20"/>
              </w:rPr>
            </w:pPr>
            <w:r w:rsidRPr="00816F39">
              <w:rPr>
                <w:color w:val="FF0000"/>
                <w:sz w:val="20"/>
                <w:szCs w:val="20"/>
              </w:rPr>
              <w:t>20,768</w:t>
            </w:r>
          </w:p>
        </w:tc>
        <w:tc>
          <w:tcPr>
            <w:tcW w:w="2111" w:type="dxa"/>
          </w:tcPr>
          <w:p w14:paraId="2E0C948A" w14:textId="13AE11E6" w:rsidR="00AF071F" w:rsidRPr="00816F39" w:rsidRDefault="001B4BA5" w:rsidP="00816F39">
            <w:pPr>
              <w:keepNext/>
              <w:keepLines/>
              <w:jc w:val="center"/>
              <w:rPr>
                <w:color w:val="FF0000"/>
                <w:sz w:val="20"/>
                <w:szCs w:val="20"/>
              </w:rPr>
            </w:pPr>
            <w:r w:rsidRPr="00816F39">
              <w:rPr>
                <w:color w:val="FF0000"/>
                <w:sz w:val="20"/>
                <w:szCs w:val="20"/>
              </w:rPr>
              <w:t>25,651</w:t>
            </w:r>
          </w:p>
        </w:tc>
        <w:tc>
          <w:tcPr>
            <w:tcW w:w="1137" w:type="dxa"/>
          </w:tcPr>
          <w:p w14:paraId="33AB2F0D" w14:textId="170A5524" w:rsidR="00AF071F" w:rsidRPr="00816F39" w:rsidRDefault="00BF48B1" w:rsidP="00816F39">
            <w:pPr>
              <w:keepNext/>
              <w:keepLines/>
              <w:jc w:val="center"/>
              <w:rPr>
                <w:sz w:val="20"/>
                <w:szCs w:val="20"/>
              </w:rPr>
            </w:pPr>
            <w:r w:rsidRPr="00816F39">
              <w:rPr>
                <w:sz w:val="20"/>
                <w:szCs w:val="20"/>
              </w:rPr>
              <w:t>2042</w:t>
            </w:r>
          </w:p>
        </w:tc>
        <w:tc>
          <w:tcPr>
            <w:tcW w:w="1293" w:type="dxa"/>
          </w:tcPr>
          <w:p w14:paraId="4938D30C" w14:textId="120A1795" w:rsidR="00AF071F" w:rsidRPr="00816F39" w:rsidRDefault="00FF572A" w:rsidP="00816F39">
            <w:pPr>
              <w:keepNext/>
              <w:keepLines/>
              <w:jc w:val="center"/>
              <w:rPr>
                <w:color w:val="FF0000"/>
                <w:sz w:val="20"/>
                <w:szCs w:val="20"/>
              </w:rPr>
            </w:pPr>
            <w:r w:rsidRPr="00816F39">
              <w:rPr>
                <w:color w:val="FF0000"/>
                <w:sz w:val="20"/>
                <w:szCs w:val="20"/>
              </w:rPr>
              <w:t>19,484</w:t>
            </w:r>
          </w:p>
        </w:tc>
        <w:tc>
          <w:tcPr>
            <w:tcW w:w="2155" w:type="dxa"/>
          </w:tcPr>
          <w:p w14:paraId="24055E95" w14:textId="435D8EB9" w:rsidR="00AF071F" w:rsidRPr="00816F39" w:rsidRDefault="00FB6A32" w:rsidP="00816F39">
            <w:pPr>
              <w:keepNext/>
              <w:keepLines/>
              <w:jc w:val="center"/>
              <w:rPr>
                <w:color w:val="FF0000"/>
                <w:sz w:val="20"/>
                <w:szCs w:val="20"/>
              </w:rPr>
            </w:pPr>
            <w:r w:rsidRPr="00816F39">
              <w:rPr>
                <w:color w:val="FF0000"/>
                <w:sz w:val="20"/>
                <w:szCs w:val="20"/>
              </w:rPr>
              <w:t>21,122</w:t>
            </w:r>
          </w:p>
        </w:tc>
      </w:tr>
      <w:tr w:rsidR="00AF071F" w:rsidRPr="00816F39" w14:paraId="6ED4DD80" w14:textId="77777777" w:rsidTr="00D9245A">
        <w:tc>
          <w:tcPr>
            <w:tcW w:w="1305" w:type="dxa"/>
          </w:tcPr>
          <w:p w14:paraId="0FD9C78E" w14:textId="00A80463" w:rsidR="00AF071F" w:rsidRPr="00816F39" w:rsidRDefault="00AF071F" w:rsidP="00816F39">
            <w:pPr>
              <w:keepNext/>
              <w:keepLines/>
              <w:jc w:val="center"/>
              <w:rPr>
                <w:sz w:val="20"/>
                <w:szCs w:val="20"/>
              </w:rPr>
            </w:pPr>
            <w:r w:rsidRPr="00816F39">
              <w:rPr>
                <w:sz w:val="20"/>
                <w:szCs w:val="20"/>
              </w:rPr>
              <w:t>2042/2043</w:t>
            </w:r>
          </w:p>
        </w:tc>
        <w:tc>
          <w:tcPr>
            <w:tcW w:w="1349" w:type="dxa"/>
          </w:tcPr>
          <w:p w14:paraId="30C944B7" w14:textId="77A8DCDF" w:rsidR="00AF071F" w:rsidRPr="00816F39" w:rsidRDefault="00F123D3" w:rsidP="00816F39">
            <w:pPr>
              <w:keepNext/>
              <w:keepLines/>
              <w:jc w:val="center"/>
              <w:rPr>
                <w:color w:val="FF0000"/>
                <w:sz w:val="20"/>
                <w:szCs w:val="20"/>
              </w:rPr>
            </w:pPr>
            <w:r w:rsidRPr="00816F39">
              <w:rPr>
                <w:color w:val="FF0000"/>
                <w:sz w:val="20"/>
                <w:szCs w:val="20"/>
              </w:rPr>
              <w:t>21,299</w:t>
            </w:r>
          </w:p>
        </w:tc>
        <w:tc>
          <w:tcPr>
            <w:tcW w:w="2111" w:type="dxa"/>
          </w:tcPr>
          <w:p w14:paraId="345DE7D0" w14:textId="67EA9BFF" w:rsidR="00AF071F" w:rsidRPr="00816F39" w:rsidRDefault="000B3B18" w:rsidP="00816F39">
            <w:pPr>
              <w:keepNext/>
              <w:keepLines/>
              <w:jc w:val="center"/>
              <w:rPr>
                <w:color w:val="FF0000"/>
                <w:sz w:val="20"/>
                <w:szCs w:val="20"/>
              </w:rPr>
            </w:pPr>
            <w:r w:rsidRPr="00816F39">
              <w:rPr>
                <w:color w:val="FF0000"/>
                <w:sz w:val="20"/>
                <w:szCs w:val="20"/>
              </w:rPr>
              <w:t>26,652</w:t>
            </w:r>
          </w:p>
        </w:tc>
        <w:tc>
          <w:tcPr>
            <w:tcW w:w="1137" w:type="dxa"/>
          </w:tcPr>
          <w:p w14:paraId="1192ED68" w14:textId="732AC0F8" w:rsidR="00AF071F" w:rsidRPr="00816F39" w:rsidRDefault="00BF48B1" w:rsidP="00816F39">
            <w:pPr>
              <w:keepNext/>
              <w:keepLines/>
              <w:jc w:val="center"/>
              <w:rPr>
                <w:sz w:val="20"/>
                <w:szCs w:val="20"/>
              </w:rPr>
            </w:pPr>
            <w:r w:rsidRPr="00816F39">
              <w:rPr>
                <w:sz w:val="20"/>
                <w:szCs w:val="20"/>
              </w:rPr>
              <w:t>2043</w:t>
            </w:r>
          </w:p>
        </w:tc>
        <w:tc>
          <w:tcPr>
            <w:tcW w:w="1293" w:type="dxa"/>
          </w:tcPr>
          <w:p w14:paraId="4CAA7643" w14:textId="7E8FB8DF" w:rsidR="00AF071F" w:rsidRPr="00816F39" w:rsidRDefault="00FF572A" w:rsidP="00816F39">
            <w:pPr>
              <w:keepNext/>
              <w:keepLines/>
              <w:jc w:val="center"/>
              <w:rPr>
                <w:color w:val="FF0000"/>
                <w:sz w:val="20"/>
                <w:szCs w:val="20"/>
              </w:rPr>
            </w:pPr>
            <w:r w:rsidRPr="00816F39">
              <w:rPr>
                <w:color w:val="FF0000"/>
                <w:sz w:val="20"/>
                <w:szCs w:val="20"/>
              </w:rPr>
              <w:t>19,968</w:t>
            </w:r>
          </w:p>
        </w:tc>
        <w:tc>
          <w:tcPr>
            <w:tcW w:w="2155" w:type="dxa"/>
          </w:tcPr>
          <w:p w14:paraId="4287CD1E" w14:textId="3520492B" w:rsidR="00AF071F" w:rsidRPr="00816F39" w:rsidRDefault="00423973" w:rsidP="00816F39">
            <w:pPr>
              <w:keepNext/>
              <w:keepLines/>
              <w:jc w:val="center"/>
              <w:rPr>
                <w:color w:val="FF0000"/>
                <w:sz w:val="20"/>
                <w:szCs w:val="20"/>
              </w:rPr>
            </w:pPr>
            <w:r w:rsidRPr="00816F39">
              <w:rPr>
                <w:color w:val="FF0000"/>
                <w:sz w:val="20"/>
                <w:szCs w:val="20"/>
              </w:rPr>
              <w:t>21,704</w:t>
            </w:r>
          </w:p>
        </w:tc>
      </w:tr>
      <w:tr w:rsidR="00AF071F" w:rsidRPr="00816F39" w14:paraId="1942DC1D" w14:textId="77777777" w:rsidTr="00D9245A">
        <w:tc>
          <w:tcPr>
            <w:tcW w:w="1305" w:type="dxa"/>
          </w:tcPr>
          <w:p w14:paraId="77425D06" w14:textId="42A17C29" w:rsidR="00AF071F" w:rsidRPr="00816F39" w:rsidRDefault="00AF071F" w:rsidP="00816F39">
            <w:pPr>
              <w:keepNext/>
              <w:keepLines/>
              <w:jc w:val="center"/>
              <w:rPr>
                <w:sz w:val="20"/>
                <w:szCs w:val="20"/>
              </w:rPr>
            </w:pPr>
            <w:r w:rsidRPr="00816F39">
              <w:rPr>
                <w:sz w:val="20"/>
                <w:szCs w:val="20"/>
              </w:rPr>
              <w:t>2043/2044</w:t>
            </w:r>
          </w:p>
        </w:tc>
        <w:tc>
          <w:tcPr>
            <w:tcW w:w="1349" w:type="dxa"/>
          </w:tcPr>
          <w:p w14:paraId="47F7B42D" w14:textId="273C23D6" w:rsidR="00AF071F" w:rsidRPr="00816F39" w:rsidRDefault="00F123D3" w:rsidP="00816F39">
            <w:pPr>
              <w:keepNext/>
              <w:keepLines/>
              <w:jc w:val="center"/>
              <w:rPr>
                <w:color w:val="FF0000"/>
                <w:sz w:val="20"/>
                <w:szCs w:val="20"/>
              </w:rPr>
            </w:pPr>
            <w:r w:rsidRPr="00816F39">
              <w:rPr>
                <w:color w:val="FF0000"/>
                <w:sz w:val="20"/>
                <w:szCs w:val="20"/>
              </w:rPr>
              <w:t>21,822</w:t>
            </w:r>
          </w:p>
        </w:tc>
        <w:tc>
          <w:tcPr>
            <w:tcW w:w="2111" w:type="dxa"/>
          </w:tcPr>
          <w:p w14:paraId="04C80C13" w14:textId="64820B0B" w:rsidR="00AF071F" w:rsidRPr="00816F39" w:rsidRDefault="000B3B18" w:rsidP="00816F39">
            <w:pPr>
              <w:keepNext/>
              <w:keepLines/>
              <w:jc w:val="center"/>
              <w:rPr>
                <w:color w:val="FF0000"/>
                <w:sz w:val="20"/>
                <w:szCs w:val="20"/>
              </w:rPr>
            </w:pPr>
            <w:r w:rsidRPr="00816F39">
              <w:rPr>
                <w:color w:val="FF0000"/>
                <w:sz w:val="20"/>
                <w:szCs w:val="20"/>
              </w:rPr>
              <w:t>27,278</w:t>
            </w:r>
          </w:p>
        </w:tc>
        <w:tc>
          <w:tcPr>
            <w:tcW w:w="1137" w:type="dxa"/>
          </w:tcPr>
          <w:p w14:paraId="0983F3B2" w14:textId="36EECEE3" w:rsidR="00AF071F" w:rsidRPr="00816F39" w:rsidRDefault="00BF48B1" w:rsidP="00816F39">
            <w:pPr>
              <w:keepNext/>
              <w:keepLines/>
              <w:jc w:val="center"/>
              <w:rPr>
                <w:sz w:val="20"/>
                <w:szCs w:val="20"/>
              </w:rPr>
            </w:pPr>
            <w:r w:rsidRPr="00816F39">
              <w:rPr>
                <w:sz w:val="20"/>
                <w:szCs w:val="20"/>
              </w:rPr>
              <w:t>2044</w:t>
            </w:r>
          </w:p>
        </w:tc>
        <w:tc>
          <w:tcPr>
            <w:tcW w:w="1293" w:type="dxa"/>
          </w:tcPr>
          <w:p w14:paraId="2628AF62" w14:textId="422FA300" w:rsidR="00AF071F" w:rsidRPr="00816F39" w:rsidRDefault="00FF572A" w:rsidP="00816F39">
            <w:pPr>
              <w:keepNext/>
              <w:keepLines/>
              <w:jc w:val="center"/>
              <w:rPr>
                <w:color w:val="FF0000"/>
                <w:sz w:val="20"/>
                <w:szCs w:val="20"/>
              </w:rPr>
            </w:pPr>
            <w:r w:rsidRPr="00816F39">
              <w:rPr>
                <w:color w:val="FF0000"/>
                <w:sz w:val="20"/>
                <w:szCs w:val="20"/>
              </w:rPr>
              <w:t>20,536</w:t>
            </w:r>
          </w:p>
        </w:tc>
        <w:tc>
          <w:tcPr>
            <w:tcW w:w="2155" w:type="dxa"/>
          </w:tcPr>
          <w:p w14:paraId="01DD1387" w14:textId="4B2310D8" w:rsidR="00AF071F" w:rsidRPr="00816F39" w:rsidRDefault="00A029A5" w:rsidP="00816F39">
            <w:pPr>
              <w:keepNext/>
              <w:keepLines/>
              <w:jc w:val="center"/>
              <w:rPr>
                <w:color w:val="FF0000"/>
                <w:sz w:val="20"/>
                <w:szCs w:val="20"/>
              </w:rPr>
            </w:pPr>
            <w:r w:rsidRPr="00816F39">
              <w:rPr>
                <w:color w:val="FF0000"/>
                <w:sz w:val="20"/>
                <w:szCs w:val="20"/>
              </w:rPr>
              <w:t>23,120</w:t>
            </w:r>
          </w:p>
        </w:tc>
      </w:tr>
    </w:tbl>
    <w:p w14:paraId="313FA35F" w14:textId="77777777" w:rsidR="000E335F" w:rsidRDefault="000E335F" w:rsidP="00A23A7B">
      <w:pPr>
        <w:jc w:val="both"/>
        <w:rPr>
          <w:u w:val="single"/>
        </w:rPr>
      </w:pPr>
    </w:p>
    <w:p w14:paraId="2496D26E" w14:textId="5FD609B7" w:rsidR="000D2D28" w:rsidRDefault="002966D2" w:rsidP="00A23A7B">
      <w:pPr>
        <w:jc w:val="both"/>
        <w:rPr>
          <w:u w:val="single"/>
        </w:rPr>
      </w:pPr>
      <w:r>
        <w:rPr>
          <w:u w:val="single"/>
        </w:rPr>
        <w:t>Notes:</w:t>
      </w:r>
    </w:p>
    <w:p w14:paraId="0C2CABA4" w14:textId="15419699" w:rsidR="004563EB" w:rsidRPr="00A23A7B" w:rsidRDefault="0012630F" w:rsidP="00A23A7B">
      <w:pPr>
        <w:pStyle w:val="ListParagraph"/>
        <w:numPr>
          <w:ilvl w:val="0"/>
          <w:numId w:val="117"/>
        </w:numPr>
        <w:jc w:val="both"/>
      </w:pPr>
      <w:r w:rsidRPr="00A23A7B">
        <w:t xml:space="preserve">Tables 8.1A and 8.1B </w:t>
      </w:r>
      <w:r w:rsidR="00904C2B" w:rsidRPr="00A23A7B">
        <w:t>assume the extended operation of Plant Scherer Unit 3 and Plant Gaston Units 1-4 and A beyond December 31, 2028.</w:t>
      </w:r>
      <w:r w:rsidR="00EE6353" w:rsidRPr="00A23A7B">
        <w:t xml:space="preserve"> Both tables assume Plant Gaston operates through December 31, 2034.</w:t>
      </w:r>
    </w:p>
    <w:p w14:paraId="77733480" w14:textId="3611BF53" w:rsidR="002966D2" w:rsidRPr="00A23A7B" w:rsidRDefault="00904C2B" w:rsidP="00A23A7B">
      <w:pPr>
        <w:pStyle w:val="ListParagraph"/>
        <w:numPr>
          <w:ilvl w:val="0"/>
          <w:numId w:val="117"/>
        </w:numPr>
        <w:jc w:val="both"/>
      </w:pPr>
      <w:r w:rsidRPr="00A23A7B">
        <w:t xml:space="preserve">Table </w:t>
      </w:r>
      <w:r w:rsidR="00C12D24" w:rsidRPr="00A23A7B">
        <w:t xml:space="preserve">8.1A assumes </w:t>
      </w:r>
      <w:r w:rsidR="00897AD8" w:rsidRPr="00A23A7B">
        <w:t xml:space="preserve">Plant Bowen and Plant Scherer units operate through </w:t>
      </w:r>
      <w:r w:rsidR="00B67124" w:rsidRPr="00A23A7B">
        <w:t>December 31, 2038.</w:t>
      </w:r>
    </w:p>
    <w:p w14:paraId="2730BA17" w14:textId="5951ADDE" w:rsidR="00B67124" w:rsidRPr="00A23A7B" w:rsidRDefault="00B67124" w:rsidP="00A23A7B">
      <w:pPr>
        <w:pStyle w:val="ListParagraph"/>
        <w:numPr>
          <w:ilvl w:val="0"/>
          <w:numId w:val="117"/>
        </w:numPr>
        <w:jc w:val="both"/>
      </w:pPr>
      <w:r w:rsidRPr="00A23A7B">
        <w:t>Table 8.1B assumes Plant Bowen and Plant Scherer units operate through December 31, 2035.</w:t>
      </w:r>
    </w:p>
    <w:p w14:paraId="3EC7CB03" w14:textId="1C3FD1DC" w:rsidR="004E64D9" w:rsidRPr="001D7542" w:rsidRDefault="00F83719" w:rsidP="00EB3026">
      <w:pPr>
        <w:pStyle w:val="ListParagraph"/>
        <w:numPr>
          <w:ilvl w:val="0"/>
          <w:numId w:val="117"/>
        </w:numPr>
        <w:jc w:val="both"/>
      </w:pPr>
      <w:r w:rsidRPr="00A23A7B">
        <w:t xml:space="preserve">Neither Table 8.1A nor Table 8.1B reflects </w:t>
      </w:r>
      <w:r w:rsidR="005E121D" w:rsidRPr="00A23A7B">
        <w:t xml:space="preserve">an assumed capacity procurement </w:t>
      </w:r>
      <w:r w:rsidR="00D04FF5" w:rsidRPr="00A23A7B">
        <w:t xml:space="preserve">amount </w:t>
      </w:r>
      <w:r w:rsidR="005E121D" w:rsidRPr="00A23A7B">
        <w:t xml:space="preserve">associated with the </w:t>
      </w:r>
      <w:r w:rsidR="00EB3026">
        <w:t xml:space="preserve">Winter 2027/2028 BESS RFP or the </w:t>
      </w:r>
      <w:r w:rsidR="009F39BF">
        <w:t>All-Source Capacity RFP for 2029-2031</w:t>
      </w:r>
      <w:r w:rsidR="00D04FF5">
        <w:t xml:space="preserve">. This is to show the </w:t>
      </w:r>
      <w:r w:rsidR="00003324">
        <w:t xml:space="preserve">total procurement required </w:t>
      </w:r>
      <w:r w:rsidR="00157B5C">
        <w:t xml:space="preserve">from those RFPs </w:t>
      </w:r>
      <w:r w:rsidR="00003324">
        <w:t xml:space="preserve">to meet </w:t>
      </w:r>
      <w:r w:rsidR="00157B5C">
        <w:t xml:space="preserve">capacity </w:t>
      </w:r>
      <w:r w:rsidR="00003324">
        <w:t xml:space="preserve">needs </w:t>
      </w:r>
      <w:r w:rsidR="002A731A">
        <w:t>from the winter of 2027/2028 through the winter of 2030/2031.</w:t>
      </w:r>
    </w:p>
    <w:p w14:paraId="51686F00" w14:textId="1B332CB9" w:rsidR="00813D65" w:rsidRPr="001D7542" w:rsidRDefault="001D7542" w:rsidP="00A23A7B">
      <w:pPr>
        <w:pStyle w:val="ListParagraph"/>
        <w:numPr>
          <w:ilvl w:val="0"/>
          <w:numId w:val="117"/>
        </w:numPr>
        <w:jc w:val="both"/>
      </w:pPr>
      <w:r>
        <w:t xml:space="preserve">Except for the extensions of Plant Scherer Unit 3 and Plant Gaston Units 1-4 and A, </w:t>
      </w:r>
      <w:r w:rsidR="006D4321">
        <w:t xml:space="preserve">none of the 2025 IRP </w:t>
      </w:r>
      <w:r w:rsidR="00AF0C78">
        <w:t xml:space="preserve">incremental capacity </w:t>
      </w:r>
      <w:r w:rsidR="00A172D5">
        <w:t xml:space="preserve">requests are reflected in the tables above. </w:t>
      </w:r>
      <w:r w:rsidR="005D60A5">
        <w:t xml:space="preserve">Approval of such requests would serve to reduce </w:t>
      </w:r>
      <w:r w:rsidR="0019722A">
        <w:t>capacity</w:t>
      </w:r>
      <w:r w:rsidR="005D60A5">
        <w:t xml:space="preserve"> procurement required </w:t>
      </w:r>
      <w:r w:rsidR="00F80075">
        <w:t xml:space="preserve">through </w:t>
      </w:r>
      <w:r w:rsidR="009D5D4F">
        <w:t>the Winter 2027/2028 BESS RFP and the All-Source Capacity RFP for 2029-2031</w:t>
      </w:r>
      <w:r w:rsidR="00F80075">
        <w:t>.</w:t>
      </w:r>
    </w:p>
    <w:p w14:paraId="56CDBDFE" w14:textId="0480F1AE" w:rsidR="00FC2E48" w:rsidRDefault="00545B58" w:rsidP="00B56A9C">
      <w:pPr>
        <w:pStyle w:val="Heading2"/>
      </w:pPr>
      <w:bookmarkStart w:id="41" w:name="_Toc189122765"/>
      <w:r>
        <w:t>8</w:t>
      </w:r>
      <w:r w:rsidR="00E7163D">
        <w:t xml:space="preserve">.2 – </w:t>
      </w:r>
      <w:r w:rsidR="00E91C58">
        <w:t>Unit Retirement</w:t>
      </w:r>
      <w:r w:rsidR="6C0C084C">
        <w:t>s</w:t>
      </w:r>
      <w:bookmarkEnd w:id="41"/>
      <w:r w:rsidR="00E91C58">
        <w:t xml:space="preserve"> </w:t>
      </w:r>
    </w:p>
    <w:p w14:paraId="3E2150DC" w14:textId="7AA4F6BC" w:rsidR="005E4BCC" w:rsidRDefault="005E4BCC" w:rsidP="005E4BCC">
      <w:pPr>
        <w:spacing w:line="257" w:lineRule="auto"/>
        <w:jc w:val="both"/>
        <w:rPr>
          <w:rFonts w:ascii="Aptos" w:eastAsia="Aptos" w:hAnsi="Aptos" w:cs="Aptos"/>
        </w:rPr>
      </w:pPr>
      <w:r>
        <w:rPr>
          <w:rFonts w:ascii="Aptos" w:eastAsia="Aptos" w:hAnsi="Aptos" w:cs="Aptos"/>
        </w:rPr>
        <w:t>With</w:t>
      </w:r>
      <w:r w:rsidRPr="4842DCCD">
        <w:rPr>
          <w:rFonts w:ascii="Aptos" w:eastAsia="Aptos" w:hAnsi="Aptos" w:cs="Aptos"/>
        </w:rPr>
        <w:t xml:space="preserve"> substantial load growth </w:t>
      </w:r>
      <w:r>
        <w:rPr>
          <w:rFonts w:ascii="Aptos" w:eastAsia="Aptos" w:hAnsi="Aptos" w:cs="Aptos"/>
        </w:rPr>
        <w:t xml:space="preserve">in Georgia </w:t>
      </w:r>
      <w:r w:rsidRPr="4842DCCD">
        <w:rPr>
          <w:rFonts w:ascii="Aptos" w:eastAsia="Aptos" w:hAnsi="Aptos" w:cs="Aptos"/>
        </w:rPr>
        <w:t xml:space="preserve">and the </w:t>
      </w:r>
      <w:r>
        <w:rPr>
          <w:rFonts w:ascii="Aptos" w:eastAsia="Aptos" w:hAnsi="Aptos" w:cs="Aptos"/>
        </w:rPr>
        <w:t xml:space="preserve">comparative </w:t>
      </w:r>
      <w:r w:rsidRPr="4842DCCD">
        <w:rPr>
          <w:rFonts w:ascii="Aptos" w:eastAsia="Aptos" w:hAnsi="Aptos" w:cs="Aptos"/>
        </w:rPr>
        <w:t xml:space="preserve">cost of </w:t>
      </w:r>
      <w:r>
        <w:rPr>
          <w:rFonts w:ascii="Aptos" w:eastAsia="Aptos" w:hAnsi="Aptos" w:cs="Aptos"/>
        </w:rPr>
        <w:t xml:space="preserve">developing or procuring </w:t>
      </w:r>
      <w:r w:rsidRPr="4842DCCD">
        <w:rPr>
          <w:rFonts w:ascii="Aptos" w:eastAsia="Aptos" w:hAnsi="Aptos" w:cs="Aptos"/>
        </w:rPr>
        <w:t xml:space="preserve">replacement generation, </w:t>
      </w:r>
      <w:r>
        <w:rPr>
          <w:rFonts w:ascii="Aptos" w:eastAsia="Aptos" w:hAnsi="Aptos" w:cs="Aptos"/>
        </w:rPr>
        <w:t>the Company has updated</w:t>
      </w:r>
      <w:r w:rsidRPr="4842DCCD">
        <w:rPr>
          <w:rFonts w:ascii="Aptos" w:eastAsia="Aptos" w:hAnsi="Aptos" w:cs="Aptos"/>
        </w:rPr>
        <w:t xml:space="preserve"> </w:t>
      </w:r>
      <w:r>
        <w:rPr>
          <w:rFonts w:ascii="Aptos" w:eastAsia="Aptos" w:hAnsi="Aptos" w:cs="Aptos"/>
        </w:rPr>
        <w:t xml:space="preserve">its </w:t>
      </w:r>
      <w:r w:rsidRPr="4842DCCD">
        <w:rPr>
          <w:rFonts w:ascii="Aptos" w:eastAsia="Aptos" w:hAnsi="Aptos" w:cs="Aptos"/>
        </w:rPr>
        <w:t xml:space="preserve">retirement plans </w:t>
      </w:r>
      <w:r>
        <w:rPr>
          <w:rFonts w:ascii="Aptos" w:eastAsia="Aptos" w:hAnsi="Aptos" w:cs="Aptos"/>
        </w:rPr>
        <w:t xml:space="preserve">for several generating units. Through extending the operation of several existing resources, the Company’s updated plans </w:t>
      </w:r>
      <w:r w:rsidRPr="4842DCCD">
        <w:rPr>
          <w:rFonts w:ascii="Aptos" w:eastAsia="Aptos" w:hAnsi="Aptos" w:cs="Aptos"/>
        </w:rPr>
        <w:t xml:space="preserve">are </w:t>
      </w:r>
      <w:r>
        <w:rPr>
          <w:rFonts w:ascii="Aptos" w:eastAsia="Aptos" w:hAnsi="Aptos" w:cs="Aptos"/>
        </w:rPr>
        <w:t xml:space="preserve">economic and </w:t>
      </w:r>
      <w:r w:rsidRPr="4842DCCD">
        <w:rPr>
          <w:rFonts w:ascii="Aptos" w:eastAsia="Aptos" w:hAnsi="Aptos" w:cs="Aptos"/>
        </w:rPr>
        <w:t>cost</w:t>
      </w:r>
      <w:r w:rsidR="00396E0D">
        <w:rPr>
          <w:rFonts w:ascii="Aptos" w:eastAsia="Aptos" w:hAnsi="Aptos" w:cs="Aptos"/>
        </w:rPr>
        <w:t xml:space="preserve"> </w:t>
      </w:r>
      <w:r w:rsidRPr="4842DCCD">
        <w:rPr>
          <w:rFonts w:ascii="Aptos" w:eastAsia="Aptos" w:hAnsi="Aptos" w:cs="Aptos"/>
        </w:rPr>
        <w:t>effective</w:t>
      </w:r>
      <w:r w:rsidR="00396E0D">
        <w:rPr>
          <w:rFonts w:ascii="Aptos" w:eastAsia="Aptos" w:hAnsi="Aptos" w:cs="Aptos"/>
        </w:rPr>
        <w:t>,</w:t>
      </w:r>
      <w:r>
        <w:rPr>
          <w:rFonts w:ascii="Aptos" w:eastAsia="Aptos" w:hAnsi="Aptos" w:cs="Aptos"/>
        </w:rPr>
        <w:t xml:space="preserve"> offering </w:t>
      </w:r>
      <w:r w:rsidRPr="4842DCCD">
        <w:rPr>
          <w:rFonts w:ascii="Aptos" w:eastAsia="Aptos" w:hAnsi="Aptos" w:cs="Aptos"/>
        </w:rPr>
        <w:t>improve</w:t>
      </w:r>
      <w:r>
        <w:rPr>
          <w:rFonts w:ascii="Aptos" w:eastAsia="Aptos" w:hAnsi="Aptos" w:cs="Aptos"/>
        </w:rPr>
        <w:t>d</w:t>
      </w:r>
      <w:r w:rsidRPr="4842DCCD">
        <w:rPr>
          <w:rFonts w:ascii="Aptos" w:eastAsia="Aptos" w:hAnsi="Aptos" w:cs="Aptos"/>
        </w:rPr>
        <w:t xml:space="preserve"> decision-making flexibility </w:t>
      </w:r>
      <w:r>
        <w:rPr>
          <w:rFonts w:ascii="Aptos" w:eastAsia="Aptos" w:hAnsi="Aptos" w:cs="Aptos"/>
        </w:rPr>
        <w:t>while</w:t>
      </w:r>
      <w:r w:rsidRPr="4842DCCD">
        <w:rPr>
          <w:rFonts w:ascii="Aptos" w:eastAsia="Aptos" w:hAnsi="Aptos" w:cs="Aptos"/>
        </w:rPr>
        <w:t xml:space="preserve"> provid</w:t>
      </w:r>
      <w:r>
        <w:rPr>
          <w:rFonts w:ascii="Aptos" w:eastAsia="Aptos" w:hAnsi="Aptos" w:cs="Aptos"/>
        </w:rPr>
        <w:t>ing</w:t>
      </w:r>
      <w:r w:rsidRPr="4842DCCD">
        <w:rPr>
          <w:rFonts w:ascii="Aptos" w:eastAsia="Aptos" w:hAnsi="Aptos" w:cs="Aptos"/>
        </w:rPr>
        <w:t xml:space="preserve"> the necessary capacity to </w:t>
      </w:r>
      <w:r>
        <w:rPr>
          <w:rFonts w:ascii="Aptos" w:eastAsia="Aptos" w:hAnsi="Aptos" w:cs="Aptos"/>
        </w:rPr>
        <w:t xml:space="preserve">maintain reliability and </w:t>
      </w:r>
      <w:r w:rsidRPr="4842DCCD">
        <w:rPr>
          <w:rFonts w:ascii="Aptos" w:eastAsia="Aptos" w:hAnsi="Aptos" w:cs="Aptos"/>
        </w:rPr>
        <w:t xml:space="preserve">support </w:t>
      </w:r>
      <w:r>
        <w:rPr>
          <w:rFonts w:ascii="Aptos" w:eastAsia="Aptos" w:hAnsi="Aptos" w:cs="Aptos"/>
        </w:rPr>
        <w:t xml:space="preserve">the </w:t>
      </w:r>
      <w:r w:rsidRPr="4842DCCD">
        <w:rPr>
          <w:rFonts w:ascii="Aptos" w:eastAsia="Aptos" w:hAnsi="Aptos" w:cs="Aptos"/>
        </w:rPr>
        <w:t>substantial economic development and load growth</w:t>
      </w:r>
      <w:r>
        <w:rPr>
          <w:rFonts w:ascii="Aptos" w:eastAsia="Aptos" w:hAnsi="Aptos" w:cs="Aptos"/>
        </w:rPr>
        <w:t xml:space="preserve"> taking place in Georgia</w:t>
      </w:r>
      <w:r w:rsidRPr="4842DCCD">
        <w:rPr>
          <w:rFonts w:ascii="Aptos" w:eastAsia="Aptos" w:hAnsi="Aptos" w:cs="Aptos"/>
        </w:rPr>
        <w:t xml:space="preserve">. The </w:t>
      </w:r>
      <w:r>
        <w:rPr>
          <w:rFonts w:ascii="Aptos" w:eastAsia="Aptos" w:hAnsi="Aptos" w:cs="Aptos"/>
        </w:rPr>
        <w:t xml:space="preserve">Company’s </w:t>
      </w:r>
      <w:r w:rsidRPr="4842DCCD">
        <w:rPr>
          <w:rFonts w:ascii="Aptos" w:eastAsia="Aptos" w:hAnsi="Aptos" w:cs="Aptos"/>
        </w:rPr>
        <w:t>economic analysis for the</w:t>
      </w:r>
      <w:r>
        <w:rPr>
          <w:rFonts w:ascii="Aptos" w:eastAsia="Aptos" w:hAnsi="Aptos" w:cs="Aptos"/>
        </w:rPr>
        <w:t>se</w:t>
      </w:r>
      <w:r w:rsidRPr="4842DCCD">
        <w:rPr>
          <w:rFonts w:ascii="Aptos" w:eastAsia="Aptos" w:hAnsi="Aptos" w:cs="Aptos"/>
        </w:rPr>
        <w:t xml:space="preserve"> coal and gas-steam resources supports </w:t>
      </w:r>
      <w:r w:rsidRPr="75CF9126">
        <w:rPr>
          <w:rFonts w:ascii="Aptos" w:eastAsia="Aptos" w:hAnsi="Aptos" w:cs="Aptos"/>
        </w:rPr>
        <w:t xml:space="preserve">the </w:t>
      </w:r>
      <w:r w:rsidRPr="4842DCCD">
        <w:rPr>
          <w:rFonts w:ascii="Aptos" w:eastAsia="Aptos" w:hAnsi="Aptos" w:cs="Aptos"/>
        </w:rPr>
        <w:t>continued operation</w:t>
      </w:r>
      <w:r w:rsidRPr="75CF9126">
        <w:rPr>
          <w:rFonts w:ascii="Aptos" w:eastAsia="Aptos" w:hAnsi="Aptos" w:cs="Aptos"/>
        </w:rPr>
        <w:t xml:space="preserve"> of </w:t>
      </w:r>
      <w:r>
        <w:rPr>
          <w:rFonts w:ascii="Aptos" w:eastAsia="Aptos" w:hAnsi="Aptos" w:cs="Aptos"/>
        </w:rPr>
        <w:t>each</w:t>
      </w:r>
      <w:r w:rsidRPr="75CF9126">
        <w:rPr>
          <w:rFonts w:ascii="Aptos" w:eastAsia="Aptos" w:hAnsi="Aptos" w:cs="Aptos"/>
        </w:rPr>
        <w:t xml:space="preserve"> resource</w:t>
      </w:r>
      <w:r w:rsidR="000B1E47">
        <w:rPr>
          <w:rFonts w:ascii="Aptos" w:eastAsia="Aptos" w:hAnsi="Aptos" w:cs="Aptos"/>
        </w:rPr>
        <w:t>,</w:t>
      </w:r>
      <w:r>
        <w:rPr>
          <w:rFonts w:ascii="Aptos" w:eastAsia="Aptos" w:hAnsi="Aptos" w:cs="Aptos"/>
        </w:rPr>
        <w:t xml:space="preserve"> some of which were</w:t>
      </w:r>
      <w:r w:rsidRPr="4842DCCD">
        <w:rPr>
          <w:rFonts w:ascii="Aptos" w:eastAsia="Aptos" w:hAnsi="Aptos" w:cs="Aptos"/>
        </w:rPr>
        <w:t xml:space="preserve"> previously planned for near-term retirement</w:t>
      </w:r>
      <w:r>
        <w:rPr>
          <w:rFonts w:ascii="Aptos" w:eastAsia="Aptos" w:hAnsi="Aptos" w:cs="Aptos"/>
        </w:rPr>
        <w:t xml:space="preserve"> in earlier IRPs</w:t>
      </w:r>
      <w:r w:rsidRPr="4842DCCD">
        <w:rPr>
          <w:rFonts w:ascii="Aptos" w:eastAsia="Aptos" w:hAnsi="Aptos" w:cs="Aptos"/>
        </w:rPr>
        <w:t>.</w:t>
      </w:r>
    </w:p>
    <w:p w14:paraId="029BCE97" w14:textId="27FC194F" w:rsidR="61F9D5EA" w:rsidRDefault="61F9D5EA" w:rsidP="003A745D">
      <w:pPr>
        <w:spacing w:line="257" w:lineRule="auto"/>
        <w:jc w:val="both"/>
        <w:rPr>
          <w:rFonts w:ascii="Aptos" w:eastAsia="Aptos" w:hAnsi="Aptos" w:cs="Aptos"/>
        </w:rPr>
      </w:pPr>
      <w:r w:rsidRPr="4842DCCD">
        <w:rPr>
          <w:rFonts w:ascii="Aptos" w:eastAsia="Aptos" w:hAnsi="Aptos" w:cs="Aptos"/>
        </w:rPr>
        <w:t xml:space="preserve">The 2022 IRP recommended the decertification and retirement of Plant Scherer Unit 3, Plant Gaston Units 1-4, and Unit A by December 31, 2028. The </w:t>
      </w:r>
      <w:r w:rsidR="006347E5">
        <w:rPr>
          <w:rFonts w:ascii="Aptos" w:eastAsia="Aptos" w:hAnsi="Aptos" w:cs="Aptos"/>
        </w:rPr>
        <w:t>Commission deferred a</w:t>
      </w:r>
      <w:r w:rsidRPr="4842DCCD">
        <w:rPr>
          <w:rFonts w:ascii="Aptos" w:eastAsia="Aptos" w:hAnsi="Aptos" w:cs="Aptos"/>
        </w:rPr>
        <w:t xml:space="preserve"> decision on the retirement of Plant Bowen Units 1</w:t>
      </w:r>
      <w:r w:rsidR="006347E5">
        <w:rPr>
          <w:rFonts w:ascii="Aptos" w:eastAsia="Aptos" w:hAnsi="Aptos" w:cs="Aptos"/>
        </w:rPr>
        <w:t>-</w:t>
      </w:r>
      <w:r w:rsidRPr="4842DCCD">
        <w:rPr>
          <w:rFonts w:ascii="Aptos" w:eastAsia="Aptos" w:hAnsi="Aptos" w:cs="Aptos"/>
        </w:rPr>
        <w:t xml:space="preserve">2 to the 2025 IRP, with a potential retirement date as early as December 31, 2027. </w:t>
      </w:r>
      <w:r w:rsidR="008636B2">
        <w:rPr>
          <w:rFonts w:ascii="Aptos" w:eastAsia="Aptos" w:hAnsi="Aptos" w:cs="Aptos"/>
        </w:rPr>
        <w:t>At the time of the 2022 IRP</w:t>
      </w:r>
      <w:r w:rsidR="00974416">
        <w:rPr>
          <w:rFonts w:ascii="Aptos" w:eastAsia="Aptos" w:hAnsi="Aptos" w:cs="Aptos"/>
        </w:rPr>
        <w:t>, t</w:t>
      </w:r>
      <w:r w:rsidR="008636B2" w:rsidRPr="4842DCCD">
        <w:rPr>
          <w:rFonts w:ascii="Aptos" w:eastAsia="Aptos" w:hAnsi="Aptos" w:cs="Aptos"/>
        </w:rPr>
        <w:t xml:space="preserve">hese </w:t>
      </w:r>
      <w:r w:rsidRPr="4842DCCD">
        <w:rPr>
          <w:rFonts w:ascii="Aptos" w:eastAsia="Aptos" w:hAnsi="Aptos" w:cs="Aptos"/>
        </w:rPr>
        <w:t>recommendations were based on the substantial</w:t>
      </w:r>
      <w:r w:rsidR="00A7104E">
        <w:rPr>
          <w:rFonts w:ascii="Aptos" w:eastAsia="Aptos" w:hAnsi="Aptos" w:cs="Aptos"/>
        </w:rPr>
        <w:t xml:space="preserve"> economic</w:t>
      </w:r>
      <w:r w:rsidRPr="4842DCCD">
        <w:rPr>
          <w:rFonts w:ascii="Aptos" w:eastAsia="Aptos" w:hAnsi="Aptos" w:cs="Aptos"/>
        </w:rPr>
        <w:t xml:space="preserve"> benefits provided by the low-cost, valuable replacement generation identified in the 2022-2028 Capacity RFP, which was intended to meet the capacity needs driven by the planned retirement of coal units</w:t>
      </w:r>
      <w:r w:rsidR="00DE3C43">
        <w:rPr>
          <w:rFonts w:ascii="Aptos" w:eastAsia="Aptos" w:hAnsi="Aptos" w:cs="Aptos"/>
        </w:rPr>
        <w:t xml:space="preserve"> and </w:t>
      </w:r>
      <w:r w:rsidR="00EB6D25">
        <w:rPr>
          <w:rFonts w:ascii="Aptos" w:eastAsia="Aptos" w:hAnsi="Aptos" w:cs="Aptos"/>
        </w:rPr>
        <w:t>low levels of load growth</w:t>
      </w:r>
      <w:r w:rsidRPr="4842DCCD">
        <w:rPr>
          <w:rFonts w:ascii="Aptos" w:eastAsia="Aptos" w:hAnsi="Aptos" w:cs="Aptos"/>
        </w:rPr>
        <w:t>.</w:t>
      </w:r>
    </w:p>
    <w:p w14:paraId="405AD57C" w14:textId="1485C2C6" w:rsidR="61F9D5EA" w:rsidRDefault="00D1375D" w:rsidP="003A745D">
      <w:pPr>
        <w:spacing w:line="257" w:lineRule="auto"/>
        <w:jc w:val="both"/>
      </w:pPr>
      <w:r>
        <w:rPr>
          <w:rFonts w:ascii="Aptos" w:eastAsia="Aptos" w:hAnsi="Aptos" w:cs="Aptos"/>
        </w:rPr>
        <w:t>I</w:t>
      </w:r>
      <w:r w:rsidRPr="4842DCCD">
        <w:rPr>
          <w:rFonts w:ascii="Aptos" w:eastAsia="Aptos" w:hAnsi="Aptos" w:cs="Aptos"/>
        </w:rPr>
        <w:t xml:space="preserve">n the 2023 IRP Update, </w:t>
      </w:r>
      <w:r>
        <w:rPr>
          <w:rFonts w:ascii="Aptos" w:eastAsia="Aptos" w:hAnsi="Aptos" w:cs="Aptos"/>
        </w:rPr>
        <w:t>the Company highlighted Georgia’s continued extraordinary economic development track record and the corresponding electric</w:t>
      </w:r>
      <w:r w:rsidRPr="4842DCCD">
        <w:rPr>
          <w:rFonts w:ascii="Aptos" w:eastAsia="Aptos" w:hAnsi="Aptos" w:cs="Aptos"/>
        </w:rPr>
        <w:t xml:space="preserve"> load growth. </w:t>
      </w:r>
      <w:r>
        <w:rPr>
          <w:rFonts w:ascii="Aptos" w:eastAsia="Aptos" w:hAnsi="Aptos" w:cs="Aptos"/>
        </w:rPr>
        <w:t>Considering the outcome of the 2023 IRP Update together with load growth projected in this 2025 IRP, t</w:t>
      </w:r>
      <w:r w:rsidRPr="4842DCCD">
        <w:rPr>
          <w:rFonts w:ascii="Aptos" w:eastAsia="Aptos" w:hAnsi="Aptos" w:cs="Aptos"/>
        </w:rPr>
        <w:t xml:space="preserve">he Company now projects capacity needs that necessitate </w:t>
      </w:r>
      <w:r>
        <w:rPr>
          <w:rFonts w:ascii="Aptos" w:eastAsia="Aptos" w:hAnsi="Aptos" w:cs="Aptos"/>
        </w:rPr>
        <w:t xml:space="preserve">both </w:t>
      </w:r>
      <w:r w:rsidRPr="4842DCCD">
        <w:rPr>
          <w:rFonts w:ascii="Aptos" w:eastAsia="Aptos" w:hAnsi="Aptos" w:cs="Aptos"/>
        </w:rPr>
        <w:t xml:space="preserve">the extension of existing coal and gas-steam units </w:t>
      </w:r>
      <w:r>
        <w:rPr>
          <w:rFonts w:ascii="Aptos" w:eastAsia="Aptos" w:hAnsi="Aptos" w:cs="Aptos"/>
        </w:rPr>
        <w:t xml:space="preserve">along with </w:t>
      </w:r>
      <w:r w:rsidRPr="4842DCCD">
        <w:rPr>
          <w:rFonts w:ascii="Aptos" w:eastAsia="Aptos" w:hAnsi="Aptos" w:cs="Aptos"/>
        </w:rPr>
        <w:t xml:space="preserve">the procurement of new capacity resources. </w:t>
      </w:r>
      <w:r>
        <w:rPr>
          <w:rFonts w:ascii="Aptos" w:eastAsia="Aptos" w:hAnsi="Aptos" w:cs="Aptos"/>
        </w:rPr>
        <w:t>Extending the operations of these existing generating units provides immediate economic value and efficiencies on the System</w:t>
      </w:r>
      <w:r w:rsidR="001A1CA0">
        <w:rPr>
          <w:rFonts w:ascii="Aptos" w:eastAsia="Aptos" w:hAnsi="Aptos" w:cs="Aptos"/>
        </w:rPr>
        <w:t>,</w:t>
      </w:r>
      <w:r>
        <w:rPr>
          <w:rFonts w:ascii="Aptos" w:eastAsia="Aptos" w:hAnsi="Aptos" w:cs="Aptos"/>
        </w:rPr>
        <w:t xml:space="preserve"> reducing the need to immediately construct</w:t>
      </w:r>
      <w:r w:rsidDel="001A1CA0">
        <w:rPr>
          <w:rFonts w:ascii="Aptos" w:eastAsia="Aptos" w:hAnsi="Aptos" w:cs="Aptos"/>
        </w:rPr>
        <w:t xml:space="preserve"> </w:t>
      </w:r>
      <w:r w:rsidRPr="4842DCCD">
        <w:rPr>
          <w:rFonts w:ascii="Aptos" w:eastAsia="Aptos" w:hAnsi="Aptos" w:cs="Aptos"/>
        </w:rPr>
        <w:t>new resource</w:t>
      </w:r>
      <w:r>
        <w:rPr>
          <w:rFonts w:ascii="Aptos" w:eastAsia="Aptos" w:hAnsi="Aptos" w:cs="Aptos"/>
        </w:rPr>
        <w:t>s</w:t>
      </w:r>
      <w:r w:rsidR="61F9D5EA" w:rsidRPr="4842DCCD">
        <w:rPr>
          <w:rFonts w:ascii="Aptos" w:eastAsia="Aptos" w:hAnsi="Aptos" w:cs="Aptos"/>
        </w:rPr>
        <w:t xml:space="preserve">. </w:t>
      </w:r>
      <w:r w:rsidR="00687FCE">
        <w:rPr>
          <w:rFonts w:ascii="Aptos" w:eastAsia="Aptos" w:hAnsi="Aptos" w:cs="Aptos"/>
        </w:rPr>
        <w:t>T</w:t>
      </w:r>
      <w:r w:rsidR="61F9D5EA" w:rsidRPr="4842DCCD">
        <w:rPr>
          <w:rFonts w:ascii="Aptos" w:eastAsia="Aptos" w:hAnsi="Aptos" w:cs="Aptos"/>
        </w:rPr>
        <w:t xml:space="preserve">he 2025 IRP </w:t>
      </w:r>
      <w:r w:rsidR="001428AF">
        <w:rPr>
          <w:rFonts w:ascii="Aptos" w:eastAsia="Aptos" w:hAnsi="Aptos" w:cs="Aptos"/>
        </w:rPr>
        <w:t>updates</w:t>
      </w:r>
      <w:r w:rsidR="00062D70">
        <w:rPr>
          <w:rFonts w:ascii="Aptos" w:eastAsia="Aptos" w:hAnsi="Aptos" w:cs="Aptos"/>
        </w:rPr>
        <w:t xml:space="preserve"> </w:t>
      </w:r>
      <w:r w:rsidR="00691604">
        <w:rPr>
          <w:rFonts w:ascii="Aptos" w:eastAsia="Aptos" w:hAnsi="Aptos" w:cs="Aptos"/>
        </w:rPr>
        <w:t>the</w:t>
      </w:r>
      <w:r w:rsidR="61F9D5EA" w:rsidRPr="4842DCCD">
        <w:rPr>
          <w:rFonts w:ascii="Aptos" w:eastAsia="Aptos" w:hAnsi="Aptos" w:cs="Aptos"/>
        </w:rPr>
        <w:t xml:space="preserve"> retirement dates </w:t>
      </w:r>
      <w:r w:rsidR="004F6ACA">
        <w:rPr>
          <w:rFonts w:ascii="Aptos" w:eastAsia="Aptos" w:hAnsi="Aptos" w:cs="Aptos"/>
        </w:rPr>
        <w:t xml:space="preserve">for certain generating resources </w:t>
      </w:r>
      <w:r w:rsidR="61F9D5EA" w:rsidRPr="4842DCCD">
        <w:rPr>
          <w:rFonts w:ascii="Aptos" w:eastAsia="Aptos" w:hAnsi="Aptos" w:cs="Aptos"/>
        </w:rPr>
        <w:t>to ensure continued reliability and</w:t>
      </w:r>
      <w:r w:rsidR="00E1390F">
        <w:rPr>
          <w:rFonts w:ascii="Aptos" w:eastAsia="Aptos" w:hAnsi="Aptos" w:cs="Aptos"/>
        </w:rPr>
        <w:t xml:space="preserve"> provide economic </w:t>
      </w:r>
      <w:r w:rsidR="005C4005">
        <w:rPr>
          <w:rFonts w:ascii="Aptos" w:eastAsia="Aptos" w:hAnsi="Aptos" w:cs="Aptos"/>
        </w:rPr>
        <w:t>benefits</w:t>
      </w:r>
      <w:r w:rsidR="61F9D5EA" w:rsidRPr="4842DCCD">
        <w:rPr>
          <w:rFonts w:ascii="Aptos" w:eastAsia="Aptos" w:hAnsi="Aptos" w:cs="Aptos"/>
        </w:rPr>
        <w:t xml:space="preserve"> for</w:t>
      </w:r>
      <w:r w:rsidR="61F9D5EA" w:rsidRPr="4842DCCD" w:rsidDel="003375F9">
        <w:rPr>
          <w:rFonts w:ascii="Aptos" w:eastAsia="Aptos" w:hAnsi="Aptos" w:cs="Aptos"/>
        </w:rPr>
        <w:t xml:space="preserve"> </w:t>
      </w:r>
      <w:r w:rsidR="61F9D5EA" w:rsidRPr="4842DCCD">
        <w:rPr>
          <w:rFonts w:ascii="Aptos" w:eastAsia="Aptos" w:hAnsi="Aptos" w:cs="Aptos"/>
        </w:rPr>
        <w:t>customers.</w:t>
      </w:r>
    </w:p>
    <w:p w14:paraId="3F27D312" w14:textId="44131DB0" w:rsidR="61F9D5EA" w:rsidRDefault="61F9D5EA" w:rsidP="003A745D">
      <w:pPr>
        <w:spacing w:line="257" w:lineRule="auto"/>
        <w:jc w:val="both"/>
      </w:pPr>
      <w:r w:rsidRPr="4842DCCD">
        <w:rPr>
          <w:rFonts w:ascii="Aptos" w:eastAsia="Aptos" w:hAnsi="Aptos" w:cs="Aptos"/>
        </w:rPr>
        <w:lastRenderedPageBreak/>
        <w:t>The Company’s updated economic analysis</w:t>
      </w:r>
      <w:r w:rsidR="001B15F2">
        <w:rPr>
          <w:rFonts w:ascii="Aptos" w:eastAsia="Aptos" w:hAnsi="Aptos" w:cs="Aptos"/>
        </w:rPr>
        <w:t xml:space="preserve"> </w:t>
      </w:r>
      <w:r w:rsidR="009E4B61">
        <w:rPr>
          <w:rFonts w:ascii="Aptos" w:eastAsia="Aptos" w:hAnsi="Aptos" w:cs="Aptos"/>
        </w:rPr>
        <w:t>included</w:t>
      </w:r>
      <w:r w:rsidRPr="4842DCCD">
        <w:rPr>
          <w:rFonts w:ascii="Aptos" w:eastAsia="Aptos" w:hAnsi="Aptos" w:cs="Aptos"/>
        </w:rPr>
        <w:t xml:space="preserve"> in </w:t>
      </w:r>
      <w:r w:rsidR="00BB5AB5">
        <w:rPr>
          <w:rFonts w:ascii="Aptos" w:eastAsia="Aptos" w:hAnsi="Aptos" w:cs="Aptos"/>
        </w:rPr>
        <w:t>the</w:t>
      </w:r>
      <w:r w:rsidRPr="4842DCCD">
        <w:rPr>
          <w:rFonts w:ascii="Aptos" w:eastAsia="Aptos" w:hAnsi="Aptos" w:cs="Aptos"/>
        </w:rPr>
        <w:t xml:space="preserve"> Unit Retirement Study</w:t>
      </w:r>
      <w:r w:rsidR="00BB5AB5" w:rsidDel="006524EA">
        <w:rPr>
          <w:rFonts w:ascii="Aptos" w:eastAsia="Aptos" w:hAnsi="Aptos" w:cs="Aptos"/>
        </w:rPr>
        <w:t xml:space="preserve"> </w:t>
      </w:r>
      <w:r w:rsidR="00BB5AB5">
        <w:rPr>
          <w:rFonts w:ascii="Aptos" w:eastAsia="Aptos" w:hAnsi="Aptos" w:cs="Aptos"/>
        </w:rPr>
        <w:t xml:space="preserve">in </w:t>
      </w:r>
      <w:r w:rsidRPr="4842DCCD">
        <w:rPr>
          <w:rFonts w:ascii="Aptos" w:eastAsia="Aptos" w:hAnsi="Aptos" w:cs="Aptos"/>
        </w:rPr>
        <w:t xml:space="preserve">Technical Appendix Volume 1, evaluates the economic implications of new environmental regulations, including the </w:t>
      </w:r>
      <w:r w:rsidR="00092EEF" w:rsidRPr="4842DCCD">
        <w:rPr>
          <w:rFonts w:ascii="Aptos" w:eastAsia="Aptos" w:hAnsi="Aptos" w:cs="Aptos"/>
        </w:rPr>
        <w:t xml:space="preserve">Supplemental </w:t>
      </w:r>
      <w:r w:rsidRPr="4842DCCD">
        <w:rPr>
          <w:rFonts w:ascii="Aptos" w:eastAsia="Aptos" w:hAnsi="Aptos" w:cs="Aptos"/>
        </w:rPr>
        <w:t>ELG</w:t>
      </w:r>
      <w:r w:rsidR="00092EEF" w:rsidRPr="4842DCCD">
        <w:rPr>
          <w:rFonts w:ascii="Aptos" w:eastAsia="Aptos" w:hAnsi="Aptos" w:cs="Aptos"/>
        </w:rPr>
        <w:t xml:space="preserve"> </w:t>
      </w:r>
      <w:r w:rsidRPr="4842DCCD">
        <w:rPr>
          <w:rFonts w:ascii="Aptos" w:eastAsia="Aptos" w:hAnsi="Aptos" w:cs="Aptos"/>
        </w:rPr>
        <w:t xml:space="preserve">Rule and the 111 </w:t>
      </w:r>
      <w:r w:rsidR="00741945">
        <w:rPr>
          <w:rFonts w:ascii="Aptos" w:eastAsia="Aptos" w:hAnsi="Aptos" w:cs="Aptos"/>
        </w:rPr>
        <w:t xml:space="preserve">GHG </w:t>
      </w:r>
      <w:r w:rsidRPr="4842DCCD">
        <w:rPr>
          <w:rFonts w:ascii="Aptos" w:eastAsia="Aptos" w:hAnsi="Aptos" w:cs="Aptos"/>
        </w:rPr>
        <w:t xml:space="preserve">Rules, as further explained in </w:t>
      </w:r>
      <w:r w:rsidR="00007A25">
        <w:rPr>
          <w:rFonts w:ascii="Aptos" w:eastAsia="Aptos" w:hAnsi="Aptos" w:cs="Aptos"/>
        </w:rPr>
        <w:t>Chapter</w:t>
      </w:r>
      <w:r w:rsidR="00502991">
        <w:rPr>
          <w:rFonts w:ascii="Aptos" w:eastAsia="Aptos" w:hAnsi="Aptos" w:cs="Aptos"/>
        </w:rPr>
        <w:t xml:space="preserve"> </w:t>
      </w:r>
      <w:r w:rsidR="00007A25">
        <w:rPr>
          <w:rFonts w:ascii="Aptos" w:eastAsia="Aptos" w:hAnsi="Aptos" w:cs="Aptos"/>
        </w:rPr>
        <w:t>9</w:t>
      </w:r>
      <w:r w:rsidRPr="4842DCCD">
        <w:rPr>
          <w:rFonts w:ascii="Aptos" w:eastAsia="Aptos" w:hAnsi="Aptos" w:cs="Aptos"/>
        </w:rPr>
        <w:t xml:space="preserve">. This analysis compares the costs and benefits of compliance pathways versus replacement alternatives. Given </w:t>
      </w:r>
      <w:r w:rsidR="006237D4">
        <w:rPr>
          <w:rFonts w:ascii="Aptos" w:eastAsia="Aptos" w:hAnsi="Aptos" w:cs="Aptos"/>
        </w:rPr>
        <w:t xml:space="preserve">the Company’s </w:t>
      </w:r>
      <w:r w:rsidRPr="4842DCCD">
        <w:rPr>
          <w:rFonts w:ascii="Aptos" w:eastAsia="Aptos" w:hAnsi="Aptos" w:cs="Aptos"/>
        </w:rPr>
        <w:t xml:space="preserve">significant capacity needs and the costs associated with replacement generation, including the </w:t>
      </w:r>
      <w:r w:rsidR="002C3BEB">
        <w:rPr>
          <w:rFonts w:ascii="Aptos" w:eastAsia="Aptos" w:hAnsi="Aptos" w:cs="Aptos"/>
        </w:rPr>
        <w:t>cost of</w:t>
      </w:r>
      <w:r w:rsidR="002C3BEB" w:rsidRPr="4842DCCD" w:rsidDel="00E41A9B">
        <w:rPr>
          <w:rFonts w:ascii="Aptos" w:eastAsia="Aptos" w:hAnsi="Aptos" w:cs="Aptos"/>
        </w:rPr>
        <w:t xml:space="preserve"> </w:t>
      </w:r>
      <w:r w:rsidRPr="4842DCCD">
        <w:rPr>
          <w:rFonts w:ascii="Aptos" w:eastAsia="Aptos" w:hAnsi="Aptos" w:cs="Aptos"/>
        </w:rPr>
        <w:t>supporting infrastructure such as transmission lines and natural gas pipelines, the</w:t>
      </w:r>
      <w:r w:rsidRPr="4842DCCD" w:rsidDel="00E15C32">
        <w:rPr>
          <w:rFonts w:ascii="Aptos" w:eastAsia="Aptos" w:hAnsi="Aptos" w:cs="Aptos"/>
        </w:rPr>
        <w:t xml:space="preserve"> </w:t>
      </w:r>
      <w:r w:rsidRPr="4842DCCD">
        <w:rPr>
          <w:rFonts w:ascii="Aptos" w:eastAsia="Aptos" w:hAnsi="Aptos" w:cs="Aptos"/>
        </w:rPr>
        <w:t xml:space="preserve">continued operation </w:t>
      </w:r>
      <w:r w:rsidR="005B290F">
        <w:rPr>
          <w:rFonts w:ascii="Aptos" w:eastAsia="Aptos" w:hAnsi="Aptos" w:cs="Aptos"/>
        </w:rPr>
        <w:t xml:space="preserve">of existing </w:t>
      </w:r>
      <w:r w:rsidR="00774979">
        <w:rPr>
          <w:rFonts w:ascii="Aptos" w:eastAsia="Aptos" w:hAnsi="Aptos" w:cs="Aptos"/>
        </w:rPr>
        <w:t xml:space="preserve">generating units </w:t>
      </w:r>
      <w:r w:rsidRPr="4842DCCD">
        <w:rPr>
          <w:rFonts w:ascii="Aptos" w:eastAsia="Aptos" w:hAnsi="Aptos" w:cs="Aptos"/>
        </w:rPr>
        <w:t>is more cost</w:t>
      </w:r>
      <w:r w:rsidR="00272315">
        <w:rPr>
          <w:rFonts w:ascii="Aptos" w:eastAsia="Aptos" w:hAnsi="Aptos" w:cs="Aptos"/>
        </w:rPr>
        <w:t xml:space="preserve"> </w:t>
      </w:r>
      <w:r w:rsidRPr="4842DCCD">
        <w:rPr>
          <w:rFonts w:ascii="Aptos" w:eastAsia="Aptos" w:hAnsi="Aptos" w:cs="Aptos"/>
        </w:rPr>
        <w:t>effective and poses lower risk than retirement</w:t>
      </w:r>
      <w:r w:rsidR="00E341DE">
        <w:rPr>
          <w:rFonts w:ascii="Aptos" w:eastAsia="Aptos" w:hAnsi="Aptos" w:cs="Aptos"/>
        </w:rPr>
        <w:t xml:space="preserve"> of these units</w:t>
      </w:r>
      <w:r w:rsidRPr="4842DCCD">
        <w:rPr>
          <w:rFonts w:ascii="Aptos" w:eastAsia="Aptos" w:hAnsi="Aptos" w:cs="Aptos"/>
        </w:rPr>
        <w:t>. These factors inform the Company's recommendations</w:t>
      </w:r>
      <w:r w:rsidR="00B541F3">
        <w:rPr>
          <w:rFonts w:ascii="Aptos" w:eastAsia="Aptos" w:hAnsi="Aptos" w:cs="Aptos"/>
        </w:rPr>
        <w:t>:</w:t>
      </w:r>
    </w:p>
    <w:p w14:paraId="57F1511C" w14:textId="72625765" w:rsidR="00B541F3" w:rsidRDefault="61F9D5EA" w:rsidP="00FA5D6E">
      <w:pPr>
        <w:pStyle w:val="ListParagraph"/>
        <w:numPr>
          <w:ilvl w:val="0"/>
          <w:numId w:val="28"/>
        </w:numPr>
        <w:spacing w:before="120" w:after="120" w:line="257" w:lineRule="auto"/>
        <w:contextualSpacing w:val="0"/>
        <w:jc w:val="both"/>
        <w:rPr>
          <w:rFonts w:ascii="Aptos" w:eastAsia="Aptos" w:hAnsi="Aptos" w:cs="Aptos"/>
        </w:rPr>
      </w:pPr>
      <w:r w:rsidRPr="4842DCCD">
        <w:rPr>
          <w:rFonts w:ascii="Aptos" w:eastAsia="Aptos" w:hAnsi="Aptos" w:cs="Aptos"/>
          <w:b/>
        </w:rPr>
        <w:t>Plant Bowen Units 1-4</w:t>
      </w:r>
      <w:r w:rsidRPr="4842DCCD">
        <w:rPr>
          <w:rFonts w:ascii="Aptos" w:eastAsia="Aptos" w:hAnsi="Aptos" w:cs="Aptos"/>
        </w:rPr>
        <w:t xml:space="preserve">: Continued operation </w:t>
      </w:r>
      <w:r w:rsidR="00515D3F" w:rsidRPr="00515D3F">
        <w:rPr>
          <w:rFonts w:ascii="Aptos" w:eastAsia="Aptos" w:hAnsi="Aptos" w:cs="Aptos"/>
        </w:rPr>
        <w:t xml:space="preserve">of the units </w:t>
      </w:r>
      <w:r w:rsidRPr="4842DCCD">
        <w:rPr>
          <w:rFonts w:ascii="Aptos" w:eastAsia="Aptos" w:hAnsi="Aptos" w:cs="Aptos"/>
        </w:rPr>
        <w:t xml:space="preserve">with investment in the necessary </w:t>
      </w:r>
      <w:r w:rsidR="00515D3F" w:rsidRPr="00515D3F">
        <w:rPr>
          <w:rFonts w:ascii="Aptos" w:eastAsia="Aptos" w:hAnsi="Aptos" w:cs="Aptos"/>
        </w:rPr>
        <w:t xml:space="preserve">environmental </w:t>
      </w:r>
      <w:r w:rsidRPr="4842DCCD">
        <w:rPr>
          <w:rFonts w:ascii="Aptos" w:eastAsia="Aptos" w:hAnsi="Aptos" w:cs="Aptos"/>
        </w:rPr>
        <w:t xml:space="preserve">controls </w:t>
      </w:r>
      <w:r w:rsidR="00515D3F" w:rsidRPr="00515D3F">
        <w:rPr>
          <w:rFonts w:ascii="Aptos" w:eastAsia="Aptos" w:hAnsi="Aptos" w:cs="Aptos"/>
        </w:rPr>
        <w:t xml:space="preserve">is </w:t>
      </w:r>
      <w:r w:rsidRPr="4842DCCD">
        <w:rPr>
          <w:rFonts w:ascii="Aptos" w:eastAsia="Aptos" w:hAnsi="Aptos" w:cs="Aptos"/>
        </w:rPr>
        <w:t xml:space="preserve">recommended. </w:t>
      </w:r>
      <w:r w:rsidR="00515D3F">
        <w:rPr>
          <w:rFonts w:ascii="Aptos" w:eastAsia="Aptos" w:hAnsi="Aptos" w:cs="Aptos"/>
        </w:rPr>
        <w:t>As discussed in Chapter 9, t</w:t>
      </w:r>
      <w:r w:rsidR="00515D3F" w:rsidRPr="00515D3F">
        <w:rPr>
          <w:rFonts w:ascii="Aptos" w:eastAsia="Aptos" w:hAnsi="Aptos" w:cs="Aptos"/>
        </w:rPr>
        <w:t xml:space="preserve">he two primary environmental rules requiring additional controls include the </w:t>
      </w:r>
      <w:r w:rsidR="00E96FC2">
        <w:rPr>
          <w:rFonts w:ascii="Aptos" w:eastAsia="Aptos" w:hAnsi="Aptos" w:cs="Aptos"/>
        </w:rPr>
        <w:t xml:space="preserve">Supplemental </w:t>
      </w:r>
      <w:r w:rsidR="00515D3F" w:rsidRPr="00515D3F">
        <w:rPr>
          <w:rFonts w:ascii="Aptos" w:eastAsia="Aptos" w:hAnsi="Aptos" w:cs="Aptos"/>
        </w:rPr>
        <w:t xml:space="preserve">ELG </w:t>
      </w:r>
      <w:r w:rsidR="003A5C5E">
        <w:rPr>
          <w:rFonts w:ascii="Aptos" w:eastAsia="Aptos" w:hAnsi="Aptos" w:cs="Aptos"/>
        </w:rPr>
        <w:t>R</w:t>
      </w:r>
      <w:r w:rsidR="00515D3F" w:rsidRPr="00515D3F">
        <w:rPr>
          <w:rFonts w:ascii="Aptos" w:eastAsia="Aptos" w:hAnsi="Aptos" w:cs="Aptos"/>
        </w:rPr>
        <w:t xml:space="preserve">ule regulating wastewater and the 111 </w:t>
      </w:r>
      <w:r w:rsidR="00515D3F">
        <w:rPr>
          <w:rFonts w:ascii="Aptos" w:eastAsia="Aptos" w:hAnsi="Aptos" w:cs="Aptos"/>
        </w:rPr>
        <w:t xml:space="preserve">GHG Rules </w:t>
      </w:r>
      <w:r w:rsidR="00515D3F" w:rsidRPr="00515D3F">
        <w:rPr>
          <w:rFonts w:ascii="Aptos" w:eastAsia="Aptos" w:hAnsi="Aptos" w:cs="Aptos"/>
        </w:rPr>
        <w:t>regulating GHG emissions</w:t>
      </w:r>
      <w:r w:rsidR="00515D3F">
        <w:rPr>
          <w:rFonts w:ascii="Aptos" w:eastAsia="Aptos" w:hAnsi="Aptos" w:cs="Aptos"/>
        </w:rPr>
        <w:t>.</w:t>
      </w:r>
      <w:r w:rsidRPr="4842DCCD">
        <w:rPr>
          <w:rFonts w:ascii="Aptos" w:eastAsia="Aptos" w:hAnsi="Aptos" w:cs="Aptos"/>
        </w:rPr>
        <w:t xml:space="preserve"> The installation of </w:t>
      </w:r>
      <w:r w:rsidR="00404DE0">
        <w:rPr>
          <w:rFonts w:ascii="Aptos" w:eastAsia="Aptos" w:hAnsi="Aptos" w:cs="Aptos"/>
        </w:rPr>
        <w:t>ELG</w:t>
      </w:r>
      <w:r w:rsidRPr="4842DCCD">
        <w:rPr>
          <w:rFonts w:ascii="Aptos" w:eastAsia="Aptos" w:hAnsi="Aptos" w:cs="Aptos"/>
        </w:rPr>
        <w:t xml:space="preserve"> controls </w:t>
      </w:r>
      <w:r w:rsidR="007569CB">
        <w:rPr>
          <w:rFonts w:ascii="Aptos" w:eastAsia="Aptos" w:hAnsi="Aptos" w:cs="Aptos"/>
        </w:rPr>
        <w:t>by December 31, 2029,</w:t>
      </w:r>
      <w:r w:rsidRPr="4842DCCD">
        <w:rPr>
          <w:rFonts w:ascii="Aptos" w:eastAsia="Aptos" w:hAnsi="Aptos" w:cs="Aptos"/>
        </w:rPr>
        <w:t xml:space="preserve"> </w:t>
      </w:r>
      <w:r w:rsidR="0063268F">
        <w:rPr>
          <w:rFonts w:ascii="Aptos" w:eastAsia="Aptos" w:hAnsi="Aptos" w:cs="Aptos"/>
        </w:rPr>
        <w:t xml:space="preserve">is required to comply with environmental regulations and </w:t>
      </w:r>
      <w:r w:rsidRPr="4842DCCD">
        <w:rPr>
          <w:rFonts w:ascii="Aptos" w:eastAsia="Aptos" w:hAnsi="Aptos" w:cs="Aptos"/>
        </w:rPr>
        <w:t xml:space="preserve">will preserve the ability to operate these units beyond </w:t>
      </w:r>
      <w:r w:rsidR="005B4E08" w:rsidRPr="4842DCCD">
        <w:rPr>
          <w:rFonts w:ascii="Aptos" w:eastAsia="Aptos" w:hAnsi="Aptos" w:cs="Aptos"/>
        </w:rPr>
        <w:t>203</w:t>
      </w:r>
      <w:r w:rsidR="005B4E08">
        <w:rPr>
          <w:rFonts w:ascii="Aptos" w:eastAsia="Aptos" w:hAnsi="Aptos" w:cs="Aptos"/>
        </w:rPr>
        <w:t>4</w:t>
      </w:r>
      <w:r w:rsidRPr="4842DCCD">
        <w:rPr>
          <w:rFonts w:ascii="Aptos" w:eastAsia="Aptos" w:hAnsi="Aptos" w:cs="Aptos"/>
        </w:rPr>
        <w:t xml:space="preserve">. </w:t>
      </w:r>
      <w:r w:rsidR="00B92F2D">
        <w:rPr>
          <w:rFonts w:ascii="Aptos" w:eastAsia="Aptos" w:hAnsi="Aptos" w:cs="Aptos"/>
        </w:rPr>
        <w:t>Additionally,</w:t>
      </w:r>
      <w:r w:rsidRPr="4842DCCD" w:rsidDel="002A7BFC">
        <w:rPr>
          <w:rFonts w:ascii="Aptos" w:eastAsia="Aptos" w:hAnsi="Aptos" w:cs="Aptos"/>
        </w:rPr>
        <w:t xml:space="preserve"> the </w:t>
      </w:r>
      <w:r w:rsidRPr="4842DCCD">
        <w:rPr>
          <w:rFonts w:ascii="Aptos" w:eastAsia="Aptos" w:hAnsi="Aptos" w:cs="Aptos"/>
        </w:rPr>
        <w:t>ELG controls provide</w:t>
      </w:r>
      <w:r w:rsidR="006719F1">
        <w:rPr>
          <w:rFonts w:ascii="Aptos" w:eastAsia="Aptos" w:hAnsi="Aptos" w:cs="Aptos"/>
        </w:rPr>
        <w:t xml:space="preserve"> Georgia Power with</w:t>
      </w:r>
      <w:r w:rsidRPr="4842DCCD">
        <w:rPr>
          <w:rFonts w:ascii="Aptos" w:eastAsia="Aptos" w:hAnsi="Aptos" w:cs="Aptos"/>
        </w:rPr>
        <w:t xml:space="preserve"> </w:t>
      </w:r>
      <w:r w:rsidR="00741945">
        <w:rPr>
          <w:rFonts w:ascii="Aptos" w:eastAsia="Aptos" w:hAnsi="Aptos" w:cs="Aptos"/>
        </w:rPr>
        <w:t>111</w:t>
      </w:r>
      <w:r w:rsidR="00816F39">
        <w:rPr>
          <w:rFonts w:ascii="Aptos" w:eastAsia="Aptos" w:hAnsi="Aptos" w:cs="Aptos"/>
        </w:rPr>
        <w:t> </w:t>
      </w:r>
      <w:r w:rsidR="00741945">
        <w:rPr>
          <w:rFonts w:ascii="Aptos" w:eastAsia="Aptos" w:hAnsi="Aptos" w:cs="Aptos"/>
        </w:rPr>
        <w:t>GHG Rules</w:t>
      </w:r>
      <w:r w:rsidR="006719F1">
        <w:rPr>
          <w:rFonts w:ascii="Aptos" w:eastAsia="Aptos" w:hAnsi="Aptos" w:cs="Aptos"/>
        </w:rPr>
        <w:t xml:space="preserve"> compliance</w:t>
      </w:r>
      <w:r w:rsidRPr="4842DCCD">
        <w:rPr>
          <w:rFonts w:ascii="Aptos" w:eastAsia="Aptos" w:hAnsi="Aptos" w:cs="Aptos"/>
        </w:rPr>
        <w:t xml:space="preserve"> flexibility</w:t>
      </w:r>
      <w:r w:rsidR="00B92F2D">
        <w:rPr>
          <w:rFonts w:ascii="Aptos" w:eastAsia="Aptos" w:hAnsi="Aptos" w:cs="Aptos"/>
        </w:rPr>
        <w:t>,</w:t>
      </w:r>
      <w:r w:rsidR="00B7064B">
        <w:rPr>
          <w:rFonts w:ascii="Aptos" w:eastAsia="Aptos" w:hAnsi="Aptos" w:cs="Aptos"/>
        </w:rPr>
        <w:t xml:space="preserve"> enabl</w:t>
      </w:r>
      <w:r w:rsidR="00B92F2D">
        <w:rPr>
          <w:rFonts w:ascii="Aptos" w:eastAsia="Aptos" w:hAnsi="Aptos" w:cs="Aptos"/>
        </w:rPr>
        <w:t>ing</w:t>
      </w:r>
      <w:r w:rsidR="00B7064B">
        <w:rPr>
          <w:rFonts w:ascii="Aptos" w:eastAsia="Aptos" w:hAnsi="Aptos" w:cs="Aptos"/>
        </w:rPr>
        <w:t xml:space="preserve"> the natural gas co-fire compliance pathway to be selected during the state plan development process</w:t>
      </w:r>
      <w:r w:rsidRPr="4842DCCD">
        <w:rPr>
          <w:rFonts w:ascii="Aptos" w:eastAsia="Aptos" w:hAnsi="Aptos" w:cs="Aptos"/>
        </w:rPr>
        <w:t xml:space="preserve">. Notably, the co-fire pathway in </w:t>
      </w:r>
      <w:r w:rsidR="00200B10">
        <w:rPr>
          <w:rFonts w:ascii="Aptos" w:eastAsia="Aptos" w:hAnsi="Aptos" w:cs="Aptos"/>
        </w:rPr>
        <w:t>the</w:t>
      </w:r>
      <w:r w:rsidR="00F70904">
        <w:rPr>
          <w:rFonts w:ascii="Aptos" w:eastAsia="Aptos" w:hAnsi="Aptos" w:cs="Aptos"/>
        </w:rPr>
        <w:t xml:space="preserve"> </w:t>
      </w:r>
      <w:r w:rsidR="00741945">
        <w:rPr>
          <w:rFonts w:ascii="Aptos" w:eastAsia="Aptos" w:hAnsi="Aptos" w:cs="Aptos"/>
        </w:rPr>
        <w:t>111 GHG Rules</w:t>
      </w:r>
      <w:r w:rsidRPr="4842DCCD">
        <w:rPr>
          <w:rFonts w:ascii="Aptos" w:eastAsia="Aptos" w:hAnsi="Aptos" w:cs="Aptos"/>
        </w:rPr>
        <w:t xml:space="preserve"> permits operation until December 31, 2038, while reducing reliance on natural gas pipeline infrastructure and deferring the need for replacement capacity until 2039. This pathway is economically competitive </w:t>
      </w:r>
      <w:r w:rsidR="00906BED">
        <w:rPr>
          <w:rFonts w:ascii="Aptos" w:eastAsia="Aptos" w:hAnsi="Aptos" w:cs="Aptos"/>
        </w:rPr>
        <w:t xml:space="preserve">compared to the other </w:t>
      </w:r>
      <w:r w:rsidR="00906D89">
        <w:rPr>
          <w:rFonts w:ascii="Aptos" w:eastAsia="Aptos" w:hAnsi="Aptos" w:cs="Aptos"/>
        </w:rPr>
        <w:t>111</w:t>
      </w:r>
      <w:r w:rsidR="000C7BD3">
        <w:rPr>
          <w:rFonts w:ascii="Aptos" w:eastAsia="Aptos" w:hAnsi="Aptos" w:cs="Aptos"/>
        </w:rPr>
        <w:t xml:space="preserve"> GHG Rules</w:t>
      </w:r>
      <w:r w:rsidR="00906D89">
        <w:rPr>
          <w:rFonts w:ascii="Aptos" w:eastAsia="Aptos" w:hAnsi="Aptos" w:cs="Aptos"/>
        </w:rPr>
        <w:t xml:space="preserve"> </w:t>
      </w:r>
      <w:r w:rsidR="00906BED">
        <w:rPr>
          <w:rFonts w:ascii="Aptos" w:eastAsia="Aptos" w:hAnsi="Aptos" w:cs="Aptos"/>
        </w:rPr>
        <w:t xml:space="preserve">compliance options </w:t>
      </w:r>
      <w:r w:rsidRPr="4842DCCD">
        <w:rPr>
          <w:rFonts w:ascii="Aptos" w:eastAsia="Aptos" w:hAnsi="Aptos" w:cs="Aptos"/>
        </w:rPr>
        <w:t xml:space="preserve">and reduces the </w:t>
      </w:r>
      <w:r w:rsidR="00952859" w:rsidRPr="4842DCCD">
        <w:rPr>
          <w:rFonts w:ascii="Aptos" w:eastAsia="Aptos" w:hAnsi="Aptos" w:cs="Aptos"/>
        </w:rPr>
        <w:t>ne</w:t>
      </w:r>
      <w:r w:rsidR="00952859">
        <w:rPr>
          <w:rFonts w:ascii="Aptos" w:eastAsia="Aptos" w:hAnsi="Aptos" w:cs="Aptos"/>
        </w:rPr>
        <w:t>ed</w:t>
      </w:r>
      <w:r w:rsidR="00952859" w:rsidRPr="4842DCCD">
        <w:rPr>
          <w:rFonts w:ascii="Aptos" w:eastAsia="Aptos" w:hAnsi="Aptos" w:cs="Aptos"/>
        </w:rPr>
        <w:t xml:space="preserve"> </w:t>
      </w:r>
      <w:r w:rsidRPr="4842DCCD">
        <w:rPr>
          <w:rFonts w:ascii="Aptos" w:eastAsia="Aptos" w:hAnsi="Aptos" w:cs="Aptos"/>
        </w:rPr>
        <w:t>to procure new capacity by 2032 or earlier. Moreover, maintaining dispatchable</w:t>
      </w:r>
      <w:r w:rsidRPr="4842DCCD" w:rsidDel="00085ED5">
        <w:rPr>
          <w:rFonts w:ascii="Aptos" w:eastAsia="Aptos" w:hAnsi="Aptos" w:cs="Aptos"/>
        </w:rPr>
        <w:t xml:space="preserve"> </w:t>
      </w:r>
      <w:r w:rsidRPr="4842DCCD">
        <w:rPr>
          <w:rFonts w:ascii="Aptos" w:eastAsia="Aptos" w:hAnsi="Aptos" w:cs="Aptos"/>
        </w:rPr>
        <w:t xml:space="preserve">generation </w:t>
      </w:r>
      <w:r w:rsidR="00DF3A2B">
        <w:rPr>
          <w:rFonts w:ascii="Aptos" w:eastAsia="Aptos" w:hAnsi="Aptos" w:cs="Aptos"/>
        </w:rPr>
        <w:t xml:space="preserve">in north Georgia </w:t>
      </w:r>
      <w:r w:rsidRPr="4842DCCD">
        <w:rPr>
          <w:rFonts w:ascii="Aptos" w:eastAsia="Aptos" w:hAnsi="Aptos" w:cs="Aptos"/>
        </w:rPr>
        <w:t>is crucial for transmission system</w:t>
      </w:r>
      <w:r w:rsidR="00544475">
        <w:rPr>
          <w:rFonts w:ascii="Aptos" w:eastAsia="Aptos" w:hAnsi="Aptos" w:cs="Aptos"/>
        </w:rPr>
        <w:t xml:space="preserve"> reliability</w:t>
      </w:r>
      <w:r w:rsidRPr="4842DCCD">
        <w:rPr>
          <w:rFonts w:ascii="Aptos" w:eastAsia="Aptos" w:hAnsi="Aptos" w:cs="Aptos"/>
        </w:rPr>
        <w:t xml:space="preserve">. </w:t>
      </w:r>
      <w:r w:rsidR="00B57877">
        <w:rPr>
          <w:rFonts w:ascii="Aptos" w:eastAsia="Aptos" w:hAnsi="Aptos" w:cs="Aptos"/>
        </w:rPr>
        <w:t xml:space="preserve">Considering </w:t>
      </w:r>
      <w:r w:rsidR="00275FE7">
        <w:rPr>
          <w:rFonts w:ascii="Aptos" w:eastAsia="Aptos" w:hAnsi="Aptos" w:cs="Aptos"/>
        </w:rPr>
        <w:t xml:space="preserve">the uncertainty surrounding future environmental regulations and market </w:t>
      </w:r>
      <w:r w:rsidR="001B1B67">
        <w:rPr>
          <w:rFonts w:ascii="Aptos" w:eastAsia="Aptos" w:hAnsi="Aptos" w:cs="Aptos"/>
        </w:rPr>
        <w:t>conditions</w:t>
      </w:r>
      <w:r w:rsidRPr="4842DCCD">
        <w:rPr>
          <w:rFonts w:ascii="Aptos" w:eastAsia="Aptos" w:hAnsi="Aptos" w:cs="Aptos"/>
        </w:rPr>
        <w:t>, this approach provides a</w:t>
      </w:r>
      <w:r w:rsidR="002C35F9">
        <w:rPr>
          <w:rFonts w:ascii="Aptos" w:eastAsia="Aptos" w:hAnsi="Aptos" w:cs="Aptos"/>
        </w:rPr>
        <w:t>n e</w:t>
      </w:r>
      <w:r w:rsidR="0063137A">
        <w:rPr>
          <w:rFonts w:ascii="Aptos" w:eastAsia="Aptos" w:hAnsi="Aptos" w:cs="Aptos"/>
        </w:rPr>
        <w:t>conomic</w:t>
      </w:r>
      <w:r w:rsidR="0049203D">
        <w:rPr>
          <w:rFonts w:ascii="Aptos" w:eastAsia="Aptos" w:hAnsi="Aptos" w:cs="Aptos"/>
        </w:rPr>
        <w:t>,</w:t>
      </w:r>
      <w:r w:rsidRPr="4842DCCD">
        <w:rPr>
          <w:rFonts w:ascii="Aptos" w:eastAsia="Aptos" w:hAnsi="Aptos" w:cs="Aptos"/>
        </w:rPr>
        <w:t xml:space="preserve"> flexible</w:t>
      </w:r>
      <w:r w:rsidR="0049203D">
        <w:rPr>
          <w:rFonts w:ascii="Aptos" w:eastAsia="Aptos" w:hAnsi="Aptos" w:cs="Aptos"/>
        </w:rPr>
        <w:t>,</w:t>
      </w:r>
      <w:r w:rsidRPr="4842DCCD">
        <w:rPr>
          <w:rFonts w:ascii="Aptos" w:eastAsia="Aptos" w:hAnsi="Aptos" w:cs="Aptos"/>
        </w:rPr>
        <w:t xml:space="preserve"> and adaptive strategy to ensure continued compliance and resource planning optionality.</w:t>
      </w:r>
    </w:p>
    <w:p w14:paraId="75BAE2BE" w14:textId="3B18DB30" w:rsidR="00B541F3" w:rsidRDefault="61F9D5EA" w:rsidP="009A12F5">
      <w:pPr>
        <w:pStyle w:val="ListParagraph"/>
        <w:numPr>
          <w:ilvl w:val="0"/>
          <w:numId w:val="28"/>
        </w:numPr>
        <w:spacing w:before="120" w:after="120" w:line="257" w:lineRule="auto"/>
        <w:contextualSpacing w:val="0"/>
        <w:jc w:val="both"/>
        <w:rPr>
          <w:rFonts w:ascii="Aptos" w:eastAsia="Aptos" w:hAnsi="Aptos" w:cs="Aptos"/>
        </w:rPr>
      </w:pPr>
      <w:r w:rsidRPr="00B541F3">
        <w:rPr>
          <w:rFonts w:ascii="Aptos" w:eastAsia="Aptos" w:hAnsi="Aptos" w:cs="Aptos"/>
          <w:b/>
        </w:rPr>
        <w:t>Plant Scherer Units 1-3</w:t>
      </w:r>
      <w:r w:rsidRPr="00B541F3">
        <w:rPr>
          <w:rFonts w:ascii="Aptos" w:eastAsia="Aptos" w:hAnsi="Aptos" w:cs="Aptos"/>
        </w:rPr>
        <w:t xml:space="preserve">: Continued operation </w:t>
      </w:r>
      <w:r w:rsidR="002D1DCC" w:rsidRPr="00515D3F">
        <w:rPr>
          <w:rFonts w:ascii="Aptos" w:eastAsia="Aptos" w:hAnsi="Aptos" w:cs="Aptos"/>
        </w:rPr>
        <w:t xml:space="preserve">of the units </w:t>
      </w:r>
      <w:r w:rsidRPr="00B541F3">
        <w:rPr>
          <w:rFonts w:ascii="Aptos" w:eastAsia="Aptos" w:hAnsi="Aptos" w:cs="Aptos"/>
        </w:rPr>
        <w:t xml:space="preserve">with investment in the necessary </w:t>
      </w:r>
      <w:r w:rsidR="002D1DCC" w:rsidRPr="00515D3F">
        <w:rPr>
          <w:rFonts w:ascii="Aptos" w:eastAsia="Aptos" w:hAnsi="Aptos" w:cs="Aptos"/>
        </w:rPr>
        <w:t xml:space="preserve">environmental </w:t>
      </w:r>
      <w:r w:rsidRPr="00B541F3">
        <w:rPr>
          <w:rFonts w:ascii="Aptos" w:eastAsia="Aptos" w:hAnsi="Aptos" w:cs="Aptos"/>
        </w:rPr>
        <w:t xml:space="preserve">controls is recommended. The selection of membrane-based technology for the ELG Reconsideration Rule, as recommended in the 2022 IRP, minimizes the incremental costs for Plant Scherer Units 1-3 under the </w:t>
      </w:r>
      <w:r w:rsidR="00C550A1">
        <w:rPr>
          <w:rFonts w:ascii="Aptos" w:eastAsia="Aptos" w:hAnsi="Aptos" w:cs="Aptos"/>
        </w:rPr>
        <w:t xml:space="preserve">Supplemental </w:t>
      </w:r>
      <w:r w:rsidRPr="00B541F3">
        <w:rPr>
          <w:rFonts w:ascii="Aptos" w:eastAsia="Aptos" w:hAnsi="Aptos" w:cs="Aptos"/>
        </w:rPr>
        <w:t>ELG Rule. Combined with other economic factors, this demonstrates that continued operation is cost</w:t>
      </w:r>
      <w:r w:rsidR="008A6936">
        <w:rPr>
          <w:rFonts w:ascii="Aptos" w:eastAsia="Aptos" w:hAnsi="Aptos" w:cs="Aptos"/>
        </w:rPr>
        <w:t xml:space="preserve"> </w:t>
      </w:r>
      <w:r w:rsidRPr="00B541F3">
        <w:rPr>
          <w:rFonts w:ascii="Aptos" w:eastAsia="Aptos" w:hAnsi="Aptos" w:cs="Aptos"/>
        </w:rPr>
        <w:t xml:space="preserve">effective. ELG control systems are required </w:t>
      </w:r>
      <w:r w:rsidR="000778F7">
        <w:rPr>
          <w:rFonts w:ascii="Aptos" w:eastAsia="Aptos" w:hAnsi="Aptos" w:cs="Aptos"/>
        </w:rPr>
        <w:t xml:space="preserve">to maintain availability </w:t>
      </w:r>
      <w:r w:rsidR="008C4E34">
        <w:rPr>
          <w:rFonts w:ascii="Aptos" w:eastAsia="Aptos" w:hAnsi="Aptos" w:cs="Aptos"/>
        </w:rPr>
        <w:t>of</w:t>
      </w:r>
      <w:r w:rsidR="007D483B">
        <w:rPr>
          <w:rFonts w:ascii="Aptos" w:eastAsia="Aptos" w:hAnsi="Aptos" w:cs="Aptos"/>
        </w:rPr>
        <w:t xml:space="preserve"> </w:t>
      </w:r>
      <w:r w:rsidRPr="00B541F3">
        <w:rPr>
          <w:rFonts w:ascii="Aptos" w:eastAsia="Aptos" w:hAnsi="Aptos" w:cs="Aptos"/>
        </w:rPr>
        <w:t xml:space="preserve">the co-fire compliance pathway </w:t>
      </w:r>
      <w:r w:rsidR="00FF4EC5" w:rsidRPr="00B541F3">
        <w:rPr>
          <w:rFonts w:ascii="Aptos" w:eastAsia="Aptos" w:hAnsi="Aptos" w:cs="Aptos"/>
        </w:rPr>
        <w:t xml:space="preserve">under </w:t>
      </w:r>
      <w:r w:rsidR="002B353C">
        <w:rPr>
          <w:rFonts w:ascii="Aptos" w:eastAsia="Aptos" w:hAnsi="Aptos" w:cs="Aptos"/>
        </w:rPr>
        <w:t xml:space="preserve">the </w:t>
      </w:r>
      <w:r w:rsidR="004E6DDA" w:rsidRPr="00B541F3">
        <w:rPr>
          <w:rFonts w:ascii="Aptos" w:eastAsia="Aptos" w:hAnsi="Aptos" w:cs="Aptos"/>
        </w:rPr>
        <w:t>111 GHG Rules</w:t>
      </w:r>
      <w:r w:rsidR="00872AF1">
        <w:rPr>
          <w:rFonts w:ascii="Aptos" w:eastAsia="Aptos" w:hAnsi="Aptos" w:cs="Aptos"/>
        </w:rPr>
        <w:t>, which</w:t>
      </w:r>
      <w:r w:rsidRPr="00B541F3">
        <w:rPr>
          <w:rFonts w:ascii="Aptos" w:eastAsia="Aptos" w:hAnsi="Aptos" w:cs="Aptos"/>
        </w:rPr>
        <w:t xml:space="preserve"> permits extended operation until December 31, 2038</w:t>
      </w:r>
      <w:r w:rsidR="00F93B58">
        <w:rPr>
          <w:rFonts w:ascii="Aptos" w:eastAsia="Aptos" w:hAnsi="Aptos" w:cs="Aptos"/>
        </w:rPr>
        <w:t xml:space="preserve">, </w:t>
      </w:r>
      <w:r w:rsidRPr="00B541F3">
        <w:rPr>
          <w:rFonts w:ascii="Aptos" w:eastAsia="Aptos" w:hAnsi="Aptos" w:cs="Aptos"/>
        </w:rPr>
        <w:t xml:space="preserve">and defers the need for replacement capacity until 2039. It is economically competitive </w:t>
      </w:r>
      <w:r w:rsidR="00CA6FE6" w:rsidRPr="00B541F3">
        <w:rPr>
          <w:rFonts w:ascii="Aptos" w:eastAsia="Aptos" w:hAnsi="Aptos" w:cs="Aptos"/>
        </w:rPr>
        <w:t xml:space="preserve">compared to the other compliance options </w:t>
      </w:r>
      <w:r w:rsidRPr="00B541F3">
        <w:rPr>
          <w:rFonts w:ascii="Aptos" w:eastAsia="Aptos" w:hAnsi="Aptos" w:cs="Aptos"/>
        </w:rPr>
        <w:t xml:space="preserve">and reduces the </w:t>
      </w:r>
      <w:r w:rsidR="00906EB0">
        <w:rPr>
          <w:rFonts w:ascii="Aptos" w:eastAsia="Aptos" w:hAnsi="Aptos" w:cs="Aptos"/>
        </w:rPr>
        <w:t>need</w:t>
      </w:r>
      <w:r w:rsidR="00906EB0" w:rsidRPr="00B541F3">
        <w:rPr>
          <w:rFonts w:ascii="Aptos" w:eastAsia="Aptos" w:hAnsi="Aptos" w:cs="Aptos"/>
        </w:rPr>
        <w:t xml:space="preserve"> </w:t>
      </w:r>
      <w:r w:rsidRPr="00B541F3">
        <w:rPr>
          <w:rFonts w:ascii="Aptos" w:eastAsia="Aptos" w:hAnsi="Aptos" w:cs="Aptos"/>
        </w:rPr>
        <w:t xml:space="preserve">to procure new capacity by 2032 or earlier. </w:t>
      </w:r>
      <w:r w:rsidR="00E83064">
        <w:rPr>
          <w:rFonts w:ascii="Aptos" w:eastAsia="Aptos" w:hAnsi="Aptos" w:cs="Aptos"/>
        </w:rPr>
        <w:t>C</w:t>
      </w:r>
      <w:r w:rsidR="006760C8">
        <w:rPr>
          <w:rFonts w:ascii="Aptos" w:eastAsia="Aptos" w:hAnsi="Aptos" w:cs="Aptos"/>
        </w:rPr>
        <w:t>o</w:t>
      </w:r>
      <w:r w:rsidR="00E83064">
        <w:rPr>
          <w:rFonts w:ascii="Aptos" w:eastAsia="Aptos" w:hAnsi="Aptos" w:cs="Aptos"/>
        </w:rPr>
        <w:t>nsidering the uncertainty surrounding future environmental regulations and market conditions</w:t>
      </w:r>
      <w:r w:rsidRPr="00B541F3">
        <w:rPr>
          <w:rFonts w:ascii="Aptos" w:eastAsia="Aptos" w:hAnsi="Aptos" w:cs="Aptos"/>
        </w:rPr>
        <w:t>, this approach provides a</w:t>
      </w:r>
      <w:r w:rsidR="009455C5">
        <w:rPr>
          <w:rFonts w:ascii="Aptos" w:eastAsia="Aptos" w:hAnsi="Aptos" w:cs="Aptos"/>
        </w:rPr>
        <w:t>n economic,</w:t>
      </w:r>
      <w:r w:rsidRPr="00B541F3">
        <w:rPr>
          <w:rFonts w:ascii="Aptos" w:eastAsia="Aptos" w:hAnsi="Aptos" w:cs="Aptos"/>
        </w:rPr>
        <w:t xml:space="preserve"> flexible</w:t>
      </w:r>
      <w:r w:rsidR="009455C5">
        <w:rPr>
          <w:rFonts w:ascii="Aptos" w:eastAsia="Aptos" w:hAnsi="Aptos" w:cs="Aptos"/>
        </w:rPr>
        <w:t>,</w:t>
      </w:r>
      <w:r w:rsidRPr="00B541F3">
        <w:rPr>
          <w:rFonts w:ascii="Aptos" w:eastAsia="Aptos" w:hAnsi="Aptos" w:cs="Aptos"/>
        </w:rPr>
        <w:t xml:space="preserve"> and adaptive strategy to ensure continued compliance and resource planning optionality.</w:t>
      </w:r>
    </w:p>
    <w:p w14:paraId="088361BA" w14:textId="1861C628" w:rsidR="61F9D5EA" w:rsidRDefault="61F9D5EA" w:rsidP="009A12F5">
      <w:pPr>
        <w:pStyle w:val="ListParagraph"/>
        <w:numPr>
          <w:ilvl w:val="0"/>
          <w:numId w:val="28"/>
        </w:numPr>
        <w:spacing w:before="120" w:after="120" w:line="257" w:lineRule="auto"/>
        <w:jc w:val="both"/>
        <w:rPr>
          <w:rFonts w:ascii="Aptos" w:eastAsia="Aptos" w:hAnsi="Aptos" w:cs="Aptos"/>
        </w:rPr>
      </w:pPr>
      <w:r w:rsidRPr="4842DCCD">
        <w:rPr>
          <w:rFonts w:ascii="Aptos" w:eastAsia="Aptos" w:hAnsi="Aptos" w:cs="Aptos"/>
          <w:b/>
        </w:rPr>
        <w:t>Plant Gaston Units 1-4 and A:</w:t>
      </w:r>
      <w:r w:rsidRPr="4842DCCD">
        <w:rPr>
          <w:rFonts w:ascii="Aptos" w:eastAsia="Aptos" w:hAnsi="Aptos" w:cs="Aptos"/>
        </w:rPr>
        <w:t xml:space="preserve"> Plant Gaston Units 1-4, located in Alabama, are steam resources that </w:t>
      </w:r>
      <w:r w:rsidR="00A03FCC">
        <w:rPr>
          <w:rFonts w:ascii="Aptos" w:eastAsia="Aptos" w:hAnsi="Aptos" w:cs="Aptos"/>
        </w:rPr>
        <w:t>primarily</w:t>
      </w:r>
      <w:r w:rsidR="00A03FCC" w:rsidRPr="4842DCCD">
        <w:rPr>
          <w:rFonts w:ascii="Aptos" w:eastAsia="Aptos" w:hAnsi="Aptos" w:cs="Aptos"/>
        </w:rPr>
        <w:t xml:space="preserve"> </w:t>
      </w:r>
      <w:r w:rsidRPr="4842DCCD">
        <w:rPr>
          <w:rFonts w:ascii="Aptos" w:eastAsia="Aptos" w:hAnsi="Aptos" w:cs="Aptos"/>
        </w:rPr>
        <w:t xml:space="preserve">operate on natural gas, with limited coal backup to ensure reliable operation during periods of natural gas pipeline constraints, such as cold winter days. </w:t>
      </w:r>
      <w:r w:rsidR="00A03FCC">
        <w:rPr>
          <w:rFonts w:ascii="Aptos" w:eastAsia="Aptos" w:hAnsi="Aptos" w:cs="Aptos"/>
        </w:rPr>
        <w:t>Plant Gaston Unit A is an oil-fired CT</w:t>
      </w:r>
      <w:r w:rsidR="00C6554A">
        <w:rPr>
          <w:rFonts w:ascii="Aptos" w:eastAsia="Aptos" w:hAnsi="Aptos" w:cs="Aptos"/>
        </w:rPr>
        <w:t xml:space="preserve">. </w:t>
      </w:r>
      <w:r w:rsidR="00583CA3" w:rsidRPr="40E01370">
        <w:rPr>
          <w:rFonts w:ascii="Aptos" w:eastAsia="Aptos" w:hAnsi="Aptos" w:cs="Aptos"/>
        </w:rPr>
        <w:t xml:space="preserve">Even </w:t>
      </w:r>
      <w:r w:rsidR="00583CA3">
        <w:rPr>
          <w:rFonts w:ascii="Aptos" w:eastAsia="Aptos" w:hAnsi="Aptos" w:cs="Aptos"/>
        </w:rPr>
        <w:t xml:space="preserve">after </w:t>
      </w:r>
      <w:r w:rsidR="00583CA3" w:rsidRPr="40E01370">
        <w:rPr>
          <w:rFonts w:ascii="Aptos" w:eastAsia="Aptos" w:hAnsi="Aptos" w:cs="Aptos"/>
        </w:rPr>
        <w:t xml:space="preserve">considering the age and necessary maintenance of these units, continued operation provides </w:t>
      </w:r>
      <w:r w:rsidR="00636846">
        <w:rPr>
          <w:rFonts w:ascii="Aptos" w:eastAsia="Aptos" w:hAnsi="Aptos" w:cs="Aptos"/>
        </w:rPr>
        <w:t xml:space="preserve">positive </w:t>
      </w:r>
      <w:r w:rsidR="00583CA3" w:rsidRPr="40E01370">
        <w:rPr>
          <w:rFonts w:ascii="Aptos" w:eastAsia="Aptos" w:hAnsi="Aptos" w:cs="Aptos"/>
        </w:rPr>
        <w:t>economic benefits to customers</w:t>
      </w:r>
      <w:r w:rsidR="00583CA3">
        <w:rPr>
          <w:rFonts w:ascii="Aptos" w:eastAsia="Aptos" w:hAnsi="Aptos" w:cs="Aptos"/>
        </w:rPr>
        <w:t>.</w:t>
      </w:r>
      <w:r w:rsidRPr="4842DCCD">
        <w:rPr>
          <w:rFonts w:ascii="Aptos" w:eastAsia="Aptos" w:hAnsi="Aptos" w:cs="Aptos"/>
        </w:rPr>
        <w:t xml:space="preserve"> Extending the operation of these units </w:t>
      </w:r>
      <w:r w:rsidR="007E1A12">
        <w:rPr>
          <w:rFonts w:ascii="Aptos" w:eastAsia="Aptos" w:hAnsi="Aptos" w:cs="Aptos"/>
        </w:rPr>
        <w:t xml:space="preserve">beyond </w:t>
      </w:r>
      <w:r w:rsidR="006A24E4">
        <w:rPr>
          <w:rFonts w:ascii="Aptos" w:eastAsia="Aptos" w:hAnsi="Aptos" w:cs="Aptos"/>
        </w:rPr>
        <w:t>December 31,</w:t>
      </w:r>
      <w:r w:rsidR="007E1A12">
        <w:rPr>
          <w:rFonts w:ascii="Aptos" w:eastAsia="Aptos" w:hAnsi="Aptos" w:cs="Aptos"/>
        </w:rPr>
        <w:t xml:space="preserve"> 2028</w:t>
      </w:r>
      <w:r w:rsidR="006A24E4">
        <w:rPr>
          <w:rFonts w:ascii="Aptos" w:eastAsia="Aptos" w:hAnsi="Aptos" w:cs="Aptos"/>
        </w:rPr>
        <w:t>,</w:t>
      </w:r>
      <w:r w:rsidRPr="4842DCCD">
        <w:rPr>
          <w:rFonts w:ascii="Aptos" w:eastAsia="Aptos" w:hAnsi="Aptos" w:cs="Aptos"/>
        </w:rPr>
        <w:t xml:space="preserve"> can help preserve </w:t>
      </w:r>
      <w:r w:rsidRPr="4842DCCD">
        <w:rPr>
          <w:rFonts w:ascii="Aptos" w:eastAsia="Aptos" w:hAnsi="Aptos" w:cs="Aptos"/>
        </w:rPr>
        <w:lastRenderedPageBreak/>
        <w:t xml:space="preserve">capacity and add flexibility to the resource plan, given the ability to retire the capacity if projected load does not materialize. Considering the uncertainty </w:t>
      </w:r>
      <w:r w:rsidR="008E3BC0">
        <w:rPr>
          <w:rFonts w:ascii="Aptos" w:eastAsia="Aptos" w:hAnsi="Aptos" w:cs="Aptos"/>
        </w:rPr>
        <w:t>surrounding</w:t>
      </w:r>
      <w:r w:rsidR="008E3BC0" w:rsidRPr="4842DCCD">
        <w:rPr>
          <w:rFonts w:ascii="Aptos" w:eastAsia="Aptos" w:hAnsi="Aptos" w:cs="Aptos"/>
        </w:rPr>
        <w:t xml:space="preserve"> </w:t>
      </w:r>
      <w:r w:rsidRPr="4842DCCD">
        <w:rPr>
          <w:rFonts w:ascii="Aptos" w:eastAsia="Aptos" w:hAnsi="Aptos" w:cs="Aptos"/>
        </w:rPr>
        <w:t>future environmental regulations and market conditions, this approach provides a</w:t>
      </w:r>
      <w:r w:rsidR="00EF0A70">
        <w:rPr>
          <w:rFonts w:ascii="Aptos" w:eastAsia="Aptos" w:hAnsi="Aptos" w:cs="Aptos"/>
        </w:rPr>
        <w:t>n economic,</w:t>
      </w:r>
      <w:r w:rsidRPr="4842DCCD">
        <w:rPr>
          <w:rFonts w:ascii="Aptos" w:eastAsia="Aptos" w:hAnsi="Aptos" w:cs="Aptos"/>
        </w:rPr>
        <w:t xml:space="preserve"> flexible</w:t>
      </w:r>
      <w:r w:rsidR="00636846">
        <w:rPr>
          <w:rFonts w:ascii="Aptos" w:eastAsia="Aptos" w:hAnsi="Aptos" w:cs="Aptos"/>
        </w:rPr>
        <w:t>,</w:t>
      </w:r>
      <w:r w:rsidRPr="4842DCCD">
        <w:rPr>
          <w:rFonts w:ascii="Aptos" w:eastAsia="Aptos" w:hAnsi="Aptos" w:cs="Aptos"/>
        </w:rPr>
        <w:t xml:space="preserve"> and adaptive strategy to ensure continued compliance and resource planning optionality.</w:t>
      </w:r>
    </w:p>
    <w:p w14:paraId="1B41BFD8" w14:textId="677FEFAC" w:rsidR="00325530" w:rsidRDefault="00325530" w:rsidP="00325530">
      <w:pPr>
        <w:pStyle w:val="Heading2"/>
        <w:spacing w:before="120" w:after="120"/>
        <w:jc w:val="both"/>
      </w:pPr>
      <w:bookmarkStart w:id="42" w:name="_Toc185523339"/>
      <w:bookmarkStart w:id="43" w:name="_Toc189122766"/>
      <w:r>
        <w:t xml:space="preserve">8.3 – Gas Unit </w:t>
      </w:r>
      <w:bookmarkEnd w:id="42"/>
      <w:r>
        <w:t>Up</w:t>
      </w:r>
      <w:r w:rsidR="00F22952">
        <w:t>g</w:t>
      </w:r>
      <w:r>
        <w:t>ra</w:t>
      </w:r>
      <w:r w:rsidR="00F22952">
        <w:t>d</w:t>
      </w:r>
      <w:r>
        <w:t>es</w:t>
      </w:r>
      <w:bookmarkEnd w:id="43"/>
      <w:r>
        <w:t xml:space="preserve"> </w:t>
      </w:r>
    </w:p>
    <w:p w14:paraId="19888C1F" w14:textId="559C99E7" w:rsidR="0AFDAB23" w:rsidRDefault="0AFDAB23" w:rsidP="00B541F3">
      <w:pPr>
        <w:jc w:val="both"/>
      </w:pPr>
      <w:r>
        <w:t>The Company has identified opportunities to increase capacity at Plant McIntosh Units 10-11 and Units 1A-8A. These</w:t>
      </w:r>
      <w:r w:rsidDel="00A22932">
        <w:t xml:space="preserve"> </w:t>
      </w:r>
      <w:r w:rsidR="00A22932">
        <w:t>up</w:t>
      </w:r>
      <w:r w:rsidR="007E3643">
        <w:t>grades</w:t>
      </w:r>
      <w:r>
        <w:t xml:space="preserve"> provide </w:t>
      </w:r>
      <w:r w:rsidR="00D523FA">
        <w:t>cost-effective solutions</w:t>
      </w:r>
      <w:r>
        <w:t xml:space="preserve"> to meet </w:t>
      </w:r>
      <w:r w:rsidR="002A2BEF">
        <w:t xml:space="preserve">customers’ </w:t>
      </w:r>
      <w:r>
        <w:t xml:space="preserve">growing energy needs </w:t>
      </w:r>
      <w:r w:rsidR="002A2BEF">
        <w:t xml:space="preserve">by </w:t>
      </w:r>
      <w:r>
        <w:t xml:space="preserve">leveraging existing </w:t>
      </w:r>
      <w:r w:rsidR="00875DC7">
        <w:t xml:space="preserve">operating </w:t>
      </w:r>
      <w:r w:rsidR="004F7646">
        <w:t xml:space="preserve">generation </w:t>
      </w:r>
      <w:r>
        <w:t>resources</w:t>
      </w:r>
      <w:r w:rsidR="00BD26A3">
        <w:t xml:space="preserve"> and</w:t>
      </w:r>
      <w:r>
        <w:t xml:space="preserve"> offering a balance of peaking capacity and NGCC capacity.</w:t>
      </w:r>
    </w:p>
    <w:p w14:paraId="750B796B" w14:textId="56FF3F51" w:rsidR="0AFDAB23" w:rsidRDefault="0AFDAB23" w:rsidP="00A470E4">
      <w:pPr>
        <w:pStyle w:val="ListParagraph"/>
        <w:numPr>
          <w:ilvl w:val="0"/>
          <w:numId w:val="36"/>
        </w:numPr>
        <w:spacing w:before="120" w:after="120"/>
        <w:contextualSpacing w:val="0"/>
        <w:jc w:val="both"/>
      </w:pPr>
      <w:r w:rsidRPr="00B056AC">
        <w:rPr>
          <w:b/>
        </w:rPr>
        <w:t>Plant McIntosh Units 10-11</w:t>
      </w:r>
      <w:r>
        <w:t xml:space="preserve">: </w:t>
      </w:r>
      <w:r w:rsidR="00D73531">
        <w:t xml:space="preserve">The upgrade opportunity being evaluated for the combined cycles at Plant McIntosh Units 10-11 is the General Electric (“GE”) 7FA.05 upgrade. The scope of this upgrade includes replacing rotating blades and stationary vanes in the CTs (two CTs per combined cycle), combustor replacement, increasing firing temperature and shaft limits, and additional operating mode flexibility. The result of these replacements will be increased capacity and improved heat rate for some operating modes. In addition, the GE 7FA.05 upgrade will give these </w:t>
      </w:r>
      <w:r w:rsidR="00D73531" w:rsidDel="000237F9">
        <w:t>NG</w:t>
      </w:r>
      <w:r w:rsidR="00D73531">
        <w:t>CCs the ability to operate power augmentation (admission of steam to the combustion turbine to increase mass throughput and power output) and peak firing in winter conditions, as well as the ability to operate peak fire and power augmentation simultaneously. Th</w:t>
      </w:r>
      <w:r w:rsidR="00113A8C">
        <w:t>is</w:t>
      </w:r>
      <w:r w:rsidR="00D73531">
        <w:t xml:space="preserve"> upgrade </w:t>
      </w:r>
      <w:r w:rsidR="00113A8C">
        <w:t xml:space="preserve">is </w:t>
      </w:r>
      <w:r w:rsidR="00D73531">
        <w:t>p</w:t>
      </w:r>
      <w:r>
        <w:t xml:space="preserve">rojected to achieve an incremental capacity of </w:t>
      </w:r>
      <w:r w:rsidR="0048829C">
        <w:t xml:space="preserve">194 </w:t>
      </w:r>
      <w:r>
        <w:t>MW</w:t>
      </w:r>
      <w:r w:rsidR="3C91FC5D">
        <w:t xml:space="preserve"> (winter)</w:t>
      </w:r>
      <w:r>
        <w:t xml:space="preserve">. This enhancement increases the capacity of these </w:t>
      </w:r>
      <w:r w:rsidR="002E1097">
        <w:t xml:space="preserve">existing </w:t>
      </w:r>
      <w:r>
        <w:t xml:space="preserve">combined cycle units while also improving the heat rate. </w:t>
      </w:r>
    </w:p>
    <w:p w14:paraId="71966FC9" w14:textId="4C4C47A9" w:rsidR="0AFDAB23" w:rsidRDefault="0AFDAB23" w:rsidP="5E14C5E1">
      <w:pPr>
        <w:pStyle w:val="ListParagraph"/>
        <w:numPr>
          <w:ilvl w:val="0"/>
          <w:numId w:val="36"/>
        </w:numPr>
        <w:spacing w:before="120" w:after="120"/>
        <w:jc w:val="both"/>
      </w:pPr>
      <w:r w:rsidRPr="00B056AC">
        <w:rPr>
          <w:b/>
        </w:rPr>
        <w:t>Plant McIntosh Units 1A-8A</w:t>
      </w:r>
      <w:r>
        <w:t xml:space="preserve">: </w:t>
      </w:r>
      <w:r w:rsidR="00D73531">
        <w:t xml:space="preserve">The upgrade opportunity being evaluated for </w:t>
      </w:r>
      <w:r w:rsidR="00D73531" w:rsidRPr="000D44CA">
        <w:t>Plant McIntosh Units 1</w:t>
      </w:r>
      <w:r w:rsidR="00D73531">
        <w:t>A</w:t>
      </w:r>
      <w:r w:rsidR="00D73531" w:rsidRPr="000D44CA">
        <w:t>-8</w:t>
      </w:r>
      <w:r w:rsidR="00D73531">
        <w:t>A, or the simple cycle CTs, also includes replacing existing turbine components, which will allow each unit to operate at a higher capacity. In addition to increasing capacity, these replacement components are of lower cost than the in-kind replacement parts, leading to a reduction in the capital budget. Th</w:t>
      </w:r>
      <w:r w:rsidR="00113A8C">
        <w:t>is</w:t>
      </w:r>
      <w:r w:rsidR="00D73531">
        <w:t xml:space="preserve"> upgrade w</w:t>
      </w:r>
      <w:r>
        <w:t xml:space="preserve">ill provide an additional </w:t>
      </w:r>
      <w:r w:rsidR="264676C9">
        <w:t xml:space="preserve">74.4 </w:t>
      </w:r>
      <w:r>
        <w:t xml:space="preserve">MW </w:t>
      </w:r>
      <w:r w:rsidR="124572B4">
        <w:t>(winter)</w:t>
      </w:r>
      <w:r>
        <w:t xml:space="preserve"> of incremental capacity over a staggered schedule from 2026 to 2033. These up</w:t>
      </w:r>
      <w:r w:rsidR="004A488D">
        <w:t>grades</w:t>
      </w:r>
      <w:r>
        <w:t xml:space="preserve"> are designed to provide additional economic peaking capacity, ensuring the </w:t>
      </w:r>
      <w:r w:rsidR="008E59EA">
        <w:t>existing</w:t>
      </w:r>
      <w:r w:rsidR="00CA274F">
        <w:t xml:space="preserve"> </w:t>
      </w:r>
      <w:r>
        <w:t>plant can meet peak demand periods more effectively.</w:t>
      </w:r>
    </w:p>
    <w:p w14:paraId="693DCBAC" w14:textId="3290CB69" w:rsidR="3BC59FD7" w:rsidRDefault="0AFDAB23" w:rsidP="00B541F3">
      <w:pPr>
        <w:jc w:val="both"/>
      </w:pPr>
      <w:r>
        <w:t xml:space="preserve">The Company has provided a detailed cost-benefit analysis in Technical Appendix Volume 1. This analysis </w:t>
      </w:r>
      <w:r w:rsidR="0EAA349A">
        <w:t xml:space="preserve">clearly </w:t>
      </w:r>
      <w:r>
        <w:t xml:space="preserve">demonstrates that these </w:t>
      </w:r>
      <w:r w:rsidR="00D72F8A">
        <w:t>up</w:t>
      </w:r>
      <w:r w:rsidR="00C854F1">
        <w:t>grades</w:t>
      </w:r>
      <w:r w:rsidR="00D72F8A">
        <w:t xml:space="preserve"> </w:t>
      </w:r>
      <w:r>
        <w:t xml:space="preserve">are in the best </w:t>
      </w:r>
      <w:r w:rsidR="2BADB7C4">
        <w:t>interests</w:t>
      </w:r>
      <w:r>
        <w:t xml:space="preserve"> of customers. The certification application for this incremental capacity is also included in Attachment B of the Main Document.</w:t>
      </w:r>
    </w:p>
    <w:p w14:paraId="77B87500" w14:textId="77777777" w:rsidR="00BA1148" w:rsidRDefault="00BA1148">
      <w:pPr>
        <w:rPr>
          <w:rFonts w:asciiTheme="majorHAnsi" w:eastAsiaTheme="majorEastAsia" w:hAnsiTheme="majorHAnsi" w:cstheme="majorBidi"/>
          <w:color w:val="0F4761" w:themeColor="accent1" w:themeShade="BF"/>
          <w:sz w:val="32"/>
          <w:szCs w:val="32"/>
        </w:rPr>
      </w:pPr>
      <w:r>
        <w:br w:type="page"/>
      </w:r>
    </w:p>
    <w:p w14:paraId="135751E2" w14:textId="3AEB0ADF" w:rsidR="00545B58" w:rsidRDefault="75635613" w:rsidP="3BC59FD7">
      <w:pPr>
        <w:pStyle w:val="Heading2"/>
        <w:jc w:val="both"/>
      </w:pPr>
      <w:bookmarkStart w:id="44" w:name="_Toc189122767"/>
      <w:r>
        <w:lastRenderedPageBreak/>
        <w:t xml:space="preserve">8.4 – </w:t>
      </w:r>
      <w:r w:rsidR="42322A76">
        <w:t>Nuclear</w:t>
      </w:r>
      <w:r>
        <w:t xml:space="preserve"> Unit Up</w:t>
      </w:r>
      <w:r w:rsidR="003145E4">
        <w:t>grades</w:t>
      </w:r>
      <w:bookmarkEnd w:id="44"/>
    </w:p>
    <w:p w14:paraId="345D7AB6" w14:textId="33796BAE" w:rsidR="008222EB" w:rsidRDefault="00135A09" w:rsidP="0090689F">
      <w:pPr>
        <w:jc w:val="both"/>
      </w:pPr>
      <w:r>
        <w:t>Similar to the gas up</w:t>
      </w:r>
      <w:r w:rsidR="004A488D">
        <w:t>grades</w:t>
      </w:r>
      <w:r>
        <w:t xml:space="preserve"> </w:t>
      </w:r>
      <w:r w:rsidR="00295CDA">
        <w:t>discussed in Section 8.3,</w:t>
      </w:r>
      <w:r>
        <w:t xml:space="preserve"> </w:t>
      </w:r>
      <w:r w:rsidR="0090689F" w:rsidRPr="00892B44">
        <w:t xml:space="preserve">the Company has identified opportunities to upgrade </w:t>
      </w:r>
      <w:r w:rsidR="00F472CC">
        <w:t xml:space="preserve">several of </w:t>
      </w:r>
      <w:r w:rsidR="0090689F" w:rsidRPr="00892B44">
        <w:t xml:space="preserve">its existing nuclear units to provide additional capacity. This additional </w:t>
      </w:r>
      <w:r w:rsidR="10C51C35">
        <w:t xml:space="preserve">baseload </w:t>
      </w:r>
      <w:r w:rsidR="0090689F" w:rsidRPr="00892B44">
        <w:t xml:space="preserve">energy can aid in meeting growing capacity needs without the need for incremental transmission system investment. </w:t>
      </w:r>
      <w:r w:rsidR="00295CDA">
        <w:t>U</w:t>
      </w:r>
      <w:r w:rsidR="0090689F" w:rsidRPr="00892B44">
        <w:t>p</w:t>
      </w:r>
      <w:r w:rsidR="00AC01BE">
        <w:t>grades</w:t>
      </w:r>
      <w:r w:rsidR="0090689F" w:rsidRPr="00892B44">
        <w:t xml:space="preserve"> are </w:t>
      </w:r>
      <w:r w:rsidR="00BA2434">
        <w:t>proposed</w:t>
      </w:r>
      <w:r w:rsidR="00BA2434" w:rsidRPr="00892B44">
        <w:t xml:space="preserve"> </w:t>
      </w:r>
      <w:r w:rsidR="0090689F" w:rsidRPr="00892B44">
        <w:t xml:space="preserve">for </w:t>
      </w:r>
      <w:r w:rsidR="007C1600">
        <w:t xml:space="preserve">Plant </w:t>
      </w:r>
      <w:r w:rsidR="0090689F" w:rsidRPr="00892B44">
        <w:t xml:space="preserve">Vogtle </w:t>
      </w:r>
      <w:r w:rsidR="00EC0809">
        <w:t xml:space="preserve">Units </w:t>
      </w:r>
      <w:r w:rsidR="0090689F" w:rsidRPr="00892B44">
        <w:t>1</w:t>
      </w:r>
      <w:r w:rsidR="0090689F" w:rsidRPr="00892B44" w:rsidDel="00912D7F">
        <w:t>-</w:t>
      </w:r>
      <w:r w:rsidR="0090689F" w:rsidRPr="00892B44">
        <w:t>2</w:t>
      </w:r>
      <w:r w:rsidR="00295CDA">
        <w:t xml:space="preserve"> and</w:t>
      </w:r>
      <w:r w:rsidR="0090689F" w:rsidRPr="00892B44">
        <w:t xml:space="preserve"> </w:t>
      </w:r>
      <w:r w:rsidR="007C1600">
        <w:t xml:space="preserve">Plant </w:t>
      </w:r>
      <w:r w:rsidR="0090689F" w:rsidRPr="00892B44">
        <w:t>Hatch</w:t>
      </w:r>
      <w:r w:rsidR="00EC0809">
        <w:t xml:space="preserve"> Units</w:t>
      </w:r>
      <w:r w:rsidR="0090689F" w:rsidRPr="00892B44">
        <w:t xml:space="preserve"> 1</w:t>
      </w:r>
      <w:r w:rsidR="0090689F" w:rsidRPr="00892B44" w:rsidDel="00912D7F">
        <w:t>-</w:t>
      </w:r>
      <w:r w:rsidR="0090689F" w:rsidRPr="00892B44">
        <w:t>2</w:t>
      </w:r>
      <w:r w:rsidR="00295CDA">
        <w:t>.</w:t>
      </w:r>
      <w:r w:rsidR="0090689F" w:rsidRPr="00892B44">
        <w:t xml:space="preserve"> </w:t>
      </w:r>
    </w:p>
    <w:p w14:paraId="4F08B666" w14:textId="7F358164" w:rsidR="001A39CC" w:rsidRDefault="0090689F" w:rsidP="0090689F">
      <w:pPr>
        <w:jc w:val="both"/>
        <w:rPr>
          <w:rFonts w:ascii="Aptos" w:eastAsia="Aptos" w:hAnsi="Aptos" w:cs="Aptos"/>
        </w:rPr>
      </w:pPr>
      <w:r w:rsidRPr="00892B44">
        <w:t>The</w:t>
      </w:r>
      <w:r w:rsidR="006A4867">
        <w:t>se</w:t>
      </w:r>
      <w:r w:rsidRPr="00892B44">
        <w:t xml:space="preserve"> Extended Power Uprates (“EPU”) result in</w:t>
      </w:r>
      <w:r w:rsidRPr="00892B44" w:rsidDel="00D33093">
        <w:t xml:space="preserve"> </w:t>
      </w:r>
      <w:r w:rsidR="00D33093">
        <w:t>greater</w:t>
      </w:r>
      <w:r w:rsidRPr="00892B44">
        <w:t xml:space="preserve"> electrical power generation </w:t>
      </w:r>
      <w:r w:rsidR="00AD4638">
        <w:t xml:space="preserve">as shown in Table 8.4 </w:t>
      </w:r>
      <w:r w:rsidRPr="00892B44">
        <w:t>by increasing the thermal output of the reactors.</w:t>
      </w:r>
      <w:r w:rsidR="00DB2445">
        <w:t xml:space="preserve"> </w:t>
      </w:r>
      <w:r w:rsidRPr="00892B44">
        <w:t xml:space="preserve">The EPU process includes an extensive analysis of plant systems and components to verify the capability and identify needed modifications to support the power </w:t>
      </w:r>
      <w:r w:rsidR="00D72087">
        <w:t>upgrade</w:t>
      </w:r>
      <w:r w:rsidRPr="00892B44">
        <w:t xml:space="preserve"> at each facility.</w:t>
      </w:r>
      <w:r w:rsidR="00876B27">
        <w:t xml:space="preserve"> </w:t>
      </w:r>
      <w:r w:rsidRPr="00892B44">
        <w:t xml:space="preserve">For Plant Hatch, the Company is also planning to complete </w:t>
      </w:r>
      <w:r w:rsidR="00E17663">
        <w:t xml:space="preserve">a necessary </w:t>
      </w:r>
      <w:r w:rsidR="00870FA2">
        <w:t xml:space="preserve">upgrade </w:t>
      </w:r>
      <w:r w:rsidR="00C54C5C">
        <w:t xml:space="preserve">to boiler water reactors </w:t>
      </w:r>
      <w:r w:rsidR="00744178">
        <w:t>ca</w:t>
      </w:r>
      <w:r w:rsidR="00870FA2">
        <w:t xml:space="preserve">lled </w:t>
      </w:r>
      <w:r w:rsidRPr="00892B44">
        <w:t>the Maximum Extended Load Line Limit (MELLA+) enhancement. The MELLA+ enhancement increases capacity by</w:t>
      </w:r>
      <w:r w:rsidR="00A85DE7">
        <w:t xml:space="preserve"> </w:t>
      </w:r>
      <w:r w:rsidRPr="00892B44">
        <w:t xml:space="preserve">allowing for higher thermal power without increasing core flow to support </w:t>
      </w:r>
      <w:r w:rsidR="00D72087">
        <w:t>EPU</w:t>
      </w:r>
      <w:r w:rsidRPr="00892B44">
        <w:t xml:space="preserve"> for boiling water reactors.</w:t>
      </w:r>
      <w:r w:rsidR="00A85DE7">
        <w:t xml:space="preserve"> </w:t>
      </w:r>
      <w:r w:rsidR="001A3FA1" w:rsidRPr="2B19DCB6">
        <w:rPr>
          <w:rFonts w:ascii="Aptos" w:eastAsia="Aptos" w:hAnsi="Aptos" w:cs="Aptos"/>
        </w:rPr>
        <w:t>In addition to the up</w:t>
      </w:r>
      <w:r w:rsidR="004A488D">
        <w:rPr>
          <w:rFonts w:ascii="Aptos" w:eastAsia="Aptos" w:hAnsi="Aptos" w:cs="Aptos"/>
        </w:rPr>
        <w:t>grades</w:t>
      </w:r>
      <w:r w:rsidR="001A3FA1" w:rsidRPr="2B19DCB6">
        <w:rPr>
          <w:rFonts w:ascii="Aptos" w:eastAsia="Aptos" w:hAnsi="Aptos" w:cs="Aptos"/>
        </w:rPr>
        <w:t xml:space="preserve"> described above, the Company is considering</w:t>
      </w:r>
      <w:r w:rsidR="001A3FA1">
        <w:rPr>
          <w:rFonts w:ascii="Aptos" w:eastAsia="Aptos" w:hAnsi="Aptos" w:cs="Aptos"/>
        </w:rPr>
        <w:t xml:space="preserve"> </w:t>
      </w:r>
      <w:r w:rsidR="00D55237">
        <w:rPr>
          <w:rFonts w:ascii="Aptos" w:eastAsia="Aptos" w:hAnsi="Aptos" w:cs="Aptos"/>
        </w:rPr>
        <w:t>an option</w:t>
      </w:r>
      <w:r w:rsidR="001A3FA1">
        <w:rPr>
          <w:rFonts w:ascii="Aptos" w:eastAsia="Aptos" w:hAnsi="Aptos" w:cs="Aptos"/>
        </w:rPr>
        <w:t xml:space="preserve"> </w:t>
      </w:r>
      <w:r w:rsidR="005D6B51">
        <w:rPr>
          <w:rFonts w:ascii="Aptos" w:eastAsia="Aptos" w:hAnsi="Aptos" w:cs="Aptos"/>
        </w:rPr>
        <w:t xml:space="preserve">for </w:t>
      </w:r>
      <w:r w:rsidR="001A3FA1">
        <w:rPr>
          <w:rFonts w:ascii="Aptos" w:eastAsia="Aptos" w:hAnsi="Aptos" w:cs="Aptos"/>
        </w:rPr>
        <w:t xml:space="preserve">Vogtle Units 1-2 </w:t>
      </w:r>
      <w:r w:rsidR="00D55237">
        <w:rPr>
          <w:rFonts w:ascii="Aptos" w:eastAsia="Aptos" w:hAnsi="Aptos" w:cs="Aptos"/>
        </w:rPr>
        <w:t>that would transition the outage window to a 24-month cycle</w:t>
      </w:r>
      <w:r w:rsidR="00D55237" w:rsidRPr="2B19DCB6">
        <w:rPr>
          <w:rFonts w:ascii="Aptos" w:eastAsia="Aptos" w:hAnsi="Aptos" w:cs="Aptos"/>
        </w:rPr>
        <w:t>.</w:t>
      </w:r>
      <w:r w:rsidR="00D55237">
        <w:rPr>
          <w:rFonts w:ascii="Aptos" w:eastAsia="Aptos" w:hAnsi="Aptos" w:cs="Aptos"/>
        </w:rPr>
        <w:t xml:space="preserve"> This upgrade would extend unit runtimes and decrease the number of refueling outages across the fleet.</w:t>
      </w:r>
    </w:p>
    <w:p w14:paraId="0E70FEEF" w14:textId="5ADF224B" w:rsidR="00892B44" w:rsidRPr="00D87017" w:rsidRDefault="00892B44" w:rsidP="00D87017">
      <w:pPr>
        <w:jc w:val="center"/>
        <w:rPr>
          <w:i/>
          <w:iCs/>
        </w:rPr>
      </w:pPr>
      <w:r w:rsidRPr="00D87017">
        <w:rPr>
          <w:i/>
          <w:iCs/>
        </w:rPr>
        <w:t xml:space="preserve">Table </w:t>
      </w:r>
      <w:r w:rsidR="00545B58" w:rsidRPr="00D87017">
        <w:rPr>
          <w:i/>
        </w:rPr>
        <w:t>8</w:t>
      </w:r>
      <w:r w:rsidR="00E7163D" w:rsidRPr="00D87017">
        <w:rPr>
          <w:i/>
        </w:rPr>
        <w:t>.4</w:t>
      </w:r>
      <w:r w:rsidRPr="00D87017">
        <w:rPr>
          <w:i/>
          <w:iCs/>
        </w:rPr>
        <w:t>:</w:t>
      </w:r>
      <w:r w:rsidR="00D87017" w:rsidRPr="00D87017">
        <w:rPr>
          <w:i/>
          <w:iCs/>
        </w:rPr>
        <w:t xml:space="preserve"> </w:t>
      </w:r>
      <w:r w:rsidR="004F454D">
        <w:rPr>
          <w:i/>
          <w:iCs/>
        </w:rPr>
        <w:t>Projected</w:t>
      </w:r>
      <w:r w:rsidR="00D87017" w:rsidRPr="00D87017">
        <w:rPr>
          <w:i/>
          <w:iCs/>
        </w:rPr>
        <w:t xml:space="preserve"> Nuclear </w:t>
      </w:r>
      <w:r w:rsidR="00D72087">
        <w:rPr>
          <w:i/>
          <w:iCs/>
        </w:rPr>
        <w:t>Upgrade</w:t>
      </w:r>
      <w:r w:rsidR="00D87017" w:rsidRPr="00D87017">
        <w:rPr>
          <w:i/>
          <w:iCs/>
        </w:rPr>
        <w:t xml:space="preserve"> Schedule</w:t>
      </w:r>
      <w:r w:rsidR="00175422">
        <w:rPr>
          <w:i/>
          <w:iCs/>
        </w:rPr>
        <w:t xml:space="preserve"> (MW)</w:t>
      </w:r>
    </w:p>
    <w:tbl>
      <w:tblPr>
        <w:tblW w:w="90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80"/>
        <w:gridCol w:w="720"/>
        <w:gridCol w:w="720"/>
        <w:gridCol w:w="720"/>
        <w:gridCol w:w="720"/>
        <w:gridCol w:w="720"/>
        <w:gridCol w:w="720"/>
        <w:gridCol w:w="720"/>
        <w:gridCol w:w="720"/>
        <w:gridCol w:w="720"/>
      </w:tblGrid>
      <w:tr w:rsidR="0090689F" w:rsidRPr="0090689F" w14:paraId="277EDD33" w14:textId="77777777" w:rsidTr="53A28DF6">
        <w:trPr>
          <w:trHeight w:val="300"/>
        </w:trPr>
        <w:tc>
          <w:tcPr>
            <w:tcW w:w="2580" w:type="dxa"/>
            <w:tcBorders>
              <w:top w:val="nil"/>
              <w:left w:val="nil"/>
              <w:bottom w:val="single" w:sz="6" w:space="0" w:color="auto"/>
              <w:right w:val="nil"/>
            </w:tcBorders>
            <w:shd w:val="clear" w:color="auto" w:fill="FFFFFF" w:themeFill="background1"/>
            <w:vAlign w:val="center"/>
            <w:hideMark/>
          </w:tcPr>
          <w:p w14:paraId="2655A455" w14:textId="1D017709" w:rsidR="0090689F" w:rsidRPr="00D87017" w:rsidRDefault="00E91CB0" w:rsidP="002C099C">
            <w:pPr>
              <w:spacing w:after="0" w:line="240" w:lineRule="auto"/>
            </w:pPr>
            <w:r>
              <w:t>Calendar Year</w:t>
            </w:r>
            <w:r w:rsidR="0090689F" w:rsidRPr="00D87017">
              <w:t xml:space="preserve"> </w:t>
            </w:r>
          </w:p>
        </w:tc>
        <w:tc>
          <w:tcPr>
            <w:tcW w:w="720" w:type="dxa"/>
            <w:tcBorders>
              <w:top w:val="nil"/>
              <w:left w:val="nil"/>
              <w:bottom w:val="single" w:sz="6" w:space="0" w:color="auto"/>
              <w:right w:val="nil"/>
            </w:tcBorders>
            <w:shd w:val="clear" w:color="auto" w:fill="FFFFFF" w:themeFill="background1"/>
            <w:vAlign w:val="center"/>
            <w:hideMark/>
          </w:tcPr>
          <w:p w14:paraId="3E8E1CB5" w14:textId="6FFAA5DC" w:rsidR="0090689F" w:rsidRPr="00D87017" w:rsidRDefault="0090689F" w:rsidP="002C099C">
            <w:pPr>
              <w:spacing w:after="0" w:line="240" w:lineRule="auto"/>
              <w:jc w:val="center"/>
            </w:pPr>
            <w:r w:rsidRPr="00D87017">
              <w:t>2026</w:t>
            </w:r>
          </w:p>
        </w:tc>
        <w:tc>
          <w:tcPr>
            <w:tcW w:w="720" w:type="dxa"/>
            <w:tcBorders>
              <w:top w:val="nil"/>
              <w:left w:val="nil"/>
              <w:bottom w:val="single" w:sz="6" w:space="0" w:color="auto"/>
              <w:right w:val="nil"/>
            </w:tcBorders>
            <w:shd w:val="clear" w:color="auto" w:fill="FFFFFF" w:themeFill="background1"/>
            <w:vAlign w:val="center"/>
            <w:hideMark/>
          </w:tcPr>
          <w:p w14:paraId="6CF01EB2" w14:textId="7DB9E287" w:rsidR="0090689F" w:rsidRPr="00D87017" w:rsidRDefault="0090689F" w:rsidP="002C099C">
            <w:pPr>
              <w:spacing w:after="0" w:line="240" w:lineRule="auto"/>
              <w:jc w:val="center"/>
            </w:pPr>
            <w:r w:rsidRPr="00D87017">
              <w:t>2027</w:t>
            </w:r>
          </w:p>
        </w:tc>
        <w:tc>
          <w:tcPr>
            <w:tcW w:w="720" w:type="dxa"/>
            <w:tcBorders>
              <w:top w:val="nil"/>
              <w:left w:val="nil"/>
              <w:bottom w:val="single" w:sz="6" w:space="0" w:color="auto"/>
              <w:right w:val="nil"/>
            </w:tcBorders>
            <w:shd w:val="clear" w:color="auto" w:fill="FFFFFF" w:themeFill="background1"/>
            <w:vAlign w:val="center"/>
            <w:hideMark/>
          </w:tcPr>
          <w:p w14:paraId="52D695CA" w14:textId="5F344DC0" w:rsidR="0090689F" w:rsidRPr="00D87017" w:rsidRDefault="0090689F" w:rsidP="002C099C">
            <w:pPr>
              <w:spacing w:after="0" w:line="240" w:lineRule="auto"/>
              <w:jc w:val="center"/>
            </w:pPr>
            <w:r w:rsidRPr="00D87017">
              <w:t>2028</w:t>
            </w:r>
          </w:p>
        </w:tc>
        <w:tc>
          <w:tcPr>
            <w:tcW w:w="720" w:type="dxa"/>
            <w:tcBorders>
              <w:top w:val="nil"/>
              <w:left w:val="nil"/>
              <w:bottom w:val="single" w:sz="6" w:space="0" w:color="auto"/>
              <w:right w:val="nil"/>
            </w:tcBorders>
            <w:shd w:val="clear" w:color="auto" w:fill="FFFFFF" w:themeFill="background1"/>
            <w:vAlign w:val="center"/>
            <w:hideMark/>
          </w:tcPr>
          <w:p w14:paraId="0D3D3B6E" w14:textId="7497B090" w:rsidR="0090689F" w:rsidRPr="00D87017" w:rsidRDefault="0090689F" w:rsidP="002C099C">
            <w:pPr>
              <w:spacing w:after="0" w:line="240" w:lineRule="auto"/>
              <w:jc w:val="center"/>
            </w:pPr>
            <w:r w:rsidRPr="00D87017">
              <w:t>2029</w:t>
            </w:r>
          </w:p>
        </w:tc>
        <w:tc>
          <w:tcPr>
            <w:tcW w:w="720" w:type="dxa"/>
            <w:tcBorders>
              <w:top w:val="nil"/>
              <w:left w:val="nil"/>
              <w:bottom w:val="single" w:sz="6" w:space="0" w:color="auto"/>
              <w:right w:val="nil"/>
            </w:tcBorders>
            <w:shd w:val="clear" w:color="auto" w:fill="FFFFFF" w:themeFill="background1"/>
            <w:vAlign w:val="center"/>
            <w:hideMark/>
          </w:tcPr>
          <w:p w14:paraId="011DA4A9" w14:textId="7A5D8124" w:rsidR="0090689F" w:rsidRPr="00D87017" w:rsidRDefault="0090689F" w:rsidP="002C099C">
            <w:pPr>
              <w:spacing w:after="0" w:line="240" w:lineRule="auto"/>
              <w:jc w:val="center"/>
            </w:pPr>
            <w:r w:rsidRPr="00D87017">
              <w:t>2030</w:t>
            </w:r>
          </w:p>
        </w:tc>
        <w:tc>
          <w:tcPr>
            <w:tcW w:w="720" w:type="dxa"/>
            <w:tcBorders>
              <w:top w:val="nil"/>
              <w:left w:val="nil"/>
              <w:bottom w:val="single" w:sz="6" w:space="0" w:color="auto"/>
              <w:right w:val="nil"/>
            </w:tcBorders>
            <w:shd w:val="clear" w:color="auto" w:fill="FFFFFF" w:themeFill="background1"/>
            <w:vAlign w:val="center"/>
            <w:hideMark/>
          </w:tcPr>
          <w:p w14:paraId="694295A0" w14:textId="70303398" w:rsidR="0090689F" w:rsidRPr="00D87017" w:rsidRDefault="0090689F" w:rsidP="002C099C">
            <w:pPr>
              <w:spacing w:after="0" w:line="240" w:lineRule="auto"/>
              <w:jc w:val="center"/>
            </w:pPr>
            <w:r w:rsidRPr="00D87017">
              <w:t>2031</w:t>
            </w:r>
          </w:p>
        </w:tc>
        <w:tc>
          <w:tcPr>
            <w:tcW w:w="720" w:type="dxa"/>
            <w:tcBorders>
              <w:top w:val="nil"/>
              <w:left w:val="nil"/>
              <w:bottom w:val="single" w:sz="6" w:space="0" w:color="auto"/>
              <w:right w:val="nil"/>
            </w:tcBorders>
            <w:shd w:val="clear" w:color="auto" w:fill="FFFFFF" w:themeFill="background1"/>
            <w:vAlign w:val="center"/>
            <w:hideMark/>
          </w:tcPr>
          <w:p w14:paraId="3A72F7BD" w14:textId="04382F41" w:rsidR="0090689F" w:rsidRPr="00D87017" w:rsidRDefault="0090689F" w:rsidP="002C099C">
            <w:pPr>
              <w:spacing w:after="0" w:line="240" w:lineRule="auto"/>
              <w:jc w:val="center"/>
            </w:pPr>
            <w:r w:rsidRPr="00D87017">
              <w:t>2032</w:t>
            </w:r>
          </w:p>
        </w:tc>
        <w:tc>
          <w:tcPr>
            <w:tcW w:w="720" w:type="dxa"/>
            <w:tcBorders>
              <w:top w:val="nil"/>
              <w:left w:val="nil"/>
              <w:bottom w:val="single" w:sz="6" w:space="0" w:color="auto"/>
              <w:right w:val="nil"/>
            </w:tcBorders>
            <w:shd w:val="clear" w:color="auto" w:fill="FFFFFF" w:themeFill="background1"/>
            <w:vAlign w:val="center"/>
            <w:hideMark/>
          </w:tcPr>
          <w:p w14:paraId="6796E014" w14:textId="7A798CC7" w:rsidR="0090689F" w:rsidRPr="00D87017" w:rsidRDefault="0090689F" w:rsidP="002C099C">
            <w:pPr>
              <w:spacing w:after="0" w:line="240" w:lineRule="auto"/>
              <w:jc w:val="center"/>
            </w:pPr>
            <w:r w:rsidRPr="00D87017">
              <w:t>2033</w:t>
            </w:r>
          </w:p>
        </w:tc>
        <w:tc>
          <w:tcPr>
            <w:tcW w:w="720" w:type="dxa"/>
            <w:tcBorders>
              <w:top w:val="nil"/>
              <w:left w:val="nil"/>
              <w:bottom w:val="single" w:sz="6" w:space="0" w:color="auto"/>
              <w:right w:val="nil"/>
            </w:tcBorders>
            <w:shd w:val="clear" w:color="auto" w:fill="FFFFFF" w:themeFill="background1"/>
            <w:vAlign w:val="center"/>
            <w:hideMark/>
          </w:tcPr>
          <w:p w14:paraId="221F57FA" w14:textId="241AA907" w:rsidR="0090689F" w:rsidRPr="00D87017" w:rsidRDefault="0090689F" w:rsidP="002C099C">
            <w:pPr>
              <w:spacing w:after="0" w:line="240" w:lineRule="auto"/>
              <w:jc w:val="center"/>
            </w:pPr>
            <w:r w:rsidRPr="00D87017">
              <w:t>2034</w:t>
            </w:r>
          </w:p>
        </w:tc>
      </w:tr>
      <w:tr w:rsidR="0090689F" w:rsidRPr="0090689F" w14:paraId="47C989F2" w14:textId="77777777" w:rsidTr="002C099C">
        <w:trPr>
          <w:trHeight w:val="300"/>
        </w:trPr>
        <w:tc>
          <w:tcPr>
            <w:tcW w:w="2580" w:type="dxa"/>
            <w:tcBorders>
              <w:top w:val="single" w:sz="6" w:space="0" w:color="auto"/>
              <w:left w:val="nil"/>
              <w:bottom w:val="nil"/>
              <w:right w:val="nil"/>
            </w:tcBorders>
            <w:shd w:val="clear" w:color="auto" w:fill="FFFFFF" w:themeFill="background1"/>
            <w:vAlign w:val="center"/>
            <w:hideMark/>
          </w:tcPr>
          <w:p w14:paraId="48F8BD07" w14:textId="2E4A7EE7" w:rsidR="0090689F" w:rsidRPr="00D87017" w:rsidRDefault="0090689F" w:rsidP="002C099C">
            <w:pPr>
              <w:spacing w:after="0" w:line="240" w:lineRule="auto"/>
            </w:pPr>
            <w:r w:rsidRPr="00D87017">
              <w:t>Vogtle 1</w:t>
            </w:r>
            <w:r w:rsidR="00D67EE8">
              <w:t>*</w:t>
            </w:r>
            <w:r w:rsidRPr="00D87017">
              <w:t> </w:t>
            </w:r>
          </w:p>
        </w:tc>
        <w:tc>
          <w:tcPr>
            <w:tcW w:w="720" w:type="dxa"/>
            <w:tcBorders>
              <w:top w:val="single" w:sz="6" w:space="0" w:color="auto"/>
              <w:left w:val="nil"/>
              <w:bottom w:val="nil"/>
              <w:right w:val="nil"/>
            </w:tcBorders>
            <w:shd w:val="clear" w:color="auto" w:fill="FFFFFF" w:themeFill="background1"/>
            <w:vAlign w:val="center"/>
            <w:hideMark/>
          </w:tcPr>
          <w:p w14:paraId="097884AC" w14:textId="2DD33967" w:rsidR="0090689F" w:rsidRPr="00D87017" w:rsidRDefault="0090689F" w:rsidP="002C099C">
            <w:pPr>
              <w:spacing w:after="0" w:line="240" w:lineRule="auto"/>
              <w:jc w:val="center"/>
            </w:pPr>
            <w:r w:rsidRPr="00D87017">
              <w:t>0</w:t>
            </w:r>
          </w:p>
        </w:tc>
        <w:tc>
          <w:tcPr>
            <w:tcW w:w="720" w:type="dxa"/>
            <w:tcBorders>
              <w:top w:val="single" w:sz="6" w:space="0" w:color="auto"/>
              <w:left w:val="nil"/>
              <w:bottom w:val="nil"/>
              <w:right w:val="nil"/>
            </w:tcBorders>
            <w:shd w:val="clear" w:color="auto" w:fill="FFFFFF" w:themeFill="background1"/>
            <w:vAlign w:val="center"/>
            <w:hideMark/>
          </w:tcPr>
          <w:p w14:paraId="6F8666C4" w14:textId="1B4DDF50" w:rsidR="0090689F" w:rsidRPr="00D87017" w:rsidRDefault="0090689F" w:rsidP="002C099C">
            <w:pPr>
              <w:spacing w:after="0" w:line="240" w:lineRule="auto"/>
              <w:jc w:val="center"/>
            </w:pPr>
            <w:r w:rsidRPr="00D87017">
              <w:t>0</w:t>
            </w:r>
          </w:p>
        </w:tc>
        <w:tc>
          <w:tcPr>
            <w:tcW w:w="720" w:type="dxa"/>
            <w:tcBorders>
              <w:top w:val="single" w:sz="6" w:space="0" w:color="auto"/>
              <w:left w:val="nil"/>
              <w:bottom w:val="nil"/>
              <w:right w:val="nil"/>
            </w:tcBorders>
            <w:shd w:val="clear" w:color="auto" w:fill="FFFFFF" w:themeFill="background1"/>
            <w:vAlign w:val="center"/>
            <w:hideMark/>
          </w:tcPr>
          <w:p w14:paraId="12215475" w14:textId="157CD110" w:rsidR="0090689F" w:rsidRPr="00D87017" w:rsidRDefault="0090689F" w:rsidP="002C099C">
            <w:pPr>
              <w:spacing w:after="0" w:line="240" w:lineRule="auto"/>
              <w:jc w:val="center"/>
            </w:pPr>
            <w:r w:rsidRPr="00D87017">
              <w:t>0</w:t>
            </w:r>
          </w:p>
        </w:tc>
        <w:tc>
          <w:tcPr>
            <w:tcW w:w="720" w:type="dxa"/>
            <w:tcBorders>
              <w:top w:val="single" w:sz="6" w:space="0" w:color="auto"/>
              <w:left w:val="nil"/>
              <w:bottom w:val="nil"/>
              <w:right w:val="nil"/>
            </w:tcBorders>
            <w:shd w:val="clear" w:color="auto" w:fill="FFFFFF" w:themeFill="background1"/>
            <w:vAlign w:val="center"/>
            <w:hideMark/>
          </w:tcPr>
          <w:p w14:paraId="23B1CBAC" w14:textId="706D13D9" w:rsidR="0090689F" w:rsidRPr="00D87017" w:rsidRDefault="0090689F" w:rsidP="002C099C">
            <w:pPr>
              <w:spacing w:after="0" w:line="240" w:lineRule="auto"/>
              <w:jc w:val="center"/>
            </w:pPr>
            <w:r w:rsidRPr="00D87017">
              <w:t>7</w:t>
            </w:r>
          </w:p>
        </w:tc>
        <w:tc>
          <w:tcPr>
            <w:tcW w:w="720" w:type="dxa"/>
            <w:tcBorders>
              <w:top w:val="single" w:sz="6" w:space="0" w:color="auto"/>
              <w:left w:val="nil"/>
              <w:bottom w:val="nil"/>
              <w:right w:val="nil"/>
            </w:tcBorders>
            <w:shd w:val="clear" w:color="auto" w:fill="FFFFFF" w:themeFill="background1"/>
            <w:vAlign w:val="center"/>
            <w:hideMark/>
          </w:tcPr>
          <w:p w14:paraId="76DF3DAD" w14:textId="239F5F26" w:rsidR="0090689F" w:rsidRPr="00D87017" w:rsidRDefault="0090689F" w:rsidP="002C099C">
            <w:pPr>
              <w:spacing w:after="0" w:line="240" w:lineRule="auto"/>
              <w:jc w:val="center"/>
            </w:pPr>
            <w:r w:rsidRPr="00D87017">
              <w:t>27</w:t>
            </w:r>
          </w:p>
        </w:tc>
        <w:tc>
          <w:tcPr>
            <w:tcW w:w="720" w:type="dxa"/>
            <w:tcBorders>
              <w:top w:val="single" w:sz="6" w:space="0" w:color="auto"/>
              <w:left w:val="nil"/>
              <w:bottom w:val="nil"/>
              <w:right w:val="nil"/>
            </w:tcBorders>
            <w:shd w:val="clear" w:color="auto" w:fill="FFFFFF" w:themeFill="background1"/>
            <w:vAlign w:val="center"/>
            <w:hideMark/>
          </w:tcPr>
          <w:p w14:paraId="6D4E1EE4" w14:textId="3411FD43" w:rsidR="0090689F" w:rsidRPr="00D87017" w:rsidRDefault="0090689F" w:rsidP="002C099C">
            <w:pPr>
              <w:spacing w:after="0" w:line="240" w:lineRule="auto"/>
              <w:jc w:val="center"/>
            </w:pPr>
            <w:r w:rsidRPr="00D87017">
              <w:t>27</w:t>
            </w:r>
          </w:p>
        </w:tc>
        <w:tc>
          <w:tcPr>
            <w:tcW w:w="720" w:type="dxa"/>
            <w:tcBorders>
              <w:top w:val="single" w:sz="6" w:space="0" w:color="auto"/>
              <w:left w:val="nil"/>
              <w:bottom w:val="nil"/>
              <w:right w:val="nil"/>
            </w:tcBorders>
            <w:shd w:val="clear" w:color="auto" w:fill="FFFFFF" w:themeFill="background1"/>
            <w:vAlign w:val="center"/>
            <w:hideMark/>
          </w:tcPr>
          <w:p w14:paraId="6903F335" w14:textId="312DBF9E" w:rsidR="0090689F" w:rsidRPr="00D87017" w:rsidRDefault="0090689F" w:rsidP="002C099C">
            <w:pPr>
              <w:spacing w:after="0" w:line="240" w:lineRule="auto"/>
              <w:jc w:val="center"/>
            </w:pPr>
            <w:r w:rsidRPr="00D87017">
              <w:t>27</w:t>
            </w:r>
          </w:p>
        </w:tc>
        <w:tc>
          <w:tcPr>
            <w:tcW w:w="720" w:type="dxa"/>
            <w:tcBorders>
              <w:top w:val="single" w:sz="6" w:space="0" w:color="auto"/>
              <w:left w:val="nil"/>
              <w:bottom w:val="nil"/>
              <w:right w:val="nil"/>
            </w:tcBorders>
            <w:shd w:val="clear" w:color="auto" w:fill="FFFFFF" w:themeFill="background1"/>
            <w:vAlign w:val="center"/>
            <w:hideMark/>
          </w:tcPr>
          <w:p w14:paraId="57962520" w14:textId="431CE6CA" w:rsidR="0090689F" w:rsidRPr="00D87017" w:rsidRDefault="0090689F" w:rsidP="002C099C">
            <w:pPr>
              <w:spacing w:after="0" w:line="240" w:lineRule="auto"/>
              <w:jc w:val="center"/>
            </w:pPr>
            <w:r w:rsidRPr="00D87017">
              <w:t>27</w:t>
            </w:r>
          </w:p>
        </w:tc>
        <w:tc>
          <w:tcPr>
            <w:tcW w:w="720" w:type="dxa"/>
            <w:tcBorders>
              <w:top w:val="single" w:sz="6" w:space="0" w:color="auto"/>
              <w:left w:val="nil"/>
              <w:bottom w:val="nil"/>
              <w:right w:val="nil"/>
            </w:tcBorders>
            <w:shd w:val="clear" w:color="auto" w:fill="FFFFFF" w:themeFill="background1"/>
            <w:vAlign w:val="center"/>
            <w:hideMark/>
          </w:tcPr>
          <w:p w14:paraId="361B138B" w14:textId="46CEBDC8" w:rsidR="0090689F" w:rsidRPr="00D87017" w:rsidRDefault="0090689F" w:rsidP="002C099C">
            <w:pPr>
              <w:spacing w:after="0" w:line="240" w:lineRule="auto"/>
              <w:jc w:val="center"/>
            </w:pPr>
            <w:r w:rsidRPr="00D87017">
              <w:t>27</w:t>
            </w:r>
          </w:p>
        </w:tc>
      </w:tr>
      <w:tr w:rsidR="0090689F" w:rsidRPr="0090689F" w14:paraId="1AB06BD4" w14:textId="77777777" w:rsidTr="002C099C">
        <w:trPr>
          <w:trHeight w:val="300"/>
        </w:trPr>
        <w:tc>
          <w:tcPr>
            <w:tcW w:w="2580" w:type="dxa"/>
            <w:tcBorders>
              <w:top w:val="nil"/>
              <w:left w:val="nil"/>
              <w:bottom w:val="nil"/>
              <w:right w:val="nil"/>
            </w:tcBorders>
            <w:shd w:val="clear" w:color="auto" w:fill="FFFFFF" w:themeFill="background1"/>
            <w:vAlign w:val="center"/>
            <w:hideMark/>
          </w:tcPr>
          <w:p w14:paraId="19BDE993" w14:textId="44D88CEF" w:rsidR="0090689F" w:rsidRPr="00D87017" w:rsidRDefault="0090689F" w:rsidP="002C099C">
            <w:pPr>
              <w:spacing w:after="0" w:line="240" w:lineRule="auto"/>
            </w:pPr>
            <w:r w:rsidRPr="00D87017">
              <w:t>Vogtle 2</w:t>
            </w:r>
            <w:r w:rsidR="00D67EE8">
              <w:t>*</w:t>
            </w:r>
            <w:r w:rsidRPr="00D87017">
              <w:t> </w:t>
            </w:r>
          </w:p>
        </w:tc>
        <w:tc>
          <w:tcPr>
            <w:tcW w:w="720" w:type="dxa"/>
            <w:tcBorders>
              <w:top w:val="nil"/>
              <w:left w:val="nil"/>
              <w:bottom w:val="nil"/>
              <w:right w:val="nil"/>
            </w:tcBorders>
            <w:shd w:val="clear" w:color="auto" w:fill="FFFFFF" w:themeFill="background1"/>
            <w:vAlign w:val="center"/>
            <w:hideMark/>
          </w:tcPr>
          <w:p w14:paraId="25B66C05" w14:textId="045378CD" w:rsidR="0090689F" w:rsidRPr="00D87017" w:rsidRDefault="0090689F" w:rsidP="002C099C">
            <w:pPr>
              <w:spacing w:after="0" w:line="240" w:lineRule="auto"/>
              <w:jc w:val="center"/>
            </w:pPr>
            <w:r w:rsidRPr="00D87017">
              <w:t>0</w:t>
            </w:r>
          </w:p>
        </w:tc>
        <w:tc>
          <w:tcPr>
            <w:tcW w:w="720" w:type="dxa"/>
            <w:tcBorders>
              <w:top w:val="nil"/>
              <w:left w:val="nil"/>
              <w:bottom w:val="nil"/>
              <w:right w:val="nil"/>
            </w:tcBorders>
            <w:shd w:val="clear" w:color="auto" w:fill="FFFFFF" w:themeFill="background1"/>
            <w:vAlign w:val="center"/>
            <w:hideMark/>
          </w:tcPr>
          <w:p w14:paraId="625AB775" w14:textId="114E0D78" w:rsidR="0090689F" w:rsidRPr="00D87017" w:rsidRDefault="0090689F" w:rsidP="002C099C">
            <w:pPr>
              <w:spacing w:after="0" w:line="240" w:lineRule="auto"/>
              <w:jc w:val="center"/>
            </w:pPr>
            <w:r w:rsidRPr="00D87017">
              <w:t>0</w:t>
            </w:r>
          </w:p>
        </w:tc>
        <w:tc>
          <w:tcPr>
            <w:tcW w:w="720" w:type="dxa"/>
            <w:tcBorders>
              <w:top w:val="nil"/>
              <w:left w:val="nil"/>
              <w:bottom w:val="nil"/>
              <w:right w:val="nil"/>
            </w:tcBorders>
            <w:shd w:val="clear" w:color="auto" w:fill="FFFFFF" w:themeFill="background1"/>
            <w:vAlign w:val="center"/>
            <w:hideMark/>
          </w:tcPr>
          <w:p w14:paraId="4D3CF3D2" w14:textId="7A676286" w:rsidR="0090689F" w:rsidRPr="00D87017" w:rsidRDefault="0090689F" w:rsidP="002C099C">
            <w:pPr>
              <w:spacing w:after="0" w:line="240" w:lineRule="auto"/>
              <w:jc w:val="center"/>
            </w:pPr>
            <w:r w:rsidRPr="00D87017">
              <w:t>7</w:t>
            </w:r>
          </w:p>
        </w:tc>
        <w:tc>
          <w:tcPr>
            <w:tcW w:w="720" w:type="dxa"/>
            <w:tcBorders>
              <w:top w:val="nil"/>
              <w:left w:val="nil"/>
              <w:bottom w:val="nil"/>
              <w:right w:val="nil"/>
            </w:tcBorders>
            <w:shd w:val="clear" w:color="auto" w:fill="FFFFFF" w:themeFill="background1"/>
            <w:vAlign w:val="center"/>
            <w:hideMark/>
          </w:tcPr>
          <w:p w14:paraId="3662A3D8" w14:textId="6B3B95C7" w:rsidR="0090689F" w:rsidRPr="00D87017" w:rsidRDefault="0090689F" w:rsidP="002C099C">
            <w:pPr>
              <w:spacing w:after="0" w:line="240" w:lineRule="auto"/>
              <w:jc w:val="center"/>
            </w:pPr>
            <w:r w:rsidRPr="00D87017">
              <w:t>7</w:t>
            </w:r>
          </w:p>
        </w:tc>
        <w:tc>
          <w:tcPr>
            <w:tcW w:w="720" w:type="dxa"/>
            <w:tcBorders>
              <w:top w:val="nil"/>
              <w:left w:val="nil"/>
              <w:bottom w:val="nil"/>
              <w:right w:val="nil"/>
            </w:tcBorders>
            <w:shd w:val="clear" w:color="auto" w:fill="FFFFFF" w:themeFill="background1"/>
            <w:vAlign w:val="center"/>
            <w:hideMark/>
          </w:tcPr>
          <w:p w14:paraId="0134662C" w14:textId="67EDF118" w:rsidR="0090689F" w:rsidRPr="00D87017" w:rsidRDefault="0090689F" w:rsidP="002C099C">
            <w:pPr>
              <w:spacing w:after="0" w:line="240" w:lineRule="auto"/>
              <w:jc w:val="center"/>
            </w:pPr>
            <w:r w:rsidRPr="00D87017">
              <w:t>7</w:t>
            </w:r>
          </w:p>
        </w:tc>
        <w:tc>
          <w:tcPr>
            <w:tcW w:w="720" w:type="dxa"/>
            <w:tcBorders>
              <w:top w:val="nil"/>
              <w:left w:val="nil"/>
              <w:bottom w:val="nil"/>
              <w:right w:val="nil"/>
            </w:tcBorders>
            <w:shd w:val="clear" w:color="auto" w:fill="FFFFFF" w:themeFill="background1"/>
            <w:vAlign w:val="center"/>
            <w:hideMark/>
          </w:tcPr>
          <w:p w14:paraId="52404B26" w14:textId="2E472506" w:rsidR="0090689F" w:rsidRPr="00D87017" w:rsidRDefault="0090689F" w:rsidP="002C099C">
            <w:pPr>
              <w:spacing w:after="0" w:line="240" w:lineRule="auto"/>
              <w:jc w:val="center"/>
            </w:pPr>
            <w:r w:rsidRPr="00D87017">
              <w:t>27</w:t>
            </w:r>
          </w:p>
        </w:tc>
        <w:tc>
          <w:tcPr>
            <w:tcW w:w="720" w:type="dxa"/>
            <w:tcBorders>
              <w:top w:val="nil"/>
              <w:left w:val="nil"/>
              <w:bottom w:val="nil"/>
              <w:right w:val="nil"/>
            </w:tcBorders>
            <w:shd w:val="clear" w:color="auto" w:fill="FFFFFF" w:themeFill="background1"/>
            <w:vAlign w:val="center"/>
            <w:hideMark/>
          </w:tcPr>
          <w:p w14:paraId="078FCE3F" w14:textId="7A6421F4" w:rsidR="0090689F" w:rsidRPr="00D87017" w:rsidRDefault="0090689F" w:rsidP="002C099C">
            <w:pPr>
              <w:spacing w:after="0" w:line="240" w:lineRule="auto"/>
              <w:jc w:val="center"/>
            </w:pPr>
            <w:r w:rsidRPr="00D87017">
              <w:t>27</w:t>
            </w:r>
          </w:p>
        </w:tc>
        <w:tc>
          <w:tcPr>
            <w:tcW w:w="720" w:type="dxa"/>
            <w:tcBorders>
              <w:top w:val="nil"/>
              <w:left w:val="nil"/>
              <w:bottom w:val="nil"/>
              <w:right w:val="nil"/>
            </w:tcBorders>
            <w:shd w:val="clear" w:color="auto" w:fill="FFFFFF" w:themeFill="background1"/>
            <w:vAlign w:val="center"/>
            <w:hideMark/>
          </w:tcPr>
          <w:p w14:paraId="32E7F2DF" w14:textId="6E77987B" w:rsidR="0090689F" w:rsidRPr="00D87017" w:rsidRDefault="0090689F" w:rsidP="002C099C">
            <w:pPr>
              <w:spacing w:after="0" w:line="240" w:lineRule="auto"/>
              <w:jc w:val="center"/>
            </w:pPr>
            <w:r w:rsidRPr="00D87017">
              <w:t>27</w:t>
            </w:r>
          </w:p>
        </w:tc>
        <w:tc>
          <w:tcPr>
            <w:tcW w:w="720" w:type="dxa"/>
            <w:tcBorders>
              <w:top w:val="nil"/>
              <w:left w:val="nil"/>
              <w:bottom w:val="nil"/>
              <w:right w:val="nil"/>
            </w:tcBorders>
            <w:shd w:val="clear" w:color="auto" w:fill="FFFFFF" w:themeFill="background1"/>
            <w:vAlign w:val="center"/>
            <w:hideMark/>
          </w:tcPr>
          <w:p w14:paraId="075D2065" w14:textId="7D2196D9" w:rsidR="0090689F" w:rsidRPr="00D87017" w:rsidRDefault="0090689F" w:rsidP="002C099C">
            <w:pPr>
              <w:spacing w:after="0" w:line="240" w:lineRule="auto"/>
              <w:jc w:val="center"/>
            </w:pPr>
            <w:r w:rsidRPr="00D87017">
              <w:t>27</w:t>
            </w:r>
          </w:p>
        </w:tc>
      </w:tr>
      <w:tr w:rsidR="0090689F" w:rsidRPr="0090689F" w14:paraId="648FDE60" w14:textId="77777777" w:rsidTr="002C099C">
        <w:trPr>
          <w:trHeight w:val="300"/>
        </w:trPr>
        <w:tc>
          <w:tcPr>
            <w:tcW w:w="2580" w:type="dxa"/>
            <w:tcBorders>
              <w:top w:val="nil"/>
              <w:left w:val="nil"/>
              <w:bottom w:val="nil"/>
              <w:right w:val="nil"/>
            </w:tcBorders>
            <w:shd w:val="clear" w:color="auto" w:fill="FFFFFF" w:themeFill="background1"/>
            <w:vAlign w:val="center"/>
            <w:hideMark/>
          </w:tcPr>
          <w:p w14:paraId="060B80AC" w14:textId="77777777" w:rsidR="0090689F" w:rsidRPr="00D87017" w:rsidRDefault="0090689F" w:rsidP="002C099C">
            <w:pPr>
              <w:spacing w:after="0" w:line="240" w:lineRule="auto"/>
            </w:pPr>
            <w:r w:rsidRPr="00D87017">
              <w:t>Hatch 1 </w:t>
            </w:r>
          </w:p>
        </w:tc>
        <w:tc>
          <w:tcPr>
            <w:tcW w:w="720" w:type="dxa"/>
            <w:tcBorders>
              <w:top w:val="nil"/>
              <w:left w:val="nil"/>
              <w:bottom w:val="nil"/>
              <w:right w:val="nil"/>
            </w:tcBorders>
            <w:shd w:val="clear" w:color="auto" w:fill="FFFFFF" w:themeFill="background1"/>
            <w:vAlign w:val="center"/>
            <w:hideMark/>
          </w:tcPr>
          <w:p w14:paraId="0253EECD" w14:textId="0CA4FFE4" w:rsidR="0090689F" w:rsidRPr="00D87017" w:rsidRDefault="0090689F" w:rsidP="002C099C">
            <w:pPr>
              <w:spacing w:after="0" w:line="240" w:lineRule="auto"/>
              <w:jc w:val="center"/>
            </w:pPr>
            <w:r w:rsidRPr="00D87017">
              <w:t>0</w:t>
            </w:r>
          </w:p>
        </w:tc>
        <w:tc>
          <w:tcPr>
            <w:tcW w:w="720" w:type="dxa"/>
            <w:tcBorders>
              <w:top w:val="nil"/>
              <w:left w:val="nil"/>
              <w:bottom w:val="nil"/>
              <w:right w:val="nil"/>
            </w:tcBorders>
            <w:shd w:val="clear" w:color="auto" w:fill="FFFFFF" w:themeFill="background1"/>
            <w:vAlign w:val="center"/>
            <w:hideMark/>
          </w:tcPr>
          <w:p w14:paraId="68FCD74E" w14:textId="30F98773" w:rsidR="0090689F" w:rsidRPr="00D87017" w:rsidRDefault="0090689F" w:rsidP="002C099C">
            <w:pPr>
              <w:spacing w:after="0" w:line="240" w:lineRule="auto"/>
              <w:jc w:val="center"/>
            </w:pPr>
            <w:r w:rsidRPr="00D87017">
              <w:t>0</w:t>
            </w:r>
          </w:p>
        </w:tc>
        <w:tc>
          <w:tcPr>
            <w:tcW w:w="720" w:type="dxa"/>
            <w:tcBorders>
              <w:top w:val="nil"/>
              <w:left w:val="nil"/>
              <w:bottom w:val="nil"/>
              <w:right w:val="nil"/>
            </w:tcBorders>
            <w:shd w:val="clear" w:color="auto" w:fill="FFFFFF" w:themeFill="background1"/>
            <w:vAlign w:val="center"/>
            <w:hideMark/>
          </w:tcPr>
          <w:p w14:paraId="46DCCB51" w14:textId="6FCE1467" w:rsidR="0090689F" w:rsidRPr="00D87017" w:rsidRDefault="0090689F" w:rsidP="002C099C">
            <w:pPr>
              <w:spacing w:after="0" w:line="240" w:lineRule="auto"/>
              <w:jc w:val="center"/>
            </w:pPr>
            <w:r w:rsidRPr="00D87017">
              <w:t>0</w:t>
            </w:r>
          </w:p>
        </w:tc>
        <w:tc>
          <w:tcPr>
            <w:tcW w:w="720" w:type="dxa"/>
            <w:tcBorders>
              <w:top w:val="nil"/>
              <w:left w:val="nil"/>
              <w:bottom w:val="nil"/>
              <w:right w:val="nil"/>
            </w:tcBorders>
            <w:shd w:val="clear" w:color="auto" w:fill="FFFFFF" w:themeFill="background1"/>
            <w:vAlign w:val="center"/>
            <w:hideMark/>
          </w:tcPr>
          <w:p w14:paraId="1F70B633" w14:textId="4FF19426" w:rsidR="0090689F" w:rsidRPr="00D87017" w:rsidRDefault="0090689F" w:rsidP="002C099C">
            <w:pPr>
              <w:spacing w:after="0" w:line="240" w:lineRule="auto"/>
              <w:jc w:val="center"/>
            </w:pPr>
            <w:r w:rsidRPr="00D87017">
              <w:t>0</w:t>
            </w:r>
          </w:p>
        </w:tc>
        <w:tc>
          <w:tcPr>
            <w:tcW w:w="720" w:type="dxa"/>
            <w:tcBorders>
              <w:top w:val="nil"/>
              <w:left w:val="nil"/>
              <w:bottom w:val="nil"/>
              <w:right w:val="nil"/>
            </w:tcBorders>
            <w:shd w:val="clear" w:color="auto" w:fill="FFFFFF" w:themeFill="background1"/>
            <w:vAlign w:val="center"/>
            <w:hideMark/>
          </w:tcPr>
          <w:p w14:paraId="420A78DA" w14:textId="01CD62D4" w:rsidR="0090689F" w:rsidRPr="00D87017" w:rsidRDefault="0090689F" w:rsidP="002C099C">
            <w:pPr>
              <w:spacing w:after="0" w:line="240" w:lineRule="auto"/>
              <w:jc w:val="center"/>
            </w:pPr>
            <w:r w:rsidRPr="00D87017">
              <w:t>30</w:t>
            </w:r>
          </w:p>
        </w:tc>
        <w:tc>
          <w:tcPr>
            <w:tcW w:w="720" w:type="dxa"/>
            <w:tcBorders>
              <w:top w:val="nil"/>
              <w:left w:val="nil"/>
              <w:bottom w:val="nil"/>
              <w:right w:val="nil"/>
            </w:tcBorders>
            <w:shd w:val="clear" w:color="auto" w:fill="FFFFFF" w:themeFill="background1"/>
            <w:vAlign w:val="center"/>
            <w:hideMark/>
          </w:tcPr>
          <w:p w14:paraId="26CB111F" w14:textId="3F551D82" w:rsidR="0090689F" w:rsidRPr="00D87017" w:rsidRDefault="0090689F" w:rsidP="002C099C">
            <w:pPr>
              <w:spacing w:after="0" w:line="240" w:lineRule="auto"/>
              <w:jc w:val="center"/>
            </w:pPr>
            <w:r w:rsidRPr="00D87017">
              <w:t>30</w:t>
            </w:r>
          </w:p>
        </w:tc>
        <w:tc>
          <w:tcPr>
            <w:tcW w:w="720" w:type="dxa"/>
            <w:tcBorders>
              <w:top w:val="nil"/>
              <w:left w:val="nil"/>
              <w:bottom w:val="nil"/>
              <w:right w:val="nil"/>
            </w:tcBorders>
            <w:shd w:val="clear" w:color="auto" w:fill="FFFFFF" w:themeFill="background1"/>
            <w:vAlign w:val="center"/>
            <w:hideMark/>
          </w:tcPr>
          <w:p w14:paraId="575CA881" w14:textId="3F59CA70" w:rsidR="0090689F" w:rsidRPr="00D87017" w:rsidRDefault="0090689F" w:rsidP="002C099C">
            <w:pPr>
              <w:spacing w:after="0" w:line="240" w:lineRule="auto"/>
              <w:jc w:val="center"/>
            </w:pPr>
            <w:r w:rsidRPr="00D87017">
              <w:t>30</w:t>
            </w:r>
          </w:p>
        </w:tc>
        <w:tc>
          <w:tcPr>
            <w:tcW w:w="720" w:type="dxa"/>
            <w:tcBorders>
              <w:top w:val="nil"/>
              <w:left w:val="nil"/>
              <w:bottom w:val="nil"/>
              <w:right w:val="nil"/>
            </w:tcBorders>
            <w:shd w:val="clear" w:color="auto" w:fill="FFFFFF" w:themeFill="background1"/>
            <w:vAlign w:val="center"/>
            <w:hideMark/>
          </w:tcPr>
          <w:p w14:paraId="18B93954" w14:textId="72B7FCBB" w:rsidR="0090689F" w:rsidRPr="00D87017" w:rsidRDefault="0090689F" w:rsidP="002C099C">
            <w:pPr>
              <w:spacing w:after="0" w:line="240" w:lineRule="auto"/>
              <w:jc w:val="center"/>
            </w:pPr>
            <w:r w:rsidRPr="00D87017">
              <w:t>30</w:t>
            </w:r>
          </w:p>
        </w:tc>
        <w:tc>
          <w:tcPr>
            <w:tcW w:w="720" w:type="dxa"/>
            <w:tcBorders>
              <w:top w:val="nil"/>
              <w:left w:val="nil"/>
              <w:bottom w:val="nil"/>
              <w:right w:val="nil"/>
            </w:tcBorders>
            <w:shd w:val="clear" w:color="auto" w:fill="FFFFFF" w:themeFill="background1"/>
            <w:vAlign w:val="center"/>
            <w:hideMark/>
          </w:tcPr>
          <w:p w14:paraId="14D9048A" w14:textId="17678E2B" w:rsidR="0090689F" w:rsidRPr="00D87017" w:rsidRDefault="0090689F" w:rsidP="002C099C">
            <w:pPr>
              <w:spacing w:after="0" w:line="240" w:lineRule="auto"/>
              <w:jc w:val="center"/>
            </w:pPr>
            <w:r w:rsidRPr="00D87017">
              <w:t>30</w:t>
            </w:r>
          </w:p>
        </w:tc>
      </w:tr>
      <w:tr w:rsidR="0090689F" w:rsidRPr="0090689F" w14:paraId="0B870CD2" w14:textId="77777777" w:rsidTr="002C099C">
        <w:trPr>
          <w:trHeight w:val="300"/>
        </w:trPr>
        <w:tc>
          <w:tcPr>
            <w:tcW w:w="2580" w:type="dxa"/>
            <w:tcBorders>
              <w:top w:val="nil"/>
              <w:left w:val="nil"/>
              <w:bottom w:val="nil"/>
              <w:right w:val="nil"/>
            </w:tcBorders>
            <w:shd w:val="clear" w:color="auto" w:fill="FFFFFF" w:themeFill="background1"/>
            <w:vAlign w:val="center"/>
            <w:hideMark/>
          </w:tcPr>
          <w:p w14:paraId="7E52E436" w14:textId="77777777" w:rsidR="0090689F" w:rsidRPr="00D87017" w:rsidRDefault="0090689F" w:rsidP="002C099C">
            <w:pPr>
              <w:spacing w:after="0" w:line="240" w:lineRule="auto"/>
            </w:pPr>
            <w:r w:rsidRPr="00D87017">
              <w:t>Hatch 2 </w:t>
            </w:r>
          </w:p>
        </w:tc>
        <w:tc>
          <w:tcPr>
            <w:tcW w:w="720" w:type="dxa"/>
            <w:tcBorders>
              <w:top w:val="nil"/>
              <w:left w:val="nil"/>
              <w:bottom w:val="nil"/>
              <w:right w:val="nil"/>
            </w:tcBorders>
            <w:shd w:val="clear" w:color="auto" w:fill="FFFFFF" w:themeFill="background1"/>
            <w:vAlign w:val="center"/>
            <w:hideMark/>
          </w:tcPr>
          <w:p w14:paraId="4D09D591" w14:textId="7AC5C163" w:rsidR="0090689F" w:rsidRPr="00D87017" w:rsidRDefault="0090689F" w:rsidP="002C099C">
            <w:pPr>
              <w:spacing w:after="0" w:line="240" w:lineRule="auto"/>
              <w:jc w:val="center"/>
            </w:pPr>
            <w:r w:rsidRPr="00D87017">
              <w:t>0</w:t>
            </w:r>
          </w:p>
        </w:tc>
        <w:tc>
          <w:tcPr>
            <w:tcW w:w="720" w:type="dxa"/>
            <w:tcBorders>
              <w:top w:val="nil"/>
              <w:left w:val="nil"/>
              <w:bottom w:val="nil"/>
              <w:right w:val="nil"/>
            </w:tcBorders>
            <w:shd w:val="clear" w:color="auto" w:fill="FFFFFF" w:themeFill="background1"/>
            <w:vAlign w:val="center"/>
            <w:hideMark/>
          </w:tcPr>
          <w:p w14:paraId="0D52EF86" w14:textId="0F98F4E5" w:rsidR="0090689F" w:rsidRPr="00D87017" w:rsidRDefault="0090689F" w:rsidP="002C099C">
            <w:pPr>
              <w:spacing w:after="0" w:line="240" w:lineRule="auto"/>
              <w:jc w:val="center"/>
            </w:pPr>
            <w:r w:rsidRPr="00D87017">
              <w:t>0</w:t>
            </w:r>
          </w:p>
        </w:tc>
        <w:tc>
          <w:tcPr>
            <w:tcW w:w="720" w:type="dxa"/>
            <w:tcBorders>
              <w:top w:val="nil"/>
              <w:left w:val="nil"/>
              <w:bottom w:val="nil"/>
              <w:right w:val="nil"/>
            </w:tcBorders>
            <w:shd w:val="clear" w:color="auto" w:fill="FFFFFF" w:themeFill="background1"/>
            <w:vAlign w:val="center"/>
            <w:hideMark/>
          </w:tcPr>
          <w:p w14:paraId="41BBA4F9" w14:textId="79F7A777" w:rsidR="0090689F" w:rsidRPr="00D87017" w:rsidRDefault="0090689F" w:rsidP="002C099C">
            <w:pPr>
              <w:spacing w:after="0" w:line="240" w:lineRule="auto"/>
              <w:jc w:val="center"/>
            </w:pPr>
            <w:r w:rsidRPr="00D87017">
              <w:t>0</w:t>
            </w:r>
          </w:p>
        </w:tc>
        <w:tc>
          <w:tcPr>
            <w:tcW w:w="720" w:type="dxa"/>
            <w:tcBorders>
              <w:top w:val="nil"/>
              <w:left w:val="nil"/>
              <w:bottom w:val="nil"/>
              <w:right w:val="nil"/>
            </w:tcBorders>
            <w:shd w:val="clear" w:color="auto" w:fill="FFFFFF" w:themeFill="background1"/>
            <w:vAlign w:val="center"/>
            <w:hideMark/>
          </w:tcPr>
          <w:p w14:paraId="56B4AE43" w14:textId="2CE07BDD" w:rsidR="0090689F" w:rsidRPr="00D87017" w:rsidRDefault="0090689F" w:rsidP="002C099C">
            <w:pPr>
              <w:spacing w:after="0" w:line="240" w:lineRule="auto"/>
              <w:jc w:val="center"/>
            </w:pPr>
            <w:r w:rsidRPr="00D87017">
              <w:t>28</w:t>
            </w:r>
          </w:p>
        </w:tc>
        <w:tc>
          <w:tcPr>
            <w:tcW w:w="720" w:type="dxa"/>
            <w:tcBorders>
              <w:top w:val="nil"/>
              <w:left w:val="nil"/>
              <w:bottom w:val="nil"/>
              <w:right w:val="nil"/>
            </w:tcBorders>
            <w:shd w:val="clear" w:color="auto" w:fill="FFFFFF" w:themeFill="background1"/>
            <w:vAlign w:val="center"/>
            <w:hideMark/>
          </w:tcPr>
          <w:p w14:paraId="6C8E16F4" w14:textId="3AFC9C09" w:rsidR="0090689F" w:rsidRPr="00D87017" w:rsidRDefault="0090689F" w:rsidP="002C099C">
            <w:pPr>
              <w:spacing w:after="0" w:line="240" w:lineRule="auto"/>
              <w:jc w:val="center"/>
            </w:pPr>
            <w:r w:rsidRPr="00D87017">
              <w:t>28</w:t>
            </w:r>
          </w:p>
        </w:tc>
        <w:tc>
          <w:tcPr>
            <w:tcW w:w="720" w:type="dxa"/>
            <w:tcBorders>
              <w:top w:val="nil"/>
              <w:left w:val="nil"/>
              <w:bottom w:val="nil"/>
              <w:right w:val="nil"/>
            </w:tcBorders>
            <w:shd w:val="clear" w:color="auto" w:fill="FFFFFF" w:themeFill="background1"/>
            <w:vAlign w:val="center"/>
            <w:hideMark/>
          </w:tcPr>
          <w:p w14:paraId="22138DF2" w14:textId="07FADB71" w:rsidR="0090689F" w:rsidRPr="00D87017" w:rsidRDefault="0090689F" w:rsidP="002C099C">
            <w:pPr>
              <w:spacing w:after="0" w:line="240" w:lineRule="auto"/>
              <w:jc w:val="center"/>
            </w:pPr>
            <w:r w:rsidRPr="00D87017">
              <w:t>28</w:t>
            </w:r>
          </w:p>
        </w:tc>
        <w:tc>
          <w:tcPr>
            <w:tcW w:w="720" w:type="dxa"/>
            <w:tcBorders>
              <w:top w:val="nil"/>
              <w:left w:val="nil"/>
              <w:bottom w:val="nil"/>
              <w:right w:val="nil"/>
            </w:tcBorders>
            <w:shd w:val="clear" w:color="auto" w:fill="FFFFFF" w:themeFill="background1"/>
            <w:vAlign w:val="center"/>
            <w:hideMark/>
          </w:tcPr>
          <w:p w14:paraId="633947C4" w14:textId="3DC12D2E" w:rsidR="0090689F" w:rsidRPr="00D87017" w:rsidRDefault="0090689F" w:rsidP="002C099C">
            <w:pPr>
              <w:spacing w:after="0" w:line="240" w:lineRule="auto"/>
              <w:jc w:val="center"/>
            </w:pPr>
            <w:r w:rsidRPr="00D87017">
              <w:t>28</w:t>
            </w:r>
          </w:p>
        </w:tc>
        <w:tc>
          <w:tcPr>
            <w:tcW w:w="720" w:type="dxa"/>
            <w:tcBorders>
              <w:top w:val="nil"/>
              <w:left w:val="nil"/>
              <w:bottom w:val="nil"/>
              <w:right w:val="nil"/>
            </w:tcBorders>
            <w:shd w:val="clear" w:color="auto" w:fill="FFFFFF" w:themeFill="background1"/>
            <w:vAlign w:val="center"/>
            <w:hideMark/>
          </w:tcPr>
          <w:p w14:paraId="278315A7" w14:textId="36EF2137" w:rsidR="0090689F" w:rsidRPr="00D87017" w:rsidRDefault="0090689F" w:rsidP="002C099C">
            <w:pPr>
              <w:spacing w:after="0" w:line="240" w:lineRule="auto"/>
              <w:jc w:val="center"/>
            </w:pPr>
            <w:r w:rsidRPr="00D87017">
              <w:t>28</w:t>
            </w:r>
          </w:p>
        </w:tc>
        <w:tc>
          <w:tcPr>
            <w:tcW w:w="720" w:type="dxa"/>
            <w:tcBorders>
              <w:top w:val="nil"/>
              <w:left w:val="nil"/>
              <w:bottom w:val="nil"/>
              <w:right w:val="nil"/>
            </w:tcBorders>
            <w:shd w:val="clear" w:color="auto" w:fill="FFFFFF" w:themeFill="background1"/>
            <w:vAlign w:val="center"/>
            <w:hideMark/>
          </w:tcPr>
          <w:p w14:paraId="6AE26D46" w14:textId="0EDA1D37" w:rsidR="0090689F" w:rsidRPr="00D87017" w:rsidRDefault="0090689F" w:rsidP="002C099C">
            <w:pPr>
              <w:spacing w:after="0" w:line="240" w:lineRule="auto"/>
              <w:jc w:val="center"/>
            </w:pPr>
            <w:r w:rsidRPr="00D87017">
              <w:t>28</w:t>
            </w:r>
          </w:p>
        </w:tc>
      </w:tr>
      <w:tr w:rsidR="0090689F" w:rsidRPr="0090689F" w14:paraId="05D3F269" w14:textId="77777777" w:rsidTr="002C099C">
        <w:trPr>
          <w:trHeight w:val="300"/>
        </w:trPr>
        <w:tc>
          <w:tcPr>
            <w:tcW w:w="2580" w:type="dxa"/>
            <w:tcBorders>
              <w:top w:val="single" w:sz="6" w:space="0" w:color="156082" w:themeColor="accent1"/>
              <w:left w:val="nil"/>
              <w:bottom w:val="double" w:sz="6" w:space="0" w:color="156082" w:themeColor="accent1"/>
              <w:right w:val="nil"/>
            </w:tcBorders>
            <w:shd w:val="clear" w:color="auto" w:fill="FFFFFF" w:themeFill="background1"/>
            <w:vAlign w:val="center"/>
            <w:hideMark/>
          </w:tcPr>
          <w:p w14:paraId="57038777" w14:textId="77777777" w:rsidR="0090689F" w:rsidRPr="00D87017" w:rsidRDefault="0090689F" w:rsidP="002C099C">
            <w:pPr>
              <w:spacing w:after="0" w:line="240" w:lineRule="auto"/>
            </w:pPr>
            <w:r w:rsidRPr="00D87017">
              <w:t>Total (GPC Ownership) </w:t>
            </w:r>
          </w:p>
        </w:tc>
        <w:tc>
          <w:tcPr>
            <w:tcW w:w="720" w:type="dxa"/>
            <w:tcBorders>
              <w:top w:val="single" w:sz="6" w:space="0" w:color="156082" w:themeColor="accent1"/>
              <w:left w:val="nil"/>
              <w:bottom w:val="double" w:sz="6" w:space="0" w:color="156082" w:themeColor="accent1"/>
              <w:right w:val="nil"/>
            </w:tcBorders>
            <w:shd w:val="clear" w:color="auto" w:fill="FFFFFF" w:themeFill="background1"/>
            <w:vAlign w:val="center"/>
            <w:hideMark/>
          </w:tcPr>
          <w:p w14:paraId="3D70BC65" w14:textId="609F7F7A" w:rsidR="0090689F" w:rsidRPr="00D87017" w:rsidRDefault="0090689F" w:rsidP="002C099C">
            <w:pPr>
              <w:spacing w:after="0" w:line="240" w:lineRule="auto"/>
              <w:jc w:val="center"/>
            </w:pPr>
            <w:r w:rsidRPr="00D87017">
              <w:t>0</w:t>
            </w:r>
          </w:p>
        </w:tc>
        <w:tc>
          <w:tcPr>
            <w:tcW w:w="720" w:type="dxa"/>
            <w:tcBorders>
              <w:top w:val="single" w:sz="6" w:space="0" w:color="156082" w:themeColor="accent1"/>
              <w:left w:val="nil"/>
              <w:bottom w:val="double" w:sz="6" w:space="0" w:color="156082" w:themeColor="accent1"/>
              <w:right w:val="nil"/>
            </w:tcBorders>
            <w:shd w:val="clear" w:color="auto" w:fill="FFFFFF" w:themeFill="background1"/>
            <w:vAlign w:val="center"/>
            <w:hideMark/>
          </w:tcPr>
          <w:p w14:paraId="28F83234" w14:textId="61EA4382" w:rsidR="0090689F" w:rsidRPr="00D87017" w:rsidRDefault="0090689F" w:rsidP="002C099C">
            <w:pPr>
              <w:spacing w:after="0" w:line="240" w:lineRule="auto"/>
              <w:jc w:val="center"/>
            </w:pPr>
            <w:r w:rsidRPr="00D87017">
              <w:t>0</w:t>
            </w:r>
          </w:p>
        </w:tc>
        <w:tc>
          <w:tcPr>
            <w:tcW w:w="720" w:type="dxa"/>
            <w:tcBorders>
              <w:top w:val="single" w:sz="6" w:space="0" w:color="156082" w:themeColor="accent1"/>
              <w:left w:val="nil"/>
              <w:bottom w:val="double" w:sz="6" w:space="0" w:color="156082" w:themeColor="accent1"/>
              <w:right w:val="nil"/>
            </w:tcBorders>
            <w:shd w:val="clear" w:color="auto" w:fill="FFFFFF" w:themeFill="background1"/>
            <w:vAlign w:val="center"/>
            <w:hideMark/>
          </w:tcPr>
          <w:p w14:paraId="54AAC19E" w14:textId="301CEC47" w:rsidR="0090689F" w:rsidRPr="00D87017" w:rsidRDefault="00061D68" w:rsidP="002C099C">
            <w:pPr>
              <w:spacing w:after="0" w:line="240" w:lineRule="auto"/>
              <w:jc w:val="center"/>
            </w:pPr>
            <w:r>
              <w:t>7</w:t>
            </w:r>
          </w:p>
        </w:tc>
        <w:tc>
          <w:tcPr>
            <w:tcW w:w="720" w:type="dxa"/>
            <w:tcBorders>
              <w:top w:val="single" w:sz="6" w:space="0" w:color="156082" w:themeColor="accent1"/>
              <w:left w:val="nil"/>
              <w:bottom w:val="double" w:sz="6" w:space="0" w:color="156082" w:themeColor="accent1"/>
              <w:right w:val="nil"/>
            </w:tcBorders>
            <w:shd w:val="clear" w:color="auto" w:fill="FFFFFF" w:themeFill="background1"/>
            <w:vAlign w:val="center"/>
            <w:hideMark/>
          </w:tcPr>
          <w:p w14:paraId="35D2A43D" w14:textId="17168A99" w:rsidR="0090689F" w:rsidRPr="00D87017" w:rsidRDefault="00AD561B" w:rsidP="002C099C">
            <w:pPr>
              <w:spacing w:after="0" w:line="240" w:lineRule="auto"/>
              <w:jc w:val="center"/>
            </w:pPr>
            <w:r>
              <w:t>4</w:t>
            </w:r>
            <w:r w:rsidR="00343B72">
              <w:t>2</w:t>
            </w:r>
          </w:p>
        </w:tc>
        <w:tc>
          <w:tcPr>
            <w:tcW w:w="720" w:type="dxa"/>
            <w:tcBorders>
              <w:top w:val="single" w:sz="6" w:space="0" w:color="156082" w:themeColor="accent1"/>
              <w:left w:val="nil"/>
              <w:bottom w:val="double" w:sz="6" w:space="0" w:color="156082" w:themeColor="accent1"/>
              <w:right w:val="nil"/>
            </w:tcBorders>
            <w:shd w:val="clear" w:color="auto" w:fill="FFFFFF" w:themeFill="background1"/>
            <w:vAlign w:val="center"/>
            <w:hideMark/>
          </w:tcPr>
          <w:p w14:paraId="6CF389D4" w14:textId="05C18DDA" w:rsidR="0090689F" w:rsidRPr="00D87017" w:rsidRDefault="00AD561B" w:rsidP="002C099C">
            <w:pPr>
              <w:spacing w:after="0" w:line="240" w:lineRule="auto"/>
              <w:jc w:val="center"/>
            </w:pPr>
            <w:r>
              <w:t>92</w:t>
            </w:r>
          </w:p>
        </w:tc>
        <w:tc>
          <w:tcPr>
            <w:tcW w:w="720" w:type="dxa"/>
            <w:tcBorders>
              <w:top w:val="single" w:sz="6" w:space="0" w:color="156082" w:themeColor="accent1"/>
              <w:left w:val="nil"/>
              <w:bottom w:val="double" w:sz="6" w:space="0" w:color="156082" w:themeColor="accent1"/>
              <w:right w:val="nil"/>
            </w:tcBorders>
            <w:shd w:val="clear" w:color="auto" w:fill="FFFFFF" w:themeFill="background1"/>
            <w:vAlign w:val="center"/>
            <w:hideMark/>
          </w:tcPr>
          <w:p w14:paraId="55FB89C4" w14:textId="2B9FE6C8" w:rsidR="0090689F" w:rsidRPr="00D87017" w:rsidRDefault="00AD561B" w:rsidP="002C099C">
            <w:pPr>
              <w:spacing w:after="0" w:line="240" w:lineRule="auto"/>
              <w:jc w:val="center"/>
            </w:pPr>
            <w:r>
              <w:t>112</w:t>
            </w:r>
          </w:p>
        </w:tc>
        <w:tc>
          <w:tcPr>
            <w:tcW w:w="720" w:type="dxa"/>
            <w:tcBorders>
              <w:top w:val="single" w:sz="6" w:space="0" w:color="156082" w:themeColor="accent1"/>
              <w:left w:val="nil"/>
              <w:bottom w:val="double" w:sz="6" w:space="0" w:color="156082" w:themeColor="accent1"/>
              <w:right w:val="nil"/>
            </w:tcBorders>
            <w:shd w:val="clear" w:color="auto" w:fill="FFFFFF" w:themeFill="background1"/>
            <w:vAlign w:val="center"/>
            <w:hideMark/>
          </w:tcPr>
          <w:p w14:paraId="2DE118DE" w14:textId="1D200CFA" w:rsidR="0090689F" w:rsidRPr="00D87017" w:rsidRDefault="00AD561B" w:rsidP="002C099C">
            <w:pPr>
              <w:spacing w:after="0" w:line="240" w:lineRule="auto"/>
              <w:jc w:val="center"/>
            </w:pPr>
            <w:r>
              <w:t>1</w:t>
            </w:r>
            <w:r w:rsidR="64CB1BE6">
              <w:t>1</w:t>
            </w:r>
            <w:r>
              <w:t>2</w:t>
            </w:r>
          </w:p>
        </w:tc>
        <w:tc>
          <w:tcPr>
            <w:tcW w:w="720" w:type="dxa"/>
            <w:tcBorders>
              <w:top w:val="single" w:sz="6" w:space="0" w:color="156082" w:themeColor="accent1"/>
              <w:left w:val="nil"/>
              <w:bottom w:val="double" w:sz="6" w:space="0" w:color="156082" w:themeColor="accent1"/>
              <w:right w:val="nil"/>
            </w:tcBorders>
            <w:shd w:val="clear" w:color="auto" w:fill="FFFFFF" w:themeFill="background1"/>
            <w:vAlign w:val="center"/>
            <w:hideMark/>
          </w:tcPr>
          <w:p w14:paraId="2F83CF5F" w14:textId="093D2F6F" w:rsidR="0090689F" w:rsidRPr="00D87017" w:rsidRDefault="00AD561B" w:rsidP="002C099C">
            <w:pPr>
              <w:spacing w:after="0" w:line="240" w:lineRule="auto"/>
              <w:jc w:val="center"/>
            </w:pPr>
            <w:r>
              <w:t>1</w:t>
            </w:r>
            <w:r w:rsidR="1A30D0C9">
              <w:t>1</w:t>
            </w:r>
            <w:r>
              <w:t>2</w:t>
            </w:r>
          </w:p>
        </w:tc>
        <w:tc>
          <w:tcPr>
            <w:tcW w:w="720" w:type="dxa"/>
            <w:tcBorders>
              <w:top w:val="single" w:sz="6" w:space="0" w:color="156082" w:themeColor="accent1"/>
              <w:left w:val="nil"/>
              <w:bottom w:val="double" w:sz="6" w:space="0" w:color="156082" w:themeColor="accent1"/>
              <w:right w:val="nil"/>
            </w:tcBorders>
            <w:shd w:val="clear" w:color="auto" w:fill="FFFFFF" w:themeFill="background1"/>
            <w:vAlign w:val="center"/>
            <w:hideMark/>
          </w:tcPr>
          <w:p w14:paraId="6EB7375E" w14:textId="26167772" w:rsidR="0090689F" w:rsidRPr="00D87017" w:rsidRDefault="00AD561B" w:rsidP="002C099C">
            <w:pPr>
              <w:spacing w:after="0" w:line="240" w:lineRule="auto"/>
              <w:jc w:val="center"/>
            </w:pPr>
            <w:r>
              <w:t>1</w:t>
            </w:r>
            <w:r w:rsidR="05464096">
              <w:t>1</w:t>
            </w:r>
            <w:r>
              <w:t>2</w:t>
            </w:r>
          </w:p>
        </w:tc>
      </w:tr>
    </w:tbl>
    <w:p w14:paraId="2F0750EE" w14:textId="0FAE0B7B" w:rsidR="0090689F" w:rsidRPr="00D67EE8" w:rsidRDefault="00D67EE8" w:rsidP="00D67EE8">
      <w:pPr>
        <w:pStyle w:val="BodyText"/>
        <w:spacing w:after="200" w:line="276" w:lineRule="auto"/>
        <w:ind w:left="720"/>
        <w:rPr>
          <w:rFonts w:ascii="Aptos" w:hAnsi="Aptos"/>
          <w:sz w:val="16"/>
          <w:szCs w:val="16"/>
        </w:rPr>
      </w:pPr>
      <w:r w:rsidRPr="001A34E8">
        <w:rPr>
          <w:rFonts w:ascii="Aptos" w:hAnsi="Aptos"/>
          <w:sz w:val="16"/>
          <w:szCs w:val="16"/>
        </w:rPr>
        <w:t>*</w:t>
      </w:r>
      <w:r>
        <w:rPr>
          <w:rFonts w:ascii="Aptos" w:hAnsi="Aptos"/>
          <w:sz w:val="16"/>
          <w:szCs w:val="16"/>
        </w:rPr>
        <w:t>Delivery dates a</w:t>
      </w:r>
      <w:r w:rsidRPr="001A34E8">
        <w:rPr>
          <w:rFonts w:ascii="Aptos" w:hAnsi="Aptos"/>
          <w:sz w:val="16"/>
          <w:szCs w:val="16"/>
        </w:rPr>
        <w:t>ssume the earliest potential outage windows based on preliminary engineering design</w:t>
      </w:r>
      <w:r>
        <w:rPr>
          <w:rFonts w:ascii="Aptos" w:hAnsi="Aptos"/>
          <w:sz w:val="16"/>
          <w:szCs w:val="16"/>
        </w:rPr>
        <w:t xml:space="preserve"> </w:t>
      </w:r>
    </w:p>
    <w:p w14:paraId="23686C46" w14:textId="07DECE73" w:rsidR="00564B89" w:rsidRDefault="00E8314B" w:rsidP="0090689F">
      <w:pPr>
        <w:jc w:val="both"/>
      </w:pPr>
      <w:r w:rsidRPr="00E27821">
        <w:t>The Company</w:t>
      </w:r>
      <w:r w:rsidR="00EC0809">
        <w:t>’</w:t>
      </w:r>
      <w:r w:rsidRPr="00E27821">
        <w:t xml:space="preserve">s request to upgrade its nuclear units </w:t>
      </w:r>
      <w:r>
        <w:t>and unlock</w:t>
      </w:r>
      <w:r w:rsidRPr="00E27821">
        <w:t xml:space="preserve"> additional capacity is supported by an economic analysis</w:t>
      </w:r>
      <w:r>
        <w:t xml:space="preserve"> that</w:t>
      </w:r>
      <w:r w:rsidRPr="00E27821">
        <w:t xml:space="preserve"> is detailed in Technical Appendix Volume 1</w:t>
      </w:r>
      <w:r w:rsidR="00EC0809">
        <w:t>, which</w:t>
      </w:r>
      <w:r w:rsidRPr="00E27821">
        <w:t xml:space="preserve"> highlights the cost-effectiveness of </w:t>
      </w:r>
      <w:r w:rsidR="00641CD8">
        <w:t xml:space="preserve">the </w:t>
      </w:r>
      <w:r w:rsidR="00EC0809">
        <w:t xml:space="preserve">proposed </w:t>
      </w:r>
      <w:r w:rsidR="00641CD8">
        <w:t>up</w:t>
      </w:r>
      <w:r w:rsidR="00BB76AF">
        <w:t>grades</w:t>
      </w:r>
      <w:r w:rsidRPr="00E27821">
        <w:t>.</w:t>
      </w:r>
      <w:r w:rsidR="00296E6C">
        <w:t xml:space="preserve"> </w:t>
      </w:r>
      <w:r w:rsidR="0090689F" w:rsidRPr="00D87017">
        <w:t xml:space="preserve">The </w:t>
      </w:r>
      <w:r w:rsidR="00D72087">
        <w:t>upgrade</w:t>
      </w:r>
      <w:r w:rsidR="003A22D2">
        <w:t xml:space="preserve"> </w:t>
      </w:r>
      <w:r w:rsidR="0090689F" w:rsidRPr="00D87017">
        <w:t>investment</w:t>
      </w:r>
      <w:r w:rsidR="0055551F">
        <w:t>s</w:t>
      </w:r>
      <w:r w:rsidR="0090689F" w:rsidRPr="00D87017">
        <w:t xml:space="preserve"> </w:t>
      </w:r>
      <w:r w:rsidR="0055551F">
        <w:t>are</w:t>
      </w:r>
      <w:r w:rsidR="00A34923">
        <w:t xml:space="preserve"> supported by Federal and State incentives</w:t>
      </w:r>
      <w:r w:rsidR="359F2255" w:rsidRPr="00D87017">
        <w:t>.</w:t>
      </w:r>
      <w:r w:rsidR="0090689F" w:rsidRPr="00D87017">
        <w:t xml:space="preserve"> The IRA</w:t>
      </w:r>
      <w:r w:rsidR="00D87017">
        <w:t>-</w:t>
      </w:r>
      <w:r w:rsidR="0090689F" w:rsidRPr="00D87017">
        <w:t>enabled Section 45Y, or PTC</w:t>
      </w:r>
      <w:r w:rsidR="004F130D">
        <w:t>s</w:t>
      </w:r>
      <w:r w:rsidR="0090689F" w:rsidRPr="00D87017">
        <w:t xml:space="preserve">, are substantial for high-capacity factor nuclear units and will provide 10 years of benefit for the </w:t>
      </w:r>
      <w:r w:rsidR="00D72087">
        <w:t>upgrade</w:t>
      </w:r>
      <w:r w:rsidR="0090689F" w:rsidRPr="00D87017">
        <w:t xml:space="preserve"> capacity achieved. </w:t>
      </w:r>
      <w:r w:rsidR="00FF3829">
        <w:t>T</w:t>
      </w:r>
      <w:r w:rsidR="0090689F" w:rsidRPr="00D87017">
        <w:t>he state of Georgia offers an ITC for investments in new or existing facilities</w:t>
      </w:r>
      <w:r w:rsidR="359F2255" w:rsidRPr="00D87017">
        <w:t xml:space="preserve">. The </w:t>
      </w:r>
      <w:r w:rsidR="00D72087">
        <w:t>upgrade</w:t>
      </w:r>
      <w:r w:rsidR="359F2255" w:rsidRPr="00D87017">
        <w:t xml:space="preserve">s to Plant Hatch are expected to qualify for </w:t>
      </w:r>
      <w:r w:rsidR="59A1DF64">
        <w:t>5</w:t>
      </w:r>
      <w:r w:rsidR="359F2255" w:rsidRPr="00E27821">
        <w:t xml:space="preserve">% and the </w:t>
      </w:r>
      <w:r w:rsidR="00D72087">
        <w:t>upgrade</w:t>
      </w:r>
      <w:r w:rsidR="359F2255" w:rsidRPr="00E27821">
        <w:t xml:space="preserve">s </w:t>
      </w:r>
      <w:r w:rsidR="00AF39FA">
        <w:t>to</w:t>
      </w:r>
      <w:r w:rsidR="359F2255" w:rsidRPr="00E27821">
        <w:t xml:space="preserve"> Plant Vogtle are expected to qualify for </w:t>
      </w:r>
      <w:r w:rsidR="2CC9ECF5">
        <w:t>3</w:t>
      </w:r>
      <w:r w:rsidR="359F2255" w:rsidRPr="00E27821">
        <w:t>%.</w:t>
      </w:r>
      <w:r w:rsidR="00FF4EF2">
        <w:t xml:space="preserve"> </w:t>
      </w:r>
      <w:r w:rsidR="00FF3829">
        <w:t>T</w:t>
      </w:r>
      <w:r w:rsidR="00FB111D" w:rsidRPr="00FB111D">
        <w:t>he Company assume</w:t>
      </w:r>
      <w:r w:rsidR="003953C7">
        <w:t>s</w:t>
      </w:r>
      <w:r w:rsidR="00FB111D" w:rsidRPr="00FB111D">
        <w:t xml:space="preserve"> these projects will qualify for the D</w:t>
      </w:r>
      <w:r w:rsidR="00EA45AB">
        <w:t>epartment of Energy (“D</w:t>
      </w:r>
      <w:r w:rsidR="00FB111D" w:rsidRPr="00FB111D">
        <w:t>OE</w:t>
      </w:r>
      <w:r w:rsidR="00EA45AB">
        <w:t>”)</w:t>
      </w:r>
      <w:r w:rsidR="00FB111D" w:rsidRPr="00FB111D">
        <w:t xml:space="preserve"> Title 17 Loan Guarantee Program that afford</w:t>
      </w:r>
      <w:r w:rsidR="003953C7">
        <w:t>s</w:t>
      </w:r>
      <w:r w:rsidR="00FB111D" w:rsidRPr="00FB111D">
        <w:t xml:space="preserve"> additional financi</w:t>
      </w:r>
      <w:r w:rsidR="003953C7">
        <w:t>al</w:t>
      </w:r>
      <w:r w:rsidR="0070359F">
        <w:t xml:space="preserve"> savings.</w:t>
      </w:r>
      <w:r w:rsidR="00F024A8">
        <w:rPr>
          <w:rStyle w:val="FootnoteReference"/>
        </w:rPr>
        <w:footnoteReference w:id="33"/>
      </w:r>
      <w:r w:rsidR="00FB111D" w:rsidRPr="00FB111D">
        <w:t xml:space="preserve"> </w:t>
      </w:r>
      <w:r w:rsidR="003768AA">
        <w:t xml:space="preserve">Lastly, the </w:t>
      </w:r>
      <w:r w:rsidR="00E13D21">
        <w:t xml:space="preserve">Company is </w:t>
      </w:r>
      <w:r w:rsidR="006B17E8">
        <w:t xml:space="preserve">evaluating </w:t>
      </w:r>
      <w:r w:rsidR="00942C90">
        <w:t>whether</w:t>
      </w:r>
      <w:r w:rsidR="003768AA">
        <w:t xml:space="preserve"> incremental energy gained through the EPU can be </w:t>
      </w:r>
      <w:r w:rsidR="00DF0E37">
        <w:t xml:space="preserve">offered </w:t>
      </w:r>
      <w:r w:rsidR="00003AFD">
        <w:t>to</w:t>
      </w:r>
      <w:r w:rsidR="00522977">
        <w:t xml:space="preserve"> interested customers as a part of a carbon-free energy subscription progra</w:t>
      </w:r>
      <w:r w:rsidR="006E3B55">
        <w:t xml:space="preserve">m, </w:t>
      </w:r>
      <w:r w:rsidR="006835E8">
        <w:t>decreasing</w:t>
      </w:r>
      <w:r w:rsidR="00891097">
        <w:t xml:space="preserve"> the </w:t>
      </w:r>
      <w:r w:rsidR="00101524">
        <w:t xml:space="preserve">net cost to </w:t>
      </w:r>
      <w:r w:rsidR="00205DC7">
        <w:t xml:space="preserve">non-participating </w:t>
      </w:r>
      <w:r w:rsidR="00101524">
        <w:t>customers, a</w:t>
      </w:r>
      <w:r w:rsidR="006835E8">
        <w:t xml:space="preserve">nd </w:t>
      </w:r>
      <w:r w:rsidR="006E3B55">
        <w:t xml:space="preserve">providing access to </w:t>
      </w:r>
      <w:r w:rsidR="00B934AA">
        <w:t xml:space="preserve">incremental </w:t>
      </w:r>
      <w:r w:rsidR="006E3B55">
        <w:t>clean energy attributes</w:t>
      </w:r>
      <w:r w:rsidR="00993934">
        <w:t xml:space="preserve"> to help meet </w:t>
      </w:r>
      <w:r w:rsidR="004D731C">
        <w:t>customer-specific</w:t>
      </w:r>
      <w:r w:rsidR="00993934">
        <w:t xml:space="preserve"> needs</w:t>
      </w:r>
      <w:r w:rsidR="006E3B55">
        <w:t>.</w:t>
      </w:r>
    </w:p>
    <w:p w14:paraId="37A17768" w14:textId="5CBB1DE1" w:rsidR="00A630B8" w:rsidRDefault="00A630B8" w:rsidP="00A630B8">
      <w:pPr>
        <w:jc w:val="both"/>
      </w:pPr>
      <w:r w:rsidRPr="00892B44">
        <w:lastRenderedPageBreak/>
        <w:t xml:space="preserve">The EPU </w:t>
      </w:r>
      <w:r w:rsidR="001F223E">
        <w:t>are</w:t>
      </w:r>
      <w:r w:rsidRPr="00892B44">
        <w:t xml:space="preserve"> a validated proven process that ha</w:t>
      </w:r>
      <w:r w:rsidR="006176F3">
        <w:t>ve</w:t>
      </w:r>
      <w:r w:rsidRPr="00892B44">
        <w:t xml:space="preserve"> been implemented at </w:t>
      </w:r>
      <w:r w:rsidR="004468CC">
        <w:t xml:space="preserve">Plant Hatch, Plant Vogtle and </w:t>
      </w:r>
      <w:r w:rsidR="00C05EE4">
        <w:t xml:space="preserve">by </w:t>
      </w:r>
      <w:r w:rsidRPr="00892B44">
        <w:t xml:space="preserve">other </w:t>
      </w:r>
      <w:r w:rsidR="00C05EE4">
        <w:t>nuclear electric utility oper</w:t>
      </w:r>
      <w:r w:rsidR="002D55BB">
        <w:t>ators</w:t>
      </w:r>
      <w:r w:rsidRPr="00892B44">
        <w:t xml:space="preserve">. </w:t>
      </w:r>
      <w:r w:rsidRPr="00E27821">
        <w:t>The Company is working with the Nuclear Regulatory Commission (“NRC”)</w:t>
      </w:r>
      <w:r w:rsidR="009847B5">
        <w:t xml:space="preserve"> as a part of the required </w:t>
      </w:r>
      <w:r w:rsidR="00A224B9">
        <w:t xml:space="preserve">review and </w:t>
      </w:r>
      <w:r w:rsidR="00354EAF">
        <w:t>licensing process</w:t>
      </w:r>
      <w:r w:rsidRPr="00E27821">
        <w:t xml:space="preserve">. The NRC will review the license amendment request that contains the detailed analysis to support the power </w:t>
      </w:r>
      <w:r w:rsidR="00D72087">
        <w:t>upgrade</w:t>
      </w:r>
      <w:r w:rsidR="00853596">
        <w:t>s</w:t>
      </w:r>
      <w:r w:rsidRPr="00E27821">
        <w:t xml:space="preserve"> and concur with approval to allow the </w:t>
      </w:r>
      <w:r w:rsidR="00D72087">
        <w:t>upgrade</w:t>
      </w:r>
      <w:r w:rsidRPr="00E27821">
        <w:t xml:space="preserve"> of each facility. </w:t>
      </w:r>
      <w:r w:rsidR="005A64FE">
        <w:t xml:space="preserve">Pending NRC review and approval, </w:t>
      </w:r>
      <w:r w:rsidR="00916E47">
        <w:t>t</w:t>
      </w:r>
      <w:r w:rsidR="00341778">
        <w:t>h</w:t>
      </w:r>
      <w:r w:rsidR="00354EAF">
        <w:t>e Company ex</w:t>
      </w:r>
      <w:r w:rsidR="007E4518">
        <w:t xml:space="preserve">pects </w:t>
      </w:r>
      <w:r w:rsidR="00715857">
        <w:t>t</w:t>
      </w:r>
      <w:r w:rsidR="00CC7F5D">
        <w:t xml:space="preserve">o </w:t>
      </w:r>
      <w:r w:rsidR="00334BB9">
        <w:t>deliver</w:t>
      </w:r>
      <w:r w:rsidR="003604F0">
        <w:t xml:space="preserve"> the </w:t>
      </w:r>
      <w:r w:rsidR="007F46E1">
        <w:t xml:space="preserve">first phase of unit </w:t>
      </w:r>
      <w:r w:rsidR="00D72087">
        <w:t>upgrade</w:t>
      </w:r>
      <w:r w:rsidR="00334BB9">
        <w:t>s</w:t>
      </w:r>
      <w:r w:rsidR="007F46E1">
        <w:t xml:space="preserve"> </w:t>
      </w:r>
      <w:r w:rsidR="00283CED">
        <w:t xml:space="preserve">by </w:t>
      </w:r>
      <w:r w:rsidR="00AF6DAA">
        <w:t>2</w:t>
      </w:r>
      <w:r w:rsidR="00334BB9">
        <w:t>028/2029</w:t>
      </w:r>
      <w:r w:rsidR="002C6A27">
        <w:t>.</w:t>
      </w:r>
      <w:r w:rsidR="007A60A3">
        <w:t xml:space="preserve"> </w:t>
      </w:r>
      <w:r w:rsidRPr="00E27821">
        <w:t>By investing in these</w:t>
      </w:r>
      <w:r>
        <w:t xml:space="preserve"> </w:t>
      </w:r>
      <w:r w:rsidR="00F973A7">
        <w:t>up</w:t>
      </w:r>
      <w:r w:rsidR="00C33FCD">
        <w:t>grades</w:t>
      </w:r>
      <w:r w:rsidRPr="00E27821">
        <w:t xml:space="preserve">, the Company is providing customers with </w:t>
      </w:r>
      <w:r w:rsidR="00DE2AD3">
        <w:t xml:space="preserve">economic, carbon-free baseload </w:t>
      </w:r>
      <w:r w:rsidRPr="00E27821">
        <w:t>energy.</w:t>
      </w:r>
    </w:p>
    <w:p w14:paraId="78043C62" w14:textId="6C0F2EFD" w:rsidR="009D7B97" w:rsidRDefault="00545B58" w:rsidP="001616C3">
      <w:pPr>
        <w:pStyle w:val="Heading2"/>
      </w:pPr>
      <w:bookmarkStart w:id="45" w:name="_Toc189122768"/>
      <w:r>
        <w:t>8</w:t>
      </w:r>
      <w:r w:rsidR="00E7163D">
        <w:t>.</w:t>
      </w:r>
      <w:r w:rsidR="00E27821">
        <w:t>5</w:t>
      </w:r>
      <w:r w:rsidR="00E7163D">
        <w:t xml:space="preserve"> – </w:t>
      </w:r>
      <w:r w:rsidR="005217B7">
        <w:t>Wholesale-to-Retail Offer</w:t>
      </w:r>
      <w:bookmarkEnd w:id="45"/>
    </w:p>
    <w:p w14:paraId="3DD99907" w14:textId="369B8101" w:rsidR="0090689F" w:rsidRPr="00E27821" w:rsidRDefault="0043247F" w:rsidP="00D4114D">
      <w:pPr>
        <w:jc w:val="both"/>
      </w:pPr>
      <w:r w:rsidRPr="009D7B97">
        <w:t>The Commission’s July 30, 2008 Order in Docket No. 26550 requires Georgia Power to offer certain wholesale capacity blocks to the retail jurisdiction on then-current wholesale market terms (the “Wholesale Action Plan”). Previous wholesale capacity blocks have been offered under this arrangement and accepted or rejected by the Commission. As additional wholesale contracts expire, the Company evaluates when to offer wholesale capacity blocks to the retail jurisdiction.</w:t>
      </w:r>
      <w:r w:rsidR="00043433" w:rsidRPr="009D7B97">
        <w:t xml:space="preserve"> A</w:t>
      </w:r>
      <w:r w:rsidR="00D5511F">
        <w:t>t</w:t>
      </w:r>
      <w:r w:rsidR="00043433" w:rsidRPr="009D7B97">
        <w:t xml:space="preserve"> the conclusion of the 2022 IRP,</w:t>
      </w:r>
      <w:r w:rsidR="009B21F0" w:rsidRPr="009D7B97">
        <w:t xml:space="preserve"> the Commission </w:t>
      </w:r>
      <w:r w:rsidR="00AE1139" w:rsidRPr="009D7B97">
        <w:t xml:space="preserve">determined </w:t>
      </w:r>
      <w:r w:rsidR="009B21F0" w:rsidRPr="009D7B97">
        <w:t>that the Company had fulfilled the requirements of Docket No. 26550 and was no longer required to offer wholesale capacity to retail jurisdictions; however, it also acknowledged that the Company could, at its discretion, offer wholesale capacity back to the retail jurisdiction.</w:t>
      </w:r>
      <w:r w:rsidR="009D7B97">
        <w:t xml:space="preserve"> </w:t>
      </w:r>
      <w:r w:rsidR="002A7563">
        <w:t>Four</w:t>
      </w:r>
      <w:r w:rsidR="00CC4467" w:rsidRPr="009D7B97">
        <w:t xml:space="preserve"> wholesale blocks associated with</w:t>
      </w:r>
      <w:r w:rsidRPr="009D7B97">
        <w:t xml:space="preserve"> Plant Scherer Unit 3</w:t>
      </w:r>
      <w:r w:rsidR="00CC4467" w:rsidRPr="009D7B97">
        <w:t xml:space="preserve"> will become available between 2026 and 2032</w:t>
      </w:r>
      <w:r w:rsidR="00AE1139" w:rsidRPr="009D7B97">
        <w:t xml:space="preserve">, as </w:t>
      </w:r>
      <w:r w:rsidR="76E3BACD">
        <w:t>show</w:t>
      </w:r>
      <w:r w:rsidR="562C7269">
        <w:t>n</w:t>
      </w:r>
      <w:r w:rsidR="00AE1139" w:rsidRPr="009D7B97">
        <w:t xml:space="preserve"> in </w:t>
      </w:r>
      <w:r w:rsidR="00924C9A" w:rsidRPr="009D7B97">
        <w:t>T</w:t>
      </w:r>
      <w:r w:rsidR="00AE1139" w:rsidRPr="009D7B97">
        <w:t xml:space="preserve">able </w:t>
      </w:r>
      <w:r w:rsidR="00924C9A" w:rsidRPr="009D7B97">
        <w:t>8.5</w:t>
      </w:r>
      <w:r w:rsidR="00AE1139" w:rsidRPr="009D7B97">
        <w:t xml:space="preserve"> below</w:t>
      </w:r>
      <w:r w:rsidR="00CC4467" w:rsidRPr="009D7B97">
        <w:t xml:space="preserve">. </w:t>
      </w:r>
    </w:p>
    <w:p w14:paraId="403ADAF4" w14:textId="28012622" w:rsidR="0043247F" w:rsidRPr="0043247F" w:rsidRDefault="0043247F" w:rsidP="00F9478B">
      <w:pPr>
        <w:keepNext/>
        <w:keepLines/>
        <w:jc w:val="center"/>
        <w:rPr>
          <w:i/>
          <w:iCs/>
        </w:rPr>
      </w:pPr>
      <w:r w:rsidRPr="0043247F">
        <w:rPr>
          <w:i/>
          <w:iCs/>
        </w:rPr>
        <w:t>Table</w:t>
      </w:r>
      <w:r w:rsidR="00321E1A">
        <w:rPr>
          <w:i/>
          <w:iCs/>
        </w:rPr>
        <w:t xml:space="preserve"> </w:t>
      </w:r>
      <w:r w:rsidR="00924C9A">
        <w:rPr>
          <w:i/>
          <w:iCs/>
        </w:rPr>
        <w:t>8.5</w:t>
      </w:r>
      <w:r w:rsidRPr="0043247F">
        <w:rPr>
          <w:i/>
          <w:iCs/>
        </w:rPr>
        <w:t xml:space="preserve">: </w:t>
      </w:r>
      <w:r w:rsidR="00CC4467">
        <w:rPr>
          <w:i/>
          <w:iCs/>
        </w:rPr>
        <w:t>Plant Scherer Unit 3 Wholesale Capacity</w:t>
      </w:r>
    </w:p>
    <w:tbl>
      <w:tblPr>
        <w:tblStyle w:val="TableGrid"/>
        <w:tblW w:w="0" w:type="auto"/>
        <w:tblLook w:val="04A0" w:firstRow="1" w:lastRow="0" w:firstColumn="1" w:lastColumn="0" w:noHBand="0" w:noVBand="1"/>
      </w:tblPr>
      <w:tblGrid>
        <w:gridCol w:w="1501"/>
        <w:gridCol w:w="4127"/>
        <w:gridCol w:w="1747"/>
        <w:gridCol w:w="1975"/>
      </w:tblGrid>
      <w:tr w:rsidR="00212272" w:rsidRPr="001844F0" w14:paraId="0A547D11" w14:textId="77777777" w:rsidTr="00212272">
        <w:tc>
          <w:tcPr>
            <w:tcW w:w="1501" w:type="dxa"/>
            <w:shd w:val="clear" w:color="auto" w:fill="156082" w:themeFill="accent1"/>
            <w:vAlign w:val="center"/>
          </w:tcPr>
          <w:p w14:paraId="2F37D35B" w14:textId="5B852BAE" w:rsidR="00C802A6" w:rsidRPr="00212272" w:rsidRDefault="00C802A6" w:rsidP="00212272">
            <w:pPr>
              <w:jc w:val="center"/>
              <w:rPr>
                <w:rFonts w:ascii="Aptos" w:hAnsi="Aptos"/>
                <w:color w:val="FFFFFF" w:themeColor="background1"/>
                <w:sz w:val="22"/>
                <w:szCs w:val="20"/>
              </w:rPr>
            </w:pPr>
            <w:r w:rsidRPr="00212272">
              <w:rPr>
                <w:rFonts w:ascii="Aptos" w:hAnsi="Aptos"/>
                <w:color w:val="FFFFFF" w:themeColor="background1"/>
                <w:sz w:val="22"/>
                <w:szCs w:val="20"/>
              </w:rPr>
              <w:t>Unit</w:t>
            </w:r>
          </w:p>
        </w:tc>
        <w:tc>
          <w:tcPr>
            <w:tcW w:w="4127" w:type="dxa"/>
            <w:shd w:val="clear" w:color="auto" w:fill="156082" w:themeFill="accent1"/>
            <w:vAlign w:val="center"/>
          </w:tcPr>
          <w:p w14:paraId="0BB42327" w14:textId="1988EA8A" w:rsidR="00C802A6" w:rsidRPr="00212272" w:rsidRDefault="00C802A6" w:rsidP="00212272">
            <w:pPr>
              <w:jc w:val="center"/>
              <w:rPr>
                <w:rFonts w:ascii="Aptos" w:hAnsi="Aptos"/>
                <w:color w:val="FFFFFF" w:themeColor="background1"/>
                <w:sz w:val="22"/>
                <w:szCs w:val="20"/>
              </w:rPr>
            </w:pPr>
            <w:r w:rsidRPr="00212272">
              <w:rPr>
                <w:rFonts w:ascii="Aptos" w:hAnsi="Aptos"/>
                <w:color w:val="FFFFFF" w:themeColor="background1"/>
                <w:sz w:val="22"/>
                <w:szCs w:val="20"/>
              </w:rPr>
              <w:t>Wholesale Block</w:t>
            </w:r>
          </w:p>
        </w:tc>
        <w:tc>
          <w:tcPr>
            <w:tcW w:w="1747" w:type="dxa"/>
            <w:shd w:val="clear" w:color="auto" w:fill="156082" w:themeFill="accent1"/>
            <w:vAlign w:val="center"/>
          </w:tcPr>
          <w:p w14:paraId="18B54186" w14:textId="3CE43A08" w:rsidR="00C802A6" w:rsidRPr="00212272" w:rsidRDefault="00750EAD" w:rsidP="00212272">
            <w:pPr>
              <w:jc w:val="center"/>
              <w:rPr>
                <w:rFonts w:ascii="Aptos" w:hAnsi="Aptos"/>
                <w:color w:val="FFFFFF" w:themeColor="background1"/>
                <w:sz w:val="22"/>
                <w:szCs w:val="20"/>
              </w:rPr>
            </w:pPr>
            <w:r w:rsidRPr="00212272">
              <w:rPr>
                <w:rFonts w:ascii="Aptos" w:hAnsi="Aptos"/>
                <w:color w:val="FFFFFF" w:themeColor="background1"/>
                <w:sz w:val="22"/>
                <w:szCs w:val="20"/>
              </w:rPr>
              <w:t xml:space="preserve">Approximate </w:t>
            </w:r>
            <w:r w:rsidR="00C802A6" w:rsidRPr="00212272">
              <w:rPr>
                <w:rFonts w:ascii="Aptos" w:hAnsi="Aptos"/>
                <w:color w:val="FFFFFF" w:themeColor="background1"/>
                <w:sz w:val="22"/>
                <w:szCs w:val="20"/>
              </w:rPr>
              <w:t>Capacity (MW)</w:t>
            </w:r>
          </w:p>
        </w:tc>
        <w:tc>
          <w:tcPr>
            <w:tcW w:w="1975" w:type="dxa"/>
            <w:shd w:val="clear" w:color="auto" w:fill="156082" w:themeFill="accent1"/>
            <w:vAlign w:val="center"/>
          </w:tcPr>
          <w:p w14:paraId="7C9F678D" w14:textId="525555C8" w:rsidR="00C802A6" w:rsidRPr="00212272" w:rsidRDefault="00C802A6" w:rsidP="00212272">
            <w:pPr>
              <w:jc w:val="center"/>
              <w:rPr>
                <w:rFonts w:ascii="Aptos" w:hAnsi="Aptos"/>
                <w:color w:val="FFFFFF" w:themeColor="background1"/>
                <w:sz w:val="22"/>
                <w:szCs w:val="20"/>
              </w:rPr>
            </w:pPr>
            <w:r w:rsidRPr="00212272">
              <w:rPr>
                <w:rFonts w:ascii="Aptos" w:hAnsi="Aptos"/>
                <w:color w:val="FFFFFF" w:themeColor="background1"/>
                <w:sz w:val="22"/>
                <w:szCs w:val="20"/>
              </w:rPr>
              <w:t>Date Available to Retail Customers</w:t>
            </w:r>
          </w:p>
        </w:tc>
      </w:tr>
      <w:tr w:rsidR="00C802A6" w:rsidRPr="001844F0" w14:paraId="3738FCB4" w14:textId="77777777" w:rsidTr="00212272">
        <w:tc>
          <w:tcPr>
            <w:tcW w:w="1501" w:type="dxa"/>
            <w:vAlign w:val="center"/>
          </w:tcPr>
          <w:p w14:paraId="664EBDEE" w14:textId="073231D4" w:rsidR="00C802A6" w:rsidRPr="001844F0" w:rsidRDefault="001844F0" w:rsidP="00212272">
            <w:pPr>
              <w:jc w:val="center"/>
              <w:rPr>
                <w:rFonts w:ascii="Aptos" w:hAnsi="Aptos"/>
                <w:sz w:val="22"/>
                <w:szCs w:val="20"/>
              </w:rPr>
            </w:pPr>
            <w:r>
              <w:rPr>
                <w:rFonts w:ascii="Aptos" w:hAnsi="Aptos"/>
                <w:sz w:val="22"/>
                <w:szCs w:val="20"/>
              </w:rPr>
              <w:t>Plant Scherer Unit 3</w:t>
            </w:r>
          </w:p>
        </w:tc>
        <w:tc>
          <w:tcPr>
            <w:tcW w:w="4127" w:type="dxa"/>
            <w:vAlign w:val="center"/>
          </w:tcPr>
          <w:p w14:paraId="75D93B9C" w14:textId="77C67287" w:rsidR="00C802A6" w:rsidRPr="001844F0" w:rsidRDefault="00766055" w:rsidP="00212272">
            <w:pPr>
              <w:jc w:val="center"/>
              <w:rPr>
                <w:rFonts w:ascii="Aptos" w:hAnsi="Aptos"/>
                <w:sz w:val="22"/>
                <w:szCs w:val="20"/>
              </w:rPr>
            </w:pPr>
            <w:r>
              <w:rPr>
                <w:rFonts w:ascii="Aptos" w:hAnsi="Aptos"/>
                <w:sz w:val="22"/>
                <w:szCs w:val="20"/>
              </w:rPr>
              <w:t xml:space="preserve">EnergyUnited </w:t>
            </w:r>
            <w:r w:rsidR="00BA6DD5">
              <w:rPr>
                <w:rFonts w:ascii="Aptos" w:hAnsi="Aptos"/>
                <w:sz w:val="22"/>
                <w:szCs w:val="20"/>
              </w:rPr>
              <w:t>E</w:t>
            </w:r>
            <w:r w:rsidR="00DB355F">
              <w:rPr>
                <w:rFonts w:ascii="Aptos" w:hAnsi="Aptos"/>
                <w:sz w:val="22"/>
                <w:szCs w:val="20"/>
              </w:rPr>
              <w:t xml:space="preserve">lectric </w:t>
            </w:r>
            <w:r w:rsidR="00BA6DD5">
              <w:rPr>
                <w:rFonts w:ascii="Aptos" w:hAnsi="Aptos"/>
                <w:sz w:val="22"/>
                <w:szCs w:val="20"/>
              </w:rPr>
              <w:t>M</w:t>
            </w:r>
            <w:r w:rsidR="00DB355F">
              <w:rPr>
                <w:rFonts w:ascii="Aptos" w:hAnsi="Aptos"/>
                <w:sz w:val="22"/>
                <w:szCs w:val="20"/>
              </w:rPr>
              <w:t xml:space="preserve">embership </w:t>
            </w:r>
            <w:r w:rsidR="00BA6DD5">
              <w:rPr>
                <w:rFonts w:ascii="Aptos" w:hAnsi="Aptos"/>
                <w:sz w:val="22"/>
                <w:szCs w:val="20"/>
              </w:rPr>
              <w:t>C</w:t>
            </w:r>
            <w:r w:rsidR="00DB355F">
              <w:rPr>
                <w:rFonts w:ascii="Aptos" w:hAnsi="Aptos"/>
                <w:sz w:val="22"/>
                <w:szCs w:val="20"/>
              </w:rPr>
              <w:t>orporation (“EnergyUnited”)</w:t>
            </w:r>
            <w:r w:rsidR="00372CF5">
              <w:rPr>
                <w:rFonts w:ascii="Aptos" w:hAnsi="Aptos"/>
                <w:sz w:val="22"/>
                <w:szCs w:val="20"/>
              </w:rPr>
              <w:t xml:space="preserve"> Coal Block</w:t>
            </w:r>
          </w:p>
        </w:tc>
        <w:tc>
          <w:tcPr>
            <w:tcW w:w="1747" w:type="dxa"/>
            <w:vAlign w:val="center"/>
          </w:tcPr>
          <w:p w14:paraId="29D0BBF2" w14:textId="77A8F511" w:rsidR="00C802A6" w:rsidRPr="001844F0" w:rsidRDefault="00372CF5" w:rsidP="00212272">
            <w:pPr>
              <w:jc w:val="center"/>
              <w:rPr>
                <w:rFonts w:ascii="Aptos" w:hAnsi="Aptos"/>
                <w:sz w:val="22"/>
                <w:szCs w:val="20"/>
              </w:rPr>
            </w:pPr>
            <w:r>
              <w:rPr>
                <w:rFonts w:ascii="Aptos" w:hAnsi="Aptos"/>
                <w:sz w:val="22"/>
                <w:szCs w:val="20"/>
              </w:rPr>
              <w:t>52</w:t>
            </w:r>
          </w:p>
        </w:tc>
        <w:tc>
          <w:tcPr>
            <w:tcW w:w="1975" w:type="dxa"/>
            <w:vAlign w:val="center"/>
          </w:tcPr>
          <w:p w14:paraId="47C6F886" w14:textId="4867A2A7" w:rsidR="00C802A6" w:rsidRPr="001844F0" w:rsidRDefault="00372CF5" w:rsidP="00212272">
            <w:pPr>
              <w:jc w:val="center"/>
              <w:rPr>
                <w:rFonts w:ascii="Aptos" w:hAnsi="Aptos"/>
                <w:sz w:val="22"/>
                <w:szCs w:val="20"/>
              </w:rPr>
            </w:pPr>
            <w:r>
              <w:rPr>
                <w:rFonts w:ascii="Aptos" w:hAnsi="Aptos"/>
                <w:sz w:val="22"/>
                <w:szCs w:val="20"/>
              </w:rPr>
              <w:t>1/1/2026</w:t>
            </w:r>
          </w:p>
        </w:tc>
      </w:tr>
      <w:tr w:rsidR="00C802A6" w:rsidRPr="001844F0" w14:paraId="05026D65" w14:textId="77777777" w:rsidTr="00212272">
        <w:tc>
          <w:tcPr>
            <w:tcW w:w="1501" w:type="dxa"/>
            <w:vAlign w:val="center"/>
          </w:tcPr>
          <w:p w14:paraId="20435EEF" w14:textId="01BC75CB" w:rsidR="00C802A6" w:rsidRPr="001844F0" w:rsidRDefault="001844F0" w:rsidP="00212272">
            <w:pPr>
              <w:jc w:val="center"/>
              <w:rPr>
                <w:rFonts w:ascii="Aptos" w:hAnsi="Aptos"/>
                <w:sz w:val="22"/>
                <w:szCs w:val="20"/>
              </w:rPr>
            </w:pPr>
            <w:r>
              <w:rPr>
                <w:rFonts w:ascii="Aptos" w:hAnsi="Aptos"/>
                <w:sz w:val="22"/>
                <w:szCs w:val="20"/>
              </w:rPr>
              <w:t>Plant Scherer Unit 3</w:t>
            </w:r>
          </w:p>
        </w:tc>
        <w:tc>
          <w:tcPr>
            <w:tcW w:w="4127" w:type="dxa"/>
            <w:vAlign w:val="center"/>
          </w:tcPr>
          <w:p w14:paraId="539DAC9F" w14:textId="16043977" w:rsidR="00C802A6" w:rsidRPr="001844F0" w:rsidRDefault="00500577" w:rsidP="00212272">
            <w:pPr>
              <w:jc w:val="center"/>
              <w:rPr>
                <w:rFonts w:ascii="Aptos" w:hAnsi="Aptos"/>
                <w:sz w:val="22"/>
                <w:szCs w:val="20"/>
              </w:rPr>
            </w:pPr>
            <w:r>
              <w:rPr>
                <w:rFonts w:ascii="Aptos" w:hAnsi="Aptos"/>
                <w:sz w:val="22"/>
                <w:szCs w:val="20"/>
              </w:rPr>
              <w:t>Flint E</w:t>
            </w:r>
            <w:r w:rsidR="008634EA">
              <w:rPr>
                <w:rFonts w:ascii="Aptos" w:hAnsi="Aptos"/>
                <w:sz w:val="22"/>
                <w:szCs w:val="20"/>
              </w:rPr>
              <w:t xml:space="preserve">lectric Membership </w:t>
            </w:r>
            <w:r>
              <w:rPr>
                <w:rFonts w:ascii="Aptos" w:hAnsi="Aptos"/>
                <w:sz w:val="22"/>
                <w:szCs w:val="20"/>
              </w:rPr>
              <w:t>C</w:t>
            </w:r>
            <w:r w:rsidR="008634EA">
              <w:rPr>
                <w:rFonts w:ascii="Aptos" w:hAnsi="Aptos"/>
                <w:sz w:val="22"/>
                <w:szCs w:val="20"/>
              </w:rPr>
              <w:t>orporation (“Flint EMC”)</w:t>
            </w:r>
            <w:r>
              <w:rPr>
                <w:rFonts w:ascii="Aptos" w:hAnsi="Aptos"/>
                <w:sz w:val="22"/>
                <w:szCs w:val="20"/>
              </w:rPr>
              <w:t xml:space="preserve"> Steam Block</w:t>
            </w:r>
          </w:p>
        </w:tc>
        <w:tc>
          <w:tcPr>
            <w:tcW w:w="1747" w:type="dxa"/>
            <w:vAlign w:val="center"/>
          </w:tcPr>
          <w:p w14:paraId="62F439A2" w14:textId="0576EBA7" w:rsidR="00C802A6" w:rsidRPr="001844F0" w:rsidRDefault="00500577" w:rsidP="00212272">
            <w:pPr>
              <w:jc w:val="center"/>
              <w:rPr>
                <w:rFonts w:ascii="Aptos" w:hAnsi="Aptos"/>
                <w:sz w:val="22"/>
                <w:szCs w:val="20"/>
              </w:rPr>
            </w:pPr>
            <w:r>
              <w:rPr>
                <w:rFonts w:ascii="Aptos" w:hAnsi="Aptos"/>
                <w:sz w:val="22"/>
                <w:szCs w:val="20"/>
              </w:rPr>
              <w:t>55</w:t>
            </w:r>
          </w:p>
        </w:tc>
        <w:tc>
          <w:tcPr>
            <w:tcW w:w="1975" w:type="dxa"/>
            <w:vAlign w:val="center"/>
          </w:tcPr>
          <w:p w14:paraId="4E53EEF1" w14:textId="0BCE3ACC" w:rsidR="00C802A6" w:rsidRPr="001844F0" w:rsidRDefault="00372CF5" w:rsidP="00212272">
            <w:pPr>
              <w:jc w:val="center"/>
              <w:rPr>
                <w:rFonts w:ascii="Aptos" w:hAnsi="Aptos"/>
                <w:sz w:val="22"/>
                <w:szCs w:val="20"/>
              </w:rPr>
            </w:pPr>
            <w:r>
              <w:rPr>
                <w:rFonts w:ascii="Aptos" w:hAnsi="Aptos"/>
                <w:sz w:val="22"/>
                <w:szCs w:val="20"/>
              </w:rPr>
              <w:t>1/1/2030</w:t>
            </w:r>
          </w:p>
        </w:tc>
      </w:tr>
      <w:tr w:rsidR="00C802A6" w:rsidRPr="001844F0" w14:paraId="06E8AA96" w14:textId="77777777" w:rsidTr="00212272">
        <w:tc>
          <w:tcPr>
            <w:tcW w:w="1501" w:type="dxa"/>
            <w:vAlign w:val="center"/>
          </w:tcPr>
          <w:p w14:paraId="492B6700" w14:textId="5CDFC10C" w:rsidR="00C802A6" w:rsidRPr="001844F0" w:rsidRDefault="001844F0" w:rsidP="00212272">
            <w:pPr>
              <w:jc w:val="center"/>
              <w:rPr>
                <w:rFonts w:ascii="Aptos" w:hAnsi="Aptos"/>
                <w:sz w:val="22"/>
                <w:szCs w:val="20"/>
              </w:rPr>
            </w:pPr>
            <w:r>
              <w:rPr>
                <w:rFonts w:ascii="Aptos" w:hAnsi="Aptos"/>
                <w:sz w:val="22"/>
                <w:szCs w:val="20"/>
              </w:rPr>
              <w:t>Plant Scherer Unit 3</w:t>
            </w:r>
          </w:p>
        </w:tc>
        <w:tc>
          <w:tcPr>
            <w:tcW w:w="4127" w:type="dxa"/>
            <w:vAlign w:val="center"/>
          </w:tcPr>
          <w:p w14:paraId="211B4464" w14:textId="113A3BD7" w:rsidR="00C802A6" w:rsidRPr="001844F0" w:rsidRDefault="00500577" w:rsidP="00212272">
            <w:pPr>
              <w:jc w:val="center"/>
              <w:rPr>
                <w:rFonts w:ascii="Aptos" w:hAnsi="Aptos"/>
                <w:sz w:val="22"/>
                <w:szCs w:val="20"/>
              </w:rPr>
            </w:pPr>
            <w:r>
              <w:rPr>
                <w:rFonts w:ascii="Aptos" w:hAnsi="Aptos"/>
                <w:sz w:val="22"/>
                <w:szCs w:val="20"/>
              </w:rPr>
              <w:t>Retail – Florida Power &amp; Light (“FPL”)</w:t>
            </w:r>
          </w:p>
        </w:tc>
        <w:tc>
          <w:tcPr>
            <w:tcW w:w="1747" w:type="dxa"/>
            <w:vAlign w:val="center"/>
          </w:tcPr>
          <w:p w14:paraId="2E1B7E8E" w14:textId="49E7F253" w:rsidR="00C802A6" w:rsidRPr="001844F0" w:rsidRDefault="00FA2D0F" w:rsidP="00212272">
            <w:pPr>
              <w:jc w:val="center"/>
              <w:rPr>
                <w:rFonts w:ascii="Aptos" w:hAnsi="Aptos"/>
                <w:sz w:val="22"/>
                <w:szCs w:val="20"/>
              </w:rPr>
            </w:pPr>
            <w:r>
              <w:rPr>
                <w:rFonts w:ascii="Aptos" w:hAnsi="Aptos"/>
                <w:sz w:val="22"/>
                <w:szCs w:val="20"/>
              </w:rPr>
              <w:t>55</w:t>
            </w:r>
          </w:p>
        </w:tc>
        <w:tc>
          <w:tcPr>
            <w:tcW w:w="1975" w:type="dxa"/>
            <w:vAlign w:val="center"/>
          </w:tcPr>
          <w:p w14:paraId="6FD2D956" w14:textId="1777EB75" w:rsidR="00C802A6" w:rsidRPr="001844F0" w:rsidRDefault="00372CF5" w:rsidP="00212272">
            <w:pPr>
              <w:jc w:val="center"/>
              <w:rPr>
                <w:rFonts w:ascii="Aptos" w:hAnsi="Aptos"/>
                <w:sz w:val="22"/>
                <w:szCs w:val="20"/>
              </w:rPr>
            </w:pPr>
            <w:r>
              <w:rPr>
                <w:rFonts w:ascii="Aptos" w:hAnsi="Aptos"/>
                <w:sz w:val="22"/>
                <w:szCs w:val="20"/>
              </w:rPr>
              <w:t>1/1/2031</w:t>
            </w:r>
          </w:p>
        </w:tc>
      </w:tr>
      <w:tr w:rsidR="00C802A6" w:rsidRPr="001844F0" w14:paraId="3519C397" w14:textId="77777777" w:rsidTr="00212272">
        <w:tc>
          <w:tcPr>
            <w:tcW w:w="1501" w:type="dxa"/>
            <w:vAlign w:val="center"/>
          </w:tcPr>
          <w:p w14:paraId="26E4F72A" w14:textId="4BDE375A" w:rsidR="00C802A6" w:rsidRPr="001844F0" w:rsidRDefault="001844F0" w:rsidP="00212272">
            <w:pPr>
              <w:jc w:val="center"/>
              <w:rPr>
                <w:rFonts w:ascii="Aptos" w:hAnsi="Aptos"/>
                <w:sz w:val="22"/>
                <w:szCs w:val="20"/>
              </w:rPr>
            </w:pPr>
            <w:r>
              <w:rPr>
                <w:rFonts w:ascii="Aptos" w:hAnsi="Aptos"/>
                <w:sz w:val="22"/>
                <w:szCs w:val="20"/>
              </w:rPr>
              <w:t>Plant Scherer Unit 3</w:t>
            </w:r>
          </w:p>
        </w:tc>
        <w:tc>
          <w:tcPr>
            <w:tcW w:w="4127" w:type="dxa"/>
            <w:vAlign w:val="center"/>
          </w:tcPr>
          <w:p w14:paraId="38EAC25A" w14:textId="7DCA3D64" w:rsidR="00C802A6" w:rsidRPr="001844F0" w:rsidRDefault="00500577" w:rsidP="00212272">
            <w:pPr>
              <w:jc w:val="center"/>
              <w:rPr>
                <w:rFonts w:ascii="Aptos" w:hAnsi="Aptos"/>
                <w:sz w:val="22"/>
                <w:szCs w:val="20"/>
              </w:rPr>
            </w:pPr>
            <w:r>
              <w:rPr>
                <w:rFonts w:ascii="Aptos" w:hAnsi="Aptos"/>
                <w:sz w:val="22"/>
                <w:szCs w:val="20"/>
              </w:rPr>
              <w:t>Retail – Duke Energy Florida (“DEF”)</w:t>
            </w:r>
          </w:p>
        </w:tc>
        <w:tc>
          <w:tcPr>
            <w:tcW w:w="1747" w:type="dxa"/>
            <w:vAlign w:val="center"/>
          </w:tcPr>
          <w:p w14:paraId="212EC419" w14:textId="4549EF57" w:rsidR="00C802A6" w:rsidRPr="001844F0" w:rsidRDefault="00FA2D0F" w:rsidP="00212272">
            <w:pPr>
              <w:jc w:val="center"/>
              <w:rPr>
                <w:rFonts w:ascii="Aptos" w:hAnsi="Aptos"/>
                <w:sz w:val="22"/>
                <w:szCs w:val="20"/>
              </w:rPr>
            </w:pPr>
            <w:r>
              <w:rPr>
                <w:rFonts w:ascii="Aptos" w:hAnsi="Aptos"/>
                <w:sz w:val="22"/>
                <w:szCs w:val="20"/>
              </w:rPr>
              <w:t>25</w:t>
            </w:r>
          </w:p>
        </w:tc>
        <w:tc>
          <w:tcPr>
            <w:tcW w:w="1975" w:type="dxa"/>
            <w:vAlign w:val="center"/>
          </w:tcPr>
          <w:p w14:paraId="1A25BEE9" w14:textId="5D06A63E" w:rsidR="00C802A6" w:rsidRPr="001844F0" w:rsidRDefault="00372CF5" w:rsidP="00212272">
            <w:pPr>
              <w:jc w:val="center"/>
              <w:rPr>
                <w:rFonts w:ascii="Aptos" w:hAnsi="Aptos"/>
                <w:sz w:val="22"/>
                <w:szCs w:val="20"/>
              </w:rPr>
            </w:pPr>
            <w:r>
              <w:rPr>
                <w:rFonts w:ascii="Aptos" w:hAnsi="Aptos"/>
                <w:sz w:val="22"/>
                <w:szCs w:val="20"/>
              </w:rPr>
              <w:t>6/1/2031</w:t>
            </w:r>
          </w:p>
        </w:tc>
      </w:tr>
    </w:tbl>
    <w:p w14:paraId="5FA98A9C" w14:textId="082FE570" w:rsidR="007421DF" w:rsidRDefault="007421DF" w:rsidP="00212272">
      <w:pPr>
        <w:spacing w:after="0"/>
        <w:jc w:val="both"/>
      </w:pPr>
    </w:p>
    <w:p w14:paraId="2F8B0B1F" w14:textId="18C306DA" w:rsidR="00816416" w:rsidRDefault="0043247F" w:rsidP="0043247F">
      <w:pPr>
        <w:jc w:val="both"/>
      </w:pPr>
      <w:r>
        <w:t xml:space="preserve">Georgia Power </w:t>
      </w:r>
      <w:r w:rsidR="006C08A9">
        <w:t xml:space="preserve">did not offer </w:t>
      </w:r>
      <w:r>
        <w:t xml:space="preserve">Plant Scherer Unit 3 </w:t>
      </w:r>
      <w:r w:rsidR="008B0F86">
        <w:t>capacity from the EnergyUnited Coal Block</w:t>
      </w:r>
      <w:r>
        <w:t xml:space="preserve"> </w:t>
      </w:r>
      <w:r w:rsidR="006C08A9">
        <w:t xml:space="preserve">back to retail </w:t>
      </w:r>
      <w:r w:rsidR="00F064B6">
        <w:t xml:space="preserve">jurisdiction </w:t>
      </w:r>
      <w:r w:rsidR="00186A67">
        <w:t xml:space="preserve">in the 2022 IRP </w:t>
      </w:r>
      <w:r w:rsidR="006C08A9">
        <w:t>due to the</w:t>
      </w:r>
      <w:r w:rsidR="00924C9A">
        <w:t xml:space="preserve"> then</w:t>
      </w:r>
      <w:r w:rsidR="00713D51">
        <w:t>-</w:t>
      </w:r>
      <w:r w:rsidR="00924C9A">
        <w:t xml:space="preserve">current </w:t>
      </w:r>
      <w:r w:rsidR="00186A67">
        <w:t xml:space="preserve">request </w:t>
      </w:r>
      <w:r w:rsidR="006C08A9">
        <w:t xml:space="preserve">to retire the </w:t>
      </w:r>
      <w:r w:rsidR="00473069">
        <w:t>unit</w:t>
      </w:r>
      <w:r>
        <w:t xml:space="preserve"> by December 31, 2028. </w:t>
      </w:r>
      <w:r w:rsidR="006C08A9">
        <w:t xml:space="preserve">However, </w:t>
      </w:r>
      <w:r w:rsidR="00924C9A">
        <w:t xml:space="preserve">since </w:t>
      </w:r>
      <w:r w:rsidR="006C08A9">
        <w:t xml:space="preserve">the load forecast </w:t>
      </w:r>
      <w:r w:rsidR="00924C9A">
        <w:t>and corresponding capacity needs have</w:t>
      </w:r>
      <w:r w:rsidR="006C08A9">
        <w:t xml:space="preserve"> changed since the 2022 IRP</w:t>
      </w:r>
      <w:r w:rsidR="003E4543">
        <w:t>,</w:t>
      </w:r>
      <w:r w:rsidR="006C08A9">
        <w:t xml:space="preserve"> pending the Commission’s decision </w:t>
      </w:r>
      <w:r w:rsidR="00713D51">
        <w:t>to extend</w:t>
      </w:r>
      <w:r w:rsidR="006C08A9">
        <w:t xml:space="preserve"> Plant Scherer </w:t>
      </w:r>
      <w:r w:rsidR="00420BCA">
        <w:t xml:space="preserve">Unit </w:t>
      </w:r>
      <w:r w:rsidR="006C08A9">
        <w:t xml:space="preserve">3 in the 2025 IRP, the Company </w:t>
      </w:r>
      <w:r w:rsidR="0092112C">
        <w:t>recommends</w:t>
      </w:r>
      <w:r w:rsidR="006C08A9">
        <w:t xml:space="preserve"> this </w:t>
      </w:r>
      <w:r w:rsidR="00676731">
        <w:t>52</w:t>
      </w:r>
      <w:r w:rsidR="00A52460">
        <w:t> </w:t>
      </w:r>
      <w:r w:rsidR="006C08A9">
        <w:t xml:space="preserve">MW of capacity be </w:t>
      </w:r>
      <w:r w:rsidR="0092112C">
        <w:t>returned</w:t>
      </w:r>
      <w:r w:rsidR="006C08A9">
        <w:t xml:space="preserve"> to the retail jurisdiction.</w:t>
      </w:r>
      <w:r w:rsidR="007A59B4">
        <w:t xml:space="preserve"> This capacity </w:t>
      </w:r>
      <w:r w:rsidR="00CD2813">
        <w:t xml:space="preserve">would </w:t>
      </w:r>
      <w:r w:rsidR="007A59B4">
        <w:t xml:space="preserve">help to fulfill a portion of the Company’s capacity needs in the </w:t>
      </w:r>
      <w:r w:rsidR="00BD1DA1">
        <w:t>near</w:t>
      </w:r>
      <w:r w:rsidR="007A59B4">
        <w:t xml:space="preserve"> term.</w:t>
      </w:r>
    </w:p>
    <w:p w14:paraId="42716802" w14:textId="678654DB" w:rsidR="0043247F" w:rsidRDefault="007A59B4" w:rsidP="0043247F">
      <w:pPr>
        <w:jc w:val="both"/>
      </w:pPr>
      <w:r>
        <w:t>There is additional capacity associated with Plant Scherer Unit 3 that will become available in the early 2030</w:t>
      </w:r>
      <w:r w:rsidR="001D550A">
        <w:t>s</w:t>
      </w:r>
      <w:r>
        <w:t xml:space="preserve"> timeframe.</w:t>
      </w:r>
      <w:r w:rsidR="0043247F">
        <w:t xml:space="preserve"> </w:t>
      </w:r>
      <w:r w:rsidR="000A59C3">
        <w:t xml:space="preserve">First, approximately 55 MW of wholesale block capacity serves Flint EMC through the end of 2029. Second, approximately 79 MW of formerly wholesale block capacity serves retail customers until 2031. </w:t>
      </w:r>
      <w:r w:rsidR="0089513E">
        <w:t xml:space="preserve">This </w:t>
      </w:r>
      <w:r w:rsidR="000A59C3">
        <w:t>capacity from Plant Scherer Unit</w:t>
      </w:r>
      <w:r w:rsidR="00924C9A">
        <w:t> </w:t>
      </w:r>
      <w:r w:rsidR="000A59C3">
        <w:t xml:space="preserve">3 was </w:t>
      </w:r>
      <w:r w:rsidR="00924C9A">
        <w:t>previously</w:t>
      </w:r>
      <w:r w:rsidR="000A59C3">
        <w:t xml:space="preserve"> accepted into the retail jurisdiction for a term of fifteen years by Commission </w:t>
      </w:r>
      <w:r w:rsidR="00254DFA">
        <w:t>O</w:t>
      </w:r>
      <w:r w:rsidR="000A59C3">
        <w:t xml:space="preserve">rder on September 15, 2009. </w:t>
      </w:r>
      <w:r w:rsidR="005A1F58">
        <w:t>T</w:t>
      </w:r>
      <w:r w:rsidR="00924C9A">
        <w:t xml:space="preserve">hese </w:t>
      </w:r>
      <w:r w:rsidR="00111E7C">
        <w:lastRenderedPageBreak/>
        <w:t>wholesale</w:t>
      </w:r>
      <w:r w:rsidR="00924C9A">
        <w:t xml:space="preserve"> blocks</w:t>
      </w:r>
      <w:r w:rsidR="000A59C3">
        <w:t xml:space="preserve"> represent a total offering of approximately 187 MW to </w:t>
      </w:r>
      <w:r w:rsidR="00111E7C">
        <w:t>the</w:t>
      </w:r>
      <w:r w:rsidR="000A59C3">
        <w:t xml:space="preserve"> retail jurisdiction</w:t>
      </w:r>
      <w:r w:rsidR="00B12638">
        <w:t xml:space="preserve"> from Plant Scherer Unit 3</w:t>
      </w:r>
      <w:r w:rsidR="000A59C3">
        <w:t>.</w:t>
      </w:r>
    </w:p>
    <w:p w14:paraId="7201D8FC" w14:textId="307DF9C5" w:rsidR="0043247F" w:rsidRDefault="0043247F" w:rsidP="0043247F">
      <w:pPr>
        <w:jc w:val="both"/>
      </w:pPr>
      <w:r>
        <w:t xml:space="preserve">In prior wholesale capacity offers, the Commission has approved the application of a </w:t>
      </w:r>
      <w:r w:rsidR="00111E7C">
        <w:t>m</w:t>
      </w:r>
      <w:r>
        <w:t xml:space="preserve">arket </w:t>
      </w:r>
      <w:r w:rsidR="00111E7C">
        <w:t>d</w:t>
      </w:r>
      <w:r>
        <w:t xml:space="preserve">ifferential </w:t>
      </w:r>
      <w:r w:rsidR="00111E7C">
        <w:t>a</w:t>
      </w:r>
      <w:r>
        <w:t xml:space="preserve">djustment (“MDA”) to meet the requirement that the transaction be offered at then-current wholesale market terms. The MDA represents the difference between the levelized market value and the levelized revenue requirement of the net asset over its assumed remaining life, expressed on a dollar per kilowatt-month basis. The Company’s offer of the </w:t>
      </w:r>
      <w:r w:rsidR="007A59B4">
        <w:t>187</w:t>
      </w:r>
      <w:r>
        <w:t xml:space="preserve"> MW of wholesale block capacity utilizes the same MDA construct as previous offers.</w:t>
      </w:r>
      <w:r w:rsidR="006600BD">
        <w:t xml:space="preserve"> </w:t>
      </w:r>
      <w:r w:rsidR="003B51B6">
        <w:t>B</w:t>
      </w:r>
      <w:r w:rsidR="003B51B6" w:rsidRPr="008E7E6B">
        <w:rPr>
          <w:rFonts w:ascii="Aptos" w:hAnsi="Aptos" w:cs="Arial"/>
        </w:rPr>
        <w:t xml:space="preserve">ecause the ultimate outcome of </w:t>
      </w:r>
      <w:r w:rsidR="003B51B6">
        <w:rPr>
          <w:rFonts w:ascii="Aptos" w:hAnsi="Aptos" w:cs="Arial"/>
        </w:rPr>
        <w:t xml:space="preserve">the 111 </w:t>
      </w:r>
      <w:r w:rsidR="003B51B6" w:rsidRPr="008E7E6B">
        <w:rPr>
          <w:rFonts w:ascii="Aptos" w:hAnsi="Aptos" w:cs="Arial"/>
        </w:rPr>
        <w:t>GHG Rules</w:t>
      </w:r>
      <w:r w:rsidR="003B51B6">
        <w:rPr>
          <w:rFonts w:ascii="Aptos" w:hAnsi="Aptos" w:cs="Arial"/>
        </w:rPr>
        <w:t xml:space="preserve"> </w:t>
      </w:r>
      <w:r w:rsidR="003B51B6" w:rsidRPr="008E7E6B">
        <w:rPr>
          <w:rFonts w:ascii="Aptos" w:hAnsi="Aptos" w:cs="Arial"/>
        </w:rPr>
        <w:t xml:space="preserve">is subject to legal uncertainty due to ongoing petitions for review, the Company is providing MDA values for both </w:t>
      </w:r>
      <w:r w:rsidR="00300EAC" w:rsidRPr="008E7E6B">
        <w:rPr>
          <w:rFonts w:ascii="Aptos" w:hAnsi="Aptos" w:cs="Arial"/>
        </w:rPr>
        <w:t xml:space="preserve">111-MG0 and MG0 </w:t>
      </w:r>
      <w:r w:rsidR="0060793D" w:rsidRPr="008E7E6B">
        <w:rPr>
          <w:rFonts w:ascii="Aptos" w:hAnsi="Aptos" w:cs="Arial"/>
        </w:rPr>
        <w:t xml:space="preserve">planning </w:t>
      </w:r>
      <w:r w:rsidR="00300EAC" w:rsidRPr="008E7E6B">
        <w:rPr>
          <w:rFonts w:ascii="Aptos" w:hAnsi="Aptos" w:cs="Arial"/>
        </w:rPr>
        <w:t>scenarios</w:t>
      </w:r>
      <w:r w:rsidR="00667B51" w:rsidRPr="008E7E6B">
        <w:rPr>
          <w:rFonts w:ascii="Aptos" w:hAnsi="Aptos" w:cs="Arial"/>
        </w:rPr>
        <w:t>.</w:t>
      </w:r>
      <w:r w:rsidR="00E10E68">
        <w:rPr>
          <w:rFonts w:ascii="Aptos" w:hAnsi="Aptos" w:cs="Arial"/>
        </w:rPr>
        <w:t xml:space="preserve"> </w:t>
      </w:r>
      <w:r w:rsidR="00D816BE">
        <w:rPr>
          <w:rFonts w:ascii="Aptos" w:hAnsi="Aptos" w:cs="Arial"/>
        </w:rPr>
        <w:t>T</w:t>
      </w:r>
      <w:r w:rsidR="00E10E68">
        <w:rPr>
          <w:rFonts w:ascii="Aptos" w:hAnsi="Aptos" w:cs="Arial"/>
        </w:rPr>
        <w:t>he Company requests approval for whichever</w:t>
      </w:r>
      <w:r w:rsidR="00FB0E22">
        <w:rPr>
          <w:rFonts w:ascii="Aptos" w:hAnsi="Aptos" w:cs="Arial"/>
        </w:rPr>
        <w:t xml:space="preserve"> scenario</w:t>
      </w:r>
      <w:r w:rsidR="00E10E68">
        <w:rPr>
          <w:rFonts w:ascii="Aptos" w:hAnsi="Aptos" w:cs="Arial"/>
        </w:rPr>
        <w:t xml:space="preserve"> is appropriate </w:t>
      </w:r>
      <w:r w:rsidR="00585015">
        <w:rPr>
          <w:rFonts w:ascii="Aptos" w:hAnsi="Aptos" w:cs="Arial"/>
        </w:rPr>
        <w:t xml:space="preserve">based on the status of the 111 GHG Rules </w:t>
      </w:r>
      <w:r w:rsidR="00E10E68">
        <w:rPr>
          <w:rFonts w:ascii="Aptos" w:hAnsi="Aptos" w:cs="Arial"/>
        </w:rPr>
        <w:t xml:space="preserve">at the time </w:t>
      </w:r>
      <w:r w:rsidR="000F3F75">
        <w:rPr>
          <w:rFonts w:ascii="Aptos" w:hAnsi="Aptos" w:cs="Arial"/>
        </w:rPr>
        <w:t xml:space="preserve">the </w:t>
      </w:r>
      <w:r w:rsidR="00E10E68">
        <w:rPr>
          <w:rFonts w:ascii="Aptos" w:hAnsi="Aptos" w:cs="Arial"/>
        </w:rPr>
        <w:t xml:space="preserve">wholesale capacity would </w:t>
      </w:r>
      <w:r w:rsidR="00DC5BA1">
        <w:rPr>
          <w:rFonts w:ascii="Aptos" w:hAnsi="Aptos" w:cs="Arial"/>
        </w:rPr>
        <w:t>be placed in</w:t>
      </w:r>
      <w:r w:rsidR="00E10E68">
        <w:rPr>
          <w:rFonts w:ascii="Aptos" w:hAnsi="Aptos" w:cs="Arial"/>
        </w:rPr>
        <w:t xml:space="preserve"> retail service.</w:t>
      </w:r>
    </w:p>
    <w:p w14:paraId="4BEE1E3A" w14:textId="77A14092" w:rsidR="0043247F" w:rsidRDefault="0043247F" w:rsidP="0043247F">
      <w:pPr>
        <w:jc w:val="both"/>
      </w:pPr>
      <w:r>
        <w:t xml:space="preserve">If the Commission accepts the Company’s offer of approximately </w:t>
      </w:r>
      <w:r w:rsidR="007A59B4">
        <w:t>187</w:t>
      </w:r>
      <w:r>
        <w:t xml:space="preserve"> MW of wholesale block capacity to retail jurisdiction, the Company requests that the capacity also be certified in this 202</w:t>
      </w:r>
      <w:r w:rsidR="007A59B4">
        <w:t>5</w:t>
      </w:r>
      <w:r>
        <w:t xml:space="preserve"> IRP. Additional information on the offer is found in Technical Appendix Volume 1, and the formal certification application is included in </w:t>
      </w:r>
      <w:r w:rsidR="008E004C">
        <w:t>Attachment A</w:t>
      </w:r>
      <w:r>
        <w:t xml:space="preserve"> of the Main Document.</w:t>
      </w:r>
    </w:p>
    <w:p w14:paraId="496386D9" w14:textId="6EEB76B4" w:rsidR="00B232AC" w:rsidRDefault="00545B58" w:rsidP="00B56A9C">
      <w:pPr>
        <w:pStyle w:val="Heading2"/>
      </w:pPr>
      <w:bookmarkStart w:id="46" w:name="_Toc189122769"/>
      <w:r>
        <w:t>8</w:t>
      </w:r>
      <w:r w:rsidR="00E7163D">
        <w:t>.</w:t>
      </w:r>
      <w:r w:rsidR="00E27821">
        <w:t>6</w:t>
      </w:r>
      <w:r w:rsidR="00E7163D">
        <w:t xml:space="preserve"> – </w:t>
      </w:r>
      <w:r w:rsidR="00B232AC">
        <w:t>Hydro Modernization</w:t>
      </w:r>
      <w:bookmarkEnd w:id="46"/>
    </w:p>
    <w:p w14:paraId="25AF6A09" w14:textId="7AF5CFB7" w:rsidR="009F45CD" w:rsidRPr="004402FD" w:rsidRDefault="009F45CD" w:rsidP="009F45CD">
      <w:pPr>
        <w:pStyle w:val="Heading3"/>
      </w:pPr>
      <w:r w:rsidRPr="004402FD">
        <w:t>8.</w:t>
      </w:r>
      <w:r w:rsidR="00E27821">
        <w:t>6</w:t>
      </w:r>
      <w:r w:rsidRPr="004402FD">
        <w:t>.1 – Continued Investment in the Hydro Fleet</w:t>
      </w:r>
    </w:p>
    <w:p w14:paraId="57D9F886" w14:textId="04F32593" w:rsidR="00676AF3" w:rsidRDefault="00CC29FB" w:rsidP="00E7103D">
      <w:pPr>
        <w:jc w:val="both"/>
      </w:pPr>
      <w:r>
        <w:t xml:space="preserve">Georgia Power’s </w:t>
      </w:r>
      <w:r w:rsidR="00B42F39">
        <w:t>fleet of hydroelectric generating units is a source of emission-free energy</w:t>
      </w:r>
      <w:r w:rsidR="00065CB0">
        <w:t>,</w:t>
      </w:r>
      <w:r w:rsidR="00B42F39">
        <w:t xml:space="preserve"> with some units serving the state of Georgia for over 100 years.</w:t>
      </w:r>
      <w:r w:rsidR="002F0573">
        <w:t xml:space="preserve"> </w:t>
      </w:r>
      <w:r w:rsidR="002B5830">
        <w:t>The Company</w:t>
      </w:r>
      <w:r w:rsidR="00E7103D">
        <w:t xml:space="preserve"> operates 1</w:t>
      </w:r>
      <w:r w:rsidR="000302C9">
        <w:t>5</w:t>
      </w:r>
      <w:r w:rsidR="00E7103D">
        <w:t xml:space="preserve"> hydro generation facilities and has an ownership interest in an 1</w:t>
      </w:r>
      <w:r w:rsidR="000302C9">
        <w:t>6</w:t>
      </w:r>
      <w:r w:rsidR="00E7103D" w:rsidRPr="00A52460">
        <w:rPr>
          <w:vertAlign w:val="superscript"/>
        </w:rPr>
        <w:t>th</w:t>
      </w:r>
      <w:r w:rsidR="00E7103D">
        <w:t xml:space="preserve"> – Plant Rocky Mountain – with a total of 66 hydroelectric generating units in Georgia. These facilities are all licensed by FERC under the Federal Power Act</w:t>
      </w:r>
      <w:r w:rsidR="00E03167">
        <w:t xml:space="preserve"> (“FPA”)</w:t>
      </w:r>
      <w:r w:rsidR="00E7103D">
        <w:t xml:space="preserve">. In all, Georgia Power has ownership rights to over 1,100 MW of hydroelectric capacity. </w:t>
      </w:r>
      <w:r w:rsidR="0076167C">
        <w:t>D</w:t>
      </w:r>
      <w:r w:rsidR="00413686">
        <w:t>etails</w:t>
      </w:r>
      <w:r w:rsidR="006E78D5">
        <w:t xml:space="preserve"> related</w:t>
      </w:r>
      <w:r w:rsidR="00792E11">
        <w:t xml:space="preserve"> </w:t>
      </w:r>
      <w:r w:rsidR="00EE3F66">
        <w:t xml:space="preserve">to </w:t>
      </w:r>
      <w:r w:rsidR="00835689">
        <w:t xml:space="preserve">the </w:t>
      </w:r>
      <w:r w:rsidR="00792E11">
        <w:t>FERC relicensing</w:t>
      </w:r>
      <w:r w:rsidR="008977A8">
        <w:t xml:space="preserve"> </w:t>
      </w:r>
      <w:r w:rsidR="00835689">
        <w:t>status and schedule</w:t>
      </w:r>
      <w:r w:rsidR="008977A8">
        <w:t xml:space="preserve"> for these hydr</w:t>
      </w:r>
      <w:r w:rsidR="007C7703">
        <w:t>o generation facilities</w:t>
      </w:r>
      <w:r w:rsidR="0076167C">
        <w:t xml:space="preserve"> are included in Attachment </w:t>
      </w:r>
      <w:r w:rsidR="008E004C">
        <w:t>F</w:t>
      </w:r>
      <w:r w:rsidR="00EE3F66">
        <w:t xml:space="preserve">. </w:t>
      </w:r>
    </w:p>
    <w:p w14:paraId="6256BA3A" w14:textId="641A857C" w:rsidR="00C51290" w:rsidRDefault="00657142" w:rsidP="00C51290">
      <w:pPr>
        <w:jc w:val="both"/>
      </w:pPr>
      <w:r>
        <w:t>Pumped storage hydro facilities, such as Plant Wallace Units 1, 2, 5, and 6, have also reliably served as the original energy storage systems, which continue to be important for the integration of an increasing number of intermittent renewable resources</w:t>
      </w:r>
      <w:r w:rsidR="00156170">
        <w:t xml:space="preserve">. </w:t>
      </w:r>
      <w:r w:rsidR="00540C94">
        <w:t xml:space="preserve">As described in the 2019 and 2022 IRPs, </w:t>
      </w:r>
      <w:r w:rsidR="0031554C">
        <w:t xml:space="preserve">Georgia Power’s hydro </w:t>
      </w:r>
      <w:r w:rsidR="007C212A">
        <w:t xml:space="preserve">generation </w:t>
      </w:r>
      <w:r w:rsidR="0031554C">
        <w:t>facilities</w:t>
      </w:r>
      <w:r w:rsidR="00F82219">
        <w:t xml:space="preserve"> </w:t>
      </w:r>
      <w:r w:rsidR="00C16386">
        <w:t xml:space="preserve">have </w:t>
      </w:r>
      <w:r w:rsidR="00D5756A">
        <w:t>essential</w:t>
      </w:r>
      <w:r w:rsidR="00C16386">
        <w:t xml:space="preserve"> </w:t>
      </w:r>
      <w:r w:rsidR="00A722D5">
        <w:t xml:space="preserve">equipment that has </w:t>
      </w:r>
      <w:r w:rsidR="00C16386">
        <w:t xml:space="preserve">reached or </w:t>
      </w:r>
      <w:r w:rsidR="00A722D5">
        <w:t>is</w:t>
      </w:r>
      <w:r w:rsidR="00C16386">
        <w:t xml:space="preserve"> nearing </w:t>
      </w:r>
      <w:r w:rsidR="00FA1DF1">
        <w:t xml:space="preserve">the </w:t>
      </w:r>
      <w:r w:rsidR="00C16386">
        <w:t xml:space="preserve">end of </w:t>
      </w:r>
      <w:r w:rsidR="00A54DB2">
        <w:t>useful</w:t>
      </w:r>
      <w:r w:rsidR="00C16386">
        <w:t xml:space="preserve"> lif</w:t>
      </w:r>
      <w:r w:rsidR="00B25DBB">
        <w:t>e</w:t>
      </w:r>
      <w:r w:rsidR="00886E78">
        <w:t xml:space="preserve"> and </w:t>
      </w:r>
      <w:r w:rsidR="002154CD">
        <w:t>require</w:t>
      </w:r>
      <w:r w:rsidR="00970BF9">
        <w:t xml:space="preserve"> </w:t>
      </w:r>
      <w:r w:rsidR="00CD4AC0">
        <w:t xml:space="preserve">modernization </w:t>
      </w:r>
      <w:r w:rsidR="00FA37D5">
        <w:t>investments</w:t>
      </w:r>
      <w:r w:rsidR="00064827">
        <w:t xml:space="preserve"> </w:t>
      </w:r>
      <w:r w:rsidR="002154CD">
        <w:t>to</w:t>
      </w:r>
      <w:r w:rsidR="00C72624">
        <w:t xml:space="preserve"> </w:t>
      </w:r>
      <w:r w:rsidR="009F5EE1">
        <w:t>continue</w:t>
      </w:r>
      <w:r w:rsidR="00C72624">
        <w:t xml:space="preserve"> </w:t>
      </w:r>
      <w:r w:rsidR="00C60314">
        <w:t>their</w:t>
      </w:r>
      <w:r w:rsidR="00C72624">
        <w:t xml:space="preserve"> generating capability</w:t>
      </w:r>
      <w:r w:rsidR="00C06B75">
        <w:t xml:space="preserve"> to maintain compliance with t</w:t>
      </w:r>
      <w:r w:rsidR="000319F1">
        <w:t>heir FERC licenses</w:t>
      </w:r>
      <w:r w:rsidR="00C72624">
        <w:t xml:space="preserve"> under the </w:t>
      </w:r>
      <w:r w:rsidR="00E03167">
        <w:t>FPA</w:t>
      </w:r>
      <w:r w:rsidR="00BC235D">
        <w:t>.</w:t>
      </w:r>
      <w:r w:rsidR="00C1300E">
        <w:t xml:space="preserve"> </w:t>
      </w:r>
      <w:r w:rsidR="00C35E67">
        <w:t>Hydro modernization projects include</w:t>
      </w:r>
      <w:r w:rsidR="00291422">
        <w:t xml:space="preserve"> </w:t>
      </w:r>
      <w:r w:rsidR="007F7DC1">
        <w:t>critical</w:t>
      </w:r>
      <w:r w:rsidR="00291422">
        <w:t xml:space="preserve"> </w:t>
      </w:r>
      <w:r w:rsidR="0058253A">
        <w:t xml:space="preserve">replacements </w:t>
      </w:r>
      <w:r w:rsidR="00B12537">
        <w:t>and/or</w:t>
      </w:r>
      <w:r w:rsidR="0058253A">
        <w:t xml:space="preserve"> refurbishments</w:t>
      </w:r>
      <w:r w:rsidR="00291422">
        <w:t xml:space="preserve"> </w:t>
      </w:r>
      <w:r w:rsidR="008D5633">
        <w:t xml:space="preserve">needed for turbines, generators, and balance of plant (“BOP”) equipment. </w:t>
      </w:r>
      <w:r w:rsidR="00C51290">
        <w:t>The</w:t>
      </w:r>
      <w:r w:rsidR="00171EF4">
        <w:t>se</w:t>
      </w:r>
      <w:r w:rsidR="00C51290">
        <w:t xml:space="preserve"> investments</w:t>
      </w:r>
      <w:r w:rsidR="00C51290" w:rsidDel="00943B71">
        <w:t xml:space="preserve"> </w:t>
      </w:r>
      <w:r w:rsidR="00C51290">
        <w:t>will allow these resources to operate for at least another forty years while improving the efficiency and integrity of the hydro fleet and preserving valuable, dispatchable carbon-free resources for the long-term benefit of customers.</w:t>
      </w:r>
    </w:p>
    <w:p w14:paraId="2A8BD596" w14:textId="41697989" w:rsidR="00C04667" w:rsidRDefault="00C04667" w:rsidP="0031350A">
      <w:pPr>
        <w:jc w:val="both"/>
      </w:pPr>
      <w:r w:rsidRPr="00B123EC">
        <w:t xml:space="preserve">Under the </w:t>
      </w:r>
      <w:r w:rsidR="00E03167">
        <w:t>FPA</w:t>
      </w:r>
      <w:r w:rsidRPr="00B123EC">
        <w:t xml:space="preserve">, </w:t>
      </w:r>
      <w:r w:rsidR="007166E5">
        <w:t>license holder</w:t>
      </w:r>
      <w:r w:rsidR="000760C4">
        <w:t xml:space="preserve">s are required </w:t>
      </w:r>
      <w:r w:rsidR="002041EF">
        <w:t>to</w:t>
      </w:r>
      <w:r w:rsidR="000C2D0C">
        <w:t xml:space="preserve"> </w:t>
      </w:r>
      <w:r w:rsidR="00D24333">
        <w:t xml:space="preserve">make all necessary replacements to </w:t>
      </w:r>
      <w:r w:rsidR="000C2D0C">
        <w:t xml:space="preserve">maintain </w:t>
      </w:r>
      <w:r w:rsidR="004F76A8">
        <w:t>facilities</w:t>
      </w:r>
      <w:r w:rsidR="008F27BB">
        <w:t xml:space="preserve"> in a condition adequate for the efficient operation</w:t>
      </w:r>
      <w:r w:rsidR="002921E2">
        <w:t xml:space="preserve"> </w:t>
      </w:r>
      <w:r w:rsidR="00F05B30">
        <w:t xml:space="preserve">in </w:t>
      </w:r>
      <w:r w:rsidR="006B5B7C">
        <w:t>the development and transmission o</w:t>
      </w:r>
      <w:r w:rsidR="005825A2">
        <w:t>f power</w:t>
      </w:r>
      <w:r w:rsidR="00B123EC">
        <w:t>.</w:t>
      </w:r>
      <w:r w:rsidR="00B123EC">
        <w:rPr>
          <w:rStyle w:val="FootnoteReference"/>
        </w:rPr>
        <w:footnoteReference w:id="34"/>
      </w:r>
      <w:r w:rsidR="00DF4503">
        <w:t xml:space="preserve"> </w:t>
      </w:r>
      <w:r w:rsidR="00627697">
        <w:t>FERC</w:t>
      </w:r>
      <w:r w:rsidR="005F3F95">
        <w:t xml:space="preserve"> has </w:t>
      </w:r>
      <w:r w:rsidR="00DC221C">
        <w:t>stated</w:t>
      </w:r>
      <w:r w:rsidR="00C35E7E">
        <w:t>,</w:t>
      </w:r>
      <w:r w:rsidR="00DC221C">
        <w:t xml:space="preserve"> in an</w:t>
      </w:r>
      <w:r w:rsidR="00627697">
        <w:t xml:space="preserve"> O</w:t>
      </w:r>
      <w:r w:rsidR="00427258">
        <w:t xml:space="preserve">rder </w:t>
      </w:r>
      <w:r w:rsidR="00A357C8">
        <w:t>approving a license amendment</w:t>
      </w:r>
      <w:r w:rsidR="00661A73">
        <w:t xml:space="preserve"> associated with </w:t>
      </w:r>
      <w:r w:rsidR="00C35E7E">
        <w:t>one of the</w:t>
      </w:r>
      <w:r w:rsidR="00123F1D">
        <w:t xml:space="preserve"> </w:t>
      </w:r>
      <w:r w:rsidR="00661A73">
        <w:t xml:space="preserve">hydro </w:t>
      </w:r>
      <w:r w:rsidR="00661A73">
        <w:lastRenderedPageBreak/>
        <w:t>modernization</w:t>
      </w:r>
      <w:r w:rsidR="00123F1D">
        <w:t xml:space="preserve"> project</w:t>
      </w:r>
      <w:r w:rsidR="00C35E7E">
        <w:t>s previously approved by the Commission,</w:t>
      </w:r>
      <w:r w:rsidR="007B7294">
        <w:t xml:space="preserve"> that </w:t>
      </w:r>
      <w:r w:rsidR="0049512C">
        <w:t>“given the</w:t>
      </w:r>
      <w:r w:rsidR="00CC04CE">
        <w:t xml:space="preserve"> age of the equipment</w:t>
      </w:r>
      <w:r w:rsidR="00CA3A14">
        <w:t xml:space="preserve">, if Georgia Power does not conduct the proposed work, the </w:t>
      </w:r>
      <w:r w:rsidR="00FB746E">
        <w:t>[facility]</w:t>
      </w:r>
      <w:r w:rsidR="00E118D3">
        <w:t xml:space="preserve"> would be at risk on non-operability</w:t>
      </w:r>
      <w:r w:rsidR="001C6997">
        <w:t xml:space="preserve"> and might not be </w:t>
      </w:r>
      <w:r w:rsidR="00C80843">
        <w:t>able to be operated safely within the current license requirements</w:t>
      </w:r>
      <w:r w:rsidR="002B603E">
        <w:t>. . . .</w:t>
      </w:r>
      <w:r w:rsidR="000D6D8F">
        <w:t xml:space="preserve"> The proposed upgrades would allow Georgia Power to adequately</w:t>
      </w:r>
      <w:r w:rsidR="004D7FB3">
        <w:t xml:space="preserve"> maintain the project and meet the terms of its current license</w:t>
      </w:r>
      <w:r w:rsidR="00DE20E6">
        <w:t>.”</w:t>
      </w:r>
      <w:r w:rsidR="00DE20E6">
        <w:rPr>
          <w:rStyle w:val="FootnoteReference"/>
        </w:rPr>
        <w:footnoteReference w:id="35"/>
      </w:r>
      <w:r w:rsidR="00672635">
        <w:t xml:space="preserve"> </w:t>
      </w:r>
      <w:r w:rsidR="0028099A">
        <w:t>At sites</w:t>
      </w:r>
      <w:r w:rsidR="002E5242">
        <w:t xml:space="preserve"> not yet approved for hydro modernization by the Commission, </w:t>
      </w:r>
      <w:r w:rsidR="00672635">
        <w:t>Georgia Power</w:t>
      </w:r>
      <w:r w:rsidR="004F76A8">
        <w:t xml:space="preserve"> </w:t>
      </w:r>
      <w:r w:rsidR="00520832">
        <w:t>already</w:t>
      </w:r>
      <w:r w:rsidR="004F76A8">
        <w:t xml:space="preserve"> has </w:t>
      </w:r>
      <w:r w:rsidR="003D54C8">
        <w:t>four</w:t>
      </w:r>
      <w:r w:rsidR="004F76A8">
        <w:t xml:space="preserve"> hydro units on forced outage</w:t>
      </w:r>
      <w:r w:rsidR="00B01BE2">
        <w:t xml:space="preserve"> that will remain inoperable</w:t>
      </w:r>
      <w:r w:rsidR="003D54C8">
        <w:t xml:space="preserve"> until hydro modernization work is complete</w:t>
      </w:r>
      <w:r w:rsidR="00512E11">
        <w:t>.</w:t>
      </w:r>
      <w:r w:rsidR="00807EAB">
        <w:t xml:space="preserve"> </w:t>
      </w:r>
      <w:r w:rsidR="00726D8B">
        <w:t>Th</w:t>
      </w:r>
      <w:r w:rsidR="00994D0F">
        <w:t xml:space="preserve">erefore, approval </w:t>
      </w:r>
      <w:r w:rsidR="0096653A">
        <w:t xml:space="preserve">in this IRP </w:t>
      </w:r>
      <w:r w:rsidR="00994D0F">
        <w:t xml:space="preserve">of </w:t>
      </w:r>
      <w:r w:rsidR="007D29EA">
        <w:t xml:space="preserve">the </w:t>
      </w:r>
      <w:r w:rsidR="00994D0F">
        <w:t xml:space="preserve">hydro modernization projects </w:t>
      </w:r>
      <w:r w:rsidR="0096653A">
        <w:t xml:space="preserve">at the remaining hydro </w:t>
      </w:r>
      <w:r w:rsidR="00A937A6">
        <w:t>facilities operated by Georgia Power</w:t>
      </w:r>
      <w:r w:rsidR="00994D0F">
        <w:t xml:space="preserve"> is </w:t>
      </w:r>
      <w:r w:rsidR="007344B3">
        <w:t xml:space="preserve">needed to </w:t>
      </w:r>
      <w:r w:rsidR="00757B99">
        <w:t>ensure ongoing compliance with</w:t>
      </w:r>
      <w:r w:rsidR="00D219A5">
        <w:t xml:space="preserve"> the Company’s FERC licenses</w:t>
      </w:r>
      <w:r w:rsidR="0095356C">
        <w:t xml:space="preserve"> and the FPA</w:t>
      </w:r>
      <w:r w:rsidR="00A56248">
        <w:t>.</w:t>
      </w:r>
    </w:p>
    <w:p w14:paraId="0666EBE7" w14:textId="7ECCA22F" w:rsidR="003B09E4" w:rsidRDefault="003B09E4" w:rsidP="003B09E4">
      <w:pPr>
        <w:jc w:val="both"/>
      </w:pPr>
      <w:r>
        <w:t xml:space="preserve">It is important to note, for units that have not been completed or approved for modernization, outages and equipment failures remain a heightened risk. The Company will take the steps necessary to maintain these units, which may require individual equipment replacement in lieu of the holistic approach utilized </w:t>
      </w:r>
      <w:r w:rsidR="002F62C5">
        <w:t>for</w:t>
      </w:r>
      <w:r>
        <w:t xml:space="preserve"> the </w:t>
      </w:r>
      <w:r w:rsidR="0002244B">
        <w:t>h</w:t>
      </w:r>
      <w:r>
        <w:t xml:space="preserve">ydro </w:t>
      </w:r>
      <w:r w:rsidR="0002244B">
        <w:t>m</w:t>
      </w:r>
      <w:r>
        <w:t>odernization</w:t>
      </w:r>
      <w:r w:rsidR="002F62C5">
        <w:t xml:space="preserve"> projects</w:t>
      </w:r>
      <w:r>
        <w:t xml:space="preserve">. Until these units are approved by the Commission for inclusion in the program, managing inefficiencies and maintaining reliability of these units will remain </w:t>
      </w:r>
      <w:r w:rsidR="596FC357">
        <w:t xml:space="preserve">a </w:t>
      </w:r>
      <w:r>
        <w:t>challenge.</w:t>
      </w:r>
    </w:p>
    <w:p w14:paraId="7DD175BA" w14:textId="46129678" w:rsidR="00DF5BE9" w:rsidRDefault="00290988" w:rsidP="00E7103D">
      <w:pPr>
        <w:jc w:val="both"/>
      </w:pPr>
      <w:r>
        <w:t>I</w:t>
      </w:r>
      <w:r w:rsidR="00BB6A1F">
        <w:t>n the following sections</w:t>
      </w:r>
      <w:r w:rsidR="00815642">
        <w:t xml:space="preserve">, </w:t>
      </w:r>
      <w:r w:rsidR="00EC451F">
        <w:t xml:space="preserve">the Company </w:t>
      </w:r>
      <w:r w:rsidR="00F8636C">
        <w:t>provide</w:t>
      </w:r>
      <w:r w:rsidR="00FA59F1">
        <w:t xml:space="preserve">s </w:t>
      </w:r>
      <w:r w:rsidR="00F8636C">
        <w:t xml:space="preserve">an update on </w:t>
      </w:r>
      <w:r w:rsidR="00F66014">
        <w:t>the</w:t>
      </w:r>
      <w:r w:rsidR="00F8636C">
        <w:t xml:space="preserve"> hydro modernization projects approved in the 2019 and 2022 IRP</w:t>
      </w:r>
      <w:r w:rsidR="00C92F82">
        <w:t xml:space="preserve"> </w:t>
      </w:r>
      <w:r w:rsidR="00290FB9">
        <w:t xml:space="preserve">Orders </w:t>
      </w:r>
      <w:r w:rsidR="00C92F82">
        <w:t xml:space="preserve">and </w:t>
      </w:r>
      <w:r w:rsidR="00C7159E">
        <w:t>detail</w:t>
      </w:r>
      <w:r w:rsidR="00A014F4">
        <w:t xml:space="preserve">s </w:t>
      </w:r>
      <w:r w:rsidR="003D534C">
        <w:t>the request</w:t>
      </w:r>
      <w:r w:rsidR="001F54E4">
        <w:t xml:space="preserve"> in this IRP</w:t>
      </w:r>
      <w:r w:rsidR="002C366C">
        <w:t xml:space="preserve"> </w:t>
      </w:r>
      <w:r w:rsidR="00A50079">
        <w:t>to complete</w:t>
      </w:r>
      <w:r w:rsidR="002C366C">
        <w:t xml:space="preserve"> </w:t>
      </w:r>
      <w:r w:rsidR="0023157F">
        <w:t xml:space="preserve">hydro </w:t>
      </w:r>
      <w:r w:rsidR="00A50079">
        <w:t>modernization projects</w:t>
      </w:r>
      <w:r w:rsidR="002C366C">
        <w:t xml:space="preserve"> for the remaining </w:t>
      </w:r>
      <w:r w:rsidR="0023157F">
        <w:t xml:space="preserve">hydro generation facilities operated by </w:t>
      </w:r>
      <w:r w:rsidR="002C366C">
        <w:t>Georgia Power</w:t>
      </w:r>
      <w:r w:rsidR="0023157F">
        <w:t>.</w:t>
      </w:r>
      <w:r w:rsidR="002C366C">
        <w:t xml:space="preserve"> </w:t>
      </w:r>
      <w:r w:rsidR="009F45CD">
        <w:t>Additionally, Georgia Power is requesting</w:t>
      </w:r>
      <w:r w:rsidR="00AB1B46">
        <w:t xml:space="preserve"> </w:t>
      </w:r>
      <w:r w:rsidR="0041011A">
        <w:t xml:space="preserve">the </w:t>
      </w:r>
      <w:r w:rsidR="0087387E">
        <w:t>authority to develop, own, and operate the</w:t>
      </w:r>
      <w:r w:rsidR="0041011A">
        <w:t xml:space="preserve"> increased capacity associated with</w:t>
      </w:r>
      <w:r w:rsidR="00AB1B46">
        <w:t xml:space="preserve"> </w:t>
      </w:r>
      <w:r w:rsidR="000A34A6">
        <w:t xml:space="preserve">turbine redevelopment for </w:t>
      </w:r>
      <w:r w:rsidR="00963198">
        <w:t>Goat Rock Units 3-6</w:t>
      </w:r>
      <w:r w:rsidR="00EB2044">
        <w:t>.</w:t>
      </w:r>
    </w:p>
    <w:p w14:paraId="6068F6D0" w14:textId="1055EF01" w:rsidR="00E7103D" w:rsidRDefault="00606B21" w:rsidP="00E7103D">
      <w:pPr>
        <w:jc w:val="both"/>
      </w:pPr>
      <w:r>
        <w:t xml:space="preserve">The </w:t>
      </w:r>
      <w:r w:rsidR="00976A6B">
        <w:t>Supply</w:t>
      </w:r>
      <w:r w:rsidR="00A37B43">
        <w:t>-</w:t>
      </w:r>
      <w:r w:rsidR="00976A6B">
        <w:t xml:space="preserve">Side Stipulation approved in the </w:t>
      </w:r>
      <w:r w:rsidR="00B22453">
        <w:t>2022 IRP</w:t>
      </w:r>
      <w:r w:rsidR="00937EC7">
        <w:t xml:space="preserve"> Order</w:t>
      </w:r>
      <w:r w:rsidR="003068C7">
        <w:t xml:space="preserve"> requires that all future hydro modernization requests</w:t>
      </w:r>
      <w:r w:rsidR="00D32887">
        <w:t xml:space="preserve"> include a cost-benefit</w:t>
      </w:r>
      <w:r w:rsidR="00A84F4E">
        <w:t xml:space="preserve"> analysis and economic comparison of the alternatives to</w:t>
      </w:r>
      <w:r w:rsidR="001A7774">
        <w:t xml:space="preserve"> modernization</w:t>
      </w:r>
      <w:r w:rsidR="001A4F0A">
        <w:t xml:space="preserve">. </w:t>
      </w:r>
      <w:r w:rsidR="00945C3B">
        <w:t>Additionally, t</w:t>
      </w:r>
      <w:r w:rsidR="001A4F0A">
        <w:t>his type of analysis</w:t>
      </w:r>
      <w:r w:rsidR="000B11E4">
        <w:t xml:space="preserve"> is required </w:t>
      </w:r>
      <w:r w:rsidR="00B84082">
        <w:t xml:space="preserve">in the 2025 IRP </w:t>
      </w:r>
      <w:r w:rsidR="00B85C3F">
        <w:t>for the previously approved Plant Burton</w:t>
      </w:r>
      <w:r w:rsidR="006668C4">
        <w:t>.</w:t>
      </w:r>
      <w:r w:rsidR="003C0A57">
        <w:rPr>
          <w:rStyle w:val="FootnoteReference"/>
        </w:rPr>
        <w:footnoteReference w:id="36"/>
      </w:r>
      <w:r w:rsidR="0056709E">
        <w:t xml:space="preserve"> </w:t>
      </w:r>
      <w:r w:rsidR="00767CFB">
        <w:t>These analyses</w:t>
      </w:r>
      <w:r w:rsidR="000D476D">
        <w:t xml:space="preserve"> </w:t>
      </w:r>
      <w:r w:rsidR="00E1293A">
        <w:t>for Plant Burton and the remaining hydro fleet</w:t>
      </w:r>
      <w:r w:rsidR="000D476D">
        <w:t xml:space="preserve"> are included in </w:t>
      </w:r>
      <w:r w:rsidR="0044305A">
        <w:t xml:space="preserve">the Hydro Modernization section of </w:t>
      </w:r>
      <w:r w:rsidR="000D476D">
        <w:t xml:space="preserve">Technical Appendix </w:t>
      </w:r>
      <w:r w:rsidR="00F20FF2">
        <w:t>V</w:t>
      </w:r>
      <w:r w:rsidR="000D476D">
        <w:t xml:space="preserve">olume </w:t>
      </w:r>
      <w:r w:rsidR="00B64894">
        <w:t>1</w:t>
      </w:r>
      <w:r w:rsidR="0044305A">
        <w:t>.</w:t>
      </w:r>
    </w:p>
    <w:p w14:paraId="79A09368" w14:textId="530053B9" w:rsidR="00E7103D" w:rsidRPr="00C25B86" w:rsidRDefault="00C25B86" w:rsidP="00C25B86">
      <w:pPr>
        <w:pStyle w:val="Heading3"/>
      </w:pPr>
      <w:r>
        <w:t>8.</w:t>
      </w:r>
      <w:r w:rsidR="00E27821">
        <w:t>6</w:t>
      </w:r>
      <w:r>
        <w:t xml:space="preserve">.2 – </w:t>
      </w:r>
      <w:r w:rsidR="00E7103D" w:rsidRPr="00C25B86">
        <w:t xml:space="preserve">Progress </w:t>
      </w:r>
      <w:r w:rsidR="008E2D07">
        <w:t>S</w:t>
      </w:r>
      <w:r w:rsidR="00E7103D" w:rsidRPr="00C25B86">
        <w:t xml:space="preserve">ince the </w:t>
      </w:r>
      <w:r w:rsidR="002E2C5B" w:rsidRPr="00C25B86">
        <w:t>20</w:t>
      </w:r>
      <w:r w:rsidR="002E2C5B">
        <w:t>22</w:t>
      </w:r>
      <w:r w:rsidR="002E2C5B" w:rsidRPr="00C25B86">
        <w:t xml:space="preserve"> </w:t>
      </w:r>
      <w:r w:rsidR="00E7103D" w:rsidRPr="00C25B86">
        <w:t>IRP</w:t>
      </w:r>
    </w:p>
    <w:p w14:paraId="2043EA54" w14:textId="2584A209" w:rsidR="00E7103D" w:rsidRDefault="00E7103D" w:rsidP="00E7103D">
      <w:pPr>
        <w:jc w:val="both"/>
      </w:pPr>
      <w:r>
        <w:t>In the 2019 IRP, the Commission approved five projects in the hydro modernization plan: Plant Terrora</w:t>
      </w:r>
      <w:r w:rsidR="00297FFA">
        <w:t>;</w:t>
      </w:r>
      <w:r>
        <w:t xml:space="preserve"> Plant Tugalo</w:t>
      </w:r>
      <w:r w:rsidR="00297FFA">
        <w:t>;</w:t>
      </w:r>
      <w:r>
        <w:t xml:space="preserve"> Plant Bartletts Ferry</w:t>
      </w:r>
      <w:r w:rsidR="00EB78F9">
        <w:t xml:space="preserve"> Units 1</w:t>
      </w:r>
      <w:r w:rsidR="00540D97">
        <w:t>-</w:t>
      </w:r>
      <w:r w:rsidR="00EB78F9">
        <w:t>4</w:t>
      </w:r>
      <w:r w:rsidR="00297FFA">
        <w:t>;</w:t>
      </w:r>
      <w:r>
        <w:t xml:space="preserve"> Plant Nacoochee</w:t>
      </w:r>
      <w:r w:rsidR="00297FFA">
        <w:t>;</w:t>
      </w:r>
      <w:r>
        <w:t xml:space="preserve"> and Plant Oliver. </w:t>
      </w:r>
      <w:r w:rsidR="00C301DA">
        <w:t>I</w:t>
      </w:r>
      <w:r w:rsidR="009C44A9">
        <w:t xml:space="preserve">n the 2022 IRP, the Commission approved two additional </w:t>
      </w:r>
      <w:r w:rsidR="00927D62">
        <w:t xml:space="preserve">hydro modernization </w:t>
      </w:r>
      <w:r w:rsidR="009C44A9">
        <w:t xml:space="preserve">projects </w:t>
      </w:r>
      <w:r w:rsidR="00531D92">
        <w:t>at</w:t>
      </w:r>
      <w:r w:rsidR="009C44A9">
        <w:t xml:space="preserve"> Plant</w:t>
      </w:r>
      <w:r w:rsidR="00531D92">
        <w:t>s</w:t>
      </w:r>
      <w:r w:rsidR="009C44A9">
        <w:t xml:space="preserve"> </w:t>
      </w:r>
      <w:r w:rsidR="00531D92">
        <w:t>Burton</w:t>
      </w:r>
      <w:r w:rsidR="009C44A9">
        <w:t xml:space="preserve"> and </w:t>
      </w:r>
      <w:r w:rsidR="00531D92">
        <w:t>Sinclair.</w:t>
      </w:r>
      <w:r w:rsidR="009C44A9">
        <w:t xml:space="preserve"> </w:t>
      </w:r>
      <w:r>
        <w:t xml:space="preserve">Since then, the Company has </w:t>
      </w:r>
      <w:r w:rsidR="007A5FE5">
        <w:t>continued</w:t>
      </w:r>
      <w:r>
        <w:t xml:space="preserve"> making significant progress </w:t>
      </w:r>
      <w:r w:rsidR="00804A2F">
        <w:t xml:space="preserve">on these approved projects </w:t>
      </w:r>
      <w:r w:rsidR="001B6317">
        <w:t xml:space="preserve">through the design, engineering, procurement, and </w:t>
      </w:r>
      <w:r w:rsidR="00E1458D">
        <w:t>construction of th</w:t>
      </w:r>
      <w:r w:rsidR="007B3EA1">
        <w:t>is</w:t>
      </w:r>
      <w:r w:rsidR="00E1458D">
        <w:t xml:space="preserve"> </w:t>
      </w:r>
      <w:r>
        <w:t xml:space="preserve">highly specialized </w:t>
      </w:r>
      <w:r w:rsidR="007B3EA1">
        <w:t>equipment</w:t>
      </w:r>
      <w:r>
        <w:t>.</w:t>
      </w:r>
      <w:r w:rsidR="00E30201">
        <w:t xml:space="preserve"> </w:t>
      </w:r>
      <w:r w:rsidR="00BD0E24">
        <w:t>The modernization project for</w:t>
      </w:r>
      <w:r>
        <w:t xml:space="preserve"> Plant Terrora Units 1</w:t>
      </w:r>
      <w:r w:rsidR="002A4F59">
        <w:t>-</w:t>
      </w:r>
      <w:r>
        <w:t xml:space="preserve">2 </w:t>
      </w:r>
      <w:r w:rsidR="00946C54">
        <w:t>w</w:t>
      </w:r>
      <w:r w:rsidR="00BB048D">
        <w:t>as</w:t>
      </w:r>
      <w:r w:rsidR="00946C54">
        <w:t xml:space="preserve"> </w:t>
      </w:r>
      <w:r>
        <w:t>completed on time and under budget</w:t>
      </w:r>
      <w:r w:rsidR="00224996">
        <w:t>, with the units returning to normal operation</w:t>
      </w:r>
      <w:r w:rsidR="00D071F1">
        <w:t xml:space="preserve"> </w:t>
      </w:r>
      <w:r w:rsidR="00946C54">
        <w:t>in</w:t>
      </w:r>
      <w:r w:rsidR="00D071F1">
        <w:t xml:space="preserve"> </w:t>
      </w:r>
      <w:r w:rsidR="00224996">
        <w:t xml:space="preserve">November 2021 </w:t>
      </w:r>
      <w:r w:rsidR="00D071F1">
        <w:t xml:space="preserve">and </w:t>
      </w:r>
      <w:r w:rsidR="00224996">
        <w:t>December 2020, respectively</w:t>
      </w:r>
      <w:r w:rsidDel="00224996">
        <w:t>.</w:t>
      </w:r>
      <w:r>
        <w:t xml:space="preserve"> </w:t>
      </w:r>
      <w:r w:rsidR="00EA0ECD">
        <w:t xml:space="preserve">Since the 2022 IRP, the modernization projects </w:t>
      </w:r>
      <w:r w:rsidR="00045A50">
        <w:t>were</w:t>
      </w:r>
      <w:r w:rsidR="00EA0ECD">
        <w:t xml:space="preserve"> completed for Plant Tugalo Units 1</w:t>
      </w:r>
      <w:r w:rsidR="002A4F59">
        <w:t>-</w:t>
      </w:r>
      <w:r w:rsidR="00EA0ECD">
        <w:t>2</w:t>
      </w:r>
      <w:r w:rsidR="00045A50">
        <w:t xml:space="preserve"> in 2023</w:t>
      </w:r>
      <w:r w:rsidR="00353A0B">
        <w:t xml:space="preserve"> </w:t>
      </w:r>
      <w:r w:rsidR="005E5E93">
        <w:t xml:space="preserve">– </w:t>
      </w:r>
      <w:r w:rsidR="0052538C">
        <w:t>months ahead of schedule</w:t>
      </w:r>
      <w:r w:rsidR="00195ACB">
        <w:t xml:space="preserve">, </w:t>
      </w:r>
      <w:r w:rsidR="002C76C2">
        <w:t>leading to</w:t>
      </w:r>
      <w:r w:rsidR="0037243C">
        <w:t xml:space="preserve"> </w:t>
      </w:r>
      <w:r w:rsidR="00201D72">
        <w:t>project cost savings.</w:t>
      </w:r>
      <w:r w:rsidR="00353A0B">
        <w:t xml:space="preserve"> </w:t>
      </w:r>
      <w:r w:rsidR="00577CC5" w:rsidRPr="007C6DB5">
        <w:t xml:space="preserve">The modernization project for </w:t>
      </w:r>
      <w:r w:rsidR="00803DB2" w:rsidRPr="007C6DB5">
        <w:t>Plant Tugalo</w:t>
      </w:r>
      <w:r w:rsidR="00353A0B" w:rsidRPr="007C6DB5">
        <w:t xml:space="preserve"> Unit 3</w:t>
      </w:r>
      <w:r w:rsidR="00577CC5" w:rsidRPr="007C6DB5">
        <w:t xml:space="preserve"> was completed</w:t>
      </w:r>
      <w:r w:rsidR="003F64BF" w:rsidRPr="007C6DB5">
        <w:t xml:space="preserve"> in 2024</w:t>
      </w:r>
      <w:r w:rsidR="006B1B5B" w:rsidRPr="007C6DB5">
        <w:t xml:space="preserve">, </w:t>
      </w:r>
      <w:r w:rsidR="006C07A1" w:rsidRPr="007C6DB5">
        <w:t>and</w:t>
      </w:r>
      <w:r w:rsidR="006B1B5B" w:rsidRPr="007C6DB5">
        <w:t xml:space="preserve"> </w:t>
      </w:r>
      <w:r w:rsidR="000F5150" w:rsidRPr="007C6DB5">
        <w:t xml:space="preserve">installation work </w:t>
      </w:r>
      <w:r w:rsidR="006C07A1" w:rsidRPr="007C6DB5">
        <w:t xml:space="preserve">is </w:t>
      </w:r>
      <w:r w:rsidR="000F5150" w:rsidRPr="007C6DB5">
        <w:t xml:space="preserve">ongoing for </w:t>
      </w:r>
      <w:r w:rsidR="006B1B5B" w:rsidRPr="007C6DB5">
        <w:t xml:space="preserve">Unit 4 </w:t>
      </w:r>
      <w:r w:rsidR="006C07A1" w:rsidRPr="007C6DB5">
        <w:t>with</w:t>
      </w:r>
      <w:r w:rsidR="006E43D8" w:rsidRPr="007C6DB5">
        <w:t xml:space="preserve"> </w:t>
      </w:r>
      <w:r w:rsidR="006B1B5B" w:rsidRPr="007C6DB5">
        <w:t xml:space="preserve">expected </w:t>
      </w:r>
      <w:r w:rsidR="006E43D8" w:rsidRPr="007C6DB5">
        <w:t>completion</w:t>
      </w:r>
      <w:r w:rsidR="006B1B5B" w:rsidRPr="007C6DB5">
        <w:t xml:space="preserve"> in </w:t>
      </w:r>
      <w:r w:rsidR="00DA73A0" w:rsidRPr="007C6DB5">
        <w:t>the first half of 2025</w:t>
      </w:r>
      <w:r w:rsidR="007630CE" w:rsidRPr="007C6DB5">
        <w:t>.</w:t>
      </w:r>
      <w:r w:rsidR="00B17302">
        <w:t xml:space="preserve"> </w:t>
      </w:r>
      <w:r w:rsidR="00E95361">
        <w:t xml:space="preserve">Engineering and procurement activities have been </w:t>
      </w:r>
      <w:r w:rsidR="00E95361">
        <w:lastRenderedPageBreak/>
        <w:t xml:space="preserve">completed for </w:t>
      </w:r>
      <w:r w:rsidR="00701138">
        <w:t xml:space="preserve">Plant Bartletts Ferry </w:t>
      </w:r>
      <w:r w:rsidR="00D877F3">
        <w:t>Units 1</w:t>
      </w:r>
      <w:r w:rsidR="00540D97">
        <w:t>-</w:t>
      </w:r>
      <w:r w:rsidR="00C15F4D">
        <w:t>4</w:t>
      </w:r>
      <w:r w:rsidR="00E95361">
        <w:t>,</w:t>
      </w:r>
      <w:r w:rsidR="000470F1">
        <w:t xml:space="preserve"> and construction is </w:t>
      </w:r>
      <w:r w:rsidR="00865A65">
        <w:t xml:space="preserve">currently </w:t>
      </w:r>
      <w:r w:rsidR="000470F1">
        <w:t>ongoing at the site</w:t>
      </w:r>
      <w:r w:rsidR="005C322A">
        <w:t xml:space="preserve">, </w:t>
      </w:r>
      <w:r w:rsidR="00585759">
        <w:t>where</w:t>
      </w:r>
      <w:r w:rsidR="000E1AC7">
        <w:t xml:space="preserve"> challenges associated with</w:t>
      </w:r>
      <w:r w:rsidR="00585759">
        <w:t xml:space="preserve"> </w:t>
      </w:r>
      <w:r w:rsidR="009248DC">
        <w:t>supply chain issues</w:t>
      </w:r>
      <w:r w:rsidR="00893628">
        <w:t xml:space="preserve"> and identification of </w:t>
      </w:r>
      <w:r w:rsidR="00FB4FBC">
        <w:t>more equipment</w:t>
      </w:r>
      <w:r w:rsidDel="00893628">
        <w:t xml:space="preserve"> wear </w:t>
      </w:r>
      <w:r w:rsidR="00FB4FBC">
        <w:t xml:space="preserve">and damage than anticipated </w:t>
      </w:r>
      <w:r w:rsidR="00893628">
        <w:t xml:space="preserve">during </w:t>
      </w:r>
      <w:r w:rsidR="009416D4">
        <w:t>the discovery process</w:t>
      </w:r>
      <w:r w:rsidR="002D5B77">
        <w:t>,</w:t>
      </w:r>
      <w:r w:rsidR="009416D4">
        <w:t xml:space="preserve"> </w:t>
      </w:r>
      <w:r w:rsidR="00A604A2">
        <w:t>are expected to result in overall delays to</w:t>
      </w:r>
      <w:r w:rsidR="003F4973">
        <w:t xml:space="preserve"> the </w:t>
      </w:r>
      <w:r w:rsidR="005A5C53">
        <w:t>project</w:t>
      </w:r>
      <w:r w:rsidR="00A604A2">
        <w:t xml:space="preserve">. </w:t>
      </w:r>
      <w:r w:rsidR="00DC3933">
        <w:t>Engineering</w:t>
      </w:r>
      <w:r>
        <w:t xml:space="preserve"> and </w:t>
      </w:r>
      <w:r w:rsidR="00FA786E">
        <w:t>procurement processes</w:t>
      </w:r>
      <w:r>
        <w:t xml:space="preserve"> are in progress for the remaining plants. The Company has kept the Commission abreast of its progress on these units through its bi-annual reporting in Docket No</w:t>
      </w:r>
      <w:r w:rsidR="002C15AD">
        <w:t>s</w:t>
      </w:r>
      <w:r>
        <w:t>. 42310</w:t>
      </w:r>
      <w:r w:rsidR="002C15AD">
        <w:t xml:space="preserve"> and 44160</w:t>
      </w:r>
      <w:r>
        <w:t>.</w:t>
      </w:r>
    </w:p>
    <w:p w14:paraId="10BFCAA2" w14:textId="1D784F1A" w:rsidR="00CC6E7C" w:rsidRDefault="00A539C1" w:rsidP="00BB12BB">
      <w:pPr>
        <w:spacing w:line="276" w:lineRule="auto"/>
        <w:jc w:val="both"/>
      </w:pPr>
      <w:r>
        <w:t>F</w:t>
      </w:r>
      <w:r w:rsidR="003B4D84">
        <w:t xml:space="preserve">or the approved hydro modernization projects, Georgia Power has </w:t>
      </w:r>
      <w:r w:rsidR="000C1866">
        <w:t xml:space="preserve">been selected for </w:t>
      </w:r>
      <w:r w:rsidR="00CD2022">
        <w:t>approximately $1</w:t>
      </w:r>
      <w:r w:rsidR="00A22CDF">
        <w:t>5</w:t>
      </w:r>
      <w:r w:rsidR="00CD2022">
        <w:t xml:space="preserve"> million</w:t>
      </w:r>
      <w:r w:rsidR="002E5F19">
        <w:t xml:space="preserve"> in DOE</w:t>
      </w:r>
      <w:r w:rsidR="00A529CF">
        <w:t xml:space="preserve"> grant funding </w:t>
      </w:r>
      <w:r w:rsidR="00DC3E96">
        <w:t>related to hydroelectric</w:t>
      </w:r>
      <w:r w:rsidR="007D23F3">
        <w:t xml:space="preserve"> efficiency improvement</w:t>
      </w:r>
      <w:r w:rsidR="00A52A79">
        <w:t>s and maintaining</w:t>
      </w:r>
      <w:r w:rsidR="006D010C">
        <w:t xml:space="preserve"> and enhancing hydroelectricity </w:t>
      </w:r>
      <w:r w:rsidR="00A529CF">
        <w:t>under</w:t>
      </w:r>
      <w:r w:rsidR="00732883">
        <w:t xml:space="preserve"> </w:t>
      </w:r>
      <w:r w:rsidR="00A529CF">
        <w:t>the Infrastructure Investment and Jobs Act</w:t>
      </w:r>
      <w:r w:rsidR="005F4A77">
        <w:t xml:space="preserve"> (“IIJA”)</w:t>
      </w:r>
      <w:r w:rsidR="00A513BF">
        <w:t xml:space="preserve">, </w:t>
      </w:r>
      <w:r w:rsidR="00713D44">
        <w:t>also known as the Bipartisan Infrastructure Law.</w:t>
      </w:r>
      <w:r w:rsidR="00033E8C">
        <w:t xml:space="preserve"> The full amount of </w:t>
      </w:r>
      <w:r w:rsidR="00862647">
        <w:t>each grant is awarded</w:t>
      </w:r>
      <w:r w:rsidR="00647102">
        <w:t xml:space="preserve"> at the success</w:t>
      </w:r>
      <w:r w:rsidR="009459F1">
        <w:t>ful completion of the project for all applicable units.</w:t>
      </w:r>
      <w:r w:rsidR="0052735A">
        <w:t xml:space="preserve"> </w:t>
      </w:r>
      <w:r w:rsidR="00D958D6">
        <w:t>The selected projects are Plant Tugalo Units 1-4 Turbine Upgrades</w:t>
      </w:r>
      <w:r w:rsidR="00CF11BD">
        <w:t xml:space="preserve"> ($5 million)</w:t>
      </w:r>
      <w:r w:rsidR="00981CFF">
        <w:t>, Plant Tugalo Generator Upgrades</w:t>
      </w:r>
      <w:r w:rsidR="00CF11BD">
        <w:t xml:space="preserve"> ($5 million)</w:t>
      </w:r>
      <w:r w:rsidR="00981CFF">
        <w:t xml:space="preserve">, </w:t>
      </w:r>
      <w:r w:rsidR="00C00ED4">
        <w:t xml:space="preserve">and </w:t>
      </w:r>
      <w:r w:rsidR="00981CFF">
        <w:t>Plant Bartletts Ferry Units 1-4 Generator Upgrades</w:t>
      </w:r>
      <w:r w:rsidR="00CF11BD">
        <w:t xml:space="preserve"> ($5 million).</w:t>
      </w:r>
      <w:r w:rsidR="00981CFF">
        <w:t xml:space="preserve"> </w:t>
      </w:r>
      <w:r w:rsidR="00D56161" w:rsidRPr="1F97FD5B">
        <w:t xml:space="preserve">Georgia Power is pursuing DOE </w:t>
      </w:r>
      <w:r w:rsidR="00E3288D" w:rsidRPr="1F97FD5B">
        <w:t xml:space="preserve">Title 17 </w:t>
      </w:r>
      <w:r w:rsidR="00D56161" w:rsidRPr="1F97FD5B">
        <w:t xml:space="preserve">loan opportunities that support </w:t>
      </w:r>
      <w:r w:rsidR="00E3288D">
        <w:t>E</w:t>
      </w:r>
      <w:r w:rsidR="00E3288D" w:rsidRPr="1F97FD5B">
        <w:t xml:space="preserve">nergy </w:t>
      </w:r>
      <w:r w:rsidR="00E3288D">
        <w:t>I</w:t>
      </w:r>
      <w:r w:rsidR="00E3288D" w:rsidRPr="1F97FD5B">
        <w:t xml:space="preserve">nfrastructure </w:t>
      </w:r>
      <w:r w:rsidR="00E3288D">
        <w:t>R</w:t>
      </w:r>
      <w:r w:rsidR="00D56161" w:rsidRPr="1F97FD5B">
        <w:t xml:space="preserve">einvestment. </w:t>
      </w:r>
      <w:r w:rsidR="00A10E22">
        <w:t xml:space="preserve">The Company </w:t>
      </w:r>
      <w:r w:rsidR="008A2090">
        <w:t>also seeks to maximize</w:t>
      </w:r>
      <w:r w:rsidR="00800501">
        <w:t xml:space="preserve"> </w:t>
      </w:r>
      <w:r w:rsidR="004F3455">
        <w:t xml:space="preserve">available </w:t>
      </w:r>
      <w:r w:rsidR="00800501">
        <w:t>IRA</w:t>
      </w:r>
      <w:r w:rsidR="002C2EAF">
        <w:t xml:space="preserve"> and state</w:t>
      </w:r>
      <w:r w:rsidR="00800501">
        <w:t xml:space="preserve"> </w:t>
      </w:r>
      <w:r w:rsidR="006108EE">
        <w:t>tax credit</w:t>
      </w:r>
      <w:r w:rsidR="0089580E">
        <w:t>s</w:t>
      </w:r>
      <w:r w:rsidR="008B485F" w:rsidRPr="008B485F">
        <w:t xml:space="preserve"> </w:t>
      </w:r>
      <w:r w:rsidR="0089580E">
        <w:t>in order to pass those</w:t>
      </w:r>
      <w:r w:rsidR="000772F1">
        <w:t xml:space="preserve"> benefit</w:t>
      </w:r>
      <w:r w:rsidR="006108EE">
        <w:t>s</w:t>
      </w:r>
      <w:r w:rsidR="0089580E">
        <w:t xml:space="preserve"> through</w:t>
      </w:r>
      <w:r w:rsidR="00E17D7D">
        <w:t xml:space="preserve"> to customers</w:t>
      </w:r>
      <w:r w:rsidR="00492339">
        <w:t xml:space="preserve"> for all ongoing projects</w:t>
      </w:r>
      <w:r w:rsidR="00D56161" w:rsidRPr="1F97FD5B">
        <w:t xml:space="preserve">. </w:t>
      </w:r>
      <w:r w:rsidR="002C72A2">
        <w:t>Commi</w:t>
      </w:r>
      <w:r w:rsidR="008175F2">
        <w:t>s</w:t>
      </w:r>
      <w:r w:rsidR="002C72A2">
        <w:t>sion approval of these hydro modernization</w:t>
      </w:r>
      <w:r w:rsidR="009942EA">
        <w:t xml:space="preserve"> </w:t>
      </w:r>
      <w:r w:rsidR="000E5BDF">
        <w:t xml:space="preserve">projects </w:t>
      </w:r>
      <w:r w:rsidR="000A3B60">
        <w:t>has</w:t>
      </w:r>
      <w:r w:rsidR="00981CFF">
        <w:t xml:space="preserve"> </w:t>
      </w:r>
      <w:r w:rsidR="00F15A3B">
        <w:t>provided</w:t>
      </w:r>
      <w:r w:rsidR="009942EA">
        <w:t xml:space="preserve"> the Company </w:t>
      </w:r>
      <w:r w:rsidR="00824822">
        <w:t xml:space="preserve">with </w:t>
      </w:r>
      <w:r w:rsidR="007312D9">
        <w:t xml:space="preserve">the </w:t>
      </w:r>
      <w:r w:rsidR="00824822">
        <w:t>certainty</w:t>
      </w:r>
      <w:r w:rsidR="004838E9">
        <w:t xml:space="preserve"> </w:t>
      </w:r>
      <w:r w:rsidR="007312D9">
        <w:t xml:space="preserve">needed </w:t>
      </w:r>
      <w:r w:rsidR="009942EA">
        <w:t>t</w:t>
      </w:r>
      <w:r w:rsidR="00766C71">
        <w:t xml:space="preserve">o </w:t>
      </w:r>
      <w:r w:rsidR="00216272">
        <w:t>begin</w:t>
      </w:r>
      <w:r w:rsidR="00ED54AA">
        <w:t xml:space="preserve"> the work </w:t>
      </w:r>
      <w:r w:rsidR="007312D9">
        <w:t>required</w:t>
      </w:r>
      <w:r w:rsidR="009D0A58">
        <w:t xml:space="preserve"> to apply for this </w:t>
      </w:r>
      <w:r w:rsidR="008175F2">
        <w:t>federal funding.</w:t>
      </w:r>
      <w:r w:rsidR="00981CFF">
        <w:t xml:space="preserve"> </w:t>
      </w:r>
    </w:p>
    <w:p w14:paraId="68816192" w14:textId="560354E4" w:rsidR="00E7103D" w:rsidRDefault="004402FD" w:rsidP="004402FD">
      <w:pPr>
        <w:pStyle w:val="Heading3"/>
      </w:pPr>
      <w:r>
        <w:t>8.</w:t>
      </w:r>
      <w:r w:rsidR="00E27821">
        <w:t>6</w:t>
      </w:r>
      <w:r>
        <w:t xml:space="preserve">.3 – </w:t>
      </w:r>
      <w:r w:rsidR="00E7103D">
        <w:t xml:space="preserve">Next Steps: </w:t>
      </w:r>
      <w:r w:rsidR="0029483F">
        <w:t>Remaining Hydro Fleet</w:t>
      </w:r>
      <w:r w:rsidR="00475A37">
        <w:t xml:space="preserve"> </w:t>
      </w:r>
    </w:p>
    <w:p w14:paraId="63998B58" w14:textId="540FA8B9" w:rsidR="00A534EE" w:rsidRDefault="00E7103D" w:rsidP="00E7103D">
      <w:pPr>
        <w:jc w:val="both"/>
      </w:pPr>
      <w:r>
        <w:t xml:space="preserve">As the Company progresses on the </w:t>
      </w:r>
      <w:r w:rsidR="003F1792">
        <w:t>currently approved seven</w:t>
      </w:r>
      <w:r>
        <w:t xml:space="preserve"> projects, it is imperative to continue the hydro modernization efforts on the remaining </w:t>
      </w:r>
      <w:r w:rsidR="006672B0">
        <w:t>nine facilities</w:t>
      </w:r>
      <w:r w:rsidR="008C1490">
        <w:t xml:space="preserve">: </w:t>
      </w:r>
      <w:r w:rsidR="00CC30E1">
        <w:t>Plant</w:t>
      </w:r>
      <w:r w:rsidR="00444302">
        <w:t xml:space="preserve"> </w:t>
      </w:r>
      <w:r w:rsidR="0087125F">
        <w:t xml:space="preserve">Tallulah and </w:t>
      </w:r>
      <w:r w:rsidR="00D66A39">
        <w:t xml:space="preserve">Plant </w:t>
      </w:r>
      <w:r w:rsidR="0087125F">
        <w:t xml:space="preserve">Yonah </w:t>
      </w:r>
      <w:r w:rsidR="00283D07">
        <w:t>in the</w:t>
      </w:r>
      <w:r w:rsidR="0087125F">
        <w:t xml:space="preserve"> </w:t>
      </w:r>
      <w:r w:rsidR="00F5736F">
        <w:t>North Georgia</w:t>
      </w:r>
      <w:r w:rsidR="00CD1C3F">
        <w:t xml:space="preserve"> </w:t>
      </w:r>
      <w:r w:rsidR="00685E17">
        <w:t>Hydro</w:t>
      </w:r>
      <w:r w:rsidR="00283D07">
        <w:t xml:space="preserve"> Group</w:t>
      </w:r>
      <w:r w:rsidR="00CB1404">
        <w:t xml:space="preserve">; </w:t>
      </w:r>
      <w:r w:rsidR="00925872">
        <w:t>Plant Bartletts Ferry Units 5</w:t>
      </w:r>
      <w:r w:rsidR="000E489F">
        <w:t>-</w:t>
      </w:r>
      <w:r w:rsidR="00925872">
        <w:t>6</w:t>
      </w:r>
      <w:r w:rsidR="00D66A39">
        <w:t>,</w:t>
      </w:r>
      <w:r w:rsidR="00277402">
        <w:t xml:space="preserve"> Plant Goat Ro</w:t>
      </w:r>
      <w:r w:rsidR="00687362">
        <w:t>ck</w:t>
      </w:r>
      <w:r w:rsidR="00D66A39">
        <w:t>,</w:t>
      </w:r>
      <w:r w:rsidR="00687362">
        <w:t xml:space="preserve"> and </w:t>
      </w:r>
      <w:r w:rsidR="00D66A39">
        <w:t>Plant</w:t>
      </w:r>
      <w:r w:rsidR="00687362">
        <w:t xml:space="preserve"> </w:t>
      </w:r>
      <w:r w:rsidR="00277402">
        <w:t>North Hi</w:t>
      </w:r>
      <w:r w:rsidR="00687362">
        <w:t>ghland</w:t>
      </w:r>
      <w:r w:rsidR="00023082">
        <w:t xml:space="preserve">s </w:t>
      </w:r>
      <w:r w:rsidR="00283D07">
        <w:t>in the</w:t>
      </w:r>
      <w:r w:rsidR="00023082">
        <w:t xml:space="preserve"> Chattahoochee Hydro</w:t>
      </w:r>
      <w:r w:rsidR="007F1D57">
        <w:t xml:space="preserve"> Group</w:t>
      </w:r>
      <w:r w:rsidR="00023082">
        <w:t xml:space="preserve">; </w:t>
      </w:r>
      <w:r w:rsidR="008417DE">
        <w:t>Plant</w:t>
      </w:r>
      <w:r w:rsidR="00D530F5">
        <w:t xml:space="preserve"> Lloyd Shoals</w:t>
      </w:r>
      <w:r w:rsidR="002F68BE">
        <w:t xml:space="preserve"> and</w:t>
      </w:r>
      <w:r w:rsidR="00EF01C3">
        <w:t xml:space="preserve"> </w:t>
      </w:r>
      <w:r w:rsidR="00A96990">
        <w:t>Plant</w:t>
      </w:r>
      <w:r w:rsidR="00EF01C3">
        <w:t xml:space="preserve"> </w:t>
      </w:r>
      <w:r w:rsidR="008417DE">
        <w:t xml:space="preserve">Wallace </w:t>
      </w:r>
      <w:r w:rsidR="002F68BE">
        <w:t xml:space="preserve">(including </w:t>
      </w:r>
      <w:r w:rsidR="00DB16F9">
        <w:t>Units 1</w:t>
      </w:r>
      <w:r w:rsidR="002B0B10">
        <w:t>, 2, 5 &amp; 6</w:t>
      </w:r>
      <w:r w:rsidR="00DB16F9">
        <w:t xml:space="preserve"> </w:t>
      </w:r>
      <w:r w:rsidR="000B71AB">
        <w:t>Pump</w:t>
      </w:r>
      <w:r w:rsidR="00D4613A">
        <w:t>ed</w:t>
      </w:r>
      <w:r w:rsidR="000B71AB">
        <w:t xml:space="preserve"> Storage</w:t>
      </w:r>
      <w:r w:rsidR="00DB16F9">
        <w:t xml:space="preserve"> </w:t>
      </w:r>
      <w:r w:rsidR="00174316">
        <w:t>and Units 3</w:t>
      </w:r>
      <w:r w:rsidR="000E489F">
        <w:t>-</w:t>
      </w:r>
      <w:r w:rsidR="00655517">
        <w:t>4</w:t>
      </w:r>
      <w:r w:rsidR="002F68BE">
        <w:t>)</w:t>
      </w:r>
      <w:r w:rsidR="00283D07">
        <w:t xml:space="preserve"> </w:t>
      </w:r>
      <w:r w:rsidR="007F1D57">
        <w:t>in the</w:t>
      </w:r>
      <w:r w:rsidR="00283D07">
        <w:t xml:space="preserve"> Cen</w:t>
      </w:r>
      <w:r w:rsidR="008417DE">
        <w:t xml:space="preserve">tral </w:t>
      </w:r>
      <w:r w:rsidR="007F1D57">
        <w:t xml:space="preserve">Georgia </w:t>
      </w:r>
      <w:r w:rsidR="008417DE">
        <w:t>Hydro</w:t>
      </w:r>
      <w:r w:rsidR="007F1D57">
        <w:t xml:space="preserve"> Group</w:t>
      </w:r>
      <w:r w:rsidR="008417DE">
        <w:t xml:space="preserve">; </w:t>
      </w:r>
      <w:r w:rsidR="00023082">
        <w:t>and</w:t>
      </w:r>
      <w:r w:rsidR="008417DE">
        <w:t xml:space="preserve"> Plants</w:t>
      </w:r>
      <w:r w:rsidR="00675D0C">
        <w:t xml:space="preserve"> Flint River</w:t>
      </w:r>
      <w:r w:rsidR="00685E17">
        <w:t xml:space="preserve"> </w:t>
      </w:r>
      <w:r w:rsidR="00E34181">
        <w:t xml:space="preserve">and </w:t>
      </w:r>
      <w:r w:rsidR="00F55F57">
        <w:t>Morgan Falls</w:t>
      </w:r>
      <w:r w:rsidR="00E34181">
        <w:t xml:space="preserve">. </w:t>
      </w:r>
    </w:p>
    <w:p w14:paraId="453D4A82" w14:textId="7EA4DD82" w:rsidR="005314A9" w:rsidRDefault="00D92136" w:rsidP="00E7103D">
      <w:pPr>
        <w:jc w:val="both"/>
      </w:pPr>
      <w:r>
        <w:t xml:space="preserve">Approval to modernize the remaining hydro fleet will allow the Company to fully gain the benefits of </w:t>
      </w:r>
      <w:r w:rsidR="007C47CF">
        <w:t xml:space="preserve">enhanced fleet dispatch and </w:t>
      </w:r>
      <w:r w:rsidR="00DB60DF">
        <w:t>operation</w:t>
      </w:r>
      <w:r w:rsidR="00503106">
        <w:t>al</w:t>
      </w:r>
      <w:r w:rsidR="00DB60DF">
        <w:t xml:space="preserve"> </w:t>
      </w:r>
      <w:r w:rsidR="008A5B22">
        <w:t>efficiency</w:t>
      </w:r>
      <w:r w:rsidR="00491F7C">
        <w:t xml:space="preserve"> </w:t>
      </w:r>
      <w:r>
        <w:t>of each river chain</w:t>
      </w:r>
      <w:r w:rsidR="00491F7C">
        <w:t>.</w:t>
      </w:r>
      <w:r>
        <w:t xml:space="preserve"> </w:t>
      </w:r>
      <w:r w:rsidR="002F2491">
        <w:t>The hydro modernization effort</w:t>
      </w:r>
      <w:r w:rsidR="00AC4EB0">
        <w:t xml:space="preserve"> seeks to strategically plan projects while optimizing resources</w:t>
      </w:r>
      <w:r w:rsidR="00E62833">
        <w:t xml:space="preserve">, design, planning, and execution of work in a more </w:t>
      </w:r>
      <w:r w:rsidR="003B1EDB">
        <w:t xml:space="preserve">efficient manner than a longer-term </w:t>
      </w:r>
      <w:r w:rsidR="00454BB3">
        <w:t>piecemeal approach</w:t>
      </w:r>
      <w:r w:rsidR="000B63E5">
        <w:t>. Approval of the remaining fleet will allow the Company the flexibility to address the sites with the most pressing need of maintenance to mitigate extended unit outages in the near future, thereby benefiting the overall hydro modernization schedule.</w:t>
      </w:r>
    </w:p>
    <w:p w14:paraId="6BE55DF6" w14:textId="35A0B484" w:rsidR="00D92136" w:rsidRDefault="00D92136" w:rsidP="00E7103D">
      <w:pPr>
        <w:jc w:val="both"/>
      </w:pPr>
      <w:r>
        <w:t>Building on the</w:t>
      </w:r>
      <w:r w:rsidDel="00BE296A">
        <w:t xml:space="preserve"> </w:t>
      </w:r>
      <w:r w:rsidR="00BE296A">
        <w:t xml:space="preserve">experience </w:t>
      </w:r>
      <w:r>
        <w:t xml:space="preserve">and best practices established through the previously approved seven projects, a coordinated modernization effort for the remaining </w:t>
      </w:r>
      <w:r w:rsidR="00D547CB">
        <w:t xml:space="preserve">hydro </w:t>
      </w:r>
      <w:r>
        <w:t xml:space="preserve">fleet is necessary to </w:t>
      </w:r>
      <w:r w:rsidR="00E847B2">
        <w:t xml:space="preserve">most </w:t>
      </w:r>
      <w:r>
        <w:t xml:space="preserve">cost effectively address the challenges at each facility. This approval will also maximize flexibility and efficiency for project implementation related to supply chain, permitting, labor force, and clean energy incentives, such as grant and loan opportunities. </w:t>
      </w:r>
      <w:r w:rsidR="00D301A0">
        <w:t xml:space="preserve">Specifically, </w:t>
      </w:r>
      <w:r w:rsidR="00A673DB">
        <w:t>approval of hydro</w:t>
      </w:r>
      <w:r w:rsidR="00D301A0">
        <w:t xml:space="preserve"> modernization </w:t>
      </w:r>
      <w:r w:rsidR="00A673DB">
        <w:t>for the remaining hydro fleet</w:t>
      </w:r>
      <w:r w:rsidR="00D301A0">
        <w:t xml:space="preserve"> provides an opportunity </w:t>
      </w:r>
      <w:r w:rsidR="002B0CF4">
        <w:t xml:space="preserve">for the Company </w:t>
      </w:r>
      <w:r w:rsidR="00D301A0">
        <w:t xml:space="preserve">to effectively </w:t>
      </w:r>
      <w:r w:rsidR="009602BC">
        <w:t xml:space="preserve">retain and </w:t>
      </w:r>
      <w:r w:rsidR="00D301A0">
        <w:t xml:space="preserve">utilize a trained and experienced workforce, improving the Company’s ability to successfully modernize its remaining units. </w:t>
      </w:r>
      <w:r>
        <w:t xml:space="preserve">The Company’s modernization approach </w:t>
      </w:r>
      <w:r w:rsidR="00295394">
        <w:t xml:space="preserve">for the remaining </w:t>
      </w:r>
      <w:r w:rsidR="00831D93">
        <w:t>hydro</w:t>
      </w:r>
      <w:r w:rsidR="00295394">
        <w:t xml:space="preserve"> fleet</w:t>
      </w:r>
      <w:r>
        <w:t xml:space="preserve"> gives continuity and efficiency of engineering design, minimizes construction </w:t>
      </w:r>
      <w:r>
        <w:lastRenderedPageBreak/>
        <w:t>mobilization costs at the sites, allows volume procurement, and optimizes the design and selection of equipment.</w:t>
      </w:r>
    </w:p>
    <w:p w14:paraId="77A34905" w14:textId="07EAFDEB" w:rsidR="00A755F4" w:rsidRDefault="00E7103D" w:rsidP="00E7103D">
      <w:pPr>
        <w:jc w:val="both"/>
      </w:pPr>
      <w:r>
        <w:t>The</w:t>
      </w:r>
      <w:r w:rsidR="00442B82">
        <w:t xml:space="preserve"> Hydro Modernization section of Technical Appendix Volume </w:t>
      </w:r>
      <w:r w:rsidR="00B64894">
        <w:t>1</w:t>
      </w:r>
      <w:r w:rsidR="00442B82">
        <w:t xml:space="preserve"> includes the</w:t>
      </w:r>
      <w:r>
        <w:t xml:space="preserve"> estimated </w:t>
      </w:r>
      <w:r w:rsidR="00800D8D">
        <w:t xml:space="preserve">capital </w:t>
      </w:r>
      <w:r>
        <w:t xml:space="preserve">costs for these </w:t>
      </w:r>
      <w:r w:rsidR="00EF0199">
        <w:t xml:space="preserve">remaining </w:t>
      </w:r>
      <w:r w:rsidR="00D70C4E">
        <w:t xml:space="preserve">hydro </w:t>
      </w:r>
      <w:r>
        <w:t xml:space="preserve">plants, </w:t>
      </w:r>
      <w:r w:rsidR="00442B82">
        <w:t>as well as the required</w:t>
      </w:r>
      <w:r>
        <w:t xml:space="preserve"> </w:t>
      </w:r>
      <w:r w:rsidR="00846E39">
        <w:t xml:space="preserve">cost-benefit analyses and </w:t>
      </w:r>
      <w:r w:rsidR="00BF0FC8">
        <w:t>economic comparison</w:t>
      </w:r>
      <w:r w:rsidR="005221FA">
        <w:t>s of alternatives to modernization</w:t>
      </w:r>
      <w:r w:rsidR="00216D27">
        <w:t xml:space="preserve"> </w:t>
      </w:r>
      <w:r w:rsidR="007C2887">
        <w:t>for the request</w:t>
      </w:r>
      <w:r w:rsidR="00E40E0D">
        <w:t>ed sites</w:t>
      </w:r>
      <w:r w:rsidR="00216D27">
        <w:t xml:space="preserve"> and </w:t>
      </w:r>
      <w:r w:rsidR="00964C51">
        <w:t xml:space="preserve">Plant Burton </w:t>
      </w:r>
      <w:r w:rsidR="00216D27">
        <w:t>and associated supporting materials.</w:t>
      </w:r>
    </w:p>
    <w:p w14:paraId="403C5826" w14:textId="14B8468F" w:rsidR="00452451" w:rsidRDefault="00452451" w:rsidP="00452451">
      <w:pPr>
        <w:pStyle w:val="Heading3"/>
      </w:pPr>
      <w:r>
        <w:t>8.</w:t>
      </w:r>
      <w:r w:rsidR="00E27821">
        <w:t>6</w:t>
      </w:r>
      <w:r>
        <w:t xml:space="preserve">.4 – </w:t>
      </w:r>
      <w:r w:rsidR="00166728">
        <w:t>Plant Goat Rock Units</w:t>
      </w:r>
      <w:r w:rsidR="005732E8">
        <w:t xml:space="preserve"> </w:t>
      </w:r>
      <w:r w:rsidR="00065D83">
        <w:t>3</w:t>
      </w:r>
      <w:r w:rsidR="00116C15">
        <w:t>-6</w:t>
      </w:r>
      <w:r w:rsidR="00CA773D">
        <w:t xml:space="preserve"> Turbine Redevelopment</w:t>
      </w:r>
    </w:p>
    <w:p w14:paraId="3EAACDEB" w14:textId="5C701DEC" w:rsidR="00930B2A" w:rsidRPr="00930B2A" w:rsidRDefault="00930B2A" w:rsidP="00851840">
      <w:pPr>
        <w:jc w:val="both"/>
      </w:pPr>
      <w:r>
        <w:t xml:space="preserve">For Goat Rock Units 3-6, Georgia Power is </w:t>
      </w:r>
      <w:r w:rsidR="00D05ED0">
        <w:t xml:space="preserve">also </w:t>
      </w:r>
      <w:r>
        <w:t>requesting a</w:t>
      </w:r>
      <w:r w:rsidR="00CA773D">
        <w:t xml:space="preserve">uthority </w:t>
      </w:r>
      <w:r w:rsidR="00534842">
        <w:t>to develop, own, and operate</w:t>
      </w:r>
      <w:r>
        <w:t xml:space="preserve"> the capacity increase associated with turbine redevelopment to correct a flow imbalance in the Chattahoochee Hydro Group. </w:t>
      </w:r>
      <w:r w:rsidR="007E11F1">
        <w:t xml:space="preserve">The redevelopment of the turbines is expected to increase the capacity </w:t>
      </w:r>
      <w:r w:rsidR="00AD41C3">
        <w:t xml:space="preserve">of each unit by </w:t>
      </w:r>
      <w:r w:rsidR="004F16F4">
        <w:t>approximately 4 MW</w:t>
      </w:r>
      <w:r w:rsidR="00417948">
        <w:t xml:space="preserve">, </w:t>
      </w:r>
      <w:r w:rsidR="00E75933">
        <w:t>bring</w:t>
      </w:r>
      <w:r w:rsidR="007E34CD">
        <w:t>ing</w:t>
      </w:r>
      <w:r w:rsidR="00E75933">
        <w:t xml:space="preserve"> the</w:t>
      </w:r>
      <w:r w:rsidR="00553D36">
        <w:t xml:space="preserve"> capacity of the entire Goa</w:t>
      </w:r>
      <w:r w:rsidR="00900265">
        <w:t xml:space="preserve">t Rock hydro facility from approximately </w:t>
      </w:r>
      <w:r w:rsidR="00D243E0">
        <w:t xml:space="preserve">39 MW to approximately </w:t>
      </w:r>
      <w:r w:rsidR="00995B25">
        <w:t xml:space="preserve">55 MW. </w:t>
      </w:r>
      <w:r w:rsidR="007E34CD">
        <w:t xml:space="preserve">Actual capacity increases will be dependent on the project design. </w:t>
      </w:r>
      <w:r>
        <w:t xml:space="preserve">Following </w:t>
      </w:r>
      <w:r w:rsidR="00CA773D">
        <w:t>the</w:t>
      </w:r>
      <w:r>
        <w:t xml:space="preserve"> approval </w:t>
      </w:r>
      <w:r w:rsidR="00CA773D">
        <w:t>of</w:t>
      </w:r>
      <w:r>
        <w:t xml:space="preserve"> this </w:t>
      </w:r>
      <w:r w:rsidR="00CA773D">
        <w:t>request</w:t>
      </w:r>
      <w:r>
        <w:t xml:space="preserve">, the Company plans to complete further engineering and procurement processes to determine the optimal technology solution </w:t>
      </w:r>
      <w:r w:rsidR="004364BC">
        <w:t>and design</w:t>
      </w:r>
      <w:r>
        <w:t xml:space="preserve"> for these units. Georgia Power will provide </w:t>
      </w:r>
      <w:r w:rsidR="00B065F1">
        <w:t xml:space="preserve">a certification </w:t>
      </w:r>
      <w:r w:rsidR="00AD7D88">
        <w:t>amendment</w:t>
      </w:r>
      <w:r w:rsidR="00B065F1">
        <w:t xml:space="preserve"> application, including </w:t>
      </w:r>
      <w:r>
        <w:t>final engineering, procurement, and construction agreements and project cost</w:t>
      </w:r>
      <w:r w:rsidR="003B363D">
        <w:t xml:space="preserve"> estimate</w:t>
      </w:r>
      <w:r>
        <w:t>s for Commission approval</w:t>
      </w:r>
      <w:r w:rsidR="009178F6">
        <w:t xml:space="preserve"> once finalized</w:t>
      </w:r>
      <w:r>
        <w:t xml:space="preserve">. </w:t>
      </w:r>
    </w:p>
    <w:p w14:paraId="6965E58C" w14:textId="7421AF2D" w:rsidR="001E40FB" w:rsidRDefault="00FB5014" w:rsidP="00B56A9C">
      <w:pPr>
        <w:pStyle w:val="Heading2"/>
      </w:pPr>
      <w:bookmarkStart w:id="47" w:name="_Toc184247934"/>
      <w:bookmarkStart w:id="48" w:name="_Toc189122770"/>
      <w:r>
        <w:t>8.</w:t>
      </w:r>
      <w:r w:rsidR="00E27821">
        <w:t>7</w:t>
      </w:r>
      <w:r>
        <w:t xml:space="preserve"> – </w:t>
      </w:r>
      <w:r w:rsidR="00405EEE">
        <w:t xml:space="preserve">Update on </w:t>
      </w:r>
      <w:r w:rsidR="00E875EC">
        <w:t xml:space="preserve">80 MW </w:t>
      </w:r>
      <w:r w:rsidR="008F1705">
        <w:t>Energy Storage Demonstration Project</w:t>
      </w:r>
      <w:bookmarkEnd w:id="47"/>
      <w:r w:rsidR="00E875EC">
        <w:t>s</w:t>
      </w:r>
      <w:bookmarkEnd w:id="48"/>
    </w:p>
    <w:p w14:paraId="7CCB2573" w14:textId="634BC2D6" w:rsidR="009C134D" w:rsidRDefault="008F1705" w:rsidP="004E75ED">
      <w:pPr>
        <w:jc w:val="both"/>
      </w:pPr>
      <w:r>
        <w:t xml:space="preserve">In the Commission’s 2019 IRP Final Order, the Company was approved to develop 80 MW of energy storage demonstration projects. </w:t>
      </w:r>
      <w:r w:rsidR="00C17B51">
        <w:t>The</w:t>
      </w:r>
      <w:r w:rsidR="00CB3FD0">
        <w:t xml:space="preserve"> </w:t>
      </w:r>
      <w:r w:rsidR="00C17B51">
        <w:t xml:space="preserve">80 MW includes the </w:t>
      </w:r>
      <w:r w:rsidR="00D555A9">
        <w:t xml:space="preserve">65 MW, 4-hour </w:t>
      </w:r>
      <w:r w:rsidR="00B711AC">
        <w:t>Mossy Branch</w:t>
      </w:r>
      <w:r>
        <w:t xml:space="preserve"> projec</w:t>
      </w:r>
      <w:r w:rsidR="00CA1B8D">
        <w:t xml:space="preserve">t that </w:t>
      </w:r>
      <w:r w:rsidR="00B711AC">
        <w:t>entered commercial operation in October 2024</w:t>
      </w:r>
      <w:r w:rsidR="00D108E2">
        <w:t xml:space="preserve"> and an additional 2 MW to be identified as distribution-interconnected BESS</w:t>
      </w:r>
      <w:r w:rsidR="00CA1B8D">
        <w:t>,</w:t>
      </w:r>
      <w:r w:rsidR="00C17B51">
        <w:t xml:space="preserve"> as well as a</w:t>
      </w:r>
      <w:r w:rsidR="00236831">
        <w:t xml:space="preserve"> </w:t>
      </w:r>
      <w:r w:rsidR="009678C0">
        <w:t xml:space="preserve">potential </w:t>
      </w:r>
      <w:r w:rsidR="00236831">
        <w:t>13 MW</w:t>
      </w:r>
      <w:r w:rsidR="000E50C0">
        <w:t>,</w:t>
      </w:r>
      <w:r w:rsidR="00236831">
        <w:t xml:space="preserve"> </w:t>
      </w:r>
      <w:r w:rsidR="00BB1660">
        <w:t xml:space="preserve">4-hour </w:t>
      </w:r>
      <w:r w:rsidR="00236831">
        <w:t xml:space="preserve">BESS </w:t>
      </w:r>
      <w:r w:rsidR="000E50C0">
        <w:t>project</w:t>
      </w:r>
      <w:r w:rsidR="00C01614">
        <w:t xml:space="preserve"> at Fort Stewart</w:t>
      </w:r>
      <w:r w:rsidR="00F30AD6">
        <w:t xml:space="preserve"> Army Base</w:t>
      </w:r>
      <w:r w:rsidR="00C01614">
        <w:t xml:space="preserve"> in </w:t>
      </w:r>
      <w:r w:rsidR="00F125E5">
        <w:t>Liberty County, Georgia.</w:t>
      </w:r>
      <w:r w:rsidR="00F10AC8">
        <w:t xml:space="preserve"> </w:t>
      </w:r>
    </w:p>
    <w:p w14:paraId="25E2F8D8" w14:textId="5DFA2985" w:rsidR="00BB7C6D" w:rsidRDefault="00D108E2" w:rsidP="00E875EC">
      <w:pPr>
        <w:jc w:val="both"/>
      </w:pPr>
      <w:r>
        <w:t xml:space="preserve">For the Fort </w:t>
      </w:r>
      <w:r w:rsidRPr="00026D71">
        <w:t>Stewart project,</w:t>
      </w:r>
      <w:r>
        <w:t xml:space="preserve"> </w:t>
      </w:r>
      <w:r w:rsidR="001A1905">
        <w:t xml:space="preserve">Georgia Power is currently engaged in contract negotiations with the </w:t>
      </w:r>
      <w:r w:rsidR="0078048D">
        <w:t>i</w:t>
      </w:r>
      <w:r w:rsidR="0029605D">
        <w:t>nstallation</w:t>
      </w:r>
      <w:r w:rsidR="0045797D">
        <w:t xml:space="preserve"> contractor and battery </w:t>
      </w:r>
      <w:r w:rsidR="0078048D">
        <w:t>integrator</w:t>
      </w:r>
      <w:r w:rsidR="0044660D">
        <w:t>, and the Company is in active discussions with the Army regarding the potential to develop, own, and operate storage capacity at Fort Stewart.</w:t>
      </w:r>
      <w:r w:rsidR="00551BF9">
        <w:t xml:space="preserve"> </w:t>
      </w:r>
      <w:r w:rsidR="00871664">
        <w:t>Georgia Power</w:t>
      </w:r>
      <w:r w:rsidR="0089060D">
        <w:t xml:space="preserve"> </w:t>
      </w:r>
      <w:r w:rsidR="00C072C5">
        <w:t>coordinated</w:t>
      </w:r>
      <w:r w:rsidR="0089060D">
        <w:t xml:space="preserve"> with the Army</w:t>
      </w:r>
      <w:r w:rsidR="00A20F3D">
        <w:t xml:space="preserve"> to develop a proposal to address national security requirements related to equipment sourcing</w:t>
      </w:r>
      <w:r w:rsidR="00693E3D">
        <w:t>, and the Company</w:t>
      </w:r>
      <w:r w:rsidR="00871664">
        <w:t xml:space="preserve"> is currently</w:t>
      </w:r>
      <w:r w:rsidR="00BB7C6D">
        <w:t xml:space="preserve"> on hold pending</w:t>
      </w:r>
      <w:r w:rsidR="0089060D">
        <w:t xml:space="preserve"> </w:t>
      </w:r>
      <w:r w:rsidR="004A49A2">
        <w:t xml:space="preserve">confirmation </w:t>
      </w:r>
      <w:r w:rsidR="00693E3D">
        <w:t xml:space="preserve">from the Army </w:t>
      </w:r>
      <w:r w:rsidR="00FB031C">
        <w:t xml:space="preserve">of the compliance of </w:t>
      </w:r>
      <w:r w:rsidR="005B6EB5">
        <w:t xml:space="preserve">the proposed plan </w:t>
      </w:r>
      <w:r w:rsidR="001366D3">
        <w:t>before progress</w:t>
      </w:r>
      <w:r w:rsidR="00361BA0">
        <w:t>ing with</w:t>
      </w:r>
      <w:r w:rsidR="00D06C41">
        <w:t xml:space="preserve"> any identified BESS projects</w:t>
      </w:r>
      <w:r w:rsidR="00A6330E">
        <w:t xml:space="preserve"> </w:t>
      </w:r>
      <w:r w:rsidR="00704709">
        <w:t>a</w:t>
      </w:r>
      <w:r w:rsidR="008D41AB">
        <w:t>t Fort Stewart</w:t>
      </w:r>
      <w:r w:rsidR="00FE61EE">
        <w:t>.</w:t>
      </w:r>
    </w:p>
    <w:p w14:paraId="260CEA27" w14:textId="68CBDD85" w:rsidR="00180533" w:rsidRDefault="009678C0" w:rsidP="00E875EC">
      <w:pPr>
        <w:jc w:val="both"/>
      </w:pPr>
      <w:r>
        <w:t xml:space="preserve">In </w:t>
      </w:r>
      <w:r w:rsidR="00026588">
        <w:t>accordance</w:t>
      </w:r>
      <w:r>
        <w:t xml:space="preserve"> with the 2019 IRP</w:t>
      </w:r>
      <w:r w:rsidDel="00AE1D3D">
        <w:t xml:space="preserve"> </w:t>
      </w:r>
      <w:r w:rsidR="00026588">
        <w:t>Order</w:t>
      </w:r>
      <w:r>
        <w:t>, once discussions are complete with the Army and agreements are finalized, the Company will submit a plan through a compliance filing with the Commission before undertaking construction and procurement of this project.</w:t>
      </w:r>
      <w:r w:rsidR="00551BF9">
        <w:t xml:space="preserve"> </w:t>
      </w:r>
      <w:r w:rsidR="000027E7">
        <w:t>In addition to the 13 MW, the Company has identi</w:t>
      </w:r>
      <w:r w:rsidR="00C062AA">
        <w:t>fied</w:t>
      </w:r>
      <w:r w:rsidR="00E21080">
        <w:t xml:space="preserve"> the opportunity to add an incremental 30 MW</w:t>
      </w:r>
      <w:r w:rsidR="001D5D1D">
        <w:t xml:space="preserve"> of </w:t>
      </w:r>
      <w:r w:rsidR="00BB1660">
        <w:t xml:space="preserve">4-hour </w:t>
      </w:r>
      <w:r w:rsidR="001D5D1D">
        <w:t>BESS resources</w:t>
      </w:r>
      <w:r w:rsidR="00906030">
        <w:t xml:space="preserve"> at the Fort Stewart site.</w:t>
      </w:r>
      <w:r w:rsidR="003C16B4">
        <w:t xml:space="preserve"> </w:t>
      </w:r>
      <w:r w:rsidR="00E875EC">
        <w:t>As discussions progress further, the Company will return to the Commission with any specific request regarding this incremental 30 MW BESS addition.</w:t>
      </w:r>
    </w:p>
    <w:p w14:paraId="5641B6CB" w14:textId="77777777" w:rsidR="00BA1148" w:rsidRDefault="00BA1148">
      <w:pPr>
        <w:rPr>
          <w:rFonts w:asciiTheme="majorHAnsi" w:eastAsiaTheme="majorEastAsia" w:hAnsiTheme="majorHAnsi" w:cstheme="majorBidi"/>
          <w:color w:val="0F4761" w:themeColor="accent1" w:themeShade="BF"/>
          <w:sz w:val="32"/>
          <w:szCs w:val="32"/>
        </w:rPr>
      </w:pPr>
      <w:r>
        <w:br w:type="page"/>
      </w:r>
    </w:p>
    <w:p w14:paraId="2F20FFE4" w14:textId="0FC157AB" w:rsidR="006E4073" w:rsidRDefault="00545B58" w:rsidP="00B56A9C">
      <w:pPr>
        <w:pStyle w:val="Heading2"/>
      </w:pPr>
      <w:bookmarkStart w:id="49" w:name="_Toc189122771"/>
      <w:r>
        <w:lastRenderedPageBreak/>
        <w:t>8</w:t>
      </w:r>
      <w:r w:rsidR="00E7163D">
        <w:t>.</w:t>
      </w:r>
      <w:r w:rsidR="00E27821">
        <w:t>8</w:t>
      </w:r>
      <w:r w:rsidR="00E7163D">
        <w:t xml:space="preserve"> – </w:t>
      </w:r>
      <w:r w:rsidR="006E4073">
        <w:t>Blackstart Units</w:t>
      </w:r>
      <w:bookmarkEnd w:id="49"/>
    </w:p>
    <w:p w14:paraId="333C451A" w14:textId="652CB35E" w:rsidR="00114CA2" w:rsidRDefault="00EB18ED" w:rsidP="00161C72">
      <w:pPr>
        <w:jc w:val="both"/>
      </w:pPr>
      <w:r>
        <w:t>As a part of the 2022 IRP, the Company highlighted its commitment to delivering a robust and resilient electric system on behalf of</w:t>
      </w:r>
      <w:r w:rsidDel="00903496">
        <w:t xml:space="preserve"> </w:t>
      </w:r>
      <w:r>
        <w:t xml:space="preserve">customers. Over the last decade, the evolving characteristics of the </w:t>
      </w:r>
      <w:r w:rsidR="0078365A">
        <w:t xml:space="preserve">generation </w:t>
      </w:r>
      <w:r>
        <w:t>fleet, including changes to the fuel mix, penetration of renewable resources and unit retirements, have created uncertainty in the capabilities of its blackstart resource plans.</w:t>
      </w:r>
      <w:r w:rsidR="00673789">
        <w:t xml:space="preserve"> As such, Georgia Power partnered with the Electric Power Research Institute (</w:t>
      </w:r>
      <w:r w:rsidR="000B476B">
        <w:t>“</w:t>
      </w:r>
      <w:r w:rsidR="00673789">
        <w:t>EPRI</w:t>
      </w:r>
      <w:r w:rsidR="000B476B">
        <w:t>”</w:t>
      </w:r>
      <w:r w:rsidR="00673789">
        <w:t>) to conduct a study that evaluates the effectiveness of existing restoration units and potential enhancements from unit additions.</w:t>
      </w:r>
    </w:p>
    <w:p w14:paraId="6BA3606A" w14:textId="0AC3F27C" w:rsidR="009B6129" w:rsidRDefault="00427DD5" w:rsidP="00161C72">
      <w:pPr>
        <w:jc w:val="both"/>
      </w:pPr>
      <w:r>
        <w:t xml:space="preserve">EPRI’s study of Georgia Power’s </w:t>
      </w:r>
      <w:r w:rsidR="00946092">
        <w:t>b</w:t>
      </w:r>
      <w:r>
        <w:t>lackstart resource</w:t>
      </w:r>
      <w:r w:rsidR="00946092">
        <w:t>s</w:t>
      </w:r>
      <w:r>
        <w:t xml:space="preserve"> </w:t>
      </w:r>
      <w:r w:rsidR="00BF7EB0">
        <w:t xml:space="preserve">concluded that </w:t>
      </w:r>
      <w:r w:rsidR="0094420A">
        <w:t xml:space="preserve">the Company’s existing </w:t>
      </w:r>
      <w:r w:rsidR="007915CD">
        <w:t xml:space="preserve">assets and </w:t>
      </w:r>
      <w:r w:rsidR="00025A32">
        <w:t xml:space="preserve">restoration plans are robust and </w:t>
      </w:r>
      <w:r w:rsidR="00F7241B">
        <w:t>capable of restoring the Georgia Power System</w:t>
      </w:r>
      <w:r w:rsidR="00C2634F">
        <w:t xml:space="preserve"> </w:t>
      </w:r>
      <w:r w:rsidR="009E611C">
        <w:t xml:space="preserve">during </w:t>
      </w:r>
      <w:r w:rsidR="00745256">
        <w:t xml:space="preserve">a </w:t>
      </w:r>
      <w:r w:rsidR="00617483">
        <w:t xml:space="preserve">blackout </w:t>
      </w:r>
      <w:r w:rsidR="00745256">
        <w:t>event</w:t>
      </w:r>
      <w:r w:rsidR="00364D06">
        <w:t xml:space="preserve">. </w:t>
      </w:r>
      <w:r w:rsidR="005275D2">
        <w:t xml:space="preserve">The </w:t>
      </w:r>
      <w:r w:rsidR="003F59D2">
        <w:t xml:space="preserve">study </w:t>
      </w:r>
      <w:r w:rsidR="007220D8">
        <w:t xml:space="preserve">makes </w:t>
      </w:r>
      <w:r w:rsidR="00F7370D">
        <w:t xml:space="preserve">assumptions </w:t>
      </w:r>
      <w:r w:rsidR="00AC3740">
        <w:t xml:space="preserve">on the </w:t>
      </w:r>
      <w:r w:rsidR="003A210E">
        <w:t>shortest transmission</w:t>
      </w:r>
      <w:r w:rsidR="00DE4DCB">
        <w:t xml:space="preserve"> path from blackstart resources to critical loads to </w:t>
      </w:r>
      <w:r w:rsidR="003F59D2">
        <w:t>quantif</w:t>
      </w:r>
      <w:r w:rsidR="00161C72">
        <w:t>y</w:t>
      </w:r>
      <w:r w:rsidR="003F59D2">
        <w:t xml:space="preserve"> </w:t>
      </w:r>
      <w:r w:rsidR="00F6380F">
        <w:t>the time required to restore existing customers in each of Georgia Power’s islanding schemes</w:t>
      </w:r>
      <w:r w:rsidR="00243761">
        <w:t>. The study also</w:t>
      </w:r>
      <w:r w:rsidR="00F6380F">
        <w:t xml:space="preserve"> </w:t>
      </w:r>
      <w:r w:rsidR="005052DC">
        <w:t xml:space="preserve">offers various </w:t>
      </w:r>
      <w:r w:rsidR="00581BC0">
        <w:t xml:space="preserve">suggestions </w:t>
      </w:r>
      <w:r w:rsidR="00B269A5">
        <w:t xml:space="preserve">on </w:t>
      </w:r>
      <w:r w:rsidR="00190A4A">
        <w:t xml:space="preserve">ways the Company can </w:t>
      </w:r>
      <w:r w:rsidR="0000353C">
        <w:t>fully utilize existing resources</w:t>
      </w:r>
      <w:r w:rsidR="0086703B">
        <w:t xml:space="preserve"> and add additional resources to optimize or reduce restoration times </w:t>
      </w:r>
      <w:r w:rsidR="009B6129">
        <w:t xml:space="preserve">for </w:t>
      </w:r>
      <w:r w:rsidR="0086703B">
        <w:t>critical</w:t>
      </w:r>
      <w:r w:rsidR="0000353C">
        <w:t xml:space="preserve"> </w:t>
      </w:r>
      <w:r w:rsidR="009B6129">
        <w:t xml:space="preserve">loads on the </w:t>
      </w:r>
      <w:r w:rsidR="004766D7">
        <w:t>S</w:t>
      </w:r>
      <w:r w:rsidR="009B6129">
        <w:t>ystem.</w:t>
      </w:r>
    </w:p>
    <w:p w14:paraId="25A40889" w14:textId="444F8042" w:rsidR="009447BB" w:rsidRDefault="0019480C" w:rsidP="00161C72">
      <w:pPr>
        <w:jc w:val="both"/>
      </w:pPr>
      <w:r>
        <w:t xml:space="preserve">Further details are provided in the Selected Supporting Information section of Technical Appendix Volume 2. As aging units are replaced with new technologies and new load is added to the </w:t>
      </w:r>
      <w:r w:rsidR="004766D7">
        <w:t>S</w:t>
      </w:r>
      <w:r>
        <w:t xml:space="preserve">ystem, Georgia Power will continue to evaluate the capabilities of its blackstart restoration plans, balancing resiliency of the </w:t>
      </w:r>
      <w:r w:rsidR="004766D7">
        <w:t>S</w:t>
      </w:r>
      <w:r>
        <w:t>ystem with affordability for its customers.</w:t>
      </w:r>
    </w:p>
    <w:p w14:paraId="752BD588" w14:textId="45E07F33" w:rsidR="005217B7" w:rsidRDefault="00545B58" w:rsidP="00B56A9C">
      <w:pPr>
        <w:pStyle w:val="Heading2"/>
      </w:pPr>
      <w:bookmarkStart w:id="50" w:name="_Toc189122772"/>
      <w:r>
        <w:t>8</w:t>
      </w:r>
      <w:r w:rsidR="004E56A5">
        <w:t>.</w:t>
      </w:r>
      <w:r w:rsidR="00984005">
        <w:t>9</w:t>
      </w:r>
      <w:r w:rsidR="00C870DF">
        <w:t xml:space="preserve"> </w:t>
      </w:r>
      <w:r w:rsidR="004E56A5">
        <w:t xml:space="preserve">– </w:t>
      </w:r>
      <w:r w:rsidR="001A37FB">
        <w:t>Resource Mix Study</w:t>
      </w:r>
      <w:bookmarkEnd w:id="50"/>
    </w:p>
    <w:p w14:paraId="5E703240" w14:textId="45F62E11" w:rsidR="00752BD3" w:rsidRDefault="00752BD3" w:rsidP="0019790A">
      <w:pPr>
        <w:jc w:val="both"/>
      </w:pPr>
      <w:r>
        <w:t xml:space="preserve">The Company’s expansion planning analysis </w:t>
      </w:r>
      <w:r w:rsidR="00BE1546">
        <w:t xml:space="preserve">identifies </w:t>
      </w:r>
      <w:r>
        <w:t>the</w:t>
      </w:r>
      <w:r w:rsidR="00063063">
        <w:t xml:space="preserve"> </w:t>
      </w:r>
      <w:r w:rsidR="00300743">
        <w:t>economically</w:t>
      </w:r>
      <w:r>
        <w:t xml:space="preserve"> optimal mix of resources that </w:t>
      </w:r>
      <w:r w:rsidR="00501E4D">
        <w:t>meet</w:t>
      </w:r>
      <w:r w:rsidR="129B437B">
        <w:t>s</w:t>
      </w:r>
      <w:r w:rsidR="00501E4D">
        <w:t xml:space="preserve"> </w:t>
      </w:r>
      <w:r>
        <w:t>future capacity and energy demands reliabl</w:t>
      </w:r>
      <w:r w:rsidR="005029F2">
        <w:t>y</w:t>
      </w:r>
      <w:r>
        <w:t xml:space="preserve">. In this step of the planning process, demand-side resources are integrated with supply-side resources to provide a roadmap that informs long-term resource planning decisions. </w:t>
      </w:r>
      <w:r w:rsidR="00A70798">
        <w:t>Importantly</w:t>
      </w:r>
      <w:r>
        <w:t>, generic expansion plans do not represent a resource planning decision by the Company</w:t>
      </w:r>
      <w:r w:rsidR="00934639">
        <w:t>,</w:t>
      </w:r>
      <w:r>
        <w:t xml:space="preserve"> but </w:t>
      </w:r>
      <w:r w:rsidR="00934639">
        <w:t xml:space="preserve">rather, </w:t>
      </w:r>
      <w:r>
        <w:t xml:space="preserve">are indicative of what may be an </w:t>
      </w:r>
      <w:r w:rsidR="005C7E91">
        <w:t xml:space="preserve">economically </w:t>
      </w:r>
      <w:r>
        <w:t>optimal mix of resources within various scenarios.</w:t>
      </w:r>
    </w:p>
    <w:p w14:paraId="1144B47E" w14:textId="128D1DD1" w:rsidR="00752BD3" w:rsidRDefault="00752BD3" w:rsidP="0019790A">
      <w:pPr>
        <w:jc w:val="both"/>
      </w:pPr>
      <w:r>
        <w:t xml:space="preserve">As such, the purpose of the expansion planning process is to evaluate capacity and energy resource options to meet the capacity need across a wide range of potential future scenarios. To develop the expansion plan, the generation technologies that pass detailed screening are further evaluated using the </w:t>
      </w:r>
      <w:r w:rsidR="00A06668">
        <w:t>Aurora</w:t>
      </w:r>
      <w:r>
        <w:t xml:space="preserve"> </w:t>
      </w:r>
      <w:r w:rsidR="00EC3CD8">
        <w:t xml:space="preserve">capacity expansion and </w:t>
      </w:r>
      <w:r>
        <w:t xml:space="preserve">production cost model, which is widely used throughout the electric industry. </w:t>
      </w:r>
      <w:r w:rsidR="00A06668">
        <w:t>Aurora</w:t>
      </w:r>
      <w:r>
        <w:t xml:space="preserve"> employs a generation mix optimization module that includes the following major inputs: (1) load forecast; (2) existing, planned, and committed resources; (3) fuel prices; (4) emission costs; (5) future generating unit characteristics</w:t>
      </w:r>
      <w:r w:rsidR="002D629C">
        <w:t>,</w:t>
      </w:r>
      <w:r>
        <w:t xml:space="preserve"> capital cost</w:t>
      </w:r>
      <w:r w:rsidR="002D629C">
        <w:t>, and availability</w:t>
      </w:r>
      <w:r>
        <w:t xml:space="preserve">; (6) the capital recovery rates necessary to recover investment cost; (7) capital cost escalation rates; and (8) a discount rate. The </w:t>
      </w:r>
      <w:r w:rsidR="00A06668">
        <w:t>Aurora</w:t>
      </w:r>
      <w:r>
        <w:t xml:space="preserve"> model considers all possible combinations of capacity additions, on a yearly basis, that satisfy the Company’s target reserve margin </w:t>
      </w:r>
      <w:r w:rsidR="00EF72CF">
        <w:t>and build</w:t>
      </w:r>
      <w:r>
        <w:t xml:space="preserve"> constraints. </w:t>
      </w:r>
      <w:r w:rsidR="009D5EE2">
        <w:t>For each scenario evaluated, t</w:t>
      </w:r>
      <w:r>
        <w:t xml:space="preserve">he resulting combination of candidate resources with the smallest production and capital cost over the planning horizon </w:t>
      </w:r>
      <w:r w:rsidR="006E2CF1">
        <w:t xml:space="preserve">(in net present value </w:t>
      </w:r>
      <w:r w:rsidR="00ED04F9">
        <w:t>(“NPV”)</w:t>
      </w:r>
      <w:r w:rsidR="006E2CF1">
        <w:t xml:space="preserve"> terms)</w:t>
      </w:r>
      <w:r>
        <w:t xml:space="preserve"> represents the least-cost plan. </w:t>
      </w:r>
    </w:p>
    <w:p w14:paraId="13CD0730" w14:textId="4B4989B9" w:rsidR="00752BD3" w:rsidRDefault="00752BD3" w:rsidP="0019790A">
      <w:pPr>
        <w:jc w:val="both"/>
      </w:pPr>
      <w:r>
        <w:lastRenderedPageBreak/>
        <w:t xml:space="preserve">The Resource Mix Study in Technical Appendix Volume </w:t>
      </w:r>
      <w:r w:rsidR="00FF2842">
        <w:t>2</w:t>
      </w:r>
      <w:r>
        <w:t xml:space="preserve"> provides a detailed technical review of the expansion planning analysis and its results. </w:t>
      </w:r>
    </w:p>
    <w:p w14:paraId="00F82800" w14:textId="6C7E8019" w:rsidR="00DB4A77" w:rsidRPr="00DB4A77" w:rsidRDefault="00940424" w:rsidP="00DB4A77">
      <w:pPr>
        <w:pStyle w:val="Heading3"/>
      </w:pPr>
      <w:r>
        <w:t>8.</w:t>
      </w:r>
      <w:r w:rsidR="00984005">
        <w:t>9</w:t>
      </w:r>
      <w:r>
        <w:t xml:space="preserve">.1 – </w:t>
      </w:r>
      <w:r w:rsidR="00752BD3">
        <w:t>S</w:t>
      </w:r>
      <w:r w:rsidR="00DB4A77">
        <w:t>ummary of Inputs &amp; Assumptions</w:t>
      </w:r>
    </w:p>
    <w:p w14:paraId="0BB16FCA" w14:textId="77777777" w:rsidR="00752BD3" w:rsidRDefault="00752BD3" w:rsidP="0019790A">
      <w:pPr>
        <w:jc w:val="both"/>
      </w:pPr>
      <w:r>
        <w:t>The expansion planning process incorporates a wide range of inputs and assumptions, including, but not limited to, reliability criteria, load and energy forecasts, and numerous key financial and economic scenarios.</w:t>
      </w:r>
    </w:p>
    <w:p w14:paraId="5B92611B" w14:textId="77777777" w:rsidR="00DB4A77" w:rsidRDefault="00752BD3" w:rsidP="00794D00">
      <w:pPr>
        <w:keepNext/>
        <w:keepLines/>
        <w:jc w:val="both"/>
        <w:rPr>
          <w:rStyle w:val="Heading4Char"/>
        </w:rPr>
      </w:pPr>
      <w:r w:rsidRPr="00DB4A77">
        <w:rPr>
          <w:rStyle w:val="Heading4Char"/>
        </w:rPr>
        <w:t>Reserve Margin</w:t>
      </w:r>
    </w:p>
    <w:p w14:paraId="311A5F91" w14:textId="5331AF7E" w:rsidR="00752BD3" w:rsidRDefault="00752BD3" w:rsidP="00794D00">
      <w:pPr>
        <w:keepNext/>
        <w:keepLines/>
        <w:jc w:val="both"/>
      </w:pPr>
      <w:r>
        <w:t>The 202</w:t>
      </w:r>
      <w:r w:rsidR="00F204C6">
        <w:t>5</w:t>
      </w:r>
      <w:r>
        <w:t xml:space="preserve"> IRP </w:t>
      </w:r>
      <w:r w:rsidR="00EF2270">
        <w:t xml:space="preserve">includes </w:t>
      </w:r>
      <w:r>
        <w:t xml:space="preserve">a </w:t>
      </w:r>
      <w:r w:rsidR="00901D4D">
        <w:t>20</w:t>
      </w:r>
      <w:r>
        <w:t xml:space="preserve">% Summer Target Reserve Margin and a 26% Winter Target Reserve Margin for </w:t>
      </w:r>
      <w:r w:rsidR="00E53577">
        <w:t xml:space="preserve">the </w:t>
      </w:r>
      <w:r w:rsidR="00FA79F4">
        <w:t xml:space="preserve">System </w:t>
      </w:r>
      <w:r>
        <w:t xml:space="preserve">for long-term resource planning decisions. </w:t>
      </w:r>
      <w:r w:rsidR="00007A25">
        <w:t>Chapter</w:t>
      </w:r>
      <w:r w:rsidDel="00061C6B">
        <w:t xml:space="preserve"> </w:t>
      </w:r>
      <w:r w:rsidR="00061C6B">
        <w:t>6</w:t>
      </w:r>
      <w:r>
        <w:t xml:space="preserve"> and </w:t>
      </w:r>
      <w:r w:rsidR="00007A25">
        <w:t xml:space="preserve">the Reserve Margin Study in </w:t>
      </w:r>
      <w:r>
        <w:t xml:space="preserve">Technical Appendix Volume 1 provide additional information on the Company’s Target Reserve Margin assumptions. </w:t>
      </w:r>
    </w:p>
    <w:p w14:paraId="7A269424" w14:textId="77777777" w:rsidR="00DB4A77" w:rsidRDefault="00752BD3" w:rsidP="00B157A6">
      <w:pPr>
        <w:keepNext/>
        <w:jc w:val="both"/>
        <w:rPr>
          <w:rStyle w:val="Heading4Char"/>
        </w:rPr>
      </w:pPr>
      <w:r w:rsidRPr="00DB4A77">
        <w:rPr>
          <w:rStyle w:val="Heading4Char"/>
        </w:rPr>
        <w:t>Economic Forecast</w:t>
      </w:r>
    </w:p>
    <w:p w14:paraId="5BD10694" w14:textId="1C901F58" w:rsidR="00752BD3" w:rsidRDefault="001B7688" w:rsidP="00B157A6">
      <w:pPr>
        <w:keepNext/>
        <w:jc w:val="both"/>
      </w:pPr>
      <w:r>
        <w:t>S&amp;P</w:t>
      </w:r>
      <w:r w:rsidR="00752BD3">
        <w:t xml:space="preserve"> </w:t>
      </w:r>
      <w:r w:rsidR="00203278">
        <w:t>Global</w:t>
      </w:r>
      <w:r w:rsidR="00A75E9A">
        <w:t>’</w:t>
      </w:r>
      <w:r w:rsidR="00203278">
        <w:t>s</w:t>
      </w:r>
      <w:r w:rsidR="00752BD3">
        <w:t xml:space="preserve"> macroeconomic forecast serves as the basis for inflation and cost of capital estimates. </w:t>
      </w:r>
      <w:r>
        <w:t>S&amp;P Global</w:t>
      </w:r>
      <w:r w:rsidR="00752BD3">
        <w:t xml:space="preserve"> developed a forecast of economic variables and demographic statistics for the state of Georgia. Key descriptive variables from the economic and demographic forecast for Georgia were used to produce the B202</w:t>
      </w:r>
      <w:r w:rsidR="00901D4D">
        <w:t>5</w:t>
      </w:r>
      <w:r w:rsidR="00752BD3">
        <w:t xml:space="preserve"> Load and Energy Forecast.</w:t>
      </w:r>
    </w:p>
    <w:p w14:paraId="18C55228" w14:textId="77777777" w:rsidR="00DB4A77" w:rsidRDefault="00752BD3" w:rsidP="0019790A">
      <w:pPr>
        <w:jc w:val="both"/>
        <w:rPr>
          <w:rStyle w:val="Heading4Char"/>
        </w:rPr>
      </w:pPr>
      <w:r w:rsidRPr="00DB4A77">
        <w:rPr>
          <w:rStyle w:val="Heading4Char"/>
        </w:rPr>
        <w:t>Load and Energy Forecasts</w:t>
      </w:r>
    </w:p>
    <w:p w14:paraId="7CF651D9" w14:textId="46332155" w:rsidR="00752BD3" w:rsidRDefault="00752BD3" w:rsidP="0019790A">
      <w:pPr>
        <w:jc w:val="both"/>
      </w:pPr>
      <w:r>
        <w:t>The B202</w:t>
      </w:r>
      <w:r w:rsidR="00901D4D">
        <w:t>5</w:t>
      </w:r>
      <w:r>
        <w:t xml:space="preserve"> Load and Energy Forecast discussed in </w:t>
      </w:r>
      <w:r w:rsidR="00007A25">
        <w:t>Chapter</w:t>
      </w:r>
      <w:r>
        <w:t xml:space="preserve"> </w:t>
      </w:r>
      <w:r w:rsidR="00556E00">
        <w:t xml:space="preserve">5 </w:t>
      </w:r>
      <w:r w:rsidR="00852EA7">
        <w:t xml:space="preserve">was </w:t>
      </w:r>
      <w:r>
        <w:t>utilized for the Company’s 202</w:t>
      </w:r>
      <w:r w:rsidR="000175B7">
        <w:t>5</w:t>
      </w:r>
      <w:r>
        <w:t xml:space="preserve"> IRP Resource Mix Study. The load and energy forecasting process uses a combination of end-use and econometric analyses and is explained in detail in </w:t>
      </w:r>
      <w:r w:rsidR="004962C0">
        <w:t>Chapter</w:t>
      </w:r>
      <w:r>
        <w:t xml:space="preserve"> </w:t>
      </w:r>
      <w:r w:rsidR="00556E00">
        <w:t xml:space="preserve">5 </w:t>
      </w:r>
      <w:r>
        <w:t xml:space="preserve">and in Technical Appendix Volume </w:t>
      </w:r>
      <w:r w:rsidR="008D7922">
        <w:t>2</w:t>
      </w:r>
      <w:r>
        <w:t xml:space="preserve">. Certain load forecast scenarios are also discussed in </w:t>
      </w:r>
      <w:r w:rsidR="004962C0">
        <w:t>Chapter</w:t>
      </w:r>
      <w:r w:rsidR="00A203AC">
        <w:t xml:space="preserve"> </w:t>
      </w:r>
      <w:r w:rsidR="277390A1">
        <w:t>3</w:t>
      </w:r>
      <w:r>
        <w:t xml:space="preserve">. </w:t>
      </w:r>
    </w:p>
    <w:p w14:paraId="33254D00" w14:textId="6CD9F637" w:rsidR="00F81C87" w:rsidRDefault="00752BD3" w:rsidP="0019790A">
      <w:pPr>
        <w:jc w:val="both"/>
        <w:rPr>
          <w:rStyle w:val="Heading4Char"/>
        </w:rPr>
      </w:pPr>
      <w:r w:rsidRPr="00F81C87">
        <w:rPr>
          <w:rStyle w:val="Heading4Char"/>
        </w:rPr>
        <w:t xml:space="preserve">Fuel and Carbon </w:t>
      </w:r>
      <w:r w:rsidR="00263727">
        <w:rPr>
          <w:rStyle w:val="Heading4Char"/>
        </w:rPr>
        <w:t>Views</w:t>
      </w:r>
    </w:p>
    <w:p w14:paraId="10AEFC3A" w14:textId="5AA37FB8" w:rsidR="00752BD3" w:rsidRDefault="00752BD3" w:rsidP="0019790A">
      <w:pPr>
        <w:jc w:val="both"/>
      </w:pPr>
      <w:r>
        <w:t>The 202</w:t>
      </w:r>
      <w:r w:rsidR="000175B7">
        <w:t>5</w:t>
      </w:r>
      <w:r>
        <w:t xml:space="preserve"> IRP Resource Mix study incorporates the fuel and carbon </w:t>
      </w:r>
      <w:r w:rsidR="00324323">
        <w:t>views</w:t>
      </w:r>
      <w:r>
        <w:t xml:space="preserve"> described in </w:t>
      </w:r>
      <w:r w:rsidR="004962C0">
        <w:t>Chapter</w:t>
      </w:r>
      <w:r>
        <w:t xml:space="preserve"> </w:t>
      </w:r>
      <w:r w:rsidR="006936EE">
        <w:t>3</w:t>
      </w:r>
      <w:r>
        <w:t xml:space="preserve">. </w:t>
      </w:r>
    </w:p>
    <w:p w14:paraId="2E27467F" w14:textId="77777777" w:rsidR="00F81C87" w:rsidRDefault="00752BD3" w:rsidP="0019790A">
      <w:pPr>
        <w:jc w:val="both"/>
        <w:rPr>
          <w:rStyle w:val="Heading4Char"/>
        </w:rPr>
      </w:pPr>
      <w:r w:rsidRPr="00F81C87">
        <w:rPr>
          <w:rStyle w:val="Heading4Char"/>
        </w:rPr>
        <w:t>Financial Cost and Escalation</w:t>
      </w:r>
    </w:p>
    <w:p w14:paraId="240F036E" w14:textId="3C7EAD69" w:rsidR="00752BD3" w:rsidRDefault="00752BD3" w:rsidP="0019790A">
      <w:pPr>
        <w:jc w:val="both"/>
      </w:pPr>
      <w:r>
        <w:t>The Company assumes that long-term debt and common stock are issued to finance the construction of generating units. Th</w:t>
      </w:r>
      <w:r w:rsidR="0084233F">
        <w:t>ese</w:t>
      </w:r>
      <w:r w:rsidR="5AAEE563">
        <w:t xml:space="preserve"> financing costs, </w:t>
      </w:r>
      <w:r>
        <w:t xml:space="preserve">along with the </w:t>
      </w:r>
      <w:r w:rsidR="3116E530">
        <w:t xml:space="preserve">associated </w:t>
      </w:r>
      <w:r>
        <w:t>income tax rates, affect the carrying cost of the investment, which can in turn affect the resource capacity mix.</w:t>
      </w:r>
    </w:p>
    <w:p w14:paraId="6F035BF0" w14:textId="2112F4BF" w:rsidR="00752BD3" w:rsidRDefault="00752BD3" w:rsidP="0019790A">
      <w:pPr>
        <w:jc w:val="both"/>
      </w:pPr>
      <w:r>
        <w:t xml:space="preserve">The </w:t>
      </w:r>
      <w:r w:rsidR="00CB16A0">
        <w:t>S&amp;P</w:t>
      </w:r>
      <w:r>
        <w:t xml:space="preserve"> </w:t>
      </w:r>
      <w:r w:rsidR="00B033A7">
        <w:t>Global</w:t>
      </w:r>
      <w:r>
        <w:t xml:space="preserve"> forecast is the basis of the financing and inflation cost estimates used in the planning process. Discount analysis using the weighted average cost of capital is applied to place more emphasis on the near term. More information on the discount analysis and the financial parameters used in the mix process is shown in the Resource Mix Study in Technical Appendix Volume </w:t>
      </w:r>
      <w:r w:rsidR="00A06DE7">
        <w:t>2</w:t>
      </w:r>
      <w:r>
        <w:t>.</w:t>
      </w:r>
    </w:p>
    <w:p w14:paraId="6EEB033E" w14:textId="7A1A115C" w:rsidR="00752BD3" w:rsidRDefault="00940424" w:rsidP="007D4EE1">
      <w:pPr>
        <w:pStyle w:val="Heading3"/>
      </w:pPr>
      <w:r>
        <w:t>8.</w:t>
      </w:r>
      <w:r w:rsidR="00984005">
        <w:t>9</w:t>
      </w:r>
      <w:r>
        <w:t xml:space="preserve">.2 – </w:t>
      </w:r>
      <w:r w:rsidR="00752BD3">
        <w:t>T</w:t>
      </w:r>
      <w:r w:rsidR="007D4EE1">
        <w:t>echnology Screening</w:t>
      </w:r>
    </w:p>
    <w:p w14:paraId="48E84182" w14:textId="77777777" w:rsidR="00752BD3" w:rsidRDefault="00752BD3" w:rsidP="0019790A">
      <w:pPr>
        <w:jc w:val="both"/>
      </w:pPr>
      <w:r>
        <w:t xml:space="preserve">The Company performs detailed expansion planning and production cost analysis during each IRP. This detailed analysis requires extensive and complex computational analysis. Therefore, the Company completes a technology screening assessment of new generation technologies to reduce the potential list of new supply-side options to a manageable list of technologies that are likely to be </w:t>
      </w:r>
      <w:r>
        <w:lastRenderedPageBreak/>
        <w:t>economically competitive. This technology screening assessment evaluates both established and emerging generating technologies. The objective is to assess the cost, maturity, safety, operational reliability, flexibility, economic viability, environmental acceptability, fuel availability, construction lead times, and other relevant factors of new supply-side generation options.</w:t>
      </w:r>
    </w:p>
    <w:p w14:paraId="1125E5EE" w14:textId="5769011B" w:rsidR="00752BD3" w:rsidRDefault="00752BD3" w:rsidP="0019790A">
      <w:pPr>
        <w:jc w:val="both"/>
      </w:pPr>
      <w:r>
        <w:t>The technology screening process includes three main steps: (i) the Technology Identification; (ii) Preliminary Screening; and (iii) Detailed Qualitative Screening Analysis</w:t>
      </w:r>
      <w:r w:rsidR="00D60F84">
        <w:t>, as illustrated in Figure 8.9A</w:t>
      </w:r>
      <w:r>
        <w:t>. Supply-side options retained after these steps are then considered in the more detailed expansion plan modeling. The Technology Screening process is further reviewed in Technical Appendix Volume</w:t>
      </w:r>
      <w:r w:rsidR="005D6646">
        <w:t> </w:t>
      </w:r>
      <w:r w:rsidR="00CD21F6">
        <w:t>2</w:t>
      </w:r>
      <w:r>
        <w:t>.</w:t>
      </w:r>
    </w:p>
    <w:p w14:paraId="69432567" w14:textId="279FF3F5" w:rsidR="00D60F84" w:rsidRPr="00D60F84" w:rsidRDefault="00D60F84" w:rsidP="00D60F84">
      <w:pPr>
        <w:keepNext/>
        <w:keepLines/>
        <w:jc w:val="center"/>
        <w:rPr>
          <w:i/>
          <w:iCs/>
        </w:rPr>
      </w:pPr>
      <w:r w:rsidRPr="001D296F">
        <w:rPr>
          <w:i/>
          <w:iCs/>
        </w:rPr>
        <w:t xml:space="preserve">Figure </w:t>
      </w:r>
      <w:r>
        <w:rPr>
          <w:i/>
          <w:iCs/>
        </w:rPr>
        <w:t>8.9A</w:t>
      </w:r>
      <w:r w:rsidRPr="001D296F">
        <w:rPr>
          <w:i/>
          <w:iCs/>
        </w:rPr>
        <w:t xml:space="preserve">: </w:t>
      </w:r>
      <w:r w:rsidR="008054E7">
        <w:rPr>
          <w:i/>
          <w:iCs/>
        </w:rPr>
        <w:t>Technology Screening Process</w:t>
      </w:r>
    </w:p>
    <w:p w14:paraId="75F29CCC" w14:textId="37DCB280" w:rsidR="00752BD3" w:rsidRDefault="00A7389E" w:rsidP="0019790A">
      <w:pPr>
        <w:jc w:val="both"/>
      </w:pPr>
      <w:r>
        <w:rPr>
          <w:noProof/>
        </w:rPr>
        <w:drawing>
          <wp:inline distT="0" distB="0" distL="0" distR="0" wp14:anchorId="493E91D3" wp14:editId="3FA1A8FC">
            <wp:extent cx="5761355" cy="1774190"/>
            <wp:effectExtent l="0" t="0" r="0" b="0"/>
            <wp:docPr id="29477620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1355" cy="1774190"/>
                    </a:xfrm>
                    <a:prstGeom prst="rect">
                      <a:avLst/>
                    </a:prstGeom>
                    <a:noFill/>
                  </pic:spPr>
                </pic:pic>
              </a:graphicData>
            </a:graphic>
          </wp:inline>
        </w:drawing>
      </w:r>
      <w:r w:rsidR="00752BD3">
        <w:t xml:space="preserve"> </w:t>
      </w:r>
    </w:p>
    <w:p w14:paraId="777626EE" w14:textId="77777777" w:rsidR="00752BD3" w:rsidRDefault="00752BD3" w:rsidP="0019790A">
      <w:pPr>
        <w:jc w:val="both"/>
      </w:pPr>
    </w:p>
    <w:p w14:paraId="0AC07D2A" w14:textId="04B4737A" w:rsidR="00752BD3" w:rsidRDefault="00940424" w:rsidP="00A7389E">
      <w:pPr>
        <w:pStyle w:val="Heading3"/>
      </w:pPr>
      <w:r>
        <w:t>8.</w:t>
      </w:r>
      <w:r w:rsidR="00984005">
        <w:t>9</w:t>
      </w:r>
      <w:r>
        <w:t xml:space="preserve">.3 – </w:t>
      </w:r>
      <w:r w:rsidR="00752BD3">
        <w:t>E</w:t>
      </w:r>
      <w:r w:rsidR="00A7389E">
        <w:t>xpansion Plan Candidate</w:t>
      </w:r>
      <w:r w:rsidR="00984005">
        <w:t xml:space="preserve"> Resource</w:t>
      </w:r>
      <w:r w:rsidR="00A7389E">
        <w:t>s</w:t>
      </w:r>
    </w:p>
    <w:p w14:paraId="158E5BBF" w14:textId="77777777" w:rsidR="00752BD3" w:rsidRDefault="00752BD3" w:rsidP="0019790A">
      <w:pPr>
        <w:jc w:val="both"/>
      </w:pPr>
      <w:r>
        <w:t xml:space="preserve">Electricity generating technology is always evolving. Therefore, as discussed previously, the Company’s screening process identifies those technologies that have the greatest possibility of playing a cost-effective role in the System during the modeling horizon. Even among the technologies that might play such a cost-effective role, there remains uncertainty about the cost of each technology relative to its expected productivity and other technology options. </w:t>
      </w:r>
    </w:p>
    <w:p w14:paraId="11627DAA" w14:textId="76A40ED2" w:rsidR="00752BD3" w:rsidRDefault="0081106C" w:rsidP="0019790A">
      <w:pPr>
        <w:jc w:val="both"/>
      </w:pPr>
      <w:r w:rsidRPr="0081106C">
        <w:t xml:space="preserve">For </w:t>
      </w:r>
      <w:r w:rsidRPr="00E02474">
        <w:t>B2025</w:t>
      </w:r>
      <w:r w:rsidRPr="0081106C">
        <w:t xml:space="preserve"> analyses, </w:t>
      </w:r>
      <w:r w:rsidRPr="00E02474">
        <w:t xml:space="preserve">the technologies that passed initial screening, indicating their potential cost-effectiveness, </w:t>
      </w:r>
      <w:r w:rsidR="005313B8">
        <w:t>include</w:t>
      </w:r>
      <w:r w:rsidR="005313B8" w:rsidRPr="00E02474">
        <w:t xml:space="preserve"> </w:t>
      </w:r>
      <w:r w:rsidR="00D86A3F">
        <w:t>NGCC</w:t>
      </w:r>
      <w:r w:rsidRPr="00E02474">
        <w:t xml:space="preserve">, dual-fuel </w:t>
      </w:r>
      <w:r w:rsidR="00225601">
        <w:t>CT</w:t>
      </w:r>
      <w:r w:rsidRPr="00E02474">
        <w:t xml:space="preserve"> with SCR (oil-fueled in winter), solar </w:t>
      </w:r>
      <w:r w:rsidR="00225601">
        <w:t>PV</w:t>
      </w:r>
      <w:r w:rsidRPr="00E02474">
        <w:t xml:space="preserve">, wind, nuclear (AP-1000), lithium-ion battery storage, and </w:t>
      </w:r>
      <w:r w:rsidR="00E34671">
        <w:t xml:space="preserve">compressed air or </w:t>
      </w:r>
      <w:r w:rsidRPr="00E02474">
        <w:t>pumped thermal energy storage.</w:t>
      </w:r>
      <w:r w:rsidR="00244343">
        <w:t xml:space="preserve"> </w:t>
      </w:r>
      <w:bookmarkStart w:id="51" w:name="_Hlk187590392"/>
      <w:r w:rsidR="00244343">
        <w:rPr>
          <w:rFonts w:eastAsia="Cambria" w:cs="Cambria"/>
          <w:color w:val="000000" w:themeColor="text1"/>
        </w:rPr>
        <w:t xml:space="preserve">In addition, NGCC with CCS passed initial screening based on an assumed trajectory of technology and infrastructure development towards future commercial availability. While this trajectory and the ultimate costs remain highly uncertain, the inclusion of NGCC with CCS allows the Company to evaluate scenarios for this potential future resource option. </w:t>
      </w:r>
      <w:bookmarkEnd w:id="51"/>
      <w:r w:rsidR="00244343">
        <w:t>Table 8.9A provides key modeling assumptions and limits for each of these candidate technologies. Note that for certain technologies, such as NGCC with CCS, there may be additional infrastructure or technology limitations that are not yet well understood at this time and are not captured in the model.</w:t>
      </w:r>
      <w:r w:rsidR="00752BD3" w:rsidRPr="00E02474">
        <w:t xml:space="preserve"> </w:t>
      </w:r>
    </w:p>
    <w:p w14:paraId="147CCE45" w14:textId="77777777" w:rsidR="002808D7" w:rsidRDefault="002808D7">
      <w:r>
        <w:br w:type="page"/>
      </w:r>
    </w:p>
    <w:p w14:paraId="61629847" w14:textId="5578C079" w:rsidR="006A5734" w:rsidRDefault="006A5734" w:rsidP="00BF7BC0">
      <w:pPr>
        <w:keepNext/>
        <w:jc w:val="center"/>
      </w:pPr>
      <w:r>
        <w:lastRenderedPageBreak/>
        <w:t>Table 8.9</w:t>
      </w:r>
      <w:r w:rsidR="00EF0B4A">
        <w:t>A</w:t>
      </w:r>
      <w:r>
        <w:t xml:space="preserve"> – Candidate Technology Assumptions</w:t>
      </w:r>
    </w:p>
    <w:tbl>
      <w:tblPr>
        <w:tblStyle w:val="GridTable4-Accent1"/>
        <w:tblW w:w="4995" w:type="pct"/>
        <w:tblLook w:val="04A0" w:firstRow="1" w:lastRow="0" w:firstColumn="1" w:lastColumn="0" w:noHBand="0" w:noVBand="1"/>
      </w:tblPr>
      <w:tblGrid>
        <w:gridCol w:w="2701"/>
        <w:gridCol w:w="1256"/>
        <w:gridCol w:w="2692"/>
        <w:gridCol w:w="2692"/>
      </w:tblGrid>
      <w:tr w:rsidR="006A1555" w:rsidRPr="006A1555" w14:paraId="1610A565" w14:textId="77777777" w:rsidTr="002A785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45" w:type="pct"/>
            <w:vAlign w:val="center"/>
          </w:tcPr>
          <w:p w14:paraId="648194B1" w14:textId="73B0F4DD" w:rsidR="006A1555" w:rsidRPr="00AE44F4" w:rsidRDefault="006A1555" w:rsidP="009F340B">
            <w:pPr>
              <w:rPr>
                <w:b w:val="0"/>
              </w:rPr>
            </w:pPr>
            <w:r w:rsidRPr="00AE44F4">
              <w:rPr>
                <w:b w:val="0"/>
              </w:rPr>
              <w:t xml:space="preserve">Candidate </w:t>
            </w:r>
            <w:r w:rsidR="0012124E" w:rsidRPr="00AE44F4">
              <w:rPr>
                <w:b w:val="0"/>
                <w:bCs w:val="0"/>
              </w:rPr>
              <w:t>Technology</w:t>
            </w:r>
          </w:p>
        </w:tc>
        <w:tc>
          <w:tcPr>
            <w:tcW w:w="672" w:type="pct"/>
            <w:vAlign w:val="center"/>
          </w:tcPr>
          <w:p w14:paraId="5A322BEE" w14:textId="3B3A1457" w:rsidR="006A1555" w:rsidRPr="00AE44F4" w:rsidRDefault="0012124E" w:rsidP="006A5734">
            <w:pPr>
              <w:jc w:val="center"/>
              <w:cnfStyle w:val="100000000000" w:firstRow="1" w:lastRow="0" w:firstColumn="0" w:lastColumn="0" w:oddVBand="0" w:evenVBand="0" w:oddHBand="0" w:evenHBand="0" w:firstRowFirstColumn="0" w:firstRowLastColumn="0" w:lastRowFirstColumn="0" w:lastRowLastColumn="0"/>
              <w:rPr>
                <w:b w:val="0"/>
              </w:rPr>
            </w:pPr>
            <w:r w:rsidRPr="00AE44F4">
              <w:rPr>
                <w:b w:val="0"/>
                <w:bCs w:val="0"/>
              </w:rPr>
              <w:t>First Year Available</w:t>
            </w:r>
          </w:p>
        </w:tc>
        <w:tc>
          <w:tcPr>
            <w:tcW w:w="1441" w:type="pct"/>
            <w:vAlign w:val="center"/>
          </w:tcPr>
          <w:p w14:paraId="51CC3D4D" w14:textId="30796033" w:rsidR="006A1555" w:rsidRPr="009F340B" w:rsidRDefault="0012124E" w:rsidP="006A5734">
            <w:pPr>
              <w:jc w:val="center"/>
              <w:cnfStyle w:val="100000000000" w:firstRow="1" w:lastRow="0" w:firstColumn="0" w:lastColumn="0" w:oddVBand="0" w:evenVBand="0" w:oddHBand="0" w:evenHBand="0" w:firstRowFirstColumn="0" w:firstRowLastColumn="0" w:lastRowFirstColumn="0" w:lastRowLastColumn="0"/>
            </w:pPr>
            <w:r w:rsidRPr="00AE44F4">
              <w:rPr>
                <w:b w:val="0"/>
                <w:bCs w:val="0"/>
              </w:rPr>
              <w:t>Last Year</w:t>
            </w:r>
            <w:r w:rsidR="009B4B28">
              <w:rPr>
                <w:b w:val="0"/>
                <w:bCs w:val="0"/>
              </w:rPr>
              <w:t xml:space="preserve"> </w:t>
            </w:r>
            <w:r w:rsidRPr="00AE44F4">
              <w:rPr>
                <w:b w:val="0"/>
                <w:bCs w:val="0"/>
              </w:rPr>
              <w:t>Available</w:t>
            </w:r>
          </w:p>
        </w:tc>
        <w:tc>
          <w:tcPr>
            <w:tcW w:w="1441" w:type="pct"/>
            <w:vAlign w:val="center"/>
          </w:tcPr>
          <w:p w14:paraId="235885C5" w14:textId="4B8E36D3" w:rsidR="006A1555" w:rsidRPr="009F340B" w:rsidRDefault="00463910" w:rsidP="006A5734">
            <w:pPr>
              <w:jc w:val="center"/>
              <w:cnfStyle w:val="100000000000" w:firstRow="1" w:lastRow="0" w:firstColumn="0" w:lastColumn="0" w:oddVBand="0" w:evenVBand="0" w:oddHBand="0" w:evenHBand="0" w:firstRowFirstColumn="0" w:firstRowLastColumn="0" w:lastRowFirstColumn="0" w:lastRowLastColumn="0"/>
            </w:pPr>
            <w:r w:rsidRPr="00AE44F4">
              <w:rPr>
                <w:b w:val="0"/>
                <w:bCs w:val="0"/>
              </w:rPr>
              <w:t>Modeling</w:t>
            </w:r>
            <w:r w:rsidR="009F340B">
              <w:t xml:space="preserve"> </w:t>
            </w:r>
            <w:r w:rsidRPr="00AE44F4">
              <w:rPr>
                <w:b w:val="0"/>
                <w:bCs w:val="0"/>
              </w:rPr>
              <w:t>Limits</w:t>
            </w:r>
          </w:p>
        </w:tc>
      </w:tr>
      <w:tr w:rsidR="006A1555" w:rsidRPr="006A1555" w14:paraId="48533A0A" w14:textId="77777777" w:rsidTr="001574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5" w:type="pct"/>
            <w:vAlign w:val="center"/>
          </w:tcPr>
          <w:p w14:paraId="17A5CA77" w14:textId="3515BCC6" w:rsidR="006A1555" w:rsidRPr="001A06EB" w:rsidRDefault="0012124E" w:rsidP="009F340B">
            <w:r w:rsidRPr="001A06EB">
              <w:t>Combined Cycle (1x1)</w:t>
            </w:r>
          </w:p>
        </w:tc>
        <w:tc>
          <w:tcPr>
            <w:tcW w:w="672" w:type="pct"/>
            <w:vAlign w:val="center"/>
          </w:tcPr>
          <w:p w14:paraId="4E55089A" w14:textId="2570D065" w:rsidR="006A1555" w:rsidRPr="001A06EB" w:rsidRDefault="0012124E" w:rsidP="006A5734">
            <w:pPr>
              <w:jc w:val="center"/>
              <w:cnfStyle w:val="000000100000" w:firstRow="0" w:lastRow="0" w:firstColumn="0" w:lastColumn="0" w:oddVBand="0" w:evenVBand="0" w:oddHBand="1" w:evenHBand="0" w:firstRowFirstColumn="0" w:firstRowLastColumn="0" w:lastRowFirstColumn="0" w:lastRowLastColumn="0"/>
            </w:pPr>
            <w:r w:rsidRPr="001A06EB">
              <w:t>2029</w:t>
            </w:r>
          </w:p>
        </w:tc>
        <w:tc>
          <w:tcPr>
            <w:tcW w:w="1441" w:type="pct"/>
            <w:vAlign w:val="center"/>
          </w:tcPr>
          <w:p w14:paraId="13F0D280" w14:textId="77777777" w:rsidR="006A1555" w:rsidRPr="001A06EB" w:rsidRDefault="008F57B9" w:rsidP="00F85930">
            <w:pPr>
              <w:pStyle w:val="ListParagraph"/>
              <w:numPr>
                <w:ilvl w:val="0"/>
                <w:numId w:val="47"/>
              </w:numPr>
              <w:ind w:left="346"/>
              <w:cnfStyle w:val="000000100000" w:firstRow="0" w:lastRow="0" w:firstColumn="0" w:lastColumn="0" w:oddVBand="0" w:evenVBand="0" w:oddHBand="1" w:evenHBand="0" w:firstRowFirstColumn="0" w:firstRowLastColumn="0" w:lastRowFirstColumn="0" w:lastRowLastColumn="0"/>
            </w:pPr>
            <w:r w:rsidRPr="001A06EB">
              <w:t>111: available through planning horizon; limited to 40% capacity factor beginning 2032</w:t>
            </w:r>
          </w:p>
          <w:p w14:paraId="02C5F258" w14:textId="77777777" w:rsidR="008F57B9" w:rsidRPr="001A06EB" w:rsidRDefault="008F57B9" w:rsidP="00F85930">
            <w:pPr>
              <w:pStyle w:val="ListParagraph"/>
              <w:numPr>
                <w:ilvl w:val="0"/>
                <w:numId w:val="47"/>
              </w:numPr>
              <w:ind w:left="346"/>
              <w:cnfStyle w:val="000000100000" w:firstRow="0" w:lastRow="0" w:firstColumn="0" w:lastColumn="0" w:oddVBand="0" w:evenVBand="0" w:oddHBand="1" w:evenHBand="0" w:firstRowFirstColumn="0" w:firstRowLastColumn="0" w:lastRowFirstColumn="0" w:lastRowLastColumn="0"/>
            </w:pPr>
            <w:r w:rsidRPr="00225FC9">
              <w:rPr>
                <w:i/>
              </w:rPr>
              <w:t>Lower</w:t>
            </w:r>
            <w:r w:rsidRPr="001A06EB">
              <w:t xml:space="preserve"> CO</w:t>
            </w:r>
            <w:r w:rsidRPr="003B299F">
              <w:rPr>
                <w:vertAlign w:val="subscript"/>
              </w:rPr>
              <w:t>2</w:t>
            </w:r>
            <w:r w:rsidRPr="001A06EB">
              <w:t>: 2039</w:t>
            </w:r>
          </w:p>
          <w:p w14:paraId="2F37DFD3" w14:textId="756746C0" w:rsidR="006A1555" w:rsidRPr="001A06EB" w:rsidRDefault="008F57B9" w:rsidP="00F85930">
            <w:pPr>
              <w:pStyle w:val="ListParagraph"/>
              <w:numPr>
                <w:ilvl w:val="0"/>
                <w:numId w:val="47"/>
              </w:numPr>
              <w:ind w:left="346"/>
              <w:cnfStyle w:val="000000100000" w:firstRow="0" w:lastRow="0" w:firstColumn="0" w:lastColumn="0" w:oddVBand="0" w:evenVBand="0" w:oddHBand="1" w:evenHBand="0" w:firstRowFirstColumn="0" w:firstRowLastColumn="0" w:lastRowFirstColumn="0" w:lastRowLastColumn="0"/>
              <w:rPr>
                <w:rFonts w:eastAsia="Times New Roman"/>
                <w:kern w:val="0"/>
                <w14:ligatures w14:val="none"/>
              </w:rPr>
            </w:pPr>
            <w:r w:rsidRPr="00225FC9">
              <w:rPr>
                <w:i/>
              </w:rPr>
              <w:t>Moderate</w:t>
            </w:r>
            <w:r w:rsidRPr="001A06EB">
              <w:t xml:space="preserve">, </w:t>
            </w:r>
            <w:r w:rsidRPr="00225FC9">
              <w:rPr>
                <w:i/>
              </w:rPr>
              <w:t>Higher</w:t>
            </w:r>
            <w:r w:rsidRPr="001A06EB">
              <w:t xml:space="preserve">, &amp; </w:t>
            </w:r>
            <w:r w:rsidRPr="00225FC9">
              <w:rPr>
                <w:i/>
              </w:rPr>
              <w:t>EL</w:t>
            </w:r>
            <w:r w:rsidRPr="001A06EB">
              <w:t xml:space="preserve"> CO</w:t>
            </w:r>
            <w:r w:rsidRPr="003B299F">
              <w:rPr>
                <w:vertAlign w:val="subscript"/>
              </w:rPr>
              <w:t>2</w:t>
            </w:r>
            <w:r w:rsidRPr="001A06EB">
              <w:t>: 2036</w:t>
            </w:r>
          </w:p>
        </w:tc>
        <w:tc>
          <w:tcPr>
            <w:tcW w:w="1441" w:type="pct"/>
            <w:vAlign w:val="center"/>
          </w:tcPr>
          <w:p w14:paraId="4C002C46" w14:textId="77777777" w:rsidR="006A1555" w:rsidRPr="001A06EB" w:rsidRDefault="001A06EB" w:rsidP="00F85930">
            <w:pPr>
              <w:pStyle w:val="ListParagraph"/>
              <w:numPr>
                <w:ilvl w:val="0"/>
                <w:numId w:val="47"/>
              </w:numPr>
              <w:ind w:left="346"/>
              <w:cnfStyle w:val="000000100000" w:firstRow="0" w:lastRow="0" w:firstColumn="0" w:lastColumn="0" w:oddVBand="0" w:evenVBand="0" w:oddHBand="1" w:evenHBand="0" w:firstRowFirstColumn="0" w:firstRowLastColumn="0" w:lastRowFirstColumn="0" w:lastRowLastColumn="0"/>
            </w:pPr>
            <w:r w:rsidRPr="001A06EB">
              <w:t>Market options (2029 limited to 900 MW)</w:t>
            </w:r>
          </w:p>
          <w:p w14:paraId="0D92805D" w14:textId="409BC8B0" w:rsidR="006A1555" w:rsidRPr="001A06EB" w:rsidRDefault="001A06EB" w:rsidP="00F85930">
            <w:pPr>
              <w:pStyle w:val="ListParagraph"/>
              <w:numPr>
                <w:ilvl w:val="0"/>
                <w:numId w:val="47"/>
              </w:numPr>
              <w:ind w:left="346"/>
              <w:cnfStyle w:val="000000100000" w:firstRow="0" w:lastRow="0" w:firstColumn="0" w:lastColumn="0" w:oddVBand="0" w:evenVBand="0" w:oddHBand="1" w:evenHBand="0" w:firstRowFirstColumn="0" w:firstRowLastColumn="0" w:lastRowFirstColumn="0" w:lastRowLastColumn="0"/>
              <w:rPr>
                <w:rFonts w:eastAsia="Times New Roman"/>
                <w:kern w:val="0"/>
                <w14:ligatures w14:val="none"/>
              </w:rPr>
            </w:pPr>
            <w:r w:rsidRPr="001A06EB">
              <w:t>Natural Gas Firm Transportation availability (FT availability)</w:t>
            </w:r>
          </w:p>
        </w:tc>
      </w:tr>
      <w:tr w:rsidR="006A1555" w:rsidRPr="006A1555" w14:paraId="54324197" w14:textId="77777777" w:rsidTr="001574BF">
        <w:tc>
          <w:tcPr>
            <w:cnfStyle w:val="001000000000" w:firstRow="0" w:lastRow="0" w:firstColumn="1" w:lastColumn="0" w:oddVBand="0" w:evenVBand="0" w:oddHBand="0" w:evenHBand="0" w:firstRowFirstColumn="0" w:firstRowLastColumn="0" w:lastRowFirstColumn="0" w:lastRowLastColumn="0"/>
            <w:tcW w:w="1445" w:type="pct"/>
            <w:vAlign w:val="center"/>
          </w:tcPr>
          <w:p w14:paraId="3BE66BB2" w14:textId="57992517" w:rsidR="006A1555" w:rsidRPr="001A06EB" w:rsidRDefault="0012124E" w:rsidP="009F340B">
            <w:r w:rsidRPr="001A06EB">
              <w:t>Combined Cycle with CCS (Local)</w:t>
            </w:r>
          </w:p>
        </w:tc>
        <w:tc>
          <w:tcPr>
            <w:tcW w:w="672" w:type="pct"/>
            <w:vAlign w:val="center"/>
          </w:tcPr>
          <w:p w14:paraId="11BE723E" w14:textId="7AE2C942" w:rsidR="006A1555" w:rsidRPr="001A06EB" w:rsidRDefault="0012124E" w:rsidP="006A5734">
            <w:pPr>
              <w:jc w:val="center"/>
              <w:cnfStyle w:val="000000000000" w:firstRow="0" w:lastRow="0" w:firstColumn="0" w:lastColumn="0" w:oddVBand="0" w:evenVBand="0" w:oddHBand="0" w:evenHBand="0" w:firstRowFirstColumn="0" w:firstRowLastColumn="0" w:lastRowFirstColumn="0" w:lastRowLastColumn="0"/>
            </w:pPr>
            <w:r w:rsidRPr="001A06EB">
              <w:t>2037</w:t>
            </w:r>
          </w:p>
        </w:tc>
        <w:tc>
          <w:tcPr>
            <w:tcW w:w="1441" w:type="pct"/>
            <w:vAlign w:val="center"/>
          </w:tcPr>
          <w:p w14:paraId="5231818D" w14:textId="75A9A79E" w:rsidR="006A1555" w:rsidRPr="001A06EB" w:rsidRDefault="008F57B9" w:rsidP="00F85930">
            <w:pPr>
              <w:pStyle w:val="ListParagraph"/>
              <w:numPr>
                <w:ilvl w:val="0"/>
                <w:numId w:val="47"/>
              </w:numPr>
              <w:ind w:left="346"/>
              <w:cnfStyle w:val="000000000000" w:firstRow="0" w:lastRow="0" w:firstColumn="0" w:lastColumn="0" w:oddVBand="0" w:evenVBand="0" w:oddHBand="0" w:evenHBand="0" w:firstRowFirstColumn="0" w:firstRowLastColumn="0" w:lastRowFirstColumn="0" w:lastRowLastColumn="0"/>
              <w:rPr>
                <w:rFonts w:eastAsia="Times New Roman"/>
                <w:kern w:val="0"/>
                <w14:ligatures w14:val="none"/>
              </w:rPr>
            </w:pPr>
            <w:r w:rsidRPr="001A06EB">
              <w:t>Available through planning horizon</w:t>
            </w:r>
          </w:p>
        </w:tc>
        <w:tc>
          <w:tcPr>
            <w:tcW w:w="1441" w:type="pct"/>
            <w:vAlign w:val="center"/>
          </w:tcPr>
          <w:p w14:paraId="3844BBD4" w14:textId="77777777" w:rsidR="006A1555" w:rsidRPr="001A06EB" w:rsidRDefault="001A06EB" w:rsidP="00F85930">
            <w:pPr>
              <w:pStyle w:val="ListParagraph"/>
              <w:numPr>
                <w:ilvl w:val="0"/>
                <w:numId w:val="47"/>
              </w:numPr>
              <w:ind w:left="346"/>
              <w:cnfStyle w:val="000000000000" w:firstRow="0" w:lastRow="0" w:firstColumn="0" w:lastColumn="0" w:oddVBand="0" w:evenVBand="0" w:oddHBand="0" w:evenHBand="0" w:firstRowFirstColumn="0" w:firstRowLastColumn="0" w:lastRowFirstColumn="0" w:lastRowLastColumn="0"/>
            </w:pPr>
            <w:r w:rsidRPr="001A06EB">
              <w:t>FT availability</w:t>
            </w:r>
          </w:p>
          <w:p w14:paraId="5043CD92" w14:textId="70FC96AA" w:rsidR="006A1555" w:rsidRPr="001A06EB" w:rsidRDefault="001A06EB" w:rsidP="00F85930">
            <w:pPr>
              <w:pStyle w:val="ListParagraph"/>
              <w:numPr>
                <w:ilvl w:val="0"/>
                <w:numId w:val="47"/>
              </w:numPr>
              <w:ind w:left="346"/>
              <w:cnfStyle w:val="000000000000" w:firstRow="0" w:lastRow="0" w:firstColumn="0" w:lastColumn="0" w:oddVBand="0" w:evenVBand="0" w:oddHBand="0" w:evenHBand="0" w:firstRowFirstColumn="0" w:firstRowLastColumn="0" w:lastRowFirstColumn="0" w:lastRowLastColumn="0"/>
              <w:rPr>
                <w:rFonts w:eastAsia="Times New Roman"/>
                <w:kern w:val="0"/>
                <w14:ligatures w14:val="none"/>
              </w:rPr>
            </w:pPr>
            <w:r w:rsidRPr="001A06EB">
              <w:t xml:space="preserve">Geology </w:t>
            </w:r>
          </w:p>
        </w:tc>
      </w:tr>
      <w:tr w:rsidR="006A1555" w:rsidRPr="006A1555" w14:paraId="52F9EC0E" w14:textId="77777777" w:rsidTr="001574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5" w:type="pct"/>
            <w:vAlign w:val="center"/>
          </w:tcPr>
          <w:p w14:paraId="270B18BF" w14:textId="60A704CF" w:rsidR="006A1555" w:rsidRPr="001A06EB" w:rsidRDefault="0012124E" w:rsidP="009F340B">
            <w:r w:rsidRPr="001A06EB">
              <w:t>Combined Cycle with CCS (Distant)</w:t>
            </w:r>
          </w:p>
        </w:tc>
        <w:tc>
          <w:tcPr>
            <w:tcW w:w="672" w:type="pct"/>
            <w:vAlign w:val="center"/>
          </w:tcPr>
          <w:p w14:paraId="6FC11786" w14:textId="33B4E469" w:rsidR="006A1555" w:rsidRPr="001A06EB" w:rsidRDefault="0012124E" w:rsidP="006A5734">
            <w:pPr>
              <w:jc w:val="center"/>
              <w:cnfStyle w:val="000000100000" w:firstRow="0" w:lastRow="0" w:firstColumn="0" w:lastColumn="0" w:oddVBand="0" w:evenVBand="0" w:oddHBand="1" w:evenHBand="0" w:firstRowFirstColumn="0" w:firstRowLastColumn="0" w:lastRowFirstColumn="0" w:lastRowLastColumn="0"/>
            </w:pPr>
            <w:r w:rsidRPr="001A06EB">
              <w:t>2037</w:t>
            </w:r>
          </w:p>
        </w:tc>
        <w:tc>
          <w:tcPr>
            <w:tcW w:w="1441" w:type="pct"/>
            <w:vAlign w:val="center"/>
          </w:tcPr>
          <w:p w14:paraId="5DB05C19" w14:textId="2A89B86A" w:rsidR="006A1555" w:rsidRPr="001A06EB" w:rsidRDefault="003A481C" w:rsidP="00F85930">
            <w:pPr>
              <w:pStyle w:val="ListParagraph"/>
              <w:numPr>
                <w:ilvl w:val="0"/>
                <w:numId w:val="47"/>
              </w:numPr>
              <w:ind w:left="346"/>
              <w:cnfStyle w:val="000000100000" w:firstRow="0" w:lastRow="0" w:firstColumn="0" w:lastColumn="0" w:oddVBand="0" w:evenVBand="0" w:oddHBand="1" w:evenHBand="0" w:firstRowFirstColumn="0" w:firstRowLastColumn="0" w:lastRowFirstColumn="0" w:lastRowLastColumn="0"/>
              <w:rPr>
                <w:rFonts w:eastAsia="Times New Roman"/>
                <w:kern w:val="0"/>
                <w14:ligatures w14:val="none"/>
              </w:rPr>
            </w:pPr>
            <w:r w:rsidRPr="001A06EB">
              <w:rPr>
                <w:rFonts w:eastAsia="Times New Roman"/>
                <w:kern w:val="0"/>
                <w14:ligatures w14:val="none"/>
              </w:rPr>
              <w:t>Available through planning horizon</w:t>
            </w:r>
          </w:p>
        </w:tc>
        <w:tc>
          <w:tcPr>
            <w:tcW w:w="1441" w:type="pct"/>
            <w:vAlign w:val="center"/>
          </w:tcPr>
          <w:p w14:paraId="51CA24FD" w14:textId="2D6804A5" w:rsidR="006A1555" w:rsidRPr="001A06EB" w:rsidRDefault="001A06EB" w:rsidP="00F85930">
            <w:pPr>
              <w:pStyle w:val="ListParagraph"/>
              <w:numPr>
                <w:ilvl w:val="0"/>
                <w:numId w:val="47"/>
              </w:numPr>
              <w:ind w:left="346"/>
              <w:cnfStyle w:val="000000100000" w:firstRow="0" w:lastRow="0" w:firstColumn="0" w:lastColumn="0" w:oddVBand="0" w:evenVBand="0" w:oddHBand="1" w:evenHBand="0" w:firstRowFirstColumn="0" w:firstRowLastColumn="0" w:lastRowFirstColumn="0" w:lastRowLastColumn="0"/>
              <w:rPr>
                <w:rFonts w:eastAsia="Times New Roman"/>
                <w:kern w:val="0"/>
                <w14:ligatures w14:val="none"/>
              </w:rPr>
            </w:pPr>
            <w:r w:rsidRPr="001A06EB">
              <w:t>FT availability</w:t>
            </w:r>
          </w:p>
        </w:tc>
      </w:tr>
      <w:tr w:rsidR="006A1555" w:rsidRPr="006A1555" w14:paraId="31DA858D" w14:textId="77777777" w:rsidTr="001574BF">
        <w:tc>
          <w:tcPr>
            <w:cnfStyle w:val="001000000000" w:firstRow="0" w:lastRow="0" w:firstColumn="1" w:lastColumn="0" w:oddVBand="0" w:evenVBand="0" w:oddHBand="0" w:evenHBand="0" w:firstRowFirstColumn="0" w:firstRowLastColumn="0" w:lastRowFirstColumn="0" w:lastRowLastColumn="0"/>
            <w:tcW w:w="1445" w:type="pct"/>
            <w:vAlign w:val="center"/>
          </w:tcPr>
          <w:p w14:paraId="58E1AF60" w14:textId="0D43FEC9" w:rsidR="006A1555" w:rsidRPr="001A06EB" w:rsidRDefault="0012124E" w:rsidP="009F340B">
            <w:r w:rsidRPr="001A06EB">
              <w:t>Combustion Turbine with SCR</w:t>
            </w:r>
          </w:p>
        </w:tc>
        <w:tc>
          <w:tcPr>
            <w:tcW w:w="672" w:type="pct"/>
            <w:vAlign w:val="center"/>
          </w:tcPr>
          <w:p w14:paraId="6511CAFE" w14:textId="30F25B9B" w:rsidR="006A1555" w:rsidRPr="001A06EB" w:rsidRDefault="0012124E" w:rsidP="006A5734">
            <w:pPr>
              <w:jc w:val="center"/>
              <w:cnfStyle w:val="000000000000" w:firstRow="0" w:lastRow="0" w:firstColumn="0" w:lastColumn="0" w:oddVBand="0" w:evenVBand="0" w:oddHBand="0" w:evenHBand="0" w:firstRowFirstColumn="0" w:firstRowLastColumn="0" w:lastRowFirstColumn="0" w:lastRowLastColumn="0"/>
            </w:pPr>
            <w:r w:rsidRPr="001A06EB">
              <w:t>2029</w:t>
            </w:r>
          </w:p>
        </w:tc>
        <w:tc>
          <w:tcPr>
            <w:tcW w:w="1441" w:type="pct"/>
            <w:vAlign w:val="center"/>
          </w:tcPr>
          <w:p w14:paraId="76A5594C" w14:textId="65B486C6" w:rsidR="006A1555" w:rsidRPr="001A06EB" w:rsidRDefault="003A481C" w:rsidP="00F85930">
            <w:pPr>
              <w:pStyle w:val="ListParagraph"/>
              <w:numPr>
                <w:ilvl w:val="0"/>
                <w:numId w:val="47"/>
              </w:numPr>
              <w:ind w:left="346"/>
              <w:cnfStyle w:val="000000000000" w:firstRow="0" w:lastRow="0" w:firstColumn="0" w:lastColumn="0" w:oddVBand="0" w:evenVBand="0" w:oddHBand="0" w:evenHBand="0" w:firstRowFirstColumn="0" w:firstRowLastColumn="0" w:lastRowFirstColumn="0" w:lastRowLastColumn="0"/>
              <w:rPr>
                <w:rFonts w:eastAsia="Times New Roman"/>
                <w:kern w:val="0"/>
                <w14:ligatures w14:val="none"/>
              </w:rPr>
            </w:pPr>
            <w:r w:rsidRPr="001A06EB">
              <w:t>Available through planning horizon</w:t>
            </w:r>
          </w:p>
        </w:tc>
        <w:tc>
          <w:tcPr>
            <w:tcW w:w="1441" w:type="pct"/>
            <w:vAlign w:val="center"/>
          </w:tcPr>
          <w:p w14:paraId="6C0CCA83" w14:textId="77777777" w:rsidR="006A1555" w:rsidRPr="001A06EB" w:rsidRDefault="001A06EB" w:rsidP="00F85930">
            <w:pPr>
              <w:pStyle w:val="ListParagraph"/>
              <w:numPr>
                <w:ilvl w:val="0"/>
                <w:numId w:val="47"/>
              </w:numPr>
              <w:ind w:left="346"/>
              <w:cnfStyle w:val="000000000000" w:firstRow="0" w:lastRow="0" w:firstColumn="0" w:lastColumn="0" w:oddVBand="0" w:evenVBand="0" w:oddHBand="0" w:evenHBand="0" w:firstRowFirstColumn="0" w:firstRowLastColumn="0" w:lastRowFirstColumn="0" w:lastRowLastColumn="0"/>
            </w:pPr>
            <w:r w:rsidRPr="001A06EB">
              <w:t>Oil operation in winter months (January, February, and December)</w:t>
            </w:r>
          </w:p>
          <w:p w14:paraId="405FAF72" w14:textId="2650DE1A" w:rsidR="006A1555" w:rsidRPr="001A06EB" w:rsidRDefault="001A06EB" w:rsidP="00F85930">
            <w:pPr>
              <w:pStyle w:val="ListParagraph"/>
              <w:numPr>
                <w:ilvl w:val="0"/>
                <w:numId w:val="47"/>
              </w:numPr>
              <w:ind w:left="346"/>
              <w:cnfStyle w:val="000000000000" w:firstRow="0" w:lastRow="0" w:firstColumn="0" w:lastColumn="0" w:oddVBand="0" w:evenVBand="0" w:oddHBand="0" w:evenHBand="0" w:firstRowFirstColumn="0" w:firstRowLastColumn="0" w:lastRowFirstColumn="0" w:lastRowLastColumn="0"/>
              <w:rPr>
                <w:rFonts w:eastAsia="Times New Roman"/>
                <w:kern w:val="0"/>
                <w14:ligatures w14:val="none"/>
              </w:rPr>
            </w:pPr>
            <w:r w:rsidRPr="001A06EB">
              <w:t>20% capacity factor annually</w:t>
            </w:r>
          </w:p>
        </w:tc>
      </w:tr>
      <w:tr w:rsidR="006A1555" w:rsidRPr="006A1555" w14:paraId="770FC723" w14:textId="77777777" w:rsidTr="001574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5" w:type="pct"/>
            <w:vAlign w:val="center"/>
          </w:tcPr>
          <w:p w14:paraId="27424399" w14:textId="213CBA27" w:rsidR="006A1555" w:rsidRPr="001A06EB" w:rsidRDefault="0012124E" w:rsidP="009F340B">
            <w:r w:rsidRPr="001A06EB">
              <w:t>Solar</w:t>
            </w:r>
            <w:r w:rsidR="006D7BBB">
              <w:t xml:space="preserve"> PV</w:t>
            </w:r>
          </w:p>
        </w:tc>
        <w:tc>
          <w:tcPr>
            <w:tcW w:w="672" w:type="pct"/>
            <w:vAlign w:val="center"/>
          </w:tcPr>
          <w:p w14:paraId="34280219" w14:textId="3389885B" w:rsidR="006A1555" w:rsidRPr="001A06EB" w:rsidRDefault="0012124E" w:rsidP="006A5734">
            <w:pPr>
              <w:jc w:val="center"/>
              <w:cnfStyle w:val="000000100000" w:firstRow="0" w:lastRow="0" w:firstColumn="0" w:lastColumn="0" w:oddVBand="0" w:evenVBand="0" w:oddHBand="1" w:evenHBand="0" w:firstRowFirstColumn="0" w:firstRowLastColumn="0" w:lastRowFirstColumn="0" w:lastRowLastColumn="0"/>
            </w:pPr>
            <w:r w:rsidRPr="001A06EB">
              <w:t>2028</w:t>
            </w:r>
          </w:p>
        </w:tc>
        <w:tc>
          <w:tcPr>
            <w:tcW w:w="1441" w:type="pct"/>
            <w:vAlign w:val="center"/>
          </w:tcPr>
          <w:p w14:paraId="7DE557CA" w14:textId="433A8DA8" w:rsidR="006A1555" w:rsidRPr="001A06EB" w:rsidRDefault="00A2237E" w:rsidP="00F85930">
            <w:pPr>
              <w:pStyle w:val="ListParagraph"/>
              <w:numPr>
                <w:ilvl w:val="0"/>
                <w:numId w:val="47"/>
              </w:numPr>
              <w:ind w:left="346"/>
              <w:cnfStyle w:val="000000100000" w:firstRow="0" w:lastRow="0" w:firstColumn="0" w:lastColumn="0" w:oddVBand="0" w:evenVBand="0" w:oddHBand="1" w:evenHBand="0" w:firstRowFirstColumn="0" w:firstRowLastColumn="0" w:lastRowFirstColumn="0" w:lastRowLastColumn="0"/>
              <w:rPr>
                <w:rFonts w:eastAsia="Times New Roman"/>
                <w:kern w:val="0"/>
                <w14:ligatures w14:val="none"/>
              </w:rPr>
            </w:pPr>
            <w:r w:rsidRPr="001A06EB">
              <w:t>Available through planning horizon</w:t>
            </w:r>
          </w:p>
        </w:tc>
        <w:tc>
          <w:tcPr>
            <w:tcW w:w="1441" w:type="pct"/>
            <w:vAlign w:val="center"/>
          </w:tcPr>
          <w:p w14:paraId="6265D100" w14:textId="69B4E0AF" w:rsidR="006A1555" w:rsidRPr="001A06EB" w:rsidRDefault="001A06EB" w:rsidP="00F85930">
            <w:pPr>
              <w:pStyle w:val="ListParagraph"/>
              <w:numPr>
                <w:ilvl w:val="0"/>
                <w:numId w:val="47"/>
              </w:numPr>
              <w:ind w:left="346"/>
              <w:cnfStyle w:val="000000100000" w:firstRow="0" w:lastRow="0" w:firstColumn="0" w:lastColumn="0" w:oddVBand="0" w:evenVBand="0" w:oddHBand="1" w:evenHBand="0" w:firstRowFirstColumn="0" w:firstRowLastColumn="0" w:lastRowFirstColumn="0" w:lastRowLastColumn="0"/>
              <w:rPr>
                <w:rFonts w:eastAsia="Times New Roman"/>
                <w:kern w:val="0"/>
                <w14:ligatures w14:val="none"/>
              </w:rPr>
            </w:pPr>
            <w:r w:rsidRPr="001A06EB">
              <w:t>1,500 MW / year</w:t>
            </w:r>
          </w:p>
        </w:tc>
      </w:tr>
      <w:tr w:rsidR="006A1555" w:rsidRPr="006A1555" w14:paraId="12509A15" w14:textId="77777777" w:rsidTr="001574BF">
        <w:tc>
          <w:tcPr>
            <w:cnfStyle w:val="001000000000" w:firstRow="0" w:lastRow="0" w:firstColumn="1" w:lastColumn="0" w:oddVBand="0" w:evenVBand="0" w:oddHBand="0" w:evenHBand="0" w:firstRowFirstColumn="0" w:firstRowLastColumn="0" w:lastRowFirstColumn="0" w:lastRowLastColumn="0"/>
            <w:tcW w:w="1445" w:type="pct"/>
            <w:vAlign w:val="center"/>
          </w:tcPr>
          <w:p w14:paraId="33577743" w14:textId="63173229" w:rsidR="006A1555" w:rsidRPr="001A06EB" w:rsidRDefault="0012124E" w:rsidP="009F340B">
            <w:r w:rsidRPr="001A06EB">
              <w:t>Wind</w:t>
            </w:r>
          </w:p>
        </w:tc>
        <w:tc>
          <w:tcPr>
            <w:tcW w:w="672" w:type="pct"/>
            <w:vAlign w:val="center"/>
          </w:tcPr>
          <w:p w14:paraId="3D870E65" w14:textId="679C4A31" w:rsidR="006A1555" w:rsidRPr="001A06EB" w:rsidRDefault="0012124E" w:rsidP="006A5734">
            <w:pPr>
              <w:jc w:val="center"/>
              <w:cnfStyle w:val="000000000000" w:firstRow="0" w:lastRow="0" w:firstColumn="0" w:lastColumn="0" w:oddVBand="0" w:evenVBand="0" w:oddHBand="0" w:evenHBand="0" w:firstRowFirstColumn="0" w:firstRowLastColumn="0" w:lastRowFirstColumn="0" w:lastRowLastColumn="0"/>
            </w:pPr>
            <w:r w:rsidRPr="001A06EB">
              <w:t>2033</w:t>
            </w:r>
          </w:p>
        </w:tc>
        <w:tc>
          <w:tcPr>
            <w:tcW w:w="1441" w:type="pct"/>
            <w:vAlign w:val="center"/>
          </w:tcPr>
          <w:p w14:paraId="0140165B" w14:textId="68F62E0A" w:rsidR="006A1555" w:rsidRPr="001A06EB" w:rsidRDefault="00A2237E" w:rsidP="00F85930">
            <w:pPr>
              <w:pStyle w:val="ListParagraph"/>
              <w:numPr>
                <w:ilvl w:val="0"/>
                <w:numId w:val="47"/>
              </w:numPr>
              <w:ind w:left="346"/>
              <w:cnfStyle w:val="000000000000" w:firstRow="0" w:lastRow="0" w:firstColumn="0" w:lastColumn="0" w:oddVBand="0" w:evenVBand="0" w:oddHBand="0" w:evenHBand="0" w:firstRowFirstColumn="0" w:firstRowLastColumn="0" w:lastRowFirstColumn="0" w:lastRowLastColumn="0"/>
              <w:rPr>
                <w:rFonts w:eastAsia="Times New Roman"/>
                <w:kern w:val="0"/>
                <w14:ligatures w14:val="none"/>
              </w:rPr>
            </w:pPr>
            <w:r w:rsidRPr="001A06EB">
              <w:t>Available through planning horizon</w:t>
            </w:r>
          </w:p>
        </w:tc>
        <w:tc>
          <w:tcPr>
            <w:tcW w:w="1441" w:type="pct"/>
            <w:vAlign w:val="center"/>
          </w:tcPr>
          <w:p w14:paraId="57533AA6" w14:textId="77777777" w:rsidR="006A1555" w:rsidRPr="001A06EB" w:rsidRDefault="001A06EB" w:rsidP="00F85930">
            <w:pPr>
              <w:pStyle w:val="ListParagraph"/>
              <w:numPr>
                <w:ilvl w:val="0"/>
                <w:numId w:val="47"/>
              </w:numPr>
              <w:ind w:left="346"/>
              <w:cnfStyle w:val="000000000000" w:firstRow="0" w:lastRow="0" w:firstColumn="0" w:lastColumn="0" w:oddVBand="0" w:evenVBand="0" w:oddHBand="0" w:evenHBand="0" w:firstRowFirstColumn="0" w:firstRowLastColumn="0" w:lastRowFirstColumn="0" w:lastRowLastColumn="0"/>
            </w:pPr>
            <w:r w:rsidRPr="001A06EB">
              <w:t>300 MW / year</w:t>
            </w:r>
          </w:p>
          <w:p w14:paraId="12A6567C" w14:textId="655EB5D6" w:rsidR="006A1555" w:rsidRPr="001A06EB" w:rsidRDefault="001A06EB" w:rsidP="00F85930">
            <w:pPr>
              <w:pStyle w:val="ListParagraph"/>
              <w:numPr>
                <w:ilvl w:val="0"/>
                <w:numId w:val="47"/>
              </w:numPr>
              <w:ind w:left="346"/>
              <w:cnfStyle w:val="000000000000" w:firstRow="0" w:lastRow="0" w:firstColumn="0" w:lastColumn="0" w:oddVBand="0" w:evenVBand="0" w:oddHBand="0" w:evenHBand="0" w:firstRowFirstColumn="0" w:firstRowLastColumn="0" w:lastRowFirstColumn="0" w:lastRowLastColumn="0"/>
              <w:rPr>
                <w:rFonts w:eastAsia="Times New Roman"/>
                <w:kern w:val="0"/>
                <w14:ligatures w14:val="none"/>
              </w:rPr>
            </w:pPr>
            <w:r w:rsidRPr="001A06EB">
              <w:t>4,500 MW total</w:t>
            </w:r>
          </w:p>
        </w:tc>
      </w:tr>
      <w:tr w:rsidR="006A1555" w:rsidRPr="006A1555" w14:paraId="7C570BD5" w14:textId="77777777" w:rsidTr="001574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5" w:type="pct"/>
            <w:vAlign w:val="center"/>
          </w:tcPr>
          <w:p w14:paraId="3933DE1A" w14:textId="62613970" w:rsidR="006A1555" w:rsidRPr="001A06EB" w:rsidRDefault="0012124E" w:rsidP="009F340B">
            <w:r w:rsidRPr="001A06EB">
              <w:t>Short Duration Energy Storage (4-hour)</w:t>
            </w:r>
          </w:p>
        </w:tc>
        <w:tc>
          <w:tcPr>
            <w:tcW w:w="672" w:type="pct"/>
            <w:vAlign w:val="center"/>
          </w:tcPr>
          <w:p w14:paraId="15DC4BB3" w14:textId="362F6730" w:rsidR="006A1555" w:rsidRPr="001A06EB" w:rsidRDefault="0012124E" w:rsidP="006A5734">
            <w:pPr>
              <w:jc w:val="center"/>
              <w:cnfStyle w:val="000000100000" w:firstRow="0" w:lastRow="0" w:firstColumn="0" w:lastColumn="0" w:oddVBand="0" w:evenVBand="0" w:oddHBand="1" w:evenHBand="0" w:firstRowFirstColumn="0" w:firstRowLastColumn="0" w:lastRowFirstColumn="0" w:lastRowLastColumn="0"/>
            </w:pPr>
            <w:r w:rsidRPr="001A06EB">
              <w:t>2028</w:t>
            </w:r>
          </w:p>
        </w:tc>
        <w:tc>
          <w:tcPr>
            <w:tcW w:w="1441" w:type="pct"/>
            <w:vAlign w:val="center"/>
          </w:tcPr>
          <w:p w14:paraId="3F50CF52" w14:textId="0B0A9B76" w:rsidR="006A1555" w:rsidRPr="001A06EB" w:rsidRDefault="00A2237E" w:rsidP="00F85930">
            <w:pPr>
              <w:pStyle w:val="ListParagraph"/>
              <w:numPr>
                <w:ilvl w:val="0"/>
                <w:numId w:val="47"/>
              </w:numPr>
              <w:ind w:left="346"/>
              <w:cnfStyle w:val="000000100000" w:firstRow="0" w:lastRow="0" w:firstColumn="0" w:lastColumn="0" w:oddVBand="0" w:evenVBand="0" w:oddHBand="1" w:evenHBand="0" w:firstRowFirstColumn="0" w:firstRowLastColumn="0" w:lastRowFirstColumn="0" w:lastRowLastColumn="0"/>
              <w:rPr>
                <w:rFonts w:eastAsia="Times New Roman"/>
                <w:kern w:val="0"/>
                <w14:ligatures w14:val="none"/>
              </w:rPr>
            </w:pPr>
            <w:r w:rsidRPr="001A06EB">
              <w:t>Available through planning horizon</w:t>
            </w:r>
          </w:p>
        </w:tc>
        <w:tc>
          <w:tcPr>
            <w:tcW w:w="1441" w:type="pct"/>
            <w:vAlign w:val="center"/>
          </w:tcPr>
          <w:p w14:paraId="1A2E4699" w14:textId="4357F645" w:rsidR="006A1555" w:rsidRPr="001A06EB" w:rsidRDefault="001A06EB" w:rsidP="00F85930">
            <w:pPr>
              <w:pStyle w:val="ListParagraph"/>
              <w:numPr>
                <w:ilvl w:val="0"/>
                <w:numId w:val="47"/>
              </w:numPr>
              <w:ind w:left="346"/>
              <w:cnfStyle w:val="000000100000" w:firstRow="0" w:lastRow="0" w:firstColumn="0" w:lastColumn="0" w:oddVBand="0" w:evenVBand="0" w:oddHBand="1" w:evenHBand="0" w:firstRowFirstColumn="0" w:firstRowLastColumn="0" w:lastRowFirstColumn="0" w:lastRowLastColumn="0"/>
              <w:rPr>
                <w:rFonts w:eastAsia="Times New Roman"/>
                <w:kern w:val="0"/>
                <w14:ligatures w14:val="none"/>
              </w:rPr>
            </w:pPr>
            <w:r w:rsidRPr="001A06EB">
              <w:t>3,000 MW / year</w:t>
            </w:r>
          </w:p>
        </w:tc>
      </w:tr>
      <w:tr w:rsidR="006A1555" w:rsidRPr="006A1555" w14:paraId="4E54FD1E" w14:textId="77777777" w:rsidTr="001574BF">
        <w:tc>
          <w:tcPr>
            <w:cnfStyle w:val="001000000000" w:firstRow="0" w:lastRow="0" w:firstColumn="1" w:lastColumn="0" w:oddVBand="0" w:evenVBand="0" w:oddHBand="0" w:evenHBand="0" w:firstRowFirstColumn="0" w:firstRowLastColumn="0" w:lastRowFirstColumn="0" w:lastRowLastColumn="0"/>
            <w:tcW w:w="1445" w:type="pct"/>
            <w:vAlign w:val="center"/>
          </w:tcPr>
          <w:p w14:paraId="326DE9AF" w14:textId="72105290" w:rsidR="006A1555" w:rsidRPr="001A06EB" w:rsidRDefault="0012124E" w:rsidP="009F340B">
            <w:r w:rsidRPr="001A06EB">
              <w:t>Medium Duration Energy Storage (12-hour)</w:t>
            </w:r>
          </w:p>
        </w:tc>
        <w:tc>
          <w:tcPr>
            <w:tcW w:w="672" w:type="pct"/>
            <w:vAlign w:val="center"/>
          </w:tcPr>
          <w:p w14:paraId="3DAAA96E" w14:textId="4BF1365A" w:rsidR="006A1555" w:rsidRPr="001A06EB" w:rsidRDefault="0012124E" w:rsidP="006A5734">
            <w:pPr>
              <w:jc w:val="center"/>
              <w:cnfStyle w:val="000000000000" w:firstRow="0" w:lastRow="0" w:firstColumn="0" w:lastColumn="0" w:oddVBand="0" w:evenVBand="0" w:oddHBand="0" w:evenHBand="0" w:firstRowFirstColumn="0" w:firstRowLastColumn="0" w:lastRowFirstColumn="0" w:lastRowLastColumn="0"/>
            </w:pPr>
            <w:r w:rsidRPr="001A06EB">
              <w:t>2033</w:t>
            </w:r>
          </w:p>
        </w:tc>
        <w:tc>
          <w:tcPr>
            <w:tcW w:w="1441" w:type="pct"/>
            <w:vAlign w:val="center"/>
          </w:tcPr>
          <w:p w14:paraId="5732A60B" w14:textId="54C5ABDE" w:rsidR="006A1555" w:rsidRPr="001A06EB" w:rsidRDefault="00463910" w:rsidP="00F85930">
            <w:pPr>
              <w:pStyle w:val="ListParagraph"/>
              <w:numPr>
                <w:ilvl w:val="0"/>
                <w:numId w:val="47"/>
              </w:numPr>
              <w:ind w:left="346"/>
              <w:cnfStyle w:val="000000000000" w:firstRow="0" w:lastRow="0" w:firstColumn="0" w:lastColumn="0" w:oddVBand="0" w:evenVBand="0" w:oddHBand="0" w:evenHBand="0" w:firstRowFirstColumn="0" w:firstRowLastColumn="0" w:lastRowFirstColumn="0" w:lastRowLastColumn="0"/>
              <w:rPr>
                <w:rFonts w:eastAsia="Times New Roman"/>
                <w:kern w:val="0"/>
                <w14:ligatures w14:val="none"/>
              </w:rPr>
            </w:pPr>
            <w:r w:rsidRPr="001A06EB">
              <w:t>Available through planning horizon</w:t>
            </w:r>
          </w:p>
        </w:tc>
        <w:tc>
          <w:tcPr>
            <w:tcW w:w="1441" w:type="pct"/>
            <w:vAlign w:val="center"/>
          </w:tcPr>
          <w:p w14:paraId="4D18DFF8" w14:textId="3A0FF78D" w:rsidR="006A1555" w:rsidRPr="001A06EB" w:rsidRDefault="001A06EB" w:rsidP="00F85930">
            <w:pPr>
              <w:pStyle w:val="ListParagraph"/>
              <w:numPr>
                <w:ilvl w:val="0"/>
                <w:numId w:val="47"/>
              </w:numPr>
              <w:ind w:left="346"/>
              <w:cnfStyle w:val="000000000000" w:firstRow="0" w:lastRow="0" w:firstColumn="0" w:lastColumn="0" w:oddVBand="0" w:evenVBand="0" w:oddHBand="0" w:evenHBand="0" w:firstRowFirstColumn="0" w:firstRowLastColumn="0" w:lastRowFirstColumn="0" w:lastRowLastColumn="0"/>
              <w:rPr>
                <w:rFonts w:eastAsia="Times New Roman"/>
                <w:kern w:val="0"/>
                <w14:ligatures w14:val="none"/>
              </w:rPr>
            </w:pPr>
            <w:r w:rsidRPr="001A06EB">
              <w:t>3,000 MW / year</w:t>
            </w:r>
          </w:p>
        </w:tc>
      </w:tr>
      <w:tr w:rsidR="006A1555" w:rsidRPr="006A1555" w14:paraId="2C48A786" w14:textId="77777777" w:rsidTr="001574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5" w:type="pct"/>
            <w:vAlign w:val="center"/>
          </w:tcPr>
          <w:p w14:paraId="2D7F4170" w14:textId="7D62AEC4" w:rsidR="006A1555" w:rsidRPr="001A06EB" w:rsidRDefault="0012124E" w:rsidP="009F340B">
            <w:r w:rsidRPr="001A06EB">
              <w:t>Nuclear (AP-1000)</w:t>
            </w:r>
          </w:p>
        </w:tc>
        <w:tc>
          <w:tcPr>
            <w:tcW w:w="672" w:type="pct"/>
            <w:vAlign w:val="center"/>
          </w:tcPr>
          <w:p w14:paraId="05FE41DA" w14:textId="5788C591" w:rsidR="006A1555" w:rsidRPr="001A06EB" w:rsidRDefault="0012124E" w:rsidP="006A5734">
            <w:pPr>
              <w:jc w:val="center"/>
              <w:cnfStyle w:val="000000100000" w:firstRow="0" w:lastRow="0" w:firstColumn="0" w:lastColumn="0" w:oddVBand="0" w:evenVBand="0" w:oddHBand="1" w:evenHBand="0" w:firstRowFirstColumn="0" w:firstRowLastColumn="0" w:lastRowFirstColumn="0" w:lastRowLastColumn="0"/>
            </w:pPr>
            <w:r w:rsidRPr="001A06EB">
              <w:t>2037</w:t>
            </w:r>
          </w:p>
        </w:tc>
        <w:tc>
          <w:tcPr>
            <w:tcW w:w="1441" w:type="pct"/>
            <w:vAlign w:val="center"/>
          </w:tcPr>
          <w:p w14:paraId="06310BB6" w14:textId="1F37334D" w:rsidR="006A1555" w:rsidRPr="001A06EB" w:rsidRDefault="00463910" w:rsidP="00F85930">
            <w:pPr>
              <w:pStyle w:val="ListParagraph"/>
              <w:numPr>
                <w:ilvl w:val="0"/>
                <w:numId w:val="47"/>
              </w:numPr>
              <w:ind w:left="346"/>
              <w:cnfStyle w:val="000000100000" w:firstRow="0" w:lastRow="0" w:firstColumn="0" w:lastColumn="0" w:oddVBand="0" w:evenVBand="0" w:oddHBand="1" w:evenHBand="0" w:firstRowFirstColumn="0" w:firstRowLastColumn="0" w:lastRowFirstColumn="0" w:lastRowLastColumn="0"/>
              <w:rPr>
                <w:rFonts w:eastAsia="Times New Roman"/>
                <w:kern w:val="0"/>
                <w14:ligatures w14:val="none"/>
              </w:rPr>
            </w:pPr>
            <w:r w:rsidRPr="001A06EB">
              <w:t>Available through planning horizon</w:t>
            </w:r>
          </w:p>
        </w:tc>
        <w:tc>
          <w:tcPr>
            <w:tcW w:w="1441" w:type="pct"/>
            <w:vAlign w:val="center"/>
          </w:tcPr>
          <w:p w14:paraId="229AEB7C" w14:textId="4A7E4604" w:rsidR="006A1555" w:rsidRPr="001A06EB" w:rsidRDefault="001A06EB" w:rsidP="00F85930">
            <w:pPr>
              <w:pStyle w:val="ListParagraph"/>
              <w:numPr>
                <w:ilvl w:val="0"/>
                <w:numId w:val="47"/>
              </w:numPr>
              <w:ind w:left="346"/>
              <w:cnfStyle w:val="000000100000" w:firstRow="0" w:lastRow="0" w:firstColumn="0" w:lastColumn="0" w:oddVBand="0" w:evenVBand="0" w:oddHBand="1" w:evenHBand="0" w:firstRowFirstColumn="0" w:firstRowLastColumn="0" w:lastRowFirstColumn="0" w:lastRowLastColumn="0"/>
              <w:rPr>
                <w:rFonts w:eastAsia="Times New Roman"/>
                <w:kern w:val="0"/>
                <w14:ligatures w14:val="none"/>
              </w:rPr>
            </w:pPr>
            <w:r w:rsidRPr="001A06EB">
              <w:t>600 MW / year</w:t>
            </w:r>
          </w:p>
        </w:tc>
      </w:tr>
    </w:tbl>
    <w:p w14:paraId="3E6D0202" w14:textId="2185F703" w:rsidR="00752BD3" w:rsidRDefault="00752BD3" w:rsidP="00DD68E2">
      <w:pPr>
        <w:spacing w:after="0"/>
        <w:jc w:val="both"/>
      </w:pPr>
    </w:p>
    <w:p w14:paraId="282C966A" w14:textId="10BA2A1B" w:rsidR="003D0E7A" w:rsidRDefault="00752BD3" w:rsidP="0019790A">
      <w:pPr>
        <w:jc w:val="both"/>
      </w:pPr>
      <w:r>
        <w:t xml:space="preserve">The cost estimates for each of the natural gas, storage, </w:t>
      </w:r>
      <w:r w:rsidR="00FF60A0">
        <w:t xml:space="preserve">solar, </w:t>
      </w:r>
      <w:r>
        <w:t xml:space="preserve">wind, and nuclear technology options were developed based on proprietary sources of information. Current estimates for costs, spending curves, emissions, and operating characteristics for these resources are contained in the Technology Screening and Applications Standards in Technical Appendix Volume </w:t>
      </w:r>
      <w:r w:rsidR="00DD68E2">
        <w:t>2</w:t>
      </w:r>
      <w:r>
        <w:t>.</w:t>
      </w:r>
    </w:p>
    <w:p w14:paraId="1A3FC9B5" w14:textId="6908185C" w:rsidR="004B153C" w:rsidRDefault="00270CD5" w:rsidP="00E742BB">
      <w:pPr>
        <w:pStyle w:val="Heading3"/>
        <w:jc w:val="both"/>
      </w:pPr>
      <w:r>
        <w:t>8.</w:t>
      </w:r>
      <w:r w:rsidR="00984005">
        <w:t>9</w:t>
      </w:r>
      <w:r>
        <w:t>.4 – Modeling Results</w:t>
      </w:r>
    </w:p>
    <w:p w14:paraId="2073986A" w14:textId="65EEFE6C" w:rsidR="00E742BB" w:rsidRDefault="00E742BB" w:rsidP="00E742BB">
      <w:pPr>
        <w:jc w:val="both"/>
      </w:pPr>
      <w:r>
        <w:t>The expansion planning analysis</w:t>
      </w:r>
      <w:r w:rsidR="003D461C">
        <w:t xml:space="preserve"> in the Resource Mix Study</w:t>
      </w:r>
      <w:r>
        <w:t xml:space="preserve"> maintains the Company’s Target Reserve Margins while considering a wide range of possible future scenarios. The results of the expansion planning analysis ensure the Company is evaluating a range of economic conditions that may differ materially from current economic conditions. This process ensures the Company is making decisions with the best available information, while appropriately considering the risk associated with long-term resource planning decisions in the best interest of customers. The outcome of this method is a cost-effective mix of demand-side and supply-side resources that inform the Company’s </w:t>
      </w:r>
      <w:r>
        <w:lastRenderedPageBreak/>
        <w:t xml:space="preserve">long-term avoided costs. When Georgia Power acquires resources to meet capacity needs identified in the IRP, the actual generation resource procured will be selected in accordance with the Commission’s RFP </w:t>
      </w:r>
      <w:r w:rsidDel="00A9088C">
        <w:t>rules</w:t>
      </w:r>
      <w:r>
        <w:t>.</w:t>
      </w:r>
    </w:p>
    <w:p w14:paraId="0DAAE238" w14:textId="705D0244" w:rsidR="00E742BB" w:rsidRDefault="00E742BB" w:rsidP="00E742BB">
      <w:pPr>
        <w:jc w:val="both"/>
      </w:pPr>
      <w:r>
        <w:t xml:space="preserve">The long-term </w:t>
      </w:r>
      <w:r w:rsidR="005235E7">
        <w:t xml:space="preserve">expansion </w:t>
      </w:r>
      <w:r>
        <w:t>plan for each of the scenario cases, which is further described in C</w:t>
      </w:r>
      <w:r w:rsidR="004962C0">
        <w:t>hapter</w:t>
      </w:r>
      <w:r w:rsidR="002A7852">
        <w:t> </w:t>
      </w:r>
      <w:r w:rsidR="00D35821">
        <w:t>3</w:t>
      </w:r>
      <w:r>
        <w:t>, varies depending on the assumptions for that case. A mix of CTs</w:t>
      </w:r>
      <w:r w:rsidR="002B092A">
        <w:t>,</w:t>
      </w:r>
      <w:r>
        <w:t xml:space="preserve"> CCs, </w:t>
      </w:r>
      <w:r w:rsidR="00D74AAF">
        <w:t xml:space="preserve">nuclear, </w:t>
      </w:r>
      <w:r>
        <w:t xml:space="preserve">renewable technologies (solar and wind), and storage was selected for the scenario cases through the planning period when </w:t>
      </w:r>
      <w:r w:rsidR="00A35ABA">
        <w:t>resources were</w:t>
      </w:r>
      <w:r>
        <w:t xml:space="preserve"> needed to maintain reliability, meet growing customer needs, or provide fuel-cost savings. Generic expansion plans for the</w:t>
      </w:r>
      <w:r w:rsidDel="00BD1904">
        <w:t xml:space="preserve"> </w:t>
      </w:r>
      <w:r w:rsidR="00BD1904">
        <w:t xml:space="preserve">nine </w:t>
      </w:r>
      <w:r>
        <w:t xml:space="preserve">scenarios are summarized in Figure </w:t>
      </w:r>
      <w:r w:rsidR="00984005">
        <w:t>8.9</w:t>
      </w:r>
      <w:r w:rsidR="00D60F84">
        <w:t>B</w:t>
      </w:r>
      <w:r>
        <w:t xml:space="preserve">. The generic expansion plans identify the resource mix that is most economical for customers in each scenario. </w:t>
      </w:r>
    </w:p>
    <w:p w14:paraId="64BA80CF" w14:textId="31C1ADBD" w:rsidR="00270CD5" w:rsidRDefault="00E742BB" w:rsidP="00E742BB">
      <w:pPr>
        <w:jc w:val="both"/>
      </w:pPr>
      <w:r>
        <w:t xml:space="preserve">Figure </w:t>
      </w:r>
      <w:r w:rsidR="009C26E2">
        <w:t>8.</w:t>
      </w:r>
      <w:r w:rsidR="00984005">
        <w:t>9</w:t>
      </w:r>
      <w:r w:rsidR="00490A5A">
        <w:t>B</w:t>
      </w:r>
      <w:r>
        <w:t xml:space="preserve"> shows the cumulative expansion plans </w:t>
      </w:r>
      <w:r w:rsidR="6F2633E8">
        <w:t>for</w:t>
      </w:r>
      <w:r>
        <w:t xml:space="preserve"> the </w:t>
      </w:r>
      <w:r w:rsidR="6F2633E8">
        <w:t xml:space="preserve">System </w:t>
      </w:r>
      <w:r>
        <w:t xml:space="preserve">over the 20-year planning period. The results </w:t>
      </w:r>
      <w:r w:rsidR="009960CE">
        <w:t xml:space="preserve">show </w:t>
      </w:r>
      <w:r>
        <w:t>that CT and CC resources</w:t>
      </w:r>
      <w:r w:rsidR="00A35ABA">
        <w:t>,</w:t>
      </w:r>
      <w:r>
        <w:t xml:space="preserve"> in addition to battery storage</w:t>
      </w:r>
      <w:r w:rsidR="00553C6C">
        <w:t>,</w:t>
      </w:r>
      <w:r>
        <w:t xml:space="preserve"> </w:t>
      </w:r>
      <w:r w:rsidR="002B3E90">
        <w:t xml:space="preserve">are </w:t>
      </w:r>
      <w:r>
        <w:t xml:space="preserve">added </w:t>
      </w:r>
      <w:r w:rsidR="005E2639">
        <w:t xml:space="preserve">across all </w:t>
      </w:r>
      <w:r w:rsidR="006C7942">
        <w:t>scenarios</w:t>
      </w:r>
      <w:r>
        <w:t xml:space="preserve"> to </w:t>
      </w:r>
      <w:r w:rsidR="00327CAA">
        <w:t>help</w:t>
      </w:r>
      <w:r>
        <w:t xml:space="preserve"> fulfill the capacity need.</w:t>
      </w:r>
      <w:r w:rsidR="007F0612">
        <w:t xml:space="preserve"> </w:t>
      </w:r>
      <w:r w:rsidR="00A330C3">
        <w:t xml:space="preserve">Nuclear </w:t>
      </w:r>
      <w:r w:rsidR="0060554B">
        <w:t>show</w:t>
      </w:r>
      <w:r w:rsidR="00325319">
        <w:t>s</w:t>
      </w:r>
      <w:r w:rsidR="0060554B">
        <w:t xml:space="preserve"> up in </w:t>
      </w:r>
      <w:r w:rsidR="00A47947">
        <w:t>all</w:t>
      </w:r>
      <w:r w:rsidR="007F0612">
        <w:t xml:space="preserve"> the </w:t>
      </w:r>
      <w:r w:rsidR="00EF6B9A">
        <w:t xml:space="preserve">scenarios </w:t>
      </w:r>
      <w:r w:rsidR="0057085B">
        <w:t xml:space="preserve">that include </w:t>
      </w:r>
      <w:r w:rsidR="003E1ECD">
        <w:t>GHG pressure, including</w:t>
      </w:r>
      <w:r w:rsidR="00F74199">
        <w:t xml:space="preserve"> </w:t>
      </w:r>
      <w:r w:rsidR="00427AEA">
        <w:t xml:space="preserve">all </w:t>
      </w:r>
      <w:r w:rsidR="0057085B">
        <w:t>the 111 GHG Rule</w:t>
      </w:r>
      <w:r w:rsidR="00A330C3">
        <w:t xml:space="preserve">s </w:t>
      </w:r>
      <w:r w:rsidR="00757DD2">
        <w:t>scenarios</w:t>
      </w:r>
      <w:r w:rsidR="0080423B">
        <w:t>.</w:t>
      </w:r>
      <w:r w:rsidR="00A330C3">
        <w:t xml:space="preserve"> </w:t>
      </w:r>
      <w:r w:rsidR="009D1D0C">
        <w:t>All scenarios show s</w:t>
      </w:r>
      <w:r w:rsidR="00B20AFE">
        <w:t xml:space="preserve">ubstantial </w:t>
      </w:r>
      <w:r w:rsidR="008B76E3">
        <w:t xml:space="preserve">additions of </w:t>
      </w:r>
      <w:r w:rsidR="00B20AFE">
        <w:t>s</w:t>
      </w:r>
      <w:r w:rsidR="00A21498">
        <w:t>olar</w:t>
      </w:r>
      <w:r w:rsidR="00757DD2">
        <w:t xml:space="preserve"> and </w:t>
      </w:r>
      <w:r w:rsidR="00A21498">
        <w:t xml:space="preserve">wind resources </w:t>
      </w:r>
      <w:r w:rsidR="009D1D0C">
        <w:t>to be cost effective through the planning period.</w:t>
      </w:r>
      <w:r>
        <w:t xml:space="preserve"> </w:t>
      </w:r>
    </w:p>
    <w:p w14:paraId="51C4E255" w14:textId="0F6F5B99" w:rsidR="001D296F" w:rsidRDefault="001D296F" w:rsidP="00B767C7">
      <w:pPr>
        <w:keepNext/>
        <w:keepLines/>
        <w:jc w:val="center"/>
        <w:rPr>
          <w:i/>
          <w:iCs/>
        </w:rPr>
      </w:pPr>
      <w:r w:rsidRPr="001D296F">
        <w:rPr>
          <w:i/>
          <w:iCs/>
        </w:rPr>
        <w:t xml:space="preserve">Figure </w:t>
      </w:r>
      <w:r w:rsidR="00984005">
        <w:rPr>
          <w:i/>
          <w:iCs/>
        </w:rPr>
        <w:t>8.9</w:t>
      </w:r>
      <w:r w:rsidR="00D60F84">
        <w:rPr>
          <w:i/>
          <w:iCs/>
        </w:rPr>
        <w:t>B</w:t>
      </w:r>
      <w:r w:rsidRPr="001D296F">
        <w:rPr>
          <w:i/>
          <w:iCs/>
        </w:rPr>
        <w:t>: B202</w:t>
      </w:r>
      <w:r w:rsidR="00D35821">
        <w:rPr>
          <w:i/>
          <w:iCs/>
        </w:rPr>
        <w:t>5</w:t>
      </w:r>
      <w:r w:rsidRPr="001D296F">
        <w:rPr>
          <w:i/>
          <w:iCs/>
        </w:rPr>
        <w:t xml:space="preserve"> Generic Expansion Plan Results (202</w:t>
      </w:r>
      <w:r w:rsidR="00D35821">
        <w:rPr>
          <w:i/>
          <w:iCs/>
        </w:rPr>
        <w:t>5</w:t>
      </w:r>
      <w:r w:rsidRPr="001D296F">
        <w:rPr>
          <w:i/>
          <w:iCs/>
        </w:rPr>
        <w:t>-204</w:t>
      </w:r>
      <w:r w:rsidR="00D35821">
        <w:rPr>
          <w:i/>
          <w:iCs/>
        </w:rPr>
        <w:t>4</w:t>
      </w:r>
      <w:r w:rsidRPr="001D296F">
        <w:rPr>
          <w:i/>
          <w:iCs/>
        </w:rPr>
        <w:t>)</w:t>
      </w:r>
    </w:p>
    <w:p w14:paraId="7C0F3322" w14:textId="239314FF" w:rsidR="001D296F" w:rsidRDefault="42449C5F" w:rsidP="00B767C7">
      <w:pPr>
        <w:keepNext/>
        <w:keepLines/>
        <w:jc w:val="center"/>
      </w:pPr>
      <w:r>
        <w:rPr>
          <w:noProof/>
        </w:rPr>
        <w:drawing>
          <wp:inline distT="0" distB="0" distL="0" distR="0" wp14:anchorId="75D71790" wp14:editId="4B503BA6">
            <wp:extent cx="5943600" cy="2943225"/>
            <wp:effectExtent l="0" t="0" r="0" b="0"/>
            <wp:docPr id="1909331489" name="Picture 190933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943600" cy="2943225"/>
                    </a:xfrm>
                    <a:prstGeom prst="rect">
                      <a:avLst/>
                    </a:prstGeom>
                  </pic:spPr>
                </pic:pic>
              </a:graphicData>
            </a:graphic>
          </wp:inline>
        </w:drawing>
      </w:r>
    </w:p>
    <w:p w14:paraId="145A3A1B" w14:textId="42A52CAF" w:rsidR="00F61BAF" w:rsidRDefault="001E527A" w:rsidP="00F61BAF">
      <w:pPr>
        <w:jc w:val="both"/>
      </w:pPr>
      <w:r w:rsidRPr="001E527A">
        <w:t>These generic expansion plan</w:t>
      </w:r>
      <w:r w:rsidR="00CF70AB">
        <w:t>s</w:t>
      </w:r>
      <w:r w:rsidRPr="001E527A">
        <w:t xml:space="preserve"> are combined with the existing fleet of resources as inputs into more detailed production cost modeling to produce hourly </w:t>
      </w:r>
      <w:r w:rsidR="6BDAA679">
        <w:t>forecas</w:t>
      </w:r>
      <w:r w:rsidR="51DE0063">
        <w:t>t</w:t>
      </w:r>
      <w:r w:rsidR="6BDAA679">
        <w:t>ed</w:t>
      </w:r>
      <w:r w:rsidR="79A22D2F">
        <w:t xml:space="preserve"> marginal</w:t>
      </w:r>
      <w:r w:rsidRPr="001E527A">
        <w:t xml:space="preserve"> energy costs for each scenario. Please refer to the Resource Mix Study in Technical Appendix Volume </w:t>
      </w:r>
      <w:r w:rsidR="00E74EB8">
        <w:t>2</w:t>
      </w:r>
      <w:r w:rsidRPr="001E527A">
        <w:t xml:space="preserve"> for more information on the generic expansion plan.</w:t>
      </w:r>
    </w:p>
    <w:p w14:paraId="27ED0F04" w14:textId="60FB1006" w:rsidR="00F36719" w:rsidRDefault="00984005" w:rsidP="00F36719">
      <w:pPr>
        <w:pStyle w:val="Heading3"/>
      </w:pPr>
      <w:r>
        <w:t>8.9</w:t>
      </w:r>
      <w:r w:rsidR="00F36719">
        <w:t>.5 – Sensitivities</w:t>
      </w:r>
    </w:p>
    <w:p w14:paraId="2F09B829" w14:textId="3642D03B" w:rsidR="00486F96" w:rsidRDefault="00486F96" w:rsidP="001C5C77">
      <w:pPr>
        <w:jc w:val="both"/>
      </w:pPr>
      <w:r>
        <w:t xml:space="preserve">The planning scenarios and sensitivity analyses combine to provide a robust view of potential future outcomes that inform the Company’s decision-making. Table </w:t>
      </w:r>
      <w:r w:rsidR="009D7D85">
        <w:t>8.9</w:t>
      </w:r>
      <w:r w:rsidR="00EF0B4A">
        <w:t>B</w:t>
      </w:r>
      <w:r>
        <w:t xml:space="preserve"> summarizes sensitivities to the</w:t>
      </w:r>
      <w:r w:rsidR="00A276F1">
        <w:t xml:space="preserve"> </w:t>
      </w:r>
      <w:r w:rsidR="00A276F1">
        <w:lastRenderedPageBreak/>
        <w:t>111-</w:t>
      </w:r>
      <w:r>
        <w:t xml:space="preserve">MG0 </w:t>
      </w:r>
      <w:r w:rsidR="00CA1B7D">
        <w:t xml:space="preserve">and MG0 </w:t>
      </w:r>
      <w:r>
        <w:t>scenario</w:t>
      </w:r>
      <w:r w:rsidR="00CA1B7D">
        <w:t>s</w:t>
      </w:r>
      <w:r>
        <w:t>,</w:t>
      </w:r>
      <w:r w:rsidDel="000A5A08">
        <w:t xml:space="preserve"> </w:t>
      </w:r>
      <w:r w:rsidR="000A5A08">
        <w:t xml:space="preserve">which </w:t>
      </w:r>
      <w:r>
        <w:t>were performed in accordance with Commission rules</w:t>
      </w:r>
      <w:r w:rsidR="00A447EB">
        <w:rPr>
          <w:rStyle w:val="FootnoteReference"/>
        </w:rPr>
        <w:footnoteReference w:id="37"/>
      </w:r>
      <w:r>
        <w:t xml:space="preserve"> and analyzed in detail in the Resource Mix Study and Financial Review, each found in Technical Appendix Volume </w:t>
      </w:r>
      <w:r w:rsidR="00567F9C">
        <w:t>2</w:t>
      </w:r>
      <w:r>
        <w:t>.</w:t>
      </w:r>
    </w:p>
    <w:p w14:paraId="62014ED0" w14:textId="6AD34754" w:rsidR="00F36719" w:rsidRDefault="00486F96" w:rsidP="002A7852">
      <w:pPr>
        <w:keepNext/>
        <w:keepLines/>
        <w:jc w:val="center"/>
        <w:rPr>
          <w:i/>
          <w:iCs/>
        </w:rPr>
      </w:pPr>
      <w:r w:rsidRPr="00984005">
        <w:rPr>
          <w:i/>
        </w:rPr>
        <w:t xml:space="preserve">Table </w:t>
      </w:r>
      <w:r w:rsidR="00650631" w:rsidRPr="00984005">
        <w:rPr>
          <w:i/>
        </w:rPr>
        <w:t>8.</w:t>
      </w:r>
      <w:r w:rsidR="00984005" w:rsidRPr="00984005">
        <w:rPr>
          <w:i/>
        </w:rPr>
        <w:t>9</w:t>
      </w:r>
      <w:r w:rsidR="00EF0B4A">
        <w:rPr>
          <w:i/>
        </w:rPr>
        <w:t>B</w:t>
      </w:r>
      <w:r w:rsidRPr="00984005">
        <w:rPr>
          <w:i/>
        </w:rPr>
        <w:t>:</w:t>
      </w:r>
      <w:r w:rsidRPr="00984005">
        <w:rPr>
          <w:i/>
          <w:iCs/>
        </w:rPr>
        <w:t xml:space="preserve"> IRP</w:t>
      </w:r>
      <w:r w:rsidRPr="00486F96">
        <w:rPr>
          <w:i/>
          <w:iCs/>
        </w:rPr>
        <w:t xml:space="preserve"> Sensitivity Summary</w:t>
      </w:r>
    </w:p>
    <w:tbl>
      <w:tblPr>
        <w:tblW w:w="935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86"/>
        <w:gridCol w:w="2102"/>
        <w:gridCol w:w="6566"/>
      </w:tblGrid>
      <w:tr w:rsidR="0006406F" w:rsidRPr="0006406F" w14:paraId="526196FA" w14:textId="77777777" w:rsidTr="00260BF4">
        <w:trPr>
          <w:trHeight w:val="420"/>
        </w:trPr>
        <w:tc>
          <w:tcPr>
            <w:tcW w:w="686" w:type="dxa"/>
            <w:tcBorders>
              <w:top w:val="single" w:sz="6" w:space="0" w:color="000000" w:themeColor="text1"/>
              <w:left w:val="single" w:sz="6" w:space="0" w:color="000000" w:themeColor="text1"/>
              <w:bottom w:val="single" w:sz="4" w:space="0" w:color="auto"/>
              <w:right w:val="single" w:sz="4" w:space="0" w:color="auto"/>
            </w:tcBorders>
            <w:shd w:val="clear" w:color="auto" w:fill="808080" w:themeFill="background1" w:themeFillShade="80"/>
            <w:vAlign w:val="center"/>
            <w:hideMark/>
          </w:tcPr>
          <w:p w14:paraId="1C808C2F" w14:textId="766A3A6F" w:rsidR="0006406F" w:rsidRPr="001C5C77" w:rsidRDefault="0006406F" w:rsidP="00260BF4">
            <w:pPr>
              <w:keepNext/>
              <w:keepLines/>
              <w:spacing w:after="0"/>
              <w:rPr>
                <w:b/>
              </w:rPr>
            </w:pPr>
          </w:p>
        </w:tc>
        <w:tc>
          <w:tcPr>
            <w:tcW w:w="2102" w:type="dxa"/>
            <w:tcBorders>
              <w:top w:val="single" w:sz="6" w:space="0" w:color="000000" w:themeColor="text1"/>
              <w:left w:val="single" w:sz="4" w:space="0" w:color="auto"/>
              <w:bottom w:val="single" w:sz="4" w:space="0" w:color="auto"/>
              <w:right w:val="single" w:sz="4" w:space="0" w:color="auto"/>
            </w:tcBorders>
            <w:shd w:val="clear" w:color="auto" w:fill="808080" w:themeFill="background1" w:themeFillShade="80"/>
            <w:vAlign w:val="center"/>
            <w:hideMark/>
          </w:tcPr>
          <w:p w14:paraId="0A8EA69E" w14:textId="2545BC77" w:rsidR="0006406F" w:rsidRPr="001C5C77" w:rsidRDefault="001E7C9F" w:rsidP="00260BF4">
            <w:pPr>
              <w:keepNext/>
              <w:keepLines/>
              <w:spacing w:after="0"/>
              <w:ind w:left="118"/>
              <w:rPr>
                <w:b/>
              </w:rPr>
            </w:pPr>
            <w:r>
              <w:rPr>
                <w:b/>
                <w:color w:val="FFFFFF" w:themeColor="background1"/>
              </w:rPr>
              <w:t xml:space="preserve">Required </w:t>
            </w:r>
            <w:r w:rsidR="00D24B0D">
              <w:rPr>
                <w:b/>
                <w:color w:val="FFFFFF" w:themeColor="background1"/>
              </w:rPr>
              <w:t>Analysis</w:t>
            </w:r>
          </w:p>
        </w:tc>
        <w:tc>
          <w:tcPr>
            <w:tcW w:w="6566" w:type="dxa"/>
            <w:tcBorders>
              <w:top w:val="single" w:sz="6" w:space="0" w:color="000000" w:themeColor="text1"/>
              <w:left w:val="single" w:sz="4" w:space="0" w:color="auto"/>
              <w:bottom w:val="single" w:sz="4" w:space="0" w:color="auto"/>
              <w:right w:val="single" w:sz="6" w:space="0" w:color="000000" w:themeColor="text1"/>
            </w:tcBorders>
            <w:shd w:val="clear" w:color="auto" w:fill="808080" w:themeFill="background1" w:themeFillShade="80"/>
            <w:vAlign w:val="center"/>
            <w:hideMark/>
          </w:tcPr>
          <w:p w14:paraId="1D9AB013" w14:textId="51EAC19E" w:rsidR="0006406F" w:rsidRPr="001C5C77" w:rsidRDefault="00D24B0D" w:rsidP="00260BF4">
            <w:pPr>
              <w:keepNext/>
              <w:keepLines/>
              <w:spacing w:after="0"/>
              <w:ind w:left="89"/>
              <w:rPr>
                <w:b/>
              </w:rPr>
            </w:pPr>
            <w:r>
              <w:rPr>
                <w:b/>
                <w:color w:val="FFFFFF" w:themeColor="background1"/>
              </w:rPr>
              <w:t>Applicable Sensitivities</w:t>
            </w:r>
          </w:p>
        </w:tc>
      </w:tr>
      <w:tr w:rsidR="0006406F" w:rsidRPr="0006406F" w14:paraId="20A088E3" w14:textId="77777777" w:rsidTr="004A49FD">
        <w:trPr>
          <w:trHeight w:val="1005"/>
        </w:trPr>
        <w:tc>
          <w:tcPr>
            <w:tcW w:w="686" w:type="dxa"/>
            <w:tcBorders>
              <w:top w:val="single" w:sz="4" w:space="0" w:color="auto"/>
              <w:left w:val="single" w:sz="6" w:space="0" w:color="666666"/>
              <w:bottom w:val="single" w:sz="4" w:space="0" w:color="auto"/>
              <w:right w:val="single" w:sz="4" w:space="0" w:color="auto"/>
            </w:tcBorders>
            <w:shd w:val="clear" w:color="auto" w:fill="auto"/>
            <w:vAlign w:val="center"/>
            <w:hideMark/>
          </w:tcPr>
          <w:p w14:paraId="04E9D901" w14:textId="7CFD9DF9" w:rsidR="0006406F" w:rsidRPr="001C5C77" w:rsidRDefault="0006406F" w:rsidP="004A49FD">
            <w:pPr>
              <w:keepNext/>
              <w:keepLines/>
              <w:spacing w:after="0"/>
              <w:jc w:val="center"/>
              <w:rPr>
                <w:b/>
              </w:rPr>
            </w:pPr>
            <w:r w:rsidRPr="001C5C77">
              <w:rPr>
                <w:b/>
              </w:rPr>
              <w:t>1</w:t>
            </w:r>
          </w:p>
        </w:tc>
        <w:tc>
          <w:tcPr>
            <w:tcW w:w="21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6A939" w14:textId="28A25983" w:rsidR="0006406F" w:rsidRPr="001C5C77" w:rsidRDefault="0006406F" w:rsidP="004A49FD">
            <w:pPr>
              <w:keepNext/>
              <w:keepLines/>
              <w:spacing w:after="0"/>
              <w:ind w:left="118"/>
            </w:pPr>
            <w:r w:rsidRPr="001C5C77">
              <w:t>Forecast of load</w:t>
            </w:r>
          </w:p>
        </w:tc>
        <w:tc>
          <w:tcPr>
            <w:tcW w:w="6566" w:type="dxa"/>
            <w:tcBorders>
              <w:top w:val="single" w:sz="4" w:space="0" w:color="auto"/>
              <w:left w:val="single" w:sz="4" w:space="0" w:color="auto"/>
              <w:bottom w:val="single" w:sz="4" w:space="0" w:color="auto"/>
              <w:right w:val="single" w:sz="6" w:space="0" w:color="666666"/>
            </w:tcBorders>
            <w:shd w:val="clear" w:color="auto" w:fill="auto"/>
            <w:vAlign w:val="center"/>
            <w:hideMark/>
          </w:tcPr>
          <w:p w14:paraId="3E06A97A" w14:textId="7750D153" w:rsidR="0006406F" w:rsidRPr="001C5C77" w:rsidRDefault="0006406F" w:rsidP="004A49FD">
            <w:pPr>
              <w:keepNext/>
              <w:keepLines/>
              <w:spacing w:after="0"/>
              <w:ind w:left="87"/>
            </w:pPr>
            <w:r w:rsidRPr="001C5C77">
              <w:t xml:space="preserve">The Company considers a range of load forecasts in Sensitivities </w:t>
            </w:r>
            <w:r w:rsidR="004D415E">
              <w:t>0</w:t>
            </w:r>
            <w:r w:rsidRPr="001C5C77">
              <w:t>-1</w:t>
            </w:r>
            <w:r w:rsidR="004D415E">
              <w:t>0</w:t>
            </w:r>
            <w:r w:rsidRPr="001C5C77">
              <w:t>.</w:t>
            </w:r>
          </w:p>
        </w:tc>
      </w:tr>
      <w:tr w:rsidR="0006406F" w:rsidRPr="0006406F" w14:paraId="3C7BDA44" w14:textId="77777777" w:rsidTr="004A49FD">
        <w:trPr>
          <w:trHeight w:val="710"/>
        </w:trPr>
        <w:tc>
          <w:tcPr>
            <w:tcW w:w="686" w:type="dxa"/>
            <w:tcBorders>
              <w:top w:val="single" w:sz="4" w:space="0" w:color="auto"/>
              <w:left w:val="single" w:sz="6" w:space="0" w:color="666666"/>
              <w:bottom w:val="single" w:sz="4" w:space="0" w:color="auto"/>
              <w:right w:val="single" w:sz="4" w:space="0" w:color="auto"/>
            </w:tcBorders>
            <w:shd w:val="clear" w:color="auto" w:fill="auto"/>
            <w:vAlign w:val="center"/>
            <w:hideMark/>
          </w:tcPr>
          <w:p w14:paraId="49B01E97" w14:textId="727B5C14" w:rsidR="0006406F" w:rsidRPr="001C5C77" w:rsidRDefault="0006406F" w:rsidP="004A49FD">
            <w:pPr>
              <w:keepNext/>
              <w:keepLines/>
              <w:spacing w:after="0"/>
              <w:jc w:val="center"/>
              <w:rPr>
                <w:b/>
              </w:rPr>
            </w:pPr>
            <w:r w:rsidRPr="001C5C77">
              <w:rPr>
                <w:b/>
              </w:rPr>
              <w:t>2</w:t>
            </w:r>
          </w:p>
        </w:tc>
        <w:tc>
          <w:tcPr>
            <w:tcW w:w="21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92748E" w14:textId="01886015" w:rsidR="0006406F" w:rsidRPr="001C5C77" w:rsidRDefault="0006406F" w:rsidP="004A49FD">
            <w:pPr>
              <w:keepNext/>
              <w:keepLines/>
              <w:spacing w:after="0"/>
              <w:ind w:left="118"/>
            </w:pPr>
            <w:r w:rsidRPr="001C5C77">
              <w:t>In-service dates of supply and demand resources</w:t>
            </w:r>
          </w:p>
        </w:tc>
        <w:tc>
          <w:tcPr>
            <w:tcW w:w="6566" w:type="dxa"/>
            <w:tcBorders>
              <w:top w:val="single" w:sz="4" w:space="0" w:color="auto"/>
              <w:left w:val="single" w:sz="4" w:space="0" w:color="auto"/>
              <w:bottom w:val="single" w:sz="4" w:space="0" w:color="auto"/>
              <w:right w:val="single" w:sz="6" w:space="0" w:color="666666"/>
            </w:tcBorders>
            <w:shd w:val="clear" w:color="auto" w:fill="auto"/>
            <w:vAlign w:val="center"/>
            <w:hideMark/>
          </w:tcPr>
          <w:p w14:paraId="018E1C12" w14:textId="212DADBA" w:rsidR="0006406F" w:rsidRPr="001C5C77" w:rsidRDefault="0006406F" w:rsidP="004A49FD">
            <w:pPr>
              <w:keepNext/>
              <w:keepLines/>
              <w:spacing w:after="0"/>
              <w:ind w:left="87"/>
            </w:pPr>
            <w:r w:rsidRPr="001C5C77">
              <w:t xml:space="preserve">Sensitivities </w:t>
            </w:r>
            <w:r w:rsidR="004D415E">
              <w:t>0</w:t>
            </w:r>
            <w:r w:rsidRPr="001C5C77">
              <w:t>-</w:t>
            </w:r>
            <w:r w:rsidR="00124E9F" w:rsidRPr="001C5C77">
              <w:t>9</w:t>
            </w:r>
            <w:r w:rsidRPr="001C5C77">
              <w:t xml:space="preserve"> evaluate the impacts of varying in-service dates and amounts of supply and demand resources through the scenario planning cases. These sensitivities produce separate evaluations of the impacts on the load and energy forecasts, which include effects from demand-side programs and new supply-side resources.</w:t>
            </w:r>
          </w:p>
          <w:p w14:paraId="3D4934D0" w14:textId="1EABEB7B" w:rsidR="0006406F" w:rsidRPr="001C5C77" w:rsidRDefault="0006406F" w:rsidP="004A49FD">
            <w:pPr>
              <w:keepNext/>
              <w:keepLines/>
              <w:spacing w:after="0"/>
              <w:ind w:left="87"/>
            </w:pPr>
            <w:r w:rsidRPr="001C5C77">
              <w:t xml:space="preserve">Sensitivities </w:t>
            </w:r>
            <w:r w:rsidR="000F279E" w:rsidRPr="001C5C77">
              <w:t>1</w:t>
            </w:r>
            <w:r w:rsidR="000F279E">
              <w:t>0</w:t>
            </w:r>
            <w:r w:rsidR="000F279E" w:rsidRPr="001C5C77">
              <w:t xml:space="preserve"> </w:t>
            </w:r>
            <w:r w:rsidRPr="001C5C77">
              <w:t xml:space="preserve">and </w:t>
            </w:r>
            <w:r w:rsidR="000F279E" w:rsidRPr="001C5C77">
              <w:t>1</w:t>
            </w:r>
            <w:r w:rsidR="000F279E">
              <w:t>1</w:t>
            </w:r>
            <w:r w:rsidR="000F279E" w:rsidRPr="001C5C77">
              <w:t xml:space="preserve"> </w:t>
            </w:r>
            <w:r w:rsidRPr="001C5C77">
              <w:t>evaluate differing levels of demand-side programs.</w:t>
            </w:r>
          </w:p>
        </w:tc>
      </w:tr>
      <w:tr w:rsidR="0006406F" w:rsidRPr="0006406F" w14:paraId="29DF3C33" w14:textId="77777777" w:rsidTr="004A49FD">
        <w:trPr>
          <w:trHeight w:val="1005"/>
        </w:trPr>
        <w:tc>
          <w:tcPr>
            <w:tcW w:w="686" w:type="dxa"/>
            <w:tcBorders>
              <w:top w:val="single" w:sz="4" w:space="0" w:color="auto"/>
              <w:left w:val="single" w:sz="6" w:space="0" w:color="666666"/>
              <w:bottom w:val="single" w:sz="4" w:space="0" w:color="auto"/>
              <w:right w:val="single" w:sz="4" w:space="0" w:color="auto"/>
            </w:tcBorders>
            <w:shd w:val="clear" w:color="auto" w:fill="auto"/>
            <w:vAlign w:val="center"/>
            <w:hideMark/>
          </w:tcPr>
          <w:p w14:paraId="76714036" w14:textId="44758FFF" w:rsidR="0006406F" w:rsidRPr="001C5C77" w:rsidRDefault="0006406F" w:rsidP="004A49FD">
            <w:pPr>
              <w:keepNext/>
              <w:keepLines/>
              <w:spacing w:after="0"/>
              <w:jc w:val="center"/>
              <w:rPr>
                <w:b/>
              </w:rPr>
            </w:pPr>
            <w:r w:rsidRPr="001C5C77">
              <w:rPr>
                <w:b/>
              </w:rPr>
              <w:t>3</w:t>
            </w:r>
          </w:p>
        </w:tc>
        <w:tc>
          <w:tcPr>
            <w:tcW w:w="21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B94BD4" w14:textId="6D21F9F5" w:rsidR="0006406F" w:rsidRPr="001C5C77" w:rsidRDefault="0006406F" w:rsidP="004A49FD">
            <w:pPr>
              <w:keepNext/>
              <w:keepLines/>
              <w:spacing w:after="0"/>
              <w:ind w:left="118"/>
            </w:pPr>
            <w:r w:rsidRPr="001C5C77">
              <w:t>Unit availability</w:t>
            </w:r>
          </w:p>
        </w:tc>
        <w:tc>
          <w:tcPr>
            <w:tcW w:w="6566" w:type="dxa"/>
            <w:tcBorders>
              <w:top w:val="single" w:sz="4" w:space="0" w:color="auto"/>
              <w:left w:val="single" w:sz="4" w:space="0" w:color="auto"/>
              <w:bottom w:val="single" w:sz="4" w:space="0" w:color="auto"/>
              <w:right w:val="single" w:sz="6" w:space="0" w:color="666666"/>
            </w:tcBorders>
            <w:shd w:val="clear" w:color="auto" w:fill="auto"/>
            <w:vAlign w:val="center"/>
            <w:hideMark/>
          </w:tcPr>
          <w:p w14:paraId="6C9EF9BA" w14:textId="59EB7ABC" w:rsidR="0006406F" w:rsidRPr="001C5C77" w:rsidRDefault="0006406F" w:rsidP="004A49FD">
            <w:pPr>
              <w:keepNext/>
              <w:keepLines/>
              <w:spacing w:after="0"/>
              <w:ind w:left="87"/>
            </w:pPr>
            <w:r w:rsidRPr="001C5C77">
              <w:t xml:space="preserve">Sensitivities </w:t>
            </w:r>
            <w:r w:rsidR="00E111DA">
              <w:t>0</w:t>
            </w:r>
            <w:r w:rsidRPr="001C5C77">
              <w:t>-</w:t>
            </w:r>
            <w:r w:rsidR="0096601C" w:rsidRPr="001C5C77">
              <w:t>1</w:t>
            </w:r>
            <w:r w:rsidR="63817908">
              <w:t>1</w:t>
            </w:r>
            <w:r w:rsidR="0096601C" w:rsidRPr="001C5C77">
              <w:t xml:space="preserve"> </w:t>
            </w:r>
            <w:r w:rsidRPr="001C5C77">
              <w:t>evaluate the impacts of varying in-service dates and amounts of supply and demand resources through the scenario planning cases. Additionally, the Reserve Margin Study evaluates unit outages.</w:t>
            </w:r>
          </w:p>
        </w:tc>
      </w:tr>
      <w:tr w:rsidR="0006406F" w:rsidRPr="0006406F" w14:paraId="3BC24D56" w14:textId="77777777" w:rsidTr="004A49FD">
        <w:trPr>
          <w:trHeight w:val="1005"/>
        </w:trPr>
        <w:tc>
          <w:tcPr>
            <w:tcW w:w="686" w:type="dxa"/>
            <w:tcBorders>
              <w:top w:val="single" w:sz="4" w:space="0" w:color="auto"/>
              <w:left w:val="single" w:sz="6" w:space="0" w:color="666666"/>
              <w:bottom w:val="single" w:sz="4" w:space="0" w:color="auto"/>
              <w:right w:val="single" w:sz="4" w:space="0" w:color="auto"/>
            </w:tcBorders>
            <w:shd w:val="clear" w:color="auto" w:fill="auto"/>
            <w:vAlign w:val="center"/>
            <w:hideMark/>
          </w:tcPr>
          <w:p w14:paraId="74152C18" w14:textId="6731D19F" w:rsidR="0006406F" w:rsidRPr="001C5C77" w:rsidRDefault="0006406F" w:rsidP="004A49FD">
            <w:pPr>
              <w:keepNext/>
              <w:keepLines/>
              <w:spacing w:after="0"/>
              <w:jc w:val="center"/>
              <w:rPr>
                <w:b/>
              </w:rPr>
            </w:pPr>
            <w:r w:rsidRPr="001C5C77">
              <w:rPr>
                <w:b/>
              </w:rPr>
              <w:t>4</w:t>
            </w:r>
          </w:p>
        </w:tc>
        <w:tc>
          <w:tcPr>
            <w:tcW w:w="21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497E11" w14:textId="7D43B319" w:rsidR="0006406F" w:rsidRPr="001C5C77" w:rsidRDefault="0006406F" w:rsidP="004A49FD">
            <w:pPr>
              <w:keepNext/>
              <w:keepLines/>
              <w:spacing w:after="0"/>
              <w:ind w:left="118"/>
            </w:pPr>
            <w:r w:rsidRPr="001C5C77">
              <w:t>Fuel prices</w:t>
            </w:r>
          </w:p>
        </w:tc>
        <w:tc>
          <w:tcPr>
            <w:tcW w:w="6566" w:type="dxa"/>
            <w:tcBorders>
              <w:top w:val="single" w:sz="4" w:space="0" w:color="auto"/>
              <w:left w:val="single" w:sz="4" w:space="0" w:color="auto"/>
              <w:bottom w:val="single" w:sz="4" w:space="0" w:color="auto"/>
              <w:right w:val="single" w:sz="6" w:space="0" w:color="666666"/>
            </w:tcBorders>
            <w:shd w:val="clear" w:color="auto" w:fill="auto"/>
            <w:vAlign w:val="center"/>
            <w:hideMark/>
          </w:tcPr>
          <w:p w14:paraId="7D763AFF" w14:textId="437EEFCB" w:rsidR="0006406F" w:rsidRPr="001C5C77" w:rsidRDefault="0006406F" w:rsidP="004A49FD">
            <w:pPr>
              <w:keepNext/>
              <w:keepLines/>
              <w:spacing w:after="0"/>
              <w:ind w:left="87"/>
            </w:pPr>
            <w:r w:rsidRPr="001C5C77">
              <w:t xml:space="preserve">Sensitivities </w:t>
            </w:r>
            <w:r w:rsidR="00E111DA">
              <w:t>0</w:t>
            </w:r>
            <w:r w:rsidRPr="001C5C77">
              <w:t>-</w:t>
            </w:r>
            <w:r w:rsidR="00E111DA">
              <w:t>8</w:t>
            </w:r>
            <w:r w:rsidRPr="001C5C77">
              <w:t xml:space="preserve"> evaluate the impacts of fuel prices through the scenario planning cases which have three separate fuel price environments and resulting forecasts combined with varying estimates of carbon prices.</w:t>
            </w:r>
          </w:p>
        </w:tc>
      </w:tr>
      <w:tr w:rsidR="0006406F" w:rsidRPr="0006406F" w14:paraId="549F1191" w14:textId="77777777" w:rsidTr="004A49FD">
        <w:trPr>
          <w:trHeight w:val="1005"/>
        </w:trPr>
        <w:tc>
          <w:tcPr>
            <w:tcW w:w="686" w:type="dxa"/>
            <w:tcBorders>
              <w:top w:val="single" w:sz="4" w:space="0" w:color="auto"/>
              <w:left w:val="single" w:sz="6" w:space="0" w:color="666666"/>
              <w:bottom w:val="single" w:sz="4" w:space="0" w:color="auto"/>
              <w:right w:val="single" w:sz="4" w:space="0" w:color="auto"/>
            </w:tcBorders>
            <w:shd w:val="clear" w:color="auto" w:fill="auto"/>
            <w:vAlign w:val="center"/>
            <w:hideMark/>
          </w:tcPr>
          <w:p w14:paraId="281DAA18" w14:textId="4FE3E41C" w:rsidR="0006406F" w:rsidRPr="001C5C77" w:rsidRDefault="0006406F" w:rsidP="004A49FD">
            <w:pPr>
              <w:keepNext/>
              <w:keepLines/>
              <w:spacing w:after="0"/>
              <w:jc w:val="center"/>
              <w:rPr>
                <w:b/>
              </w:rPr>
            </w:pPr>
            <w:r w:rsidRPr="001C5C77">
              <w:rPr>
                <w:b/>
              </w:rPr>
              <w:t>5</w:t>
            </w:r>
          </w:p>
        </w:tc>
        <w:tc>
          <w:tcPr>
            <w:tcW w:w="21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329FF" w14:textId="74B2E2C8" w:rsidR="0006406F" w:rsidRPr="001C5C77" w:rsidRDefault="0006406F" w:rsidP="004A49FD">
            <w:pPr>
              <w:keepNext/>
              <w:keepLines/>
              <w:spacing w:after="0"/>
              <w:ind w:left="118"/>
            </w:pPr>
            <w:r w:rsidRPr="001C5C77">
              <w:t>Inflation in plant construction costs and costs of capital</w:t>
            </w:r>
          </w:p>
        </w:tc>
        <w:tc>
          <w:tcPr>
            <w:tcW w:w="6566" w:type="dxa"/>
            <w:tcBorders>
              <w:top w:val="single" w:sz="4" w:space="0" w:color="auto"/>
              <w:left w:val="single" w:sz="4" w:space="0" w:color="auto"/>
              <w:bottom w:val="single" w:sz="4" w:space="0" w:color="auto"/>
              <w:right w:val="single" w:sz="6" w:space="0" w:color="666666"/>
            </w:tcBorders>
            <w:shd w:val="clear" w:color="auto" w:fill="auto"/>
            <w:vAlign w:val="center"/>
            <w:hideMark/>
          </w:tcPr>
          <w:p w14:paraId="1B3ED5DC" w14:textId="7233FE7F" w:rsidR="0006406F" w:rsidRPr="001C5C77" w:rsidRDefault="0006406F" w:rsidP="004A49FD">
            <w:pPr>
              <w:keepNext/>
              <w:keepLines/>
              <w:spacing w:after="0"/>
              <w:ind w:left="87"/>
            </w:pPr>
            <w:r w:rsidRPr="001C5C77">
              <w:t xml:space="preserve">Sensitivities </w:t>
            </w:r>
            <w:r w:rsidR="00E111DA">
              <w:t>0</w:t>
            </w:r>
            <w:r w:rsidRPr="001C5C77">
              <w:t>-</w:t>
            </w:r>
            <w:r w:rsidR="008D711B" w:rsidRPr="001C5C77">
              <w:t>1</w:t>
            </w:r>
            <w:r w:rsidR="491CB68A">
              <w:t>1</w:t>
            </w:r>
            <w:r w:rsidR="008D711B" w:rsidRPr="001C5C77">
              <w:t xml:space="preserve"> </w:t>
            </w:r>
            <w:r w:rsidRPr="001C5C77">
              <w:t>evaluate higher and lower costs of carbon</w:t>
            </w:r>
            <w:r w:rsidR="004B6BE0">
              <w:t>-</w:t>
            </w:r>
            <w:r w:rsidRPr="001C5C77">
              <w:t xml:space="preserve">free technologies by varying the phase out year for the </w:t>
            </w:r>
            <w:r w:rsidR="00E24B98">
              <w:t>IRA</w:t>
            </w:r>
            <w:r w:rsidRPr="001C5C77">
              <w:t xml:space="preserve">. These alternative costs </w:t>
            </w:r>
            <w:r w:rsidR="002D30FE">
              <w:t>can</w:t>
            </w:r>
            <w:r w:rsidRPr="001C5C77">
              <w:t xml:space="preserve"> be </w:t>
            </w:r>
            <w:r w:rsidR="3F62B458">
              <w:t xml:space="preserve">representative of </w:t>
            </w:r>
            <w:r w:rsidRPr="001C5C77">
              <w:t>inflation in plant construction costs and cost of capital.</w:t>
            </w:r>
          </w:p>
        </w:tc>
      </w:tr>
      <w:tr w:rsidR="0006406F" w:rsidRPr="0006406F" w14:paraId="4D4A442C" w14:textId="77777777" w:rsidTr="004A49FD">
        <w:trPr>
          <w:trHeight w:val="1005"/>
        </w:trPr>
        <w:tc>
          <w:tcPr>
            <w:tcW w:w="686" w:type="dxa"/>
            <w:tcBorders>
              <w:top w:val="single" w:sz="4" w:space="0" w:color="auto"/>
              <w:left w:val="single" w:sz="6" w:space="0" w:color="666666"/>
              <w:bottom w:val="single" w:sz="4" w:space="0" w:color="auto"/>
              <w:right w:val="single" w:sz="4" w:space="0" w:color="auto"/>
            </w:tcBorders>
            <w:shd w:val="clear" w:color="auto" w:fill="auto"/>
            <w:vAlign w:val="center"/>
            <w:hideMark/>
          </w:tcPr>
          <w:p w14:paraId="7571CDCD" w14:textId="2712F443" w:rsidR="0006406F" w:rsidRPr="001C5C77" w:rsidRDefault="0006406F" w:rsidP="004A49FD">
            <w:pPr>
              <w:keepNext/>
              <w:keepLines/>
              <w:spacing w:after="0"/>
              <w:jc w:val="center"/>
              <w:rPr>
                <w:b/>
              </w:rPr>
            </w:pPr>
            <w:r w:rsidRPr="001C5C77">
              <w:rPr>
                <w:b/>
              </w:rPr>
              <w:t>6</w:t>
            </w:r>
          </w:p>
        </w:tc>
        <w:tc>
          <w:tcPr>
            <w:tcW w:w="21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F1216B" w14:textId="1D316B09" w:rsidR="0006406F" w:rsidRPr="001C5C77" w:rsidRDefault="0006406F" w:rsidP="004A49FD">
            <w:pPr>
              <w:keepNext/>
              <w:keepLines/>
              <w:spacing w:after="0"/>
              <w:ind w:left="118"/>
            </w:pPr>
            <w:r w:rsidRPr="001C5C77">
              <w:t>Availability and costs of purchased power</w:t>
            </w:r>
          </w:p>
        </w:tc>
        <w:tc>
          <w:tcPr>
            <w:tcW w:w="6566" w:type="dxa"/>
            <w:tcBorders>
              <w:top w:val="single" w:sz="4" w:space="0" w:color="auto"/>
              <w:left w:val="single" w:sz="4" w:space="0" w:color="auto"/>
              <w:bottom w:val="single" w:sz="4" w:space="0" w:color="auto"/>
              <w:right w:val="single" w:sz="6" w:space="0" w:color="666666"/>
            </w:tcBorders>
            <w:shd w:val="clear" w:color="auto" w:fill="auto"/>
            <w:vAlign w:val="center"/>
            <w:hideMark/>
          </w:tcPr>
          <w:p w14:paraId="229BC7BC" w14:textId="0BE3F0B2" w:rsidR="0006406F" w:rsidRPr="001C5C77" w:rsidRDefault="0006406F" w:rsidP="004A49FD">
            <w:pPr>
              <w:keepNext/>
              <w:keepLines/>
              <w:spacing w:after="0"/>
              <w:ind w:left="87"/>
            </w:pPr>
            <w:r w:rsidRPr="001C5C77">
              <w:t xml:space="preserve">Sensitivity </w:t>
            </w:r>
            <w:r w:rsidR="00050578" w:rsidRPr="001C5C77">
              <w:t>1</w:t>
            </w:r>
            <w:r w:rsidR="00050578">
              <w:t>2</w:t>
            </w:r>
            <w:r w:rsidR="00050578" w:rsidRPr="001C5C77">
              <w:t xml:space="preserve"> </w:t>
            </w:r>
            <w:r w:rsidRPr="001C5C77">
              <w:t>evaluates the impacts of differing availability and cost of purchased power.</w:t>
            </w:r>
          </w:p>
        </w:tc>
      </w:tr>
      <w:tr w:rsidR="0006406F" w:rsidRPr="0006406F" w14:paraId="23D41670" w14:textId="77777777" w:rsidTr="004A49FD">
        <w:trPr>
          <w:trHeight w:val="1005"/>
        </w:trPr>
        <w:tc>
          <w:tcPr>
            <w:tcW w:w="686" w:type="dxa"/>
            <w:tcBorders>
              <w:top w:val="single" w:sz="4" w:space="0" w:color="auto"/>
              <w:left w:val="single" w:sz="6" w:space="0" w:color="666666"/>
              <w:bottom w:val="single" w:sz="4" w:space="0" w:color="auto"/>
              <w:right w:val="single" w:sz="4" w:space="0" w:color="auto"/>
            </w:tcBorders>
            <w:shd w:val="clear" w:color="auto" w:fill="auto"/>
            <w:vAlign w:val="center"/>
            <w:hideMark/>
          </w:tcPr>
          <w:p w14:paraId="352633C3" w14:textId="42958786" w:rsidR="0006406F" w:rsidRPr="001C5C77" w:rsidRDefault="0006406F" w:rsidP="004A49FD">
            <w:pPr>
              <w:keepNext/>
              <w:keepLines/>
              <w:spacing w:after="0"/>
              <w:jc w:val="center"/>
              <w:rPr>
                <w:b/>
              </w:rPr>
            </w:pPr>
            <w:r w:rsidRPr="001C5C77">
              <w:rPr>
                <w:b/>
              </w:rPr>
              <w:t>7</w:t>
            </w:r>
          </w:p>
        </w:tc>
        <w:tc>
          <w:tcPr>
            <w:tcW w:w="21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9C8946" w14:textId="7D7CF59E" w:rsidR="0006406F" w:rsidRPr="001C5C77" w:rsidRDefault="0006406F" w:rsidP="004A49FD">
            <w:pPr>
              <w:keepNext/>
              <w:keepLines/>
              <w:spacing w:after="0"/>
              <w:ind w:left="118"/>
            </w:pPr>
            <w:r w:rsidRPr="001C5C77">
              <w:t>Pending federal or state legislation or regulation</w:t>
            </w:r>
          </w:p>
        </w:tc>
        <w:tc>
          <w:tcPr>
            <w:tcW w:w="6566" w:type="dxa"/>
            <w:tcBorders>
              <w:top w:val="single" w:sz="4" w:space="0" w:color="auto"/>
              <w:left w:val="single" w:sz="4" w:space="0" w:color="auto"/>
              <w:bottom w:val="single" w:sz="4" w:space="0" w:color="auto"/>
              <w:right w:val="single" w:sz="6" w:space="0" w:color="666666"/>
            </w:tcBorders>
            <w:shd w:val="clear" w:color="auto" w:fill="auto"/>
            <w:vAlign w:val="center"/>
            <w:hideMark/>
          </w:tcPr>
          <w:p w14:paraId="314AF635" w14:textId="198398FD" w:rsidR="0006406F" w:rsidRPr="001C5C77" w:rsidRDefault="0006406F" w:rsidP="004A49FD">
            <w:pPr>
              <w:keepNext/>
              <w:keepLines/>
              <w:spacing w:after="0"/>
              <w:ind w:left="87"/>
            </w:pPr>
            <w:r w:rsidRPr="001C5C77">
              <w:t xml:space="preserve">Sensitivities </w:t>
            </w:r>
            <w:r w:rsidR="00E111DA">
              <w:t>0</w:t>
            </w:r>
            <w:r w:rsidRPr="001C5C77">
              <w:t>-</w:t>
            </w:r>
            <w:r w:rsidR="1104196F">
              <w:t>8</w:t>
            </w:r>
            <w:r w:rsidRPr="001C5C77">
              <w:t xml:space="preserve"> evaluate the impact of pending legislation or regulation through the scenario planning cases. The impacts of pending legislation or regulation can be analyzed by varying estimates of carbon and fuel prices.</w:t>
            </w:r>
          </w:p>
        </w:tc>
      </w:tr>
      <w:tr w:rsidR="0006406F" w:rsidRPr="0006406F" w14:paraId="39A1087D" w14:textId="77777777" w:rsidTr="004A49FD">
        <w:trPr>
          <w:trHeight w:val="1005"/>
        </w:trPr>
        <w:tc>
          <w:tcPr>
            <w:tcW w:w="686" w:type="dxa"/>
            <w:tcBorders>
              <w:top w:val="single" w:sz="4" w:space="0" w:color="auto"/>
              <w:left w:val="single" w:sz="6" w:space="0" w:color="666666"/>
              <w:bottom w:val="single" w:sz="6" w:space="0" w:color="666666"/>
              <w:right w:val="single" w:sz="4" w:space="0" w:color="auto"/>
            </w:tcBorders>
            <w:shd w:val="clear" w:color="auto" w:fill="auto"/>
            <w:vAlign w:val="center"/>
            <w:hideMark/>
          </w:tcPr>
          <w:p w14:paraId="1A6D8F98" w14:textId="7E192522" w:rsidR="0006406F" w:rsidRPr="001C5C77" w:rsidRDefault="0006406F" w:rsidP="004A49FD">
            <w:pPr>
              <w:keepNext/>
              <w:keepLines/>
              <w:spacing w:after="0"/>
              <w:jc w:val="center"/>
              <w:rPr>
                <w:b/>
              </w:rPr>
            </w:pPr>
            <w:r w:rsidRPr="001C5C77">
              <w:rPr>
                <w:b/>
              </w:rPr>
              <w:t>8</w:t>
            </w:r>
          </w:p>
        </w:tc>
        <w:tc>
          <w:tcPr>
            <w:tcW w:w="2102" w:type="dxa"/>
            <w:tcBorders>
              <w:top w:val="single" w:sz="4" w:space="0" w:color="auto"/>
              <w:left w:val="single" w:sz="4" w:space="0" w:color="auto"/>
              <w:bottom w:val="single" w:sz="6" w:space="0" w:color="666666"/>
              <w:right w:val="single" w:sz="4" w:space="0" w:color="auto"/>
            </w:tcBorders>
            <w:shd w:val="clear" w:color="auto" w:fill="auto"/>
            <w:vAlign w:val="center"/>
            <w:hideMark/>
          </w:tcPr>
          <w:p w14:paraId="782A89F0" w14:textId="25B27866" w:rsidR="0006406F" w:rsidRPr="001C5C77" w:rsidRDefault="0006406F" w:rsidP="004A49FD">
            <w:pPr>
              <w:keepNext/>
              <w:keepLines/>
              <w:spacing w:after="0"/>
              <w:ind w:left="118"/>
            </w:pPr>
            <w:r w:rsidRPr="001C5C77">
              <w:t>Rate Impact Analysis</w:t>
            </w:r>
          </w:p>
        </w:tc>
        <w:tc>
          <w:tcPr>
            <w:tcW w:w="6566" w:type="dxa"/>
            <w:tcBorders>
              <w:top w:val="single" w:sz="4" w:space="0" w:color="auto"/>
              <w:left w:val="single" w:sz="4" w:space="0" w:color="auto"/>
              <w:bottom w:val="single" w:sz="6" w:space="0" w:color="666666"/>
              <w:right w:val="single" w:sz="6" w:space="0" w:color="666666"/>
            </w:tcBorders>
            <w:shd w:val="clear" w:color="auto" w:fill="auto"/>
            <w:vAlign w:val="center"/>
            <w:hideMark/>
          </w:tcPr>
          <w:p w14:paraId="12FAC695" w14:textId="4AC19C06" w:rsidR="0006406F" w:rsidRPr="001C5C77" w:rsidRDefault="0006406F" w:rsidP="004A49FD">
            <w:pPr>
              <w:keepNext/>
              <w:keepLines/>
              <w:spacing w:after="0"/>
              <w:ind w:left="87"/>
            </w:pPr>
            <w:r w:rsidRPr="001C5C77">
              <w:t xml:space="preserve">All of the sensitivities analyze the impacts on rates of the varying changes in assumptions. The rate impacts are included in the Financial Review in Technical Appendix Volume </w:t>
            </w:r>
            <w:r w:rsidR="007525D0">
              <w:t>2.</w:t>
            </w:r>
          </w:p>
        </w:tc>
      </w:tr>
    </w:tbl>
    <w:p w14:paraId="40524F52" w14:textId="2F9FC465" w:rsidR="0006406F" w:rsidRDefault="0006406F" w:rsidP="00486F96">
      <w:pPr>
        <w:jc w:val="center"/>
        <w:rPr>
          <w:i/>
          <w:iCs/>
        </w:rPr>
      </w:pPr>
    </w:p>
    <w:p w14:paraId="14F35341" w14:textId="76338F22" w:rsidR="00FC2A0A" w:rsidRDefault="00545B58" w:rsidP="00B56A9C">
      <w:pPr>
        <w:pStyle w:val="Heading2"/>
      </w:pPr>
      <w:bookmarkStart w:id="52" w:name="_Toc189122773"/>
      <w:r>
        <w:lastRenderedPageBreak/>
        <w:t>8</w:t>
      </w:r>
      <w:r w:rsidR="004E56A5">
        <w:t>.</w:t>
      </w:r>
      <w:r w:rsidR="00A848B8">
        <w:t>10</w:t>
      </w:r>
      <w:r w:rsidR="004E56A5">
        <w:t xml:space="preserve"> – </w:t>
      </w:r>
      <w:r w:rsidR="00076675">
        <w:t>Capacity Procurement</w:t>
      </w:r>
      <w:bookmarkEnd w:id="52"/>
    </w:p>
    <w:p w14:paraId="71F06A7A" w14:textId="6D714128" w:rsidR="00072830" w:rsidRDefault="00BE0722" w:rsidP="00F9073A">
      <w:pPr>
        <w:jc w:val="both"/>
      </w:pPr>
      <w:r>
        <w:t>As required</w:t>
      </w:r>
      <w:r w:rsidR="00850E4F">
        <w:t xml:space="preserve"> by</w:t>
      </w:r>
      <w:r w:rsidR="0048045B">
        <w:t xml:space="preserve"> the </w:t>
      </w:r>
      <w:r w:rsidR="00894DC7">
        <w:t>Commission’s IRP</w:t>
      </w:r>
      <w:r w:rsidR="00894DC7" w:rsidDel="00162262">
        <w:t xml:space="preserve"> </w:t>
      </w:r>
      <w:r w:rsidR="00894DC7">
        <w:t xml:space="preserve">Rules and </w:t>
      </w:r>
      <w:r w:rsidR="00607C62">
        <w:t xml:space="preserve">to ensure </w:t>
      </w:r>
      <w:r w:rsidR="00FF3294">
        <w:t xml:space="preserve">customers receive </w:t>
      </w:r>
      <w:r w:rsidR="649419B5">
        <w:t xml:space="preserve">reliable </w:t>
      </w:r>
      <w:r w:rsidR="00FF3294">
        <w:t xml:space="preserve">capacity and energy </w:t>
      </w:r>
      <w:r w:rsidR="009848E3">
        <w:t>at</w:t>
      </w:r>
      <w:r w:rsidR="000B091F">
        <w:t xml:space="preserve"> </w:t>
      </w:r>
      <w:r w:rsidR="003079FD">
        <w:t>competitive market rates</w:t>
      </w:r>
      <w:r w:rsidR="00894DC7">
        <w:t xml:space="preserve">, </w:t>
      </w:r>
      <w:r w:rsidR="00730BB8">
        <w:t xml:space="preserve">the Company </w:t>
      </w:r>
      <w:r w:rsidR="00E534B2">
        <w:t xml:space="preserve">utilizes </w:t>
      </w:r>
      <w:r w:rsidR="00D44C7A">
        <w:t>an</w:t>
      </w:r>
      <w:r w:rsidR="00721C5B">
        <w:t xml:space="preserve"> </w:t>
      </w:r>
      <w:r w:rsidR="00E534B2">
        <w:t>RFP process</w:t>
      </w:r>
      <w:r w:rsidR="00704107">
        <w:t xml:space="preserve"> to </w:t>
      </w:r>
      <w:r w:rsidR="00227ACC">
        <w:t>satisfy its capacity needs.</w:t>
      </w:r>
      <w:r w:rsidR="00704107">
        <w:t xml:space="preserve"> </w:t>
      </w:r>
      <w:r w:rsidR="00E57E38">
        <w:t>Active capacity RFPs</w:t>
      </w:r>
      <w:r w:rsidR="00A24F42">
        <w:t xml:space="preserve"> previously approved by this Commission from the 2022 IRP and the 2023 IRP Update</w:t>
      </w:r>
      <w:r w:rsidR="00E57E38">
        <w:t xml:space="preserve">, such as the All-Source </w:t>
      </w:r>
      <w:r w:rsidR="00263492">
        <w:t xml:space="preserve">Capacity </w:t>
      </w:r>
      <w:r w:rsidR="00E57E38">
        <w:t xml:space="preserve">RFP for 2029-2031 and the </w:t>
      </w:r>
      <w:r w:rsidR="00275552">
        <w:t>Winter 2027/2028</w:t>
      </w:r>
      <w:r w:rsidR="00E57E38">
        <w:t xml:space="preserve"> BESS RFP</w:t>
      </w:r>
      <w:r w:rsidR="00263492">
        <w:t xml:space="preserve">, </w:t>
      </w:r>
      <w:r w:rsidR="004C0E7E">
        <w:t xml:space="preserve">are intended to meet the Company’s capacity needs through the </w:t>
      </w:r>
      <w:r w:rsidR="00515CC9">
        <w:t>w</w:t>
      </w:r>
      <w:r w:rsidR="001D23CC">
        <w:t xml:space="preserve">inter of 2030/2031. </w:t>
      </w:r>
      <w:r w:rsidR="00C4153B" w:rsidRPr="00026CC5">
        <w:t>The Company is evaluating the results of the Winter 2027/2028 BESS RFP</w:t>
      </w:r>
      <w:r w:rsidR="008034DA">
        <w:t xml:space="preserve"> and the All-Source Capacity RFP for 2029-2031 </w:t>
      </w:r>
      <w:r w:rsidR="00C4153B" w:rsidRPr="00026CC5">
        <w:t>as well as investigating</w:t>
      </w:r>
      <w:r w:rsidR="00D06598">
        <w:t xml:space="preserve"> additional </w:t>
      </w:r>
      <w:r w:rsidR="00C4153B" w:rsidRPr="00026CC5">
        <w:t xml:space="preserve">resource options to meet customer needs </w:t>
      </w:r>
      <w:r w:rsidR="00D06598">
        <w:t xml:space="preserve">should these RFPs </w:t>
      </w:r>
      <w:r w:rsidR="00C4153B">
        <w:t>be insufficient to fill all</w:t>
      </w:r>
      <w:r w:rsidR="00D06598">
        <w:t xml:space="preserve"> capacity needs for this period.</w:t>
      </w:r>
      <w:r w:rsidR="001D23CC">
        <w:t xml:space="preserve"> </w:t>
      </w:r>
      <w:r w:rsidR="00BD0A8D">
        <w:t xml:space="preserve">The Company plans to issue an All-Source Capacity RFP </w:t>
      </w:r>
      <w:r w:rsidR="008F7D7E">
        <w:t xml:space="preserve">in </w:t>
      </w:r>
      <w:r w:rsidR="008A2BB0">
        <w:t xml:space="preserve">the third quarter of 2025 </w:t>
      </w:r>
      <w:r w:rsidR="00CE28C9">
        <w:t xml:space="preserve">to meet its </w:t>
      </w:r>
      <w:r w:rsidR="00BB12C3">
        <w:t>capacity need</w:t>
      </w:r>
      <w:r w:rsidR="00271EB6">
        <w:t xml:space="preserve"> through </w:t>
      </w:r>
      <w:r w:rsidR="00CE621B">
        <w:t>2032 and 2033</w:t>
      </w:r>
      <w:r w:rsidR="00271EB6">
        <w:t xml:space="preserve">. </w:t>
      </w:r>
      <w:r w:rsidR="00713991">
        <w:t xml:space="preserve">The </w:t>
      </w:r>
      <w:r w:rsidR="00A24F42">
        <w:t xml:space="preserve">target capacity </w:t>
      </w:r>
      <w:r w:rsidR="00D1176C">
        <w:t>to be procured through</w:t>
      </w:r>
      <w:r w:rsidR="003174B1">
        <w:t xml:space="preserve"> this RFP</w:t>
      </w:r>
      <w:r w:rsidR="00713991">
        <w:t xml:space="preserve"> will be determined based on the Company’s capacity needs at the time</w:t>
      </w:r>
      <w:r w:rsidR="00B57628">
        <w:t xml:space="preserve"> of RFP issuance</w:t>
      </w:r>
      <w:r w:rsidR="00713991">
        <w:t xml:space="preserve">, which will </w:t>
      </w:r>
      <w:r w:rsidR="00CC7744">
        <w:t xml:space="preserve">be informed by the </w:t>
      </w:r>
      <w:r w:rsidR="00CB2792">
        <w:t xml:space="preserve">outcome of </w:t>
      </w:r>
      <w:r w:rsidR="0056692A">
        <w:t xml:space="preserve">this 2025 IRP and the results of </w:t>
      </w:r>
      <w:r w:rsidR="00CB2792">
        <w:t xml:space="preserve">the </w:t>
      </w:r>
      <w:r w:rsidR="00D1176C">
        <w:t>Company’s</w:t>
      </w:r>
      <w:r w:rsidR="00CB2792">
        <w:t xml:space="preserve"> active capacity RFPs.</w:t>
      </w:r>
      <w:r w:rsidR="0056692A">
        <w:t xml:space="preserve"> </w:t>
      </w:r>
      <w:r w:rsidR="0072079B">
        <w:t>S</w:t>
      </w:r>
      <w:r w:rsidR="0056692A">
        <w:t xml:space="preserve">ubsequent capacity RFPs </w:t>
      </w:r>
      <w:r w:rsidR="00EC5A4A">
        <w:t xml:space="preserve">for needs beyond </w:t>
      </w:r>
      <w:r w:rsidR="00800026">
        <w:t xml:space="preserve">2032 and </w:t>
      </w:r>
      <w:r w:rsidR="00EC5A4A">
        <w:t>2033</w:t>
      </w:r>
      <w:r w:rsidR="0CE8813A">
        <w:t xml:space="preserve"> </w:t>
      </w:r>
      <w:r w:rsidR="0056692A">
        <w:t xml:space="preserve">will be </w:t>
      </w:r>
      <w:r w:rsidR="00071A6F">
        <w:t xml:space="preserve">brought to </w:t>
      </w:r>
      <w:r w:rsidR="00E96CAB">
        <w:t xml:space="preserve">the Commission for approval based on </w:t>
      </w:r>
      <w:r w:rsidR="00B63B2D">
        <w:t>the required</w:t>
      </w:r>
      <w:r w:rsidR="00EC5A4A">
        <w:t xml:space="preserve"> lead time for the RFP process plus construction of any new-build generation and transmission assets.</w:t>
      </w:r>
    </w:p>
    <w:p w14:paraId="6ACDD426" w14:textId="116DE2B0" w:rsidR="008765FF" w:rsidRDefault="00545B58" w:rsidP="001C5C77">
      <w:pPr>
        <w:pStyle w:val="Heading2"/>
        <w:spacing w:before="120" w:after="120"/>
      </w:pPr>
      <w:bookmarkStart w:id="53" w:name="_Toc189122774"/>
      <w:r>
        <w:t>8</w:t>
      </w:r>
      <w:r w:rsidR="004E56A5">
        <w:t>.</w:t>
      </w:r>
      <w:r w:rsidR="00A848B8">
        <w:t>11</w:t>
      </w:r>
      <w:r w:rsidR="004E56A5">
        <w:t xml:space="preserve"> – </w:t>
      </w:r>
      <w:r w:rsidR="008765FF">
        <w:t>Renewable Procurement</w:t>
      </w:r>
      <w:bookmarkEnd w:id="53"/>
    </w:p>
    <w:p w14:paraId="7E0359BE" w14:textId="247FA4E9" w:rsidR="00973AF6" w:rsidRDefault="004864E9" w:rsidP="005D6646">
      <w:pPr>
        <w:jc w:val="both"/>
      </w:pPr>
      <w:r>
        <w:t>Georgia Power</w:t>
      </w:r>
      <w:r w:rsidR="00A26283">
        <w:t xml:space="preserve">, </w:t>
      </w:r>
      <w:r>
        <w:t>the Commission</w:t>
      </w:r>
      <w:r w:rsidR="00A26283">
        <w:t xml:space="preserve">, and </w:t>
      </w:r>
      <w:r w:rsidR="00DE480D">
        <w:t>renewable</w:t>
      </w:r>
      <w:r w:rsidR="000C4B30">
        <w:t xml:space="preserve"> </w:t>
      </w:r>
      <w:r w:rsidR="00F361E5">
        <w:t xml:space="preserve">energy </w:t>
      </w:r>
      <w:r w:rsidR="000C4B30">
        <w:t>sta</w:t>
      </w:r>
      <w:r w:rsidR="00B14238">
        <w:t>keholders</w:t>
      </w:r>
      <w:r w:rsidR="00795023">
        <w:t xml:space="preserve"> in Georgia </w:t>
      </w:r>
      <w:r w:rsidR="00614F45">
        <w:t xml:space="preserve">have created </w:t>
      </w:r>
      <w:r w:rsidR="00DB6480">
        <w:t xml:space="preserve">a vibrant, sustainable </w:t>
      </w:r>
      <w:r w:rsidR="000C4B30">
        <w:t>renewable energy market that</w:t>
      </w:r>
      <w:r w:rsidR="00E30EC8">
        <w:t xml:space="preserve"> continues to benefit</w:t>
      </w:r>
      <w:r w:rsidR="000C4B30">
        <w:t xml:space="preserve"> all Georgians.</w:t>
      </w:r>
      <w:r w:rsidR="00903E92">
        <w:t xml:space="preserve"> </w:t>
      </w:r>
      <w:r w:rsidR="00B32744">
        <w:t xml:space="preserve">This success </w:t>
      </w:r>
      <w:r w:rsidR="001C0B3F">
        <w:t xml:space="preserve">can be measured </w:t>
      </w:r>
      <w:r w:rsidR="00703186">
        <w:t xml:space="preserve">not only by the </w:t>
      </w:r>
      <w:r w:rsidR="000910D5">
        <w:t>number</w:t>
      </w:r>
      <w:r w:rsidR="002C6907">
        <w:t xml:space="preserve"> of projects and renewable capacity on </w:t>
      </w:r>
      <w:r w:rsidR="00DC28C6">
        <w:t>the S</w:t>
      </w:r>
      <w:r w:rsidR="002C6907">
        <w:t xml:space="preserve">ystem, but also by the value created for customers through </w:t>
      </w:r>
      <w:r w:rsidR="00B63178">
        <w:t>the Company’s</w:t>
      </w:r>
      <w:r w:rsidR="003964B6">
        <w:t xml:space="preserve"> robust renewable planning and </w:t>
      </w:r>
      <w:r w:rsidR="00EC11B5">
        <w:t xml:space="preserve">competitive </w:t>
      </w:r>
      <w:r w:rsidR="003964B6">
        <w:t>procurement processes.</w:t>
      </w:r>
      <w:r w:rsidR="001C0B3F">
        <w:t xml:space="preserve"> </w:t>
      </w:r>
      <w:r w:rsidR="004F58C6">
        <w:t xml:space="preserve">In the 2025 IRP, the </w:t>
      </w:r>
      <w:r w:rsidR="00E6248C">
        <w:t>Company</w:t>
      </w:r>
      <w:r w:rsidR="004F58C6">
        <w:t xml:space="preserve"> proposes</w:t>
      </w:r>
      <w:r w:rsidR="0000101B">
        <w:t xml:space="preserve"> to </w:t>
      </w:r>
      <w:r w:rsidR="004F58C6">
        <w:t xml:space="preserve">continue </w:t>
      </w:r>
      <w:r w:rsidR="00344988">
        <w:t>captur</w:t>
      </w:r>
      <w:r w:rsidR="21544D8A">
        <w:t>ing</w:t>
      </w:r>
      <w:r w:rsidR="005D28B5">
        <w:t xml:space="preserve"> benefits</w:t>
      </w:r>
      <w:r w:rsidR="004F58C6">
        <w:t xml:space="preserve"> for customers </w:t>
      </w:r>
      <w:r w:rsidR="009604D2">
        <w:t>through renewable procurements</w:t>
      </w:r>
      <w:r w:rsidR="0000101B">
        <w:t xml:space="preserve">, </w:t>
      </w:r>
      <w:r w:rsidR="009604D2">
        <w:t>improv</w:t>
      </w:r>
      <w:r w:rsidR="00335F28">
        <w:t>ing</w:t>
      </w:r>
      <w:r w:rsidR="009604D2">
        <w:t xml:space="preserve"> </w:t>
      </w:r>
      <w:r w:rsidR="00B304E1">
        <w:t>processes</w:t>
      </w:r>
      <w:r w:rsidR="000D4CF5">
        <w:t xml:space="preserve"> and flexibility </w:t>
      </w:r>
      <w:r w:rsidR="00B304E1">
        <w:t>to create efficiency</w:t>
      </w:r>
      <w:r w:rsidR="0000101B">
        <w:t xml:space="preserve">, and to evolve </w:t>
      </w:r>
      <w:r w:rsidR="00DE67E9">
        <w:t>procurement</w:t>
      </w:r>
      <w:r w:rsidR="0000101B">
        <w:t xml:space="preserve"> strategy to </w:t>
      </w:r>
      <w:r w:rsidR="00334679">
        <w:t xml:space="preserve">meet the needs of individual customers with sustainability goals, while also generating the most </w:t>
      </w:r>
      <w:r w:rsidR="00BF1076">
        <w:t>benefit for all Georgia Power customers.</w:t>
      </w:r>
    </w:p>
    <w:p w14:paraId="27E740D9" w14:textId="18E1A789" w:rsidR="006F2650" w:rsidRDefault="008F0F26" w:rsidP="00C71695">
      <w:pPr>
        <w:jc w:val="both"/>
      </w:pPr>
      <w:r>
        <w:t xml:space="preserve">Through the leadership of the </w:t>
      </w:r>
      <w:r w:rsidR="00A848B8">
        <w:t>Commission</w:t>
      </w:r>
      <w:r>
        <w:t xml:space="preserve">, </w:t>
      </w:r>
      <w:r w:rsidR="00C872D8">
        <w:t xml:space="preserve">Georgia Power </w:t>
      </w:r>
      <w:r w:rsidR="00761D42">
        <w:t>c</w:t>
      </w:r>
      <w:r w:rsidR="00846128">
        <w:t>reates</w:t>
      </w:r>
      <w:r w:rsidR="008F5FFA">
        <w:t xml:space="preserve"> </w:t>
      </w:r>
      <w:r w:rsidR="0098431B">
        <w:t>value by</w:t>
      </w:r>
      <w:r w:rsidR="005376A9">
        <w:t xml:space="preserve"> </w:t>
      </w:r>
      <w:r w:rsidR="006270B4">
        <w:t xml:space="preserve">adding </w:t>
      </w:r>
      <w:r w:rsidR="000C1A94">
        <w:t xml:space="preserve">renewable energy resources at </w:t>
      </w:r>
      <w:r w:rsidR="0067344A">
        <w:t>price</w:t>
      </w:r>
      <w:r w:rsidR="00E82BB4">
        <w:t>s</w:t>
      </w:r>
      <w:r w:rsidR="0067344A">
        <w:t xml:space="preserve"> t</w:t>
      </w:r>
      <w:r w:rsidR="005537F8">
        <w:t xml:space="preserve">hat </w:t>
      </w:r>
      <w:r w:rsidR="001749D7">
        <w:t>lower costs</w:t>
      </w:r>
      <w:r w:rsidR="007C7F1D">
        <w:t xml:space="preserve"> for all Georgia Power customers</w:t>
      </w:r>
      <w:r w:rsidR="004020F3">
        <w:t xml:space="preserve">. </w:t>
      </w:r>
      <w:r w:rsidR="00E52BE1">
        <w:t>Th</w:t>
      </w:r>
      <w:r w:rsidR="00980788">
        <w:t>is</w:t>
      </w:r>
      <w:r w:rsidR="00E52BE1">
        <w:t xml:space="preserve"> forward-thinking </w:t>
      </w:r>
      <w:r w:rsidR="004A1F51">
        <w:t>policy</w:t>
      </w:r>
      <w:r w:rsidR="008D7621">
        <w:t xml:space="preserve"> </w:t>
      </w:r>
      <w:r w:rsidR="003E3514">
        <w:t xml:space="preserve">to </w:t>
      </w:r>
      <w:r w:rsidR="001940E8">
        <w:t>add</w:t>
      </w:r>
      <w:r w:rsidR="003E3514">
        <w:t xml:space="preserve"> energy</w:t>
      </w:r>
      <w:r w:rsidR="001940E8">
        <w:t>-benefiting</w:t>
      </w:r>
      <w:r w:rsidR="003E3514">
        <w:t xml:space="preserve"> resources</w:t>
      </w:r>
      <w:r w:rsidR="00794C1D">
        <w:t xml:space="preserve"> </w:t>
      </w:r>
      <w:r w:rsidR="00EC6F8C">
        <w:t xml:space="preserve">through competitive </w:t>
      </w:r>
      <w:r w:rsidR="00B84C69">
        <w:t xml:space="preserve">procurements, </w:t>
      </w:r>
      <w:r w:rsidR="001940E8">
        <w:t>while</w:t>
      </w:r>
      <w:r w:rsidR="00A57012">
        <w:t xml:space="preserve"> minimizing</w:t>
      </w:r>
      <w:r w:rsidR="001C301F">
        <w:t>-</w:t>
      </w:r>
      <w:r w:rsidR="00C0482A">
        <w:t>any</w:t>
      </w:r>
      <w:r w:rsidR="0042059E">
        <w:t xml:space="preserve"> upward pressure on rates,</w:t>
      </w:r>
      <w:r w:rsidR="00A872F6">
        <w:t xml:space="preserve"> </w:t>
      </w:r>
      <w:r w:rsidR="00B84C69">
        <w:t>has created</w:t>
      </w:r>
      <w:r w:rsidR="002E597A">
        <w:t xml:space="preserve"> a sustainable renewable </w:t>
      </w:r>
      <w:r w:rsidR="00C66308">
        <w:t>ecosystem that delivers benefits to customers.</w:t>
      </w:r>
      <w:r w:rsidR="00A271E6">
        <w:t xml:space="preserve"> </w:t>
      </w:r>
      <w:r w:rsidR="006F2650">
        <w:t xml:space="preserve">With the 2025 IRP, the Company is seeking approval of the following </w:t>
      </w:r>
      <w:r w:rsidR="0082561D">
        <w:t>renewable procurement process enhancements</w:t>
      </w:r>
      <w:r w:rsidR="006F2650">
        <w:t>, as detailed further in this section.</w:t>
      </w:r>
    </w:p>
    <w:p w14:paraId="00EC11C3" w14:textId="77777777" w:rsidR="006F2650" w:rsidRPr="0082561D" w:rsidRDefault="006F2650" w:rsidP="0082561D">
      <w:pPr>
        <w:pStyle w:val="ListParagraph"/>
        <w:numPr>
          <w:ilvl w:val="0"/>
          <w:numId w:val="40"/>
        </w:numPr>
        <w:spacing w:before="120" w:after="120" w:line="278" w:lineRule="auto"/>
        <w:contextualSpacing w:val="0"/>
        <w:jc w:val="both"/>
        <w:rPr>
          <w:i/>
          <w:color w:val="0F4761"/>
        </w:rPr>
      </w:pPr>
      <w:r w:rsidRPr="0082561D">
        <w:rPr>
          <w:i/>
          <w:color w:val="0F4761"/>
        </w:rPr>
        <w:t>Utility Scale RFPs:</w:t>
      </w:r>
    </w:p>
    <w:p w14:paraId="7B72139E" w14:textId="66659A1C" w:rsidR="006F2650" w:rsidRPr="00CC5C49" w:rsidRDefault="006F2650" w:rsidP="0082561D">
      <w:pPr>
        <w:pStyle w:val="ListParagraph"/>
        <w:numPr>
          <w:ilvl w:val="1"/>
          <w:numId w:val="113"/>
        </w:numPr>
        <w:contextualSpacing w:val="0"/>
        <w:jc w:val="both"/>
      </w:pPr>
      <w:r w:rsidRPr="00CC5C49">
        <w:t xml:space="preserve">Approval to </w:t>
      </w:r>
      <w:r w:rsidR="00D54EE3">
        <w:t xml:space="preserve">issue the </w:t>
      </w:r>
      <w:r w:rsidR="00EE59A2">
        <w:t>2026</w:t>
      </w:r>
      <w:r w:rsidRPr="00CC5C49">
        <w:t xml:space="preserve"> </w:t>
      </w:r>
      <w:r w:rsidR="007F0B9F">
        <w:t xml:space="preserve">US </w:t>
      </w:r>
      <w:r w:rsidRPr="00CC5C49">
        <w:t>RFP</w:t>
      </w:r>
      <w:r w:rsidR="004264D1">
        <w:t xml:space="preserve"> seeking </w:t>
      </w:r>
      <w:r w:rsidR="009218B1">
        <w:t>to procure energy from 1,000 MW of US resources,</w:t>
      </w:r>
      <w:r w:rsidRPr="00CC5C49">
        <w:t xml:space="preserve"> with </w:t>
      </w:r>
      <w:r w:rsidR="008F17CB">
        <w:t xml:space="preserve">enhancements including </w:t>
      </w:r>
      <w:r w:rsidRPr="00CC5C49">
        <w:t>flexible Commercial Operation Dates (</w:t>
      </w:r>
      <w:r w:rsidR="00C853B6">
        <w:t>“</w:t>
      </w:r>
      <w:r w:rsidRPr="00CC5C49">
        <w:t>CODs</w:t>
      </w:r>
      <w:r w:rsidR="00C853B6">
        <w:t>”</w:t>
      </w:r>
      <w:r w:rsidRPr="00CC5C49">
        <w:t xml:space="preserve">), </w:t>
      </w:r>
      <w:r w:rsidR="007F0B9F">
        <w:t xml:space="preserve">and </w:t>
      </w:r>
      <w:r w:rsidR="007F0B9F" w:rsidRPr="00CC5C49">
        <w:t>two</w:t>
      </w:r>
      <w:r w:rsidRPr="00CC5C49">
        <w:t xml:space="preserve"> additional procurement opportunities </w:t>
      </w:r>
      <w:r w:rsidR="00516612">
        <w:t>as part of the</w:t>
      </w:r>
      <w:r w:rsidRPr="00CC5C49">
        <w:t xml:space="preserve"> RFP.</w:t>
      </w:r>
    </w:p>
    <w:p w14:paraId="626793ED" w14:textId="265D65D4" w:rsidR="006F2650" w:rsidRPr="00CC5C49" w:rsidRDefault="00516612" w:rsidP="0082561D">
      <w:pPr>
        <w:pStyle w:val="ListParagraph"/>
        <w:numPr>
          <w:ilvl w:val="1"/>
          <w:numId w:val="113"/>
        </w:numPr>
        <w:contextualSpacing w:val="0"/>
        <w:jc w:val="both"/>
      </w:pPr>
      <w:r>
        <w:t>Continue the</w:t>
      </w:r>
      <w:r w:rsidR="006F2650" w:rsidRPr="00CC5C49">
        <w:t xml:space="preserve"> best-cost evaluation methodology for selecting both standalone renewable resources and those paired with storage.</w:t>
      </w:r>
    </w:p>
    <w:p w14:paraId="09C295CA" w14:textId="573EE41F" w:rsidR="001C1C41" w:rsidRDefault="006F2650" w:rsidP="0082561D">
      <w:pPr>
        <w:pStyle w:val="ListParagraph"/>
        <w:numPr>
          <w:ilvl w:val="1"/>
          <w:numId w:val="113"/>
        </w:numPr>
        <w:contextualSpacing w:val="0"/>
        <w:jc w:val="both"/>
      </w:pPr>
      <w:r w:rsidRPr="00CC5C49">
        <w:t xml:space="preserve">Introduce new processes </w:t>
      </w:r>
      <w:r w:rsidR="00891174">
        <w:t>including</w:t>
      </w:r>
      <w:r w:rsidRPr="00CC5C49">
        <w:t xml:space="preserve"> the </w:t>
      </w:r>
      <w:r w:rsidR="00C853B6">
        <w:t>“</w:t>
      </w:r>
      <w:r w:rsidRPr="00CC5C49">
        <w:t>buy down</w:t>
      </w:r>
      <w:r w:rsidR="00C853B6">
        <w:t>”</w:t>
      </w:r>
      <w:r w:rsidRPr="00CC5C49">
        <w:t xml:space="preserve"> option and extended RFP periods </w:t>
      </w:r>
      <w:r w:rsidR="0013650F">
        <w:t xml:space="preserve">with a goal </w:t>
      </w:r>
      <w:r w:rsidRPr="00CC5C49">
        <w:t>to maximize project selection and procurement.</w:t>
      </w:r>
      <w:r w:rsidR="001C1C41">
        <w:t xml:space="preserve"> </w:t>
      </w:r>
    </w:p>
    <w:p w14:paraId="6A6D62F5" w14:textId="77777777" w:rsidR="00BA1148" w:rsidRDefault="00BA1148">
      <w:pPr>
        <w:rPr>
          <w:i/>
          <w:color w:val="0F4761"/>
        </w:rPr>
      </w:pPr>
      <w:r>
        <w:rPr>
          <w:i/>
          <w:color w:val="0F4761"/>
        </w:rPr>
        <w:br w:type="page"/>
      </w:r>
    </w:p>
    <w:p w14:paraId="1404DEDC" w14:textId="0A89C566" w:rsidR="006F2650" w:rsidRPr="0082561D" w:rsidRDefault="006F2650" w:rsidP="0082561D">
      <w:pPr>
        <w:pStyle w:val="ListParagraph"/>
        <w:numPr>
          <w:ilvl w:val="0"/>
          <w:numId w:val="40"/>
        </w:numPr>
        <w:spacing w:before="120" w:after="120" w:line="278" w:lineRule="auto"/>
        <w:contextualSpacing w:val="0"/>
        <w:jc w:val="both"/>
        <w:rPr>
          <w:i/>
          <w:color w:val="0F4761"/>
        </w:rPr>
      </w:pPr>
      <w:r w:rsidRPr="0082561D">
        <w:rPr>
          <w:i/>
          <w:color w:val="0F4761"/>
        </w:rPr>
        <w:lastRenderedPageBreak/>
        <w:t>Distributed Generation RFPs:</w:t>
      </w:r>
    </w:p>
    <w:p w14:paraId="68ADF93F" w14:textId="3E4C36CB" w:rsidR="00FB19B4" w:rsidRPr="00CC5C49" w:rsidRDefault="00FB19B4" w:rsidP="0082561D">
      <w:pPr>
        <w:pStyle w:val="ListParagraph"/>
        <w:numPr>
          <w:ilvl w:val="1"/>
          <w:numId w:val="113"/>
        </w:numPr>
        <w:contextualSpacing w:val="0"/>
        <w:jc w:val="both"/>
      </w:pPr>
      <w:r>
        <w:t>Approval to issue</w:t>
      </w:r>
      <w:r w:rsidR="009D64C7">
        <w:t xml:space="preserve"> the </w:t>
      </w:r>
      <w:r w:rsidR="07DD1484">
        <w:t>202</w:t>
      </w:r>
      <w:r w:rsidR="07D04672">
        <w:t>6</w:t>
      </w:r>
      <w:r w:rsidR="009D64C7">
        <w:t xml:space="preserve"> and 202</w:t>
      </w:r>
      <w:r w:rsidR="46D5ECDD">
        <w:t>7</w:t>
      </w:r>
      <w:r w:rsidR="009D64C7">
        <w:t xml:space="preserve"> DG RFPs targeting </w:t>
      </w:r>
      <w:r w:rsidR="00D95A89">
        <w:t>100 MW (</w:t>
      </w:r>
      <w:r w:rsidR="009D64C7">
        <w:t>50 MW each</w:t>
      </w:r>
      <w:r w:rsidR="00D95A89">
        <w:t xml:space="preserve">), including </w:t>
      </w:r>
      <w:r w:rsidR="00EA2C1B">
        <w:t xml:space="preserve">an </w:t>
      </w:r>
      <w:r w:rsidR="00C47763">
        <w:t>additional</w:t>
      </w:r>
      <w:r w:rsidR="00EA2C1B">
        <w:t xml:space="preserve"> procurement opportunity as part of each RFP</w:t>
      </w:r>
      <w:r w:rsidRPr="00CC5C49">
        <w:t>.</w:t>
      </w:r>
    </w:p>
    <w:p w14:paraId="19E653F3" w14:textId="611C7F49" w:rsidR="006F2650" w:rsidRPr="00CC5C49" w:rsidRDefault="006F2650" w:rsidP="0082561D">
      <w:pPr>
        <w:pStyle w:val="ListParagraph"/>
        <w:numPr>
          <w:ilvl w:val="1"/>
          <w:numId w:val="113"/>
        </w:numPr>
        <w:contextualSpacing w:val="0"/>
        <w:jc w:val="both"/>
      </w:pPr>
      <w:r w:rsidRPr="00CC5C49">
        <w:t xml:space="preserve">Continue the best-cost </w:t>
      </w:r>
      <w:r w:rsidR="000E16A4">
        <w:t xml:space="preserve">evaluation </w:t>
      </w:r>
      <w:r w:rsidRPr="00CC5C49">
        <w:t>methodology and locational guidance.</w:t>
      </w:r>
    </w:p>
    <w:p w14:paraId="03969284" w14:textId="0D7EC973" w:rsidR="000E16A4" w:rsidRDefault="00A607E8" w:rsidP="0082561D">
      <w:pPr>
        <w:pStyle w:val="ListParagraph"/>
        <w:numPr>
          <w:ilvl w:val="1"/>
          <w:numId w:val="113"/>
        </w:numPr>
        <w:contextualSpacing w:val="0"/>
        <w:jc w:val="both"/>
      </w:pPr>
      <w:r w:rsidRPr="00CC5C49">
        <w:t xml:space="preserve">Introduce new processes such as the </w:t>
      </w:r>
      <w:r>
        <w:t>“</w:t>
      </w:r>
      <w:r w:rsidRPr="00CC5C49">
        <w:t>buy down</w:t>
      </w:r>
      <w:r>
        <w:t>”</w:t>
      </w:r>
      <w:r w:rsidRPr="00CC5C49">
        <w:t xml:space="preserve"> option and extended RFP periods </w:t>
      </w:r>
      <w:r w:rsidR="00214E38">
        <w:t xml:space="preserve">with a goal </w:t>
      </w:r>
      <w:r w:rsidRPr="00CC5C49">
        <w:t>to maximize project selection and procurement</w:t>
      </w:r>
      <w:r w:rsidR="002C2548">
        <w:t>.</w:t>
      </w:r>
      <w:r w:rsidR="00A12ABC">
        <w:t xml:space="preserve"> </w:t>
      </w:r>
    </w:p>
    <w:p w14:paraId="1436D43F" w14:textId="24EF18C9" w:rsidR="006F2650" w:rsidRDefault="00242B95" w:rsidP="0082561D">
      <w:pPr>
        <w:pStyle w:val="ListParagraph"/>
        <w:numPr>
          <w:ilvl w:val="1"/>
          <w:numId w:val="113"/>
        </w:numPr>
        <w:contextualSpacing w:val="0"/>
        <w:jc w:val="both"/>
      </w:pPr>
      <w:r w:rsidRPr="00CC5C49">
        <w:t>E</w:t>
      </w:r>
      <w:r>
        <w:t>xpand</w:t>
      </w:r>
      <w:r w:rsidRPr="00CC5C49">
        <w:t xml:space="preserve"> </w:t>
      </w:r>
      <w:r w:rsidR="006F2650" w:rsidRPr="00CC5C49">
        <w:t>DG procurement</w:t>
      </w:r>
      <w:r>
        <w:t>s</w:t>
      </w:r>
      <w:r w:rsidR="006F2650" w:rsidRPr="00CC5C49">
        <w:t xml:space="preserve"> </w:t>
      </w:r>
      <w:r w:rsidR="00060763">
        <w:t>to seek</w:t>
      </w:r>
      <w:r w:rsidR="00060763" w:rsidRPr="00CC5C49">
        <w:t xml:space="preserve"> </w:t>
      </w:r>
      <w:r w:rsidR="006F2650" w:rsidRPr="00CC5C49">
        <w:t>flexible resources that include dispatchable storage and updated locational value assessments.</w:t>
      </w:r>
    </w:p>
    <w:p w14:paraId="1224E879" w14:textId="77777777" w:rsidR="001C1C41" w:rsidRPr="00CC5C49" w:rsidRDefault="001C1C41" w:rsidP="0082561D">
      <w:pPr>
        <w:pStyle w:val="ListParagraph"/>
        <w:numPr>
          <w:ilvl w:val="1"/>
          <w:numId w:val="113"/>
        </w:numPr>
        <w:contextualSpacing w:val="0"/>
        <w:jc w:val="both"/>
      </w:pPr>
      <w:r w:rsidRPr="00CC5C49">
        <w:t>Require visibility and control of new renewable resources through integration with DERMS.</w:t>
      </w:r>
    </w:p>
    <w:p w14:paraId="7665AB6D" w14:textId="239A96FC" w:rsidR="00C66308" w:rsidRDefault="000E4903" w:rsidP="0082561D">
      <w:pPr>
        <w:jc w:val="both"/>
      </w:pPr>
      <w:r>
        <w:t>Through</w:t>
      </w:r>
      <w:r w:rsidR="000D6D18">
        <w:t xml:space="preserve"> market interaction</w:t>
      </w:r>
      <w:r w:rsidR="0AB9AED9">
        <w:t xml:space="preserve"> and</w:t>
      </w:r>
      <w:r>
        <w:t xml:space="preserve"> </w:t>
      </w:r>
      <w:r w:rsidR="00957557">
        <w:t xml:space="preserve">recent </w:t>
      </w:r>
      <w:r w:rsidR="009707CE">
        <w:t xml:space="preserve">experience </w:t>
      </w:r>
      <w:r w:rsidR="0093758C">
        <w:t>procuring renewable resources</w:t>
      </w:r>
      <w:r w:rsidR="00B875CA">
        <w:t xml:space="preserve">, </w:t>
      </w:r>
      <w:r w:rsidR="003B7296">
        <w:t xml:space="preserve">the Company has identified challenges and opportunities </w:t>
      </w:r>
      <w:r w:rsidR="000306E9">
        <w:t xml:space="preserve">that </w:t>
      </w:r>
      <w:r w:rsidR="006F4CFF">
        <w:t>inform</w:t>
      </w:r>
      <w:r w:rsidR="000306E9">
        <w:t xml:space="preserve"> </w:t>
      </w:r>
      <w:r w:rsidR="00B8435D">
        <w:t>its</w:t>
      </w:r>
      <w:r w:rsidR="00F564F6">
        <w:t xml:space="preserve"> renewable strategy and</w:t>
      </w:r>
      <w:r w:rsidR="008C35FF">
        <w:t xml:space="preserve"> </w:t>
      </w:r>
      <w:r w:rsidR="00AB2CCF">
        <w:t>necessitate</w:t>
      </w:r>
      <w:r w:rsidR="008C35FF">
        <w:t xml:space="preserve"> modifications to </w:t>
      </w:r>
      <w:r w:rsidR="00B8435D">
        <w:t>its</w:t>
      </w:r>
      <w:r w:rsidR="00F564F6">
        <w:t xml:space="preserve"> procurement </w:t>
      </w:r>
      <w:r w:rsidR="008C4487">
        <w:t>plans</w:t>
      </w:r>
      <w:r w:rsidR="00DB0D0F">
        <w:t xml:space="preserve">. These </w:t>
      </w:r>
      <w:r w:rsidR="00DC5FDA">
        <w:t xml:space="preserve">proposed enhancements </w:t>
      </w:r>
      <w:r w:rsidR="00DB0D0F">
        <w:t>reflect Georgia Power's commitment to adapting strategies to market conditions and technological advancements, ensuring a sustainable energy future for Georgia.</w:t>
      </w:r>
    </w:p>
    <w:p w14:paraId="654941E7" w14:textId="0DD3A586" w:rsidR="006C3C74" w:rsidRPr="00E0250B" w:rsidRDefault="00BA2B82" w:rsidP="00C636A3">
      <w:pPr>
        <w:pStyle w:val="Heading3"/>
        <w:rPr>
          <w:rStyle w:val="Heading4Char"/>
          <w:i/>
        </w:rPr>
      </w:pPr>
      <w:r>
        <w:rPr>
          <w:rStyle w:val="Heading4Char"/>
          <w:i/>
        </w:rPr>
        <w:t xml:space="preserve">8.11.1 </w:t>
      </w:r>
      <w:r>
        <w:rPr>
          <w:iCs/>
        </w:rPr>
        <w:t>–</w:t>
      </w:r>
      <w:r>
        <w:rPr>
          <w:rStyle w:val="Heading4Char"/>
          <w:i/>
        </w:rPr>
        <w:t xml:space="preserve"> </w:t>
      </w:r>
      <w:r w:rsidR="006C3C74" w:rsidRPr="00E0250B">
        <w:rPr>
          <w:rStyle w:val="Heading4Char"/>
          <w:i/>
        </w:rPr>
        <w:t>Growing Renewable Energy Needs</w:t>
      </w:r>
    </w:p>
    <w:p w14:paraId="1B54E712" w14:textId="6BAA352F" w:rsidR="00BB1A68" w:rsidRDefault="00ED0335" w:rsidP="0082561D">
      <w:pPr>
        <w:jc w:val="both"/>
      </w:pPr>
      <w:r>
        <w:t xml:space="preserve">The need to add significant amounts of renewable resources to the </w:t>
      </w:r>
      <w:r w:rsidR="004766D7">
        <w:t>S</w:t>
      </w:r>
      <w:r>
        <w:t xml:space="preserve">ystem </w:t>
      </w:r>
      <w:r w:rsidR="005F1284">
        <w:t>is based on two f</w:t>
      </w:r>
      <w:r w:rsidR="00BB1A68">
        <w:t xml:space="preserve">undamental drivers: </w:t>
      </w:r>
    </w:p>
    <w:p w14:paraId="22C0217B" w14:textId="7BC73259" w:rsidR="00FF2052" w:rsidRDefault="00826815" w:rsidP="0082561D">
      <w:pPr>
        <w:pStyle w:val="ListParagraph"/>
        <w:numPr>
          <w:ilvl w:val="0"/>
          <w:numId w:val="113"/>
        </w:numPr>
        <w:jc w:val="both"/>
      </w:pPr>
      <w:r>
        <w:t xml:space="preserve">Planning model results </w:t>
      </w:r>
      <w:r w:rsidR="00397521">
        <w:t>which</w:t>
      </w:r>
      <w:r>
        <w:t xml:space="preserve"> indicate that </w:t>
      </w:r>
      <w:r w:rsidR="00ED0335">
        <w:t xml:space="preserve">the addition of </w:t>
      </w:r>
      <w:r w:rsidR="008E499A">
        <w:t>cost-effective</w:t>
      </w:r>
      <w:r w:rsidR="005F1284">
        <w:t xml:space="preserve"> </w:t>
      </w:r>
      <w:r w:rsidR="00ED0335">
        <w:t>renewable</w:t>
      </w:r>
      <w:r w:rsidR="004C0DF7">
        <w:t xml:space="preserve"> energy to the </w:t>
      </w:r>
      <w:r w:rsidR="004766D7">
        <w:t>S</w:t>
      </w:r>
      <w:r w:rsidR="004C0DF7">
        <w:t xml:space="preserve">ystem </w:t>
      </w:r>
      <w:r w:rsidR="00ED0335">
        <w:t>will</w:t>
      </w:r>
      <w:r w:rsidR="00143F9E">
        <w:t xml:space="preserve"> provide value to all Georgia Power customers through</w:t>
      </w:r>
      <w:r w:rsidR="00907DF9">
        <w:t xml:space="preserve"> </w:t>
      </w:r>
      <w:r w:rsidR="00143F9E">
        <w:t xml:space="preserve">a diverse </w:t>
      </w:r>
      <w:r w:rsidR="00907DF9">
        <w:t>energy</w:t>
      </w:r>
      <w:r w:rsidR="00143F9E">
        <w:t xml:space="preserve"> mix</w:t>
      </w:r>
      <w:r w:rsidR="005F1284">
        <w:t xml:space="preserve">; </w:t>
      </w:r>
      <w:r w:rsidR="005F1284" w:rsidRPr="0082561D">
        <w:t xml:space="preserve">and </w:t>
      </w:r>
    </w:p>
    <w:p w14:paraId="4A3DD64E" w14:textId="23E37E4A" w:rsidR="009847DF" w:rsidRDefault="005F1284" w:rsidP="0082561D">
      <w:pPr>
        <w:pStyle w:val="ListParagraph"/>
        <w:numPr>
          <w:ilvl w:val="0"/>
          <w:numId w:val="113"/>
        </w:numPr>
        <w:jc w:val="both"/>
      </w:pPr>
      <w:r>
        <w:t>Growing needs of new and existing</w:t>
      </w:r>
      <w:r w:rsidR="00BB1A68">
        <w:t xml:space="preserve"> customers with sustainability</w:t>
      </w:r>
      <w:r>
        <w:t xml:space="preserve">/carbon </w:t>
      </w:r>
      <w:r w:rsidR="00BB1A68">
        <w:t>goals,</w:t>
      </w:r>
      <w:r>
        <w:t xml:space="preserve"> who depend on </w:t>
      </w:r>
      <w:r w:rsidR="0019352A">
        <w:t xml:space="preserve">new renewable energy resources to </w:t>
      </w:r>
      <w:r w:rsidR="009847DF">
        <w:t xml:space="preserve">lower carbon in the overall </w:t>
      </w:r>
      <w:r w:rsidR="004766D7">
        <w:t>S</w:t>
      </w:r>
      <w:r w:rsidR="009847DF">
        <w:t xml:space="preserve">ystem mix and </w:t>
      </w:r>
      <w:r w:rsidR="04241973">
        <w:t>provide</w:t>
      </w:r>
      <w:r w:rsidR="009847DF">
        <w:t xml:space="preserve"> subscription opportunities</w:t>
      </w:r>
      <w:r w:rsidR="00E0250B">
        <w:t>.</w:t>
      </w:r>
    </w:p>
    <w:p w14:paraId="6BCFAE86" w14:textId="488DAA1D" w:rsidR="009847DF" w:rsidRPr="00E0250B" w:rsidRDefault="00BA2B82" w:rsidP="00C636A3">
      <w:pPr>
        <w:pStyle w:val="Heading3"/>
        <w:rPr>
          <w:rStyle w:val="Heading4Char"/>
          <w:i/>
        </w:rPr>
      </w:pPr>
      <w:r>
        <w:rPr>
          <w:rStyle w:val="Heading4Char"/>
          <w:i/>
        </w:rPr>
        <w:t xml:space="preserve">8.11.2 </w:t>
      </w:r>
      <w:r>
        <w:rPr>
          <w:iCs/>
        </w:rPr>
        <w:t>–</w:t>
      </w:r>
      <w:r>
        <w:rPr>
          <w:rStyle w:val="Heading4Char"/>
          <w:i/>
        </w:rPr>
        <w:t xml:space="preserve"> </w:t>
      </w:r>
      <w:r w:rsidR="00C54AD5" w:rsidRPr="00E0250B">
        <w:rPr>
          <w:rStyle w:val="Heading4Char"/>
          <w:i/>
        </w:rPr>
        <w:t>Dynamic</w:t>
      </w:r>
      <w:r w:rsidR="001F28CC" w:rsidRPr="00E0250B">
        <w:rPr>
          <w:rStyle w:val="Heading4Char"/>
          <w:i/>
        </w:rPr>
        <w:t xml:space="preserve"> </w:t>
      </w:r>
      <w:r w:rsidR="002E2CDB">
        <w:rPr>
          <w:rStyle w:val="Heading4Char"/>
          <w:i/>
        </w:rPr>
        <w:t>P</w:t>
      </w:r>
      <w:r w:rsidR="00C54AD5" w:rsidRPr="00E0250B">
        <w:rPr>
          <w:rStyle w:val="Heading4Char"/>
          <w:i/>
        </w:rPr>
        <w:t xml:space="preserve">rocurement </w:t>
      </w:r>
      <w:r w:rsidR="002E2CDB">
        <w:rPr>
          <w:rStyle w:val="Heading4Char"/>
          <w:i/>
        </w:rPr>
        <w:t>C</w:t>
      </w:r>
      <w:r w:rsidR="001F28CC" w:rsidRPr="00E0250B">
        <w:rPr>
          <w:rStyle w:val="Heading4Char"/>
          <w:i/>
        </w:rPr>
        <w:t>hallenges</w:t>
      </w:r>
      <w:r w:rsidR="0069587D" w:rsidRPr="00E0250B">
        <w:rPr>
          <w:rStyle w:val="Heading4Char"/>
          <w:i/>
        </w:rPr>
        <w:t xml:space="preserve"> </w:t>
      </w:r>
    </w:p>
    <w:p w14:paraId="436D057C" w14:textId="26FB737E" w:rsidR="00686687" w:rsidRDefault="00B74BA2" w:rsidP="0082561D">
      <w:pPr>
        <w:jc w:val="both"/>
      </w:pPr>
      <w:r>
        <w:t>Through extensive experience conducting multiple renewable procurements</w:t>
      </w:r>
      <w:r w:rsidR="00B77132">
        <w:t xml:space="preserve">, </w:t>
      </w:r>
      <w:r w:rsidR="00E0250B">
        <w:t>t</w:t>
      </w:r>
      <w:r w:rsidR="00B77132">
        <w:t xml:space="preserve">he Company </w:t>
      </w:r>
      <w:r w:rsidR="00D470ED">
        <w:t xml:space="preserve">is </w:t>
      </w:r>
      <w:r w:rsidR="005F4CEE">
        <w:t xml:space="preserve">aware of </w:t>
      </w:r>
      <w:r w:rsidR="005B63A7">
        <w:t xml:space="preserve">multiple dynamic challenges that dictate </w:t>
      </w:r>
      <w:r w:rsidR="004016E7">
        <w:t xml:space="preserve">the need for enhancements to </w:t>
      </w:r>
      <w:r w:rsidR="00841B3A">
        <w:t>RFP</w:t>
      </w:r>
      <w:r w:rsidR="004016E7">
        <w:t xml:space="preserve"> process</w:t>
      </w:r>
      <w:r w:rsidR="00841B3A">
        <w:t>es</w:t>
      </w:r>
      <w:r w:rsidR="004016E7">
        <w:t xml:space="preserve"> to</w:t>
      </w:r>
      <w:r w:rsidR="003F5F08">
        <w:t xml:space="preserve"> </w:t>
      </w:r>
      <w:r w:rsidR="00FA1622">
        <w:t>improve the likelihood of success through Commission-approved procurements.</w:t>
      </w:r>
      <w:r>
        <w:t xml:space="preserve"> </w:t>
      </w:r>
      <w:r w:rsidR="00FA1622">
        <w:t>T</w:t>
      </w:r>
      <w:r w:rsidR="00651BD4">
        <w:t xml:space="preserve">ransmission system capacity, changing interconnection </w:t>
      </w:r>
      <w:r w:rsidR="009E668B">
        <w:t>processes and requirements, uncertain policy impacts (</w:t>
      </w:r>
      <w:r w:rsidR="00507798">
        <w:t xml:space="preserve">tariffs, </w:t>
      </w:r>
      <w:r w:rsidR="00F46FBC">
        <w:t xml:space="preserve">tax credits, </w:t>
      </w:r>
      <w:r w:rsidR="00841B3A">
        <w:t>grants</w:t>
      </w:r>
      <w:r w:rsidR="00F46FBC">
        <w:t xml:space="preserve"> etc.)</w:t>
      </w:r>
      <w:r w:rsidR="00907DF9">
        <w:t xml:space="preserve">, </w:t>
      </w:r>
      <w:r w:rsidR="00C25F86">
        <w:t>increasing scrutiny on land use</w:t>
      </w:r>
      <w:r w:rsidR="005B6636">
        <w:t xml:space="preserve">, </w:t>
      </w:r>
      <w:r w:rsidR="005B25C3">
        <w:t xml:space="preserve">and </w:t>
      </w:r>
      <w:r w:rsidR="005B6636">
        <w:t xml:space="preserve">supply chain </w:t>
      </w:r>
      <w:r w:rsidR="5303881D">
        <w:t xml:space="preserve">challenges </w:t>
      </w:r>
      <w:r w:rsidR="005B25C3">
        <w:t xml:space="preserve">are among the </w:t>
      </w:r>
      <w:r w:rsidR="006E4A9E">
        <w:t>reasons</w:t>
      </w:r>
      <w:r w:rsidR="004132B5">
        <w:t xml:space="preserve"> </w:t>
      </w:r>
      <w:r w:rsidR="00B4739A">
        <w:t xml:space="preserve">renewable </w:t>
      </w:r>
      <w:r w:rsidR="00D51336">
        <w:t xml:space="preserve">solicitations </w:t>
      </w:r>
      <w:r w:rsidR="008C7AE1">
        <w:t xml:space="preserve">must </w:t>
      </w:r>
      <w:r w:rsidR="00B34527">
        <w:t>become</w:t>
      </w:r>
      <w:r w:rsidR="002E45EC">
        <w:t xml:space="preserve"> more</w:t>
      </w:r>
      <w:r w:rsidR="008C7AE1">
        <w:t xml:space="preserve"> flexible and </w:t>
      </w:r>
      <w:r w:rsidR="00104899">
        <w:t xml:space="preserve">adaptable </w:t>
      </w:r>
      <w:r w:rsidR="372D2590">
        <w:t>to</w:t>
      </w:r>
      <w:r w:rsidR="00E83F2E">
        <w:t xml:space="preserve"> </w:t>
      </w:r>
      <w:r w:rsidR="00C4448A">
        <w:t xml:space="preserve">capture the </w:t>
      </w:r>
      <w:r w:rsidR="008E499A">
        <w:t xml:space="preserve">value </w:t>
      </w:r>
      <w:r w:rsidR="00E82BE1">
        <w:t xml:space="preserve">that </w:t>
      </w:r>
      <w:r w:rsidR="00507257">
        <w:t>renewable resources can offer to customers.</w:t>
      </w:r>
      <w:r w:rsidR="00686687">
        <w:t xml:space="preserve"> In response to these challenges, and in light of the continuing need to add cost effective renewable resources to the </w:t>
      </w:r>
      <w:r w:rsidR="004001BE">
        <w:t>S</w:t>
      </w:r>
      <w:r w:rsidR="00686687">
        <w:t xml:space="preserve">ystem, the Company is proposing several significant enhancements to processes aimed at improving the efficiency and success of </w:t>
      </w:r>
      <w:r w:rsidR="00301A8B">
        <w:t>its</w:t>
      </w:r>
      <w:r w:rsidR="00686687">
        <w:t xml:space="preserve"> renewable procurements</w:t>
      </w:r>
      <w:r w:rsidR="00FF270B">
        <w:t>.</w:t>
      </w:r>
    </w:p>
    <w:p w14:paraId="57F777EE" w14:textId="1215386B" w:rsidR="00F938A1" w:rsidRPr="00F938A1" w:rsidRDefault="00AC5B29" w:rsidP="00A848B8">
      <w:pPr>
        <w:pStyle w:val="Heading3"/>
        <w:rPr>
          <w:b/>
          <w:bCs/>
          <w:color w:val="0F4761"/>
        </w:rPr>
      </w:pPr>
      <w:r>
        <w:rPr>
          <w:iCs/>
        </w:rPr>
        <w:lastRenderedPageBreak/>
        <w:t>8.11.</w:t>
      </w:r>
      <w:r w:rsidR="00BA2B82">
        <w:rPr>
          <w:iCs/>
        </w:rPr>
        <w:t>3</w:t>
      </w:r>
      <w:r>
        <w:rPr>
          <w:iCs/>
        </w:rPr>
        <w:t xml:space="preserve"> – Utility Scale RFP</w:t>
      </w:r>
      <w:r w:rsidR="0058773E">
        <w:rPr>
          <w:iCs/>
        </w:rPr>
        <w:t>s</w:t>
      </w:r>
      <w:r>
        <w:rPr>
          <w:iCs/>
        </w:rPr>
        <w:t xml:space="preserve"> </w:t>
      </w:r>
    </w:p>
    <w:p w14:paraId="79DD586E" w14:textId="2A855415" w:rsidR="00F24EF5" w:rsidRPr="0094382C" w:rsidRDefault="00F24EF5" w:rsidP="00F938A1">
      <w:pPr>
        <w:spacing w:before="240" w:after="240" w:line="278" w:lineRule="auto"/>
        <w:jc w:val="both"/>
        <w:rPr>
          <w:i/>
          <w:color w:val="0F4761"/>
          <w:sz w:val="24"/>
          <w:szCs w:val="24"/>
        </w:rPr>
      </w:pPr>
      <w:r w:rsidRPr="0094382C">
        <w:rPr>
          <w:i/>
          <w:color w:val="0F4761"/>
          <w:sz w:val="24"/>
          <w:szCs w:val="24"/>
        </w:rPr>
        <w:t xml:space="preserve">Utility Scale RFP </w:t>
      </w:r>
      <w:r w:rsidR="00141EBC" w:rsidRPr="0094382C">
        <w:rPr>
          <w:i/>
          <w:color w:val="0F4761"/>
          <w:sz w:val="24"/>
          <w:szCs w:val="24"/>
        </w:rPr>
        <w:t>Results</w:t>
      </w:r>
    </w:p>
    <w:p w14:paraId="579A5384" w14:textId="2EA94CE8" w:rsidR="009317E6" w:rsidRDefault="00A64A24" w:rsidP="007A4FF3">
      <w:pPr>
        <w:jc w:val="both"/>
      </w:pPr>
      <w:r>
        <w:t xml:space="preserve">The </w:t>
      </w:r>
      <w:r w:rsidR="005755CD">
        <w:t xml:space="preserve">2022/2023 </w:t>
      </w:r>
      <w:r w:rsidR="00C20A64">
        <w:t>U</w:t>
      </w:r>
      <w:r w:rsidR="00143529">
        <w:t xml:space="preserve">tility </w:t>
      </w:r>
      <w:r w:rsidR="00C20A64">
        <w:t>S</w:t>
      </w:r>
      <w:r w:rsidR="00143529">
        <w:t>cale</w:t>
      </w:r>
      <w:r w:rsidR="005755CD">
        <w:t xml:space="preserve"> RFP resulted in </w:t>
      </w:r>
      <w:r w:rsidR="00126B06">
        <w:t xml:space="preserve">the certification of </w:t>
      </w:r>
      <w:r w:rsidR="52BF2A4E">
        <w:t xml:space="preserve">five </w:t>
      </w:r>
      <w:r w:rsidR="00A40219">
        <w:t>PPAs representing 970 MW</w:t>
      </w:r>
      <w:r w:rsidR="00143529">
        <w:t>. O</w:t>
      </w:r>
      <w:r w:rsidR="00A40219">
        <w:t xml:space="preserve">ne project subsequently </w:t>
      </w:r>
      <w:r w:rsidR="00143529">
        <w:t>withdrew</w:t>
      </w:r>
      <w:r w:rsidR="00A40219">
        <w:t xml:space="preserve">, </w:t>
      </w:r>
      <w:r w:rsidR="00DD046D">
        <w:t>leaving</w:t>
      </w:r>
      <w:r w:rsidR="00A40219">
        <w:t xml:space="preserve"> </w:t>
      </w:r>
      <w:r w:rsidR="72E1B812">
        <w:t xml:space="preserve">four </w:t>
      </w:r>
      <w:r w:rsidR="00A40219">
        <w:t xml:space="preserve">projects </w:t>
      </w:r>
      <w:r w:rsidR="0041666D">
        <w:t>totaling 750 MW</w:t>
      </w:r>
      <w:r w:rsidR="3363FACF">
        <w:t xml:space="preserve">. Three of these projects </w:t>
      </w:r>
      <w:r w:rsidR="4B322019">
        <w:t>r</w:t>
      </w:r>
      <w:r w:rsidR="0041666D">
        <w:t>eached</w:t>
      </w:r>
      <w:r w:rsidR="00521286">
        <w:t xml:space="preserve"> </w:t>
      </w:r>
      <w:r w:rsidR="0041666D">
        <w:t xml:space="preserve">COD in </w:t>
      </w:r>
      <w:r w:rsidR="008E499A">
        <w:t xml:space="preserve">November </w:t>
      </w:r>
      <w:r w:rsidR="0041666D">
        <w:t>2024</w:t>
      </w:r>
      <w:r w:rsidR="00356661">
        <w:t xml:space="preserve">. </w:t>
      </w:r>
      <w:r w:rsidR="001E331F">
        <w:t>T</w:t>
      </w:r>
      <w:r w:rsidR="379FE5D7">
        <w:t>he</w:t>
      </w:r>
      <w:r w:rsidR="379FE5D7" w:rsidDel="00E97B26">
        <w:t xml:space="preserve"> </w:t>
      </w:r>
      <w:r w:rsidR="00E97B26">
        <w:t xml:space="preserve">fourth </w:t>
      </w:r>
      <w:r w:rsidR="379FE5D7">
        <w:t xml:space="preserve">project </w:t>
      </w:r>
      <w:r w:rsidR="00E97B26">
        <w:t xml:space="preserve">is expected </w:t>
      </w:r>
      <w:r w:rsidR="00E17E19">
        <w:t xml:space="preserve">to </w:t>
      </w:r>
      <w:r w:rsidR="379FE5D7">
        <w:t>reach COD in 2025</w:t>
      </w:r>
      <w:r w:rsidR="00EB37E9">
        <w:t xml:space="preserve">. </w:t>
      </w:r>
      <w:r w:rsidR="00E17E19">
        <w:t>During</w:t>
      </w:r>
      <w:r w:rsidR="005B08E4">
        <w:t xml:space="preserve"> </w:t>
      </w:r>
      <w:r w:rsidR="00EB37E9">
        <w:t>this RFP</w:t>
      </w:r>
      <w:r w:rsidR="00976973">
        <w:t xml:space="preserve">, </w:t>
      </w:r>
      <w:r w:rsidR="003652CB">
        <w:t xml:space="preserve">the Company identified </w:t>
      </w:r>
      <w:r w:rsidR="001A3A00">
        <w:t>several</w:t>
      </w:r>
      <w:r w:rsidR="0028068E">
        <w:t xml:space="preserve"> market challenges and </w:t>
      </w:r>
      <w:r w:rsidR="008A7B1C">
        <w:t xml:space="preserve">worked with the </w:t>
      </w:r>
      <w:r w:rsidR="0079316D">
        <w:t xml:space="preserve">Independent Evaluator </w:t>
      </w:r>
      <w:r w:rsidR="2EBF1AB9">
        <w:t xml:space="preserve">(“IE”) </w:t>
      </w:r>
      <w:r w:rsidR="0079316D">
        <w:t xml:space="preserve">and Commission Staff </w:t>
      </w:r>
      <w:r w:rsidR="008C4245">
        <w:t xml:space="preserve">to </w:t>
      </w:r>
      <w:r w:rsidR="00D82FDB">
        <w:t>address</w:t>
      </w:r>
      <w:r w:rsidR="00EA38D0">
        <w:t xml:space="preserve"> market conditions and</w:t>
      </w:r>
      <w:r w:rsidR="00D82FDB">
        <w:t xml:space="preserve"> feedback </w:t>
      </w:r>
      <w:r w:rsidR="00175494">
        <w:t>from bidders</w:t>
      </w:r>
      <w:r w:rsidR="00F566C1">
        <w:t>,</w:t>
      </w:r>
      <w:r w:rsidR="0036243F">
        <w:t xml:space="preserve"> by making modifications </w:t>
      </w:r>
      <w:r w:rsidR="00D82FDB">
        <w:t>including</w:t>
      </w:r>
      <w:r w:rsidR="00F566C1">
        <w:t xml:space="preserve"> an extension to the </w:t>
      </w:r>
      <w:r w:rsidR="00E0250B">
        <w:t>R</w:t>
      </w:r>
      <w:r w:rsidR="00F566C1">
        <w:t>equired Commercial Operation Date (</w:t>
      </w:r>
      <w:r w:rsidR="00EB512A">
        <w:t>“</w:t>
      </w:r>
      <w:r w:rsidR="00F566C1">
        <w:t>RCOD</w:t>
      </w:r>
      <w:r w:rsidR="00EB512A">
        <w:t>”</w:t>
      </w:r>
      <w:r w:rsidR="00F566C1">
        <w:t>)</w:t>
      </w:r>
      <w:r w:rsidR="00002BB2">
        <w:t>, which</w:t>
      </w:r>
      <w:r w:rsidR="00F566C1">
        <w:t xml:space="preserve"> </w:t>
      </w:r>
      <w:r w:rsidR="00F2521D">
        <w:t xml:space="preserve">provided flexibility </w:t>
      </w:r>
      <w:r w:rsidR="00002BB2">
        <w:t>needed</w:t>
      </w:r>
      <w:r w:rsidR="00F2521D">
        <w:t xml:space="preserve"> to navigate policy and supply chain dynamics</w:t>
      </w:r>
      <w:r w:rsidR="00C9618B">
        <w:t xml:space="preserve">. </w:t>
      </w:r>
      <w:r w:rsidR="00B10EA5">
        <w:t>These changes ultimately allowed four of the five projects to remain viable and reach commercial operation, while one project defaulted and did not move forward.</w:t>
      </w:r>
      <w:r w:rsidR="007A4FF3">
        <w:t xml:space="preserve"> </w:t>
      </w:r>
      <w:r w:rsidR="00465D1F">
        <w:t>MW</w:t>
      </w:r>
      <w:r w:rsidR="0075396B">
        <w:t xml:space="preserve"> left unfilled</w:t>
      </w:r>
      <w:r w:rsidR="00465D1F">
        <w:t xml:space="preserve"> from this RFP </w:t>
      </w:r>
      <w:r w:rsidR="00465D1F" w:rsidDel="00470481">
        <w:t>rolled forward into</w:t>
      </w:r>
      <w:r w:rsidR="00465D1F">
        <w:t xml:space="preserve"> the MW target for the 2023/202</w:t>
      </w:r>
      <w:r w:rsidR="00E0250B">
        <w:t>4</w:t>
      </w:r>
      <w:r w:rsidR="00465D1F">
        <w:t xml:space="preserve"> U</w:t>
      </w:r>
      <w:r w:rsidR="007641EB">
        <w:t xml:space="preserve">tility </w:t>
      </w:r>
      <w:r w:rsidR="00465D1F">
        <w:t>S</w:t>
      </w:r>
      <w:r w:rsidR="007641EB">
        <w:t>cale</w:t>
      </w:r>
      <w:r w:rsidR="00465D1F">
        <w:t xml:space="preserve"> RFP, and </w:t>
      </w:r>
      <w:r w:rsidR="00151456">
        <w:t>Customer Renewable Supply Program (</w:t>
      </w:r>
      <w:r w:rsidR="00EB512A">
        <w:t>“</w:t>
      </w:r>
      <w:r w:rsidR="00151456">
        <w:t>CRSP</w:t>
      </w:r>
      <w:r w:rsidR="00EB512A">
        <w:t>”</w:t>
      </w:r>
      <w:r w:rsidR="00151456">
        <w:t xml:space="preserve">) </w:t>
      </w:r>
      <w:r w:rsidR="00465D1F">
        <w:t>customer subscription needs were</w:t>
      </w:r>
      <w:r w:rsidR="00FF09FB">
        <w:t xml:space="preserve"> </w:t>
      </w:r>
      <w:r w:rsidR="00601371">
        <w:t>addressed</w:t>
      </w:r>
      <w:r w:rsidR="00465D1F">
        <w:t xml:space="preserve"> on a pro-rata basis </w:t>
      </w:r>
      <w:r w:rsidR="008A0946">
        <w:t xml:space="preserve">through the </w:t>
      </w:r>
      <w:r w:rsidR="00DF7B3D">
        <w:t xml:space="preserve">remaining </w:t>
      </w:r>
      <w:r w:rsidR="00C14A4B">
        <w:t xml:space="preserve">PPAs. The </w:t>
      </w:r>
      <w:r w:rsidR="00E0250B">
        <w:t>C</w:t>
      </w:r>
      <w:r w:rsidR="00C14A4B">
        <w:t xml:space="preserve">ompany </w:t>
      </w:r>
      <w:r w:rsidR="00B62ADA">
        <w:t xml:space="preserve">gathered significant insights into </w:t>
      </w:r>
      <w:r w:rsidR="009756A8">
        <w:t xml:space="preserve">market challenges through this process, including </w:t>
      </w:r>
      <w:r w:rsidR="0065510D">
        <w:t xml:space="preserve">supply chain, changing public policy, land use </w:t>
      </w:r>
      <w:r w:rsidR="00FB6A72">
        <w:t>issues</w:t>
      </w:r>
      <w:r w:rsidR="0065510D">
        <w:t xml:space="preserve">, and transmission system access, and </w:t>
      </w:r>
      <w:r w:rsidR="00C07A6E">
        <w:t xml:space="preserve">has incorporated these learnings into </w:t>
      </w:r>
      <w:r w:rsidR="00301A8B">
        <w:t>its</w:t>
      </w:r>
      <w:r w:rsidR="00C07A6E">
        <w:t xml:space="preserve"> plans for future procurements.</w:t>
      </w:r>
    </w:p>
    <w:p w14:paraId="375A5D60" w14:textId="228C80DD" w:rsidR="0079141C" w:rsidRDefault="00FB6A72" w:rsidP="007A4FF3">
      <w:pPr>
        <w:jc w:val="both"/>
      </w:pPr>
      <w:r>
        <w:t>Due to</w:t>
      </w:r>
      <w:r w:rsidR="00C07A6E">
        <w:t xml:space="preserve"> </w:t>
      </w:r>
      <w:r w:rsidR="00402EBD">
        <w:t>challenging market conditions</w:t>
      </w:r>
      <w:r w:rsidR="001C288C">
        <w:t xml:space="preserve">, </w:t>
      </w:r>
      <w:r w:rsidR="00A56C16">
        <w:t>the 2023/2024 Utility Scale RFP did not yield any</w:t>
      </w:r>
      <w:r w:rsidR="00402EBD" w:rsidDel="00A56C16">
        <w:t xml:space="preserve"> </w:t>
      </w:r>
      <w:r w:rsidR="00402EBD">
        <w:t xml:space="preserve">bids that met the RFP criteria as evaluated by the </w:t>
      </w:r>
      <w:r w:rsidR="00C725AD">
        <w:t>Company</w:t>
      </w:r>
      <w:r w:rsidR="00402EBD">
        <w:t xml:space="preserve">, the Independent Evaluator, and </w:t>
      </w:r>
      <w:r w:rsidR="00E0250B">
        <w:t>Commission S</w:t>
      </w:r>
      <w:r w:rsidR="00402EBD">
        <w:t xml:space="preserve">taff. </w:t>
      </w:r>
      <w:r w:rsidR="00C725AD">
        <w:t xml:space="preserve">The </w:t>
      </w:r>
      <w:r w:rsidR="00835343">
        <w:t>Company</w:t>
      </w:r>
      <w:r w:rsidR="00C725AD">
        <w:t xml:space="preserve"> considered potential modifications but ultimately </w:t>
      </w:r>
      <w:r w:rsidR="001C0559">
        <w:t>determined</w:t>
      </w:r>
      <w:r w:rsidR="00C725AD">
        <w:t xml:space="preserve"> that none of the bids could produce benefits for Georgia Power customers. </w:t>
      </w:r>
      <w:r w:rsidR="00740A55">
        <w:t xml:space="preserve">The </w:t>
      </w:r>
      <w:r w:rsidR="00FD7A1D">
        <w:t>Company</w:t>
      </w:r>
      <w:r w:rsidR="00740A55">
        <w:t xml:space="preserve"> worked closely with the market participants, Staff</w:t>
      </w:r>
      <w:r w:rsidR="00754544">
        <w:t>,</w:t>
      </w:r>
      <w:r w:rsidR="00740A55">
        <w:t xml:space="preserve"> and the </w:t>
      </w:r>
      <w:r w:rsidR="000823B6">
        <w:t>IE</w:t>
      </w:r>
      <w:r w:rsidR="00740A55">
        <w:t xml:space="preserve"> to</w:t>
      </w:r>
      <w:r w:rsidR="00C66E0E">
        <w:t xml:space="preserve"> evaluate</w:t>
      </w:r>
      <w:r w:rsidR="00740A55" w:rsidDel="003A56DC">
        <w:t xml:space="preserve"> </w:t>
      </w:r>
      <w:r w:rsidR="00740A55">
        <w:t>the</w:t>
      </w:r>
      <w:r w:rsidR="00281BFB">
        <w:t xml:space="preserve"> outcome</w:t>
      </w:r>
      <w:r w:rsidR="00DB405E">
        <w:t xml:space="preserve"> of this </w:t>
      </w:r>
      <w:r w:rsidR="005857EF">
        <w:t>RFP and</w:t>
      </w:r>
      <w:r w:rsidR="00740A55">
        <w:t xml:space="preserve"> </w:t>
      </w:r>
      <w:r w:rsidR="00A46B9F">
        <w:t>has</w:t>
      </w:r>
      <w:r w:rsidR="00882593">
        <w:t xml:space="preserve"> </w:t>
      </w:r>
      <w:r w:rsidR="00740A55">
        <w:t xml:space="preserve">applied </w:t>
      </w:r>
      <w:r w:rsidR="008E02DD">
        <w:t xml:space="preserve">the information </w:t>
      </w:r>
      <w:r w:rsidR="0038541C">
        <w:t>it learned to</w:t>
      </w:r>
      <w:r w:rsidR="00550892">
        <w:t xml:space="preserve"> enhance</w:t>
      </w:r>
      <w:r w:rsidR="00740A55">
        <w:t xml:space="preserve"> </w:t>
      </w:r>
      <w:r w:rsidR="00E8605D">
        <w:t>future procurement</w:t>
      </w:r>
      <w:r w:rsidR="002863A1">
        <w:t>s</w:t>
      </w:r>
      <w:r w:rsidR="00E8605D">
        <w:t xml:space="preserve">. </w:t>
      </w:r>
      <w:r w:rsidR="000823B6">
        <w:t xml:space="preserve">The </w:t>
      </w:r>
      <w:r w:rsidR="005A6852">
        <w:t>MW</w:t>
      </w:r>
      <w:r w:rsidR="00E8605D">
        <w:t xml:space="preserve"> </w:t>
      </w:r>
      <w:r w:rsidR="003B1648">
        <w:t xml:space="preserve">not procured </w:t>
      </w:r>
      <w:r w:rsidR="00193DA3">
        <w:t>in</w:t>
      </w:r>
      <w:r w:rsidR="00E8605D">
        <w:t xml:space="preserve"> the</w:t>
      </w:r>
      <w:r w:rsidR="00740A55">
        <w:t xml:space="preserve"> </w:t>
      </w:r>
      <w:r w:rsidR="00E029F6">
        <w:t xml:space="preserve">2023/2024 RFP </w:t>
      </w:r>
      <w:r w:rsidR="00E8605D">
        <w:t xml:space="preserve">were </w:t>
      </w:r>
      <w:r w:rsidR="00FA65DA">
        <w:t xml:space="preserve">rolled forward </w:t>
      </w:r>
      <w:r w:rsidR="0019309F">
        <w:t>to</w:t>
      </w:r>
      <w:r w:rsidR="00E8605D">
        <w:t xml:space="preserve"> the</w:t>
      </w:r>
      <w:r w:rsidR="00A45026">
        <w:t xml:space="preserve"> procurement</w:t>
      </w:r>
      <w:r w:rsidR="00E8605D">
        <w:t xml:space="preserve"> targets for the 2023 CARES U</w:t>
      </w:r>
      <w:r w:rsidR="00ED0F33">
        <w:t xml:space="preserve">tility </w:t>
      </w:r>
      <w:r w:rsidR="00E8605D">
        <w:t>S</w:t>
      </w:r>
      <w:r w:rsidR="00ED0F33">
        <w:t>cale</w:t>
      </w:r>
      <w:r w:rsidR="00E8605D">
        <w:t xml:space="preserve"> RFP.</w:t>
      </w:r>
    </w:p>
    <w:p w14:paraId="305CC659" w14:textId="73745B31" w:rsidR="00D778B0" w:rsidRDefault="00044C42" w:rsidP="007A4FF3">
      <w:pPr>
        <w:jc w:val="both"/>
      </w:pPr>
      <w:r>
        <w:t xml:space="preserve">The </w:t>
      </w:r>
      <w:r w:rsidR="00D778B0">
        <w:t>2023 CARES U</w:t>
      </w:r>
      <w:r w:rsidR="00ED0F33">
        <w:t xml:space="preserve">tility </w:t>
      </w:r>
      <w:r w:rsidR="00D778B0">
        <w:t>S</w:t>
      </w:r>
      <w:r w:rsidR="00ED0F33">
        <w:t>cale</w:t>
      </w:r>
      <w:r w:rsidR="00D778B0">
        <w:t xml:space="preserve"> RFP</w:t>
      </w:r>
      <w:r w:rsidR="00C45D10">
        <w:t xml:space="preserve">, which is currently underway, </w:t>
      </w:r>
      <w:r w:rsidR="00F250E4">
        <w:t>seek</w:t>
      </w:r>
      <w:r w:rsidR="00B742BF">
        <w:t>s</w:t>
      </w:r>
      <w:r w:rsidR="00F250E4">
        <w:t xml:space="preserve"> a</w:t>
      </w:r>
      <w:r w:rsidR="00B742BF">
        <w:t xml:space="preserve"> procurement</w:t>
      </w:r>
      <w:r w:rsidR="00F250E4">
        <w:t xml:space="preserve"> target of up to 2,8</w:t>
      </w:r>
      <w:r w:rsidR="60D6ABF4">
        <w:t>75</w:t>
      </w:r>
      <w:r w:rsidR="00F250E4">
        <w:t xml:space="preserve"> MW, </w:t>
      </w:r>
      <w:r w:rsidR="007B36A4">
        <w:t xml:space="preserve">which </w:t>
      </w:r>
      <w:r w:rsidR="00F250E4">
        <w:t>includ</w:t>
      </w:r>
      <w:r w:rsidR="007B36A4">
        <w:t>es</w:t>
      </w:r>
      <w:r w:rsidR="00956D3F">
        <w:t xml:space="preserve"> the</w:t>
      </w:r>
      <w:r w:rsidR="003F70C0">
        <w:t xml:space="preserve"> MW </w:t>
      </w:r>
      <w:r w:rsidR="00956D3F">
        <w:t>rolled over</w:t>
      </w:r>
      <w:r w:rsidR="00F250E4">
        <w:t xml:space="preserve"> from prior RFPs</w:t>
      </w:r>
      <w:r w:rsidR="00C1020D">
        <w:t xml:space="preserve">. </w:t>
      </w:r>
      <w:r w:rsidR="00F250E4">
        <w:t xml:space="preserve">Based on market feedback, the </w:t>
      </w:r>
      <w:r w:rsidR="00711889">
        <w:t xml:space="preserve">RFP was modified to allow for RCODs </w:t>
      </w:r>
      <w:r w:rsidR="00594AE9">
        <w:t xml:space="preserve">as late as </w:t>
      </w:r>
      <w:r w:rsidR="00711889">
        <w:t>202</w:t>
      </w:r>
      <w:r w:rsidR="0037722E">
        <w:t>9</w:t>
      </w:r>
      <w:r w:rsidR="00B771FB">
        <w:t>,</w:t>
      </w:r>
      <w:r w:rsidR="003C1271">
        <w:t xml:space="preserve"> and </w:t>
      </w:r>
      <w:r w:rsidR="00AB4DED">
        <w:t xml:space="preserve">now </w:t>
      </w:r>
      <w:r w:rsidR="00944042">
        <w:t>includes</w:t>
      </w:r>
      <w:r w:rsidR="003C1271">
        <w:t xml:space="preserve"> a bid refresh </w:t>
      </w:r>
      <w:r w:rsidR="00281BFB">
        <w:t>process</w:t>
      </w:r>
      <w:r w:rsidR="003C1271">
        <w:t xml:space="preserve"> </w:t>
      </w:r>
      <w:r w:rsidR="00876B11">
        <w:t xml:space="preserve">to </w:t>
      </w:r>
      <w:r w:rsidR="00D64B69">
        <w:t>facilitate</w:t>
      </w:r>
      <w:r w:rsidR="00876B11">
        <w:t xml:space="preserve"> this change. Additionally, the </w:t>
      </w:r>
      <w:r w:rsidR="00D64B69">
        <w:t>Company</w:t>
      </w:r>
      <w:r w:rsidR="00876B11">
        <w:t xml:space="preserve"> </w:t>
      </w:r>
      <w:r w:rsidR="00C1020D">
        <w:t xml:space="preserve">requested an extension to the </w:t>
      </w:r>
      <w:r w:rsidR="00C541BA">
        <w:t xml:space="preserve">announcement of </w:t>
      </w:r>
      <w:r w:rsidR="00011DCC">
        <w:t xml:space="preserve">bids in </w:t>
      </w:r>
      <w:r w:rsidR="00C541BA">
        <w:t>the short</w:t>
      </w:r>
      <w:r w:rsidR="1867AB42">
        <w:t xml:space="preserve"> </w:t>
      </w:r>
      <w:r w:rsidR="00C541BA">
        <w:t>list</w:t>
      </w:r>
      <w:r w:rsidR="008D16F6">
        <w:t>, which</w:t>
      </w:r>
      <w:r w:rsidR="00281BFB">
        <w:t xml:space="preserve"> provide</w:t>
      </w:r>
      <w:r w:rsidR="00A84A42">
        <w:t>s additional</w:t>
      </w:r>
      <w:r w:rsidR="00281BFB">
        <w:t xml:space="preserve"> time to </w:t>
      </w:r>
      <w:r w:rsidR="4C9D6087">
        <w:t>evaluate bids to most effectively add new, reliable, clean energy resources</w:t>
      </w:r>
      <w:r w:rsidR="00956D3F">
        <w:t xml:space="preserve">. </w:t>
      </w:r>
      <w:r w:rsidR="00DF7C2D">
        <w:t>Georgia Power expects to announce</w:t>
      </w:r>
      <w:r w:rsidR="00E86777">
        <w:t xml:space="preserve"> the</w:t>
      </w:r>
      <w:r w:rsidR="00876B11">
        <w:t xml:space="preserve"> results of this RFP in </w:t>
      </w:r>
      <w:r w:rsidR="00F938A1">
        <w:t>Q</w:t>
      </w:r>
      <w:r w:rsidR="166B4316">
        <w:t>1</w:t>
      </w:r>
      <w:r w:rsidR="00876B11">
        <w:t xml:space="preserve"> 2025.</w:t>
      </w:r>
    </w:p>
    <w:p w14:paraId="46B21FE2" w14:textId="031DC788" w:rsidR="002C311D" w:rsidRDefault="002C311D" w:rsidP="007A4FF3">
      <w:pPr>
        <w:jc w:val="both"/>
      </w:pPr>
      <w:r>
        <w:t xml:space="preserve">The Company </w:t>
      </w:r>
      <w:r w:rsidR="00641C1C">
        <w:t>plans to issue the 2025 CARES Utility Scale RFP in Q</w:t>
      </w:r>
      <w:r w:rsidR="001B10AD">
        <w:t>2</w:t>
      </w:r>
      <w:r w:rsidR="00641C1C">
        <w:t xml:space="preserve"> 2025 with a target procurement of 475 MW, plus any </w:t>
      </w:r>
      <w:r w:rsidR="00CF51F1">
        <w:t>MW that are rolled forward from the 2023 CARES Utility Scale RFP.</w:t>
      </w:r>
    </w:p>
    <w:p w14:paraId="138B8C90" w14:textId="4C8E7177" w:rsidR="00D97FBF" w:rsidRPr="0094382C" w:rsidRDefault="00D97FBF" w:rsidP="00956D3F">
      <w:pPr>
        <w:keepNext/>
        <w:keepLines/>
        <w:spacing w:before="240" w:after="240" w:line="278" w:lineRule="auto"/>
        <w:jc w:val="both"/>
        <w:rPr>
          <w:i/>
          <w:color w:val="0F4761"/>
          <w:sz w:val="24"/>
          <w:szCs w:val="24"/>
        </w:rPr>
      </w:pPr>
      <w:r w:rsidRPr="0094382C">
        <w:rPr>
          <w:i/>
          <w:color w:val="0F4761"/>
          <w:sz w:val="24"/>
          <w:szCs w:val="24"/>
        </w:rPr>
        <w:t>Utility Scale RFP Procurement Strategy</w:t>
      </w:r>
    </w:p>
    <w:p w14:paraId="6C468437" w14:textId="71922E17" w:rsidR="001C619A" w:rsidRDefault="00AD3D57" w:rsidP="007A4FF3">
      <w:pPr>
        <w:jc w:val="both"/>
      </w:pPr>
      <w:r>
        <w:t xml:space="preserve">In this IRP, the Company proposes </w:t>
      </w:r>
      <w:r w:rsidR="003B10DB">
        <w:t xml:space="preserve">a </w:t>
      </w:r>
      <w:r w:rsidR="00B62710">
        <w:t>modif</w:t>
      </w:r>
      <w:r w:rsidR="003B10DB">
        <w:t>ied</w:t>
      </w:r>
      <w:r w:rsidR="00B62710">
        <w:t xml:space="preserve"> </w:t>
      </w:r>
      <w:r w:rsidR="00D76562">
        <w:t xml:space="preserve">RFP strategy </w:t>
      </w:r>
      <w:r>
        <w:t>t</w:t>
      </w:r>
      <w:r w:rsidR="005E49F2">
        <w:t>hat</w:t>
      </w:r>
      <w:r>
        <w:t xml:space="preserve"> </w:t>
      </w:r>
      <w:r w:rsidR="00D87B9E">
        <w:t>appl</w:t>
      </w:r>
      <w:r w:rsidR="00C04B3D">
        <w:t>ies</w:t>
      </w:r>
      <w:r w:rsidR="00D87B9E">
        <w:t xml:space="preserve"> valuable information learned in implementing</w:t>
      </w:r>
      <w:r w:rsidR="00D87B9E" w:rsidDel="00D87B9E">
        <w:t xml:space="preserve"> </w:t>
      </w:r>
      <w:r>
        <w:t>recent U</w:t>
      </w:r>
      <w:r w:rsidR="00FC72AC">
        <w:t xml:space="preserve">tility </w:t>
      </w:r>
      <w:r>
        <w:t>S</w:t>
      </w:r>
      <w:r w:rsidR="00FC72AC">
        <w:t>cale</w:t>
      </w:r>
      <w:r>
        <w:t xml:space="preserve"> </w:t>
      </w:r>
      <w:r w:rsidR="005A1389">
        <w:t>RFPs and</w:t>
      </w:r>
      <w:r w:rsidR="005A1389" w:rsidDel="00617B1C">
        <w:t xml:space="preserve"> </w:t>
      </w:r>
      <w:r>
        <w:t>build</w:t>
      </w:r>
      <w:r w:rsidR="005A1389">
        <w:t>s</w:t>
      </w:r>
      <w:r>
        <w:t xml:space="preserve"> on the </w:t>
      </w:r>
      <w:r w:rsidR="00E925BD">
        <w:t>historical success</w:t>
      </w:r>
      <w:r>
        <w:t xml:space="preserve"> of renewable energy </w:t>
      </w:r>
      <w:r w:rsidR="00E925BD">
        <w:t>RFPs</w:t>
      </w:r>
      <w:r>
        <w:t xml:space="preserve"> to </w:t>
      </w:r>
      <w:r w:rsidR="00316B7D">
        <w:t xml:space="preserve">the </w:t>
      </w:r>
      <w:r>
        <w:t>benefit</w:t>
      </w:r>
      <w:r w:rsidR="00316B7D">
        <w:t xml:space="preserve"> of</w:t>
      </w:r>
      <w:r>
        <w:t xml:space="preserve"> customers.</w:t>
      </w:r>
      <w:r w:rsidR="00141EBC">
        <w:t xml:space="preserve"> </w:t>
      </w:r>
      <w:r w:rsidR="00B64799">
        <w:t>The</w:t>
      </w:r>
      <w:r w:rsidR="000454AE">
        <w:t xml:space="preserve"> Company proposes to continue </w:t>
      </w:r>
      <w:r w:rsidR="1A61A91B">
        <w:t xml:space="preserve">utilizing </w:t>
      </w:r>
      <w:r w:rsidR="4CEE4EE9">
        <w:t>a</w:t>
      </w:r>
      <w:r w:rsidR="000454AE">
        <w:t xml:space="preserve"> best-cost evaluation </w:t>
      </w:r>
      <w:r w:rsidR="0007705B">
        <w:t xml:space="preserve">methodology </w:t>
      </w:r>
      <w:r w:rsidR="0082326E">
        <w:t>to select</w:t>
      </w:r>
      <w:r w:rsidR="0082326E" w:rsidDel="00940516">
        <w:t xml:space="preserve"> </w:t>
      </w:r>
      <w:r w:rsidR="005306B0">
        <w:t>renewable resources</w:t>
      </w:r>
      <w:r w:rsidR="00D067BC">
        <w:t xml:space="preserve"> and renewable resources </w:t>
      </w:r>
      <w:r w:rsidR="1D7AA8B7">
        <w:t>paired</w:t>
      </w:r>
      <w:r w:rsidR="00D067BC">
        <w:t xml:space="preserve"> with </w:t>
      </w:r>
      <w:r w:rsidR="00B95834">
        <w:t>renewable or grid</w:t>
      </w:r>
      <w:r w:rsidR="00956D3F">
        <w:t>-</w:t>
      </w:r>
      <w:r w:rsidR="00B95834">
        <w:t xml:space="preserve">charged </w:t>
      </w:r>
      <w:r w:rsidR="007A6A29">
        <w:t>storage</w:t>
      </w:r>
      <w:r w:rsidR="00DC364D">
        <w:t xml:space="preserve"> systems</w:t>
      </w:r>
      <w:r w:rsidR="00A91608">
        <w:t xml:space="preserve">. </w:t>
      </w:r>
      <w:r w:rsidR="0043712B">
        <w:t>The Company also proposes modifying</w:t>
      </w:r>
      <w:r w:rsidR="007A6A29" w:rsidDel="0043712B">
        <w:t xml:space="preserve"> </w:t>
      </w:r>
      <w:r w:rsidR="00B64799">
        <w:t xml:space="preserve">the RFP </w:t>
      </w:r>
      <w:r w:rsidR="00E63B0D">
        <w:t xml:space="preserve">structure and </w:t>
      </w:r>
      <w:r w:rsidR="00B64799">
        <w:t xml:space="preserve">cadence to </w:t>
      </w:r>
      <w:r w:rsidR="00273495">
        <w:t xml:space="preserve">create additional </w:t>
      </w:r>
      <w:r w:rsidR="00AE5ED6">
        <w:t xml:space="preserve">opportunities for </w:t>
      </w:r>
      <w:r w:rsidR="001D1835">
        <w:t xml:space="preserve">bidders and </w:t>
      </w:r>
      <w:r w:rsidR="00232ADA">
        <w:t>customers</w:t>
      </w:r>
      <w:r w:rsidR="00C5445F">
        <w:t xml:space="preserve"> to identify</w:t>
      </w:r>
      <w:r w:rsidR="00CF6F15" w:rsidDel="00266E7E">
        <w:t xml:space="preserve"> </w:t>
      </w:r>
      <w:r w:rsidR="00CF6F15">
        <w:t xml:space="preserve">resources </w:t>
      </w:r>
      <w:r w:rsidR="00F14196">
        <w:t>for procurement</w:t>
      </w:r>
      <w:r w:rsidR="00CF6F15">
        <w:t xml:space="preserve">. </w:t>
      </w:r>
      <w:r w:rsidR="004E0812">
        <w:t>The</w:t>
      </w:r>
      <w:r w:rsidR="000454AE">
        <w:t xml:space="preserve"> </w:t>
      </w:r>
      <w:r w:rsidR="00C5445F">
        <w:t>Company proposes to modify the</w:t>
      </w:r>
      <w:r w:rsidR="000454AE">
        <w:t xml:space="preserve"> </w:t>
      </w:r>
      <w:r w:rsidR="007531D5">
        <w:t>U</w:t>
      </w:r>
      <w:r w:rsidR="00FC72AC">
        <w:t xml:space="preserve">tility </w:t>
      </w:r>
      <w:r w:rsidR="007531D5">
        <w:t>S</w:t>
      </w:r>
      <w:r w:rsidR="00FC72AC">
        <w:t>cale</w:t>
      </w:r>
      <w:r w:rsidR="007531D5">
        <w:t xml:space="preserve"> procurement process</w:t>
      </w:r>
      <w:r w:rsidR="00B43581">
        <w:t xml:space="preserve"> by adding</w:t>
      </w:r>
      <w:r w:rsidR="005419CC">
        <w:t xml:space="preserve"> </w:t>
      </w:r>
      <w:r w:rsidR="00F57928">
        <w:t>flexible CODs</w:t>
      </w:r>
      <w:r w:rsidR="007531D5">
        <w:t xml:space="preserve">, </w:t>
      </w:r>
      <w:r w:rsidR="00F24F6E">
        <w:t xml:space="preserve">and to </w:t>
      </w:r>
      <w:r w:rsidR="00F24F6E">
        <w:lastRenderedPageBreak/>
        <w:t xml:space="preserve">offer </w:t>
      </w:r>
      <w:r w:rsidR="00FC72AC">
        <w:t>two</w:t>
      </w:r>
      <w:r w:rsidR="00B80AD9">
        <w:t xml:space="preserve"> </w:t>
      </w:r>
      <w:r w:rsidR="00401517">
        <w:t>additional</w:t>
      </w:r>
      <w:r w:rsidR="00B80AD9">
        <w:t xml:space="preserve"> opportunities </w:t>
      </w:r>
      <w:r w:rsidR="00C72143">
        <w:t xml:space="preserve">for procurement </w:t>
      </w:r>
      <w:r w:rsidR="00F24F6E">
        <w:t xml:space="preserve">as part of </w:t>
      </w:r>
      <w:r w:rsidR="0059772E">
        <w:t>the</w:t>
      </w:r>
      <w:r w:rsidR="00A65E50">
        <w:t xml:space="preserve"> RFP</w:t>
      </w:r>
      <w:r w:rsidR="0051440B">
        <w:t>.</w:t>
      </w:r>
      <w:r w:rsidR="000454AE">
        <w:t xml:space="preserve"> Th</w:t>
      </w:r>
      <w:r w:rsidR="00177CE5">
        <w:t xml:space="preserve">e Company will seek to procure </w:t>
      </w:r>
      <w:r w:rsidR="0082326E">
        <w:t xml:space="preserve">energy from </w:t>
      </w:r>
      <w:r w:rsidR="00177CE5">
        <w:t xml:space="preserve">a target amount </w:t>
      </w:r>
      <w:r w:rsidR="00764935">
        <w:t xml:space="preserve">of </w:t>
      </w:r>
      <w:r w:rsidR="00764935" w:rsidRPr="007A4FF3">
        <w:t>1,000 MW</w:t>
      </w:r>
      <w:r w:rsidR="00764935">
        <w:t xml:space="preserve"> for all customers in the RFP, with the ability to procure energy from up to an additional </w:t>
      </w:r>
      <w:r w:rsidR="0059772E" w:rsidRPr="007A4FF3">
        <w:t>3</w:t>
      </w:r>
      <w:r w:rsidR="00764935" w:rsidRPr="007A4FF3">
        <w:t>,000 MW</w:t>
      </w:r>
      <w:r w:rsidR="00051C24">
        <w:t xml:space="preserve"> to meet customer subscription demand. This</w:t>
      </w:r>
      <w:r w:rsidR="000454AE">
        <w:t xml:space="preserve"> strategy </w:t>
      </w:r>
      <w:r w:rsidR="00401517">
        <w:t>promotes flexibility</w:t>
      </w:r>
      <w:r w:rsidR="00875D43">
        <w:t xml:space="preserve"> and optionality</w:t>
      </w:r>
      <w:r w:rsidR="00C14EBD">
        <w:t xml:space="preserve"> </w:t>
      </w:r>
      <w:r w:rsidR="00875D43">
        <w:t xml:space="preserve">and offers the ability for </w:t>
      </w:r>
      <w:r w:rsidR="00FD6D7B">
        <w:t xml:space="preserve">both bidders and potential subscribers to </w:t>
      </w:r>
      <w:r w:rsidR="00FC32BC">
        <w:t xml:space="preserve">contribute </w:t>
      </w:r>
      <w:r w:rsidR="00F25FFC">
        <w:t>to the cost effectiveness of individual projects</w:t>
      </w:r>
      <w:r w:rsidR="00C14EBD">
        <w:t xml:space="preserve"> </w:t>
      </w:r>
      <w:r w:rsidR="007709D8">
        <w:t xml:space="preserve">and </w:t>
      </w:r>
      <w:r w:rsidR="003C40D0">
        <w:t xml:space="preserve">allow </w:t>
      </w:r>
      <w:r w:rsidR="00C2251A">
        <w:t xml:space="preserve">for </w:t>
      </w:r>
      <w:r w:rsidR="003C40D0">
        <w:t xml:space="preserve">the selection of </w:t>
      </w:r>
      <w:r w:rsidR="00E63B0D">
        <w:t>additional</w:t>
      </w:r>
      <w:r w:rsidR="003C40D0">
        <w:t xml:space="preserve"> </w:t>
      </w:r>
      <w:r w:rsidR="00E07B8B">
        <w:t>PPAs</w:t>
      </w:r>
      <w:r w:rsidR="003C40D0">
        <w:t xml:space="preserve"> beyond </w:t>
      </w:r>
      <w:r w:rsidR="009F287E">
        <w:t>initial</w:t>
      </w:r>
      <w:r w:rsidR="003C40D0">
        <w:t xml:space="preserve"> </w:t>
      </w:r>
      <w:r w:rsidR="0007532C">
        <w:t>procurement</w:t>
      </w:r>
      <w:bookmarkStart w:id="54" w:name="_Hlk187594599"/>
      <w:r w:rsidR="0007532C">
        <w:t xml:space="preserve"> targets</w:t>
      </w:r>
      <w:bookmarkEnd w:id="54"/>
      <w:r w:rsidR="0007532C">
        <w:t xml:space="preserve">, </w:t>
      </w:r>
      <w:r w:rsidR="002F4EFF">
        <w:t xml:space="preserve">as </w:t>
      </w:r>
      <w:r w:rsidR="0007532C">
        <w:t>appropriate</w:t>
      </w:r>
      <w:r w:rsidR="00F030EF">
        <w:t>.</w:t>
      </w:r>
      <w:r w:rsidR="00DE4FAC">
        <w:t xml:space="preserve"> </w:t>
      </w:r>
    </w:p>
    <w:p w14:paraId="16526002" w14:textId="409D1A27" w:rsidR="000454AE" w:rsidRDefault="00C75399" w:rsidP="007A4FF3">
      <w:pPr>
        <w:keepNext/>
        <w:jc w:val="both"/>
      </w:pPr>
      <w:r>
        <w:t xml:space="preserve">Specifically, the Company is proposing the following </w:t>
      </w:r>
      <w:r w:rsidR="004124CF">
        <w:t>enhan</w:t>
      </w:r>
      <w:r w:rsidR="00F938A1">
        <w:t>c</w:t>
      </w:r>
      <w:r w:rsidR="004124CF">
        <w:t>ements</w:t>
      </w:r>
      <w:r w:rsidR="00DE4FAC">
        <w:t xml:space="preserve"> </w:t>
      </w:r>
      <w:r>
        <w:t xml:space="preserve">to </w:t>
      </w:r>
      <w:r w:rsidR="00C5445F">
        <w:t xml:space="preserve">its utility scale </w:t>
      </w:r>
      <w:r>
        <w:t>procurements:</w:t>
      </w:r>
    </w:p>
    <w:p w14:paraId="58E95117" w14:textId="4BCEAF09" w:rsidR="00DE4FAC" w:rsidRPr="00F938A1" w:rsidRDefault="00DE4FAC" w:rsidP="007A4FF3">
      <w:pPr>
        <w:pStyle w:val="ListParagraph"/>
        <w:keepNext/>
        <w:numPr>
          <w:ilvl w:val="0"/>
          <w:numId w:val="40"/>
        </w:numPr>
        <w:spacing w:before="120" w:after="120" w:line="278" w:lineRule="auto"/>
        <w:jc w:val="both"/>
        <w:rPr>
          <w:i/>
          <w:color w:val="0F4761"/>
        </w:rPr>
      </w:pPr>
      <w:r w:rsidRPr="00F938A1">
        <w:rPr>
          <w:i/>
          <w:color w:val="0F4761"/>
        </w:rPr>
        <w:t xml:space="preserve">Phase I – traditional RFP with </w:t>
      </w:r>
      <w:r w:rsidR="00073FB2" w:rsidRPr="00F938A1">
        <w:rPr>
          <w:i/>
          <w:color w:val="0F4761"/>
        </w:rPr>
        <w:t>added buy down option</w:t>
      </w:r>
    </w:p>
    <w:p w14:paraId="0EA9CC4E" w14:textId="44F82EB0" w:rsidR="0007705B" w:rsidRDefault="009766F0" w:rsidP="007A4FF3">
      <w:pPr>
        <w:keepNext/>
        <w:ind w:left="720"/>
        <w:jc w:val="both"/>
      </w:pPr>
      <w:r>
        <w:t xml:space="preserve">To </w:t>
      </w:r>
      <w:r w:rsidR="004133DE">
        <w:t>provide</w:t>
      </w:r>
      <w:r w:rsidR="00050540">
        <w:t xml:space="preserve"> </w:t>
      </w:r>
      <w:r w:rsidR="00CB0089">
        <w:t>t</w:t>
      </w:r>
      <w:r w:rsidR="007D0CEC">
        <w:t>he</w:t>
      </w:r>
      <w:r w:rsidR="00CB0089">
        <w:t xml:space="preserve"> </w:t>
      </w:r>
      <w:r w:rsidR="007D0CEC">
        <w:t>ability</w:t>
      </w:r>
      <w:r w:rsidR="00CB0089">
        <w:t xml:space="preserve"> </w:t>
      </w:r>
      <w:r w:rsidR="00050540">
        <w:t xml:space="preserve">for </w:t>
      </w:r>
      <w:r w:rsidR="00EE2699">
        <w:t>more</w:t>
      </w:r>
      <w:r w:rsidR="00050540">
        <w:t xml:space="preserve"> projects to be </w:t>
      </w:r>
      <w:r w:rsidR="00873286">
        <w:t xml:space="preserve">procured </w:t>
      </w:r>
      <w:r w:rsidR="00050540">
        <w:t>in U</w:t>
      </w:r>
      <w:r w:rsidR="00FC72AC">
        <w:t xml:space="preserve">tility </w:t>
      </w:r>
      <w:r w:rsidR="00050540">
        <w:t>S</w:t>
      </w:r>
      <w:r w:rsidR="00FC72AC">
        <w:t>cale</w:t>
      </w:r>
      <w:r w:rsidR="00232F82">
        <w:t xml:space="preserve"> RFPs, the Company proposes extending the RFP process </w:t>
      </w:r>
      <w:r w:rsidR="00050540">
        <w:t xml:space="preserve">to allow for </w:t>
      </w:r>
      <w:r w:rsidR="00D24B52">
        <w:t>additional</w:t>
      </w:r>
      <w:r w:rsidR="00232F82">
        <w:t xml:space="preserve"> </w:t>
      </w:r>
      <w:r w:rsidR="009137B0">
        <w:t>bids</w:t>
      </w:r>
      <w:r w:rsidR="00232F82">
        <w:t xml:space="preserve"> to be selected</w:t>
      </w:r>
      <w:r w:rsidR="00232F82" w:rsidDel="00A11C49">
        <w:t>.</w:t>
      </w:r>
      <w:r w:rsidR="00A8560C">
        <w:t xml:space="preserve"> To address</w:t>
      </w:r>
      <w:r w:rsidR="00050540">
        <w:t xml:space="preserve"> customer subscription </w:t>
      </w:r>
      <w:r w:rsidR="00A8560C">
        <w:t>needs</w:t>
      </w:r>
      <w:r w:rsidR="00050540">
        <w:t xml:space="preserve"> </w:t>
      </w:r>
      <w:r w:rsidR="00A20201">
        <w:t>rema</w:t>
      </w:r>
      <w:r w:rsidR="004F1233">
        <w:t>in</w:t>
      </w:r>
      <w:r w:rsidR="00A8560C">
        <w:t>ing</w:t>
      </w:r>
      <w:r w:rsidR="004F1233">
        <w:t xml:space="preserve"> </w:t>
      </w:r>
      <w:r w:rsidR="00050540">
        <w:t xml:space="preserve">after the </w:t>
      </w:r>
      <w:r w:rsidR="004F1233">
        <w:t>C</w:t>
      </w:r>
      <w:r w:rsidR="00050540">
        <w:t>ompany</w:t>
      </w:r>
      <w:r w:rsidR="00D24B52">
        <w:t xml:space="preserve"> </w:t>
      </w:r>
      <w:r w:rsidR="00281264">
        <w:t>identifies</w:t>
      </w:r>
      <w:r w:rsidR="00BE69F7">
        <w:t xml:space="preserve"> the short list</w:t>
      </w:r>
      <w:r w:rsidR="009945A5">
        <w:t xml:space="preserve"> in the RFP</w:t>
      </w:r>
      <w:r w:rsidR="00BD549F">
        <w:t>,</w:t>
      </w:r>
      <w:r w:rsidR="00050540">
        <w:t xml:space="preserve"> </w:t>
      </w:r>
      <w:r w:rsidR="009945A5">
        <w:t xml:space="preserve">the </w:t>
      </w:r>
      <w:r w:rsidR="00EB7178">
        <w:t>C</w:t>
      </w:r>
      <w:r w:rsidR="009945A5">
        <w:t xml:space="preserve">ompany </w:t>
      </w:r>
      <w:r w:rsidR="00A8560C">
        <w:t xml:space="preserve">may </w:t>
      </w:r>
      <w:r w:rsidR="009945A5">
        <w:t xml:space="preserve">implement a bidder </w:t>
      </w:r>
      <w:r w:rsidR="00232F82">
        <w:t xml:space="preserve">“buy down” process, </w:t>
      </w:r>
      <w:r w:rsidR="001A367D">
        <w:t xml:space="preserve">where </w:t>
      </w:r>
      <w:r w:rsidR="00645EEC">
        <w:t>projects</w:t>
      </w:r>
      <w:r w:rsidR="001A367D">
        <w:t xml:space="preserve"> </w:t>
      </w:r>
      <w:r w:rsidR="009945A5">
        <w:t xml:space="preserve">in the </w:t>
      </w:r>
      <w:r w:rsidR="00C22C00">
        <w:t>competitive</w:t>
      </w:r>
      <w:r w:rsidR="009945A5">
        <w:t xml:space="preserve"> tier</w:t>
      </w:r>
      <w:r w:rsidR="00EF44F1">
        <w:t xml:space="preserve"> —</w:t>
      </w:r>
      <w:r w:rsidR="009945A5">
        <w:t xml:space="preserve"> but not selected for the short list</w:t>
      </w:r>
      <w:r w:rsidR="00EF44F1">
        <w:t xml:space="preserve"> —</w:t>
      </w:r>
      <w:r w:rsidR="007F5C43">
        <w:t>will</w:t>
      </w:r>
      <w:r w:rsidR="00B051B4">
        <w:t xml:space="preserve"> have</w:t>
      </w:r>
      <w:r w:rsidR="009945A5">
        <w:t xml:space="preserve"> the </w:t>
      </w:r>
      <w:r w:rsidR="00232F82">
        <w:t xml:space="preserve">option to buy-down the </w:t>
      </w:r>
      <w:r w:rsidR="009945A5">
        <w:t>bid price</w:t>
      </w:r>
      <w:r w:rsidR="00232F82">
        <w:t xml:space="preserve"> to meet the average Total Net Benefits of </w:t>
      </w:r>
      <w:r w:rsidR="00990529">
        <w:t xml:space="preserve">bids in </w:t>
      </w:r>
      <w:r w:rsidR="00232F82">
        <w:t xml:space="preserve">the selected portfolio. </w:t>
      </w:r>
      <w:r w:rsidR="003116C2">
        <w:t xml:space="preserve">This process will be designed </w:t>
      </w:r>
      <w:r w:rsidR="00783B12">
        <w:t xml:space="preserve">in compliance with </w:t>
      </w:r>
      <w:r w:rsidR="00BD549F">
        <w:t>Commission</w:t>
      </w:r>
      <w:r w:rsidR="00783B12">
        <w:t xml:space="preserve"> rules </w:t>
      </w:r>
      <w:r w:rsidR="004D1534">
        <w:t xml:space="preserve">to ensure </w:t>
      </w:r>
      <w:r w:rsidR="00BD549F">
        <w:t>additional</w:t>
      </w:r>
      <w:r w:rsidR="0007705B">
        <w:t xml:space="preserve"> bids selected meet the </w:t>
      </w:r>
      <w:r w:rsidR="00227F80">
        <w:t xml:space="preserve">Commission’s certification </w:t>
      </w:r>
      <w:r w:rsidR="0007705B">
        <w:t>requirements.</w:t>
      </w:r>
    </w:p>
    <w:p w14:paraId="74A2FC8F" w14:textId="4A128717" w:rsidR="00073FB2" w:rsidRPr="00F938A1" w:rsidRDefault="00073FB2" w:rsidP="009A12F5">
      <w:pPr>
        <w:pStyle w:val="ListParagraph"/>
        <w:numPr>
          <w:ilvl w:val="0"/>
          <w:numId w:val="40"/>
        </w:numPr>
        <w:spacing w:before="120" w:after="120" w:line="278" w:lineRule="auto"/>
        <w:jc w:val="both"/>
        <w:rPr>
          <w:i/>
          <w:color w:val="0F4761"/>
        </w:rPr>
      </w:pPr>
      <w:r w:rsidRPr="7FD1CA6B">
        <w:rPr>
          <w:i/>
          <w:color w:val="0F4761" w:themeColor="accent1" w:themeShade="BF"/>
        </w:rPr>
        <w:t>Phase II –</w:t>
      </w:r>
      <w:r w:rsidR="008C3AA2">
        <w:rPr>
          <w:i/>
          <w:color w:val="0F4761" w:themeColor="accent1" w:themeShade="BF"/>
        </w:rPr>
        <w:t xml:space="preserve"> </w:t>
      </w:r>
      <w:r w:rsidR="00232F82" w:rsidRPr="7FD1CA6B">
        <w:rPr>
          <w:i/>
          <w:color w:val="0F4761" w:themeColor="accent1" w:themeShade="BF"/>
        </w:rPr>
        <w:t>Extended RFP Period (</w:t>
      </w:r>
      <w:r w:rsidR="005E1186" w:rsidRPr="000C6874">
        <w:rPr>
          <w:i/>
          <w:color w:val="0F4761" w:themeColor="accent1" w:themeShade="BF"/>
        </w:rPr>
        <w:t>C</w:t>
      </w:r>
      <w:r w:rsidR="007170C6" w:rsidRPr="000C6874">
        <w:rPr>
          <w:i/>
          <w:color w:val="0F4761" w:themeColor="accent1" w:themeShade="BF"/>
        </w:rPr>
        <w:t>ustomer Identified Resource</w:t>
      </w:r>
      <w:r w:rsidR="007170C6" w:rsidRPr="7FD1CA6B">
        <w:rPr>
          <w:i/>
          <w:color w:val="0F4761" w:themeColor="accent1" w:themeShade="BF"/>
        </w:rPr>
        <w:t xml:space="preserve"> (</w:t>
      </w:r>
      <w:r w:rsidR="00511CB9">
        <w:rPr>
          <w:i/>
          <w:color w:val="0F4761" w:themeColor="accent1" w:themeShade="BF"/>
        </w:rPr>
        <w:t>“</w:t>
      </w:r>
      <w:r w:rsidR="007170C6" w:rsidRPr="7FD1CA6B">
        <w:rPr>
          <w:i/>
          <w:color w:val="0F4761" w:themeColor="accent1" w:themeShade="BF"/>
        </w:rPr>
        <w:t>CIR</w:t>
      </w:r>
      <w:r w:rsidR="00511CB9">
        <w:rPr>
          <w:i/>
          <w:color w:val="0F4761" w:themeColor="accent1" w:themeShade="BF"/>
        </w:rPr>
        <w:t>”</w:t>
      </w:r>
      <w:r w:rsidR="18C6D069" w:rsidRPr="7FD1CA6B">
        <w:rPr>
          <w:i/>
          <w:iCs/>
          <w:color w:val="0F4761" w:themeColor="accent1" w:themeShade="BF"/>
        </w:rPr>
        <w:t>)</w:t>
      </w:r>
      <w:r w:rsidR="00386B67" w:rsidRPr="7FD1CA6B">
        <w:rPr>
          <w:i/>
          <w:color w:val="0F4761" w:themeColor="accent1" w:themeShade="BF"/>
        </w:rPr>
        <w:t xml:space="preserve"> Process)</w:t>
      </w:r>
    </w:p>
    <w:p w14:paraId="4D9A059B" w14:textId="21820C1B" w:rsidR="00BE7503" w:rsidRDefault="0007705B" w:rsidP="007A4FF3">
      <w:pPr>
        <w:ind w:left="720"/>
        <w:jc w:val="both"/>
      </w:pPr>
      <w:r w:rsidDel="00696BFE">
        <w:t xml:space="preserve">The </w:t>
      </w:r>
      <w:r w:rsidR="00696BFE">
        <w:t>Company</w:t>
      </w:r>
      <w:r>
        <w:t xml:space="preserve"> </w:t>
      </w:r>
      <w:r w:rsidR="007F5C43">
        <w:t>proposes to add a</w:t>
      </w:r>
      <w:r w:rsidR="00696BFE">
        <w:t xml:space="preserve"> second</w:t>
      </w:r>
      <w:r>
        <w:t xml:space="preserve"> phase of the </w:t>
      </w:r>
      <w:r w:rsidR="00342BD8">
        <w:t>U</w:t>
      </w:r>
      <w:r w:rsidR="0017142F">
        <w:t xml:space="preserve">tility </w:t>
      </w:r>
      <w:r w:rsidR="00342BD8">
        <w:t>S</w:t>
      </w:r>
      <w:r w:rsidR="0017142F">
        <w:t>cale</w:t>
      </w:r>
      <w:r w:rsidR="00342BD8">
        <w:t xml:space="preserve"> </w:t>
      </w:r>
      <w:r>
        <w:t>RFP</w:t>
      </w:r>
      <w:r w:rsidR="00342BD8">
        <w:t xml:space="preserve"> process</w:t>
      </w:r>
      <w:r>
        <w:t xml:space="preserve">, which would </w:t>
      </w:r>
      <w:r w:rsidR="00EE680A">
        <w:t xml:space="preserve">keep the RFP active and allow </w:t>
      </w:r>
      <w:r>
        <w:t xml:space="preserve">new projects to be submitted at or below a price that results in a </w:t>
      </w:r>
      <w:r w:rsidR="009A3425">
        <w:t>Total Net Benefit</w:t>
      </w:r>
      <w:r>
        <w:t xml:space="preserve"> </w:t>
      </w:r>
      <w:r w:rsidR="00342BD8">
        <w:t xml:space="preserve">that </w:t>
      </w:r>
      <w:r w:rsidR="00152887">
        <w:t xml:space="preserve">equals the </w:t>
      </w:r>
      <w:r w:rsidR="00152887" w:rsidRPr="007A4FF3">
        <w:t xml:space="preserve">average </w:t>
      </w:r>
      <w:r w:rsidR="009A3425">
        <w:t>Total Net Benefit</w:t>
      </w:r>
      <w:r w:rsidR="00152887">
        <w:t xml:space="preserve"> from the </w:t>
      </w:r>
      <w:r w:rsidR="00EE680A">
        <w:t xml:space="preserve">initial </w:t>
      </w:r>
      <w:r w:rsidR="00152887">
        <w:t>procurement</w:t>
      </w:r>
      <w:r w:rsidR="00EE680A">
        <w:t xml:space="preserve"> phase</w:t>
      </w:r>
      <w:r>
        <w:t>.</w:t>
      </w:r>
      <w:r w:rsidR="00BB24B7">
        <w:t xml:space="preserve"> This second phase would offer additional </w:t>
      </w:r>
      <w:r w:rsidR="00DC5A52">
        <w:t xml:space="preserve">customer </w:t>
      </w:r>
      <w:r w:rsidR="00BB24B7">
        <w:t>subscription opportunities while securing additional renewable resources in a manner that preserves benefits and maintains protections for all Georgia Power customers.</w:t>
      </w:r>
    </w:p>
    <w:p w14:paraId="27D1EF92" w14:textId="77AD95E8" w:rsidR="0007705B" w:rsidRDefault="006A59C7" w:rsidP="007A4FF3">
      <w:pPr>
        <w:ind w:left="720"/>
        <w:jc w:val="both"/>
      </w:pPr>
      <w:r>
        <w:t xml:space="preserve">The second phase would only be </w:t>
      </w:r>
      <w:r w:rsidR="00EE680A">
        <w:t xml:space="preserve">made </w:t>
      </w:r>
      <w:r>
        <w:t xml:space="preserve">available </w:t>
      </w:r>
      <w:r w:rsidR="00CD7457">
        <w:t xml:space="preserve">if necessary </w:t>
      </w:r>
      <w:r>
        <w:t>to address</w:t>
      </w:r>
      <w:r w:rsidDel="00BE7503">
        <w:t xml:space="preserve"> </w:t>
      </w:r>
      <w:r w:rsidR="00686D1F">
        <w:t>unmet</w:t>
      </w:r>
      <w:r w:rsidR="0007705B">
        <w:t xml:space="preserve"> CARES </w:t>
      </w:r>
      <w:r w:rsidR="00686D1F">
        <w:t>U</w:t>
      </w:r>
      <w:r>
        <w:t xml:space="preserve">tility </w:t>
      </w:r>
      <w:r w:rsidR="00686D1F">
        <w:t>S</w:t>
      </w:r>
      <w:r>
        <w:t>cale</w:t>
      </w:r>
      <w:r w:rsidR="0007705B">
        <w:t xml:space="preserve"> customer subscription need</w:t>
      </w:r>
      <w:r w:rsidR="004E1AD6">
        <w:t>s</w:t>
      </w:r>
      <w:r w:rsidR="00686D1F">
        <w:t xml:space="preserve">. </w:t>
      </w:r>
      <w:r w:rsidR="0033734E">
        <w:t xml:space="preserve">Project </w:t>
      </w:r>
      <w:r w:rsidR="00382B5D">
        <w:t>d</w:t>
      </w:r>
      <w:r w:rsidR="00336036">
        <w:t>evelopers</w:t>
      </w:r>
      <w:r w:rsidR="005326DA">
        <w:t xml:space="preserve"> </w:t>
      </w:r>
      <w:r w:rsidR="007853F3">
        <w:t xml:space="preserve">and potential </w:t>
      </w:r>
      <w:r w:rsidR="00353E0D">
        <w:t>subscribers</w:t>
      </w:r>
      <w:r w:rsidR="007853F3">
        <w:t xml:space="preserve"> </w:t>
      </w:r>
      <w:r w:rsidR="00336036">
        <w:t>could</w:t>
      </w:r>
      <w:r w:rsidR="00353E0D">
        <w:t xml:space="preserve"> </w:t>
      </w:r>
      <w:r w:rsidR="007853F3">
        <w:t xml:space="preserve">work together to submit bids </w:t>
      </w:r>
      <w:r w:rsidR="007B24A5">
        <w:t xml:space="preserve">into two additional </w:t>
      </w:r>
      <w:r w:rsidR="006E6AFB">
        <w:t>submission windows</w:t>
      </w:r>
      <w:r w:rsidR="007853F3">
        <w:t xml:space="preserve"> </w:t>
      </w:r>
      <w:r w:rsidR="007A6D80">
        <w:t xml:space="preserve">priced </w:t>
      </w:r>
      <w:r w:rsidR="00353E0D">
        <w:t>at or below a target</w:t>
      </w:r>
      <w:r w:rsidR="00405A84">
        <w:t xml:space="preserve"> </w:t>
      </w:r>
      <w:r w:rsidR="00F86D46">
        <w:t xml:space="preserve">deemed competitive with the original portfolio </w:t>
      </w:r>
      <w:r w:rsidR="009A3425">
        <w:t>Total Net Benefits</w:t>
      </w:r>
      <w:r w:rsidR="00F86D46">
        <w:t xml:space="preserve">, with final pricing </w:t>
      </w:r>
      <w:r w:rsidR="00353E0D">
        <w:t>determined</w:t>
      </w:r>
      <w:r w:rsidR="00F86D46">
        <w:t xml:space="preserve"> after </w:t>
      </w:r>
      <w:r w:rsidR="00D75B20">
        <w:t xml:space="preserve">comprehensive </w:t>
      </w:r>
      <w:r w:rsidR="00353E0D">
        <w:t xml:space="preserve">bid and </w:t>
      </w:r>
      <w:r w:rsidR="00075B7B">
        <w:t xml:space="preserve">Transmission </w:t>
      </w:r>
      <w:r w:rsidR="00D75B20">
        <w:t xml:space="preserve">analysis. </w:t>
      </w:r>
      <w:r w:rsidR="00353E0D">
        <w:t>Additionally</w:t>
      </w:r>
      <w:r w:rsidR="00D75B20">
        <w:t>,</w:t>
      </w:r>
      <w:r w:rsidR="00D75B20" w:rsidDel="00867B87">
        <w:t xml:space="preserve"> </w:t>
      </w:r>
      <w:r w:rsidR="00867B87">
        <w:t xml:space="preserve">bidders </w:t>
      </w:r>
      <w:r w:rsidR="00D75B20">
        <w:t>could submit new bids</w:t>
      </w:r>
      <w:r w:rsidR="00353E0D">
        <w:t xml:space="preserve"> in </w:t>
      </w:r>
      <w:r w:rsidR="00EE680A">
        <w:t xml:space="preserve">this </w:t>
      </w:r>
      <w:r w:rsidR="00353E0D">
        <w:t>extended RFP process</w:t>
      </w:r>
      <w:r w:rsidR="00D75B20">
        <w:t xml:space="preserve"> independently, with the </w:t>
      </w:r>
      <w:r w:rsidR="00320A6C">
        <w:t xml:space="preserve">Company </w:t>
      </w:r>
      <w:r w:rsidR="00A10DFB">
        <w:t xml:space="preserve">offering additional subscription opportunities </w:t>
      </w:r>
      <w:r w:rsidR="00353E0D">
        <w:t xml:space="preserve">from incremental projects </w:t>
      </w:r>
      <w:r w:rsidR="00A10DFB">
        <w:t xml:space="preserve">to </w:t>
      </w:r>
      <w:r w:rsidR="00AD18A8">
        <w:t>potential CARES subscribers</w:t>
      </w:r>
      <w:r w:rsidR="004E1AD6">
        <w:t>, at subscription p</w:t>
      </w:r>
      <w:r w:rsidR="00834F02">
        <w:t>rice</w:t>
      </w:r>
      <w:r w:rsidR="0033734E">
        <w:t>s and terms</w:t>
      </w:r>
      <w:r w:rsidR="00834F02">
        <w:t xml:space="preserve"> that protect non-participants</w:t>
      </w:r>
      <w:r w:rsidR="00AD18A8">
        <w:t xml:space="preserve">. </w:t>
      </w:r>
      <w:r w:rsidR="00751766">
        <w:t>Additional</w:t>
      </w:r>
      <w:r w:rsidR="00AD18A8">
        <w:t xml:space="preserve"> </w:t>
      </w:r>
      <w:r w:rsidR="00E55DA3">
        <w:t xml:space="preserve">details </w:t>
      </w:r>
      <w:r w:rsidR="00751766">
        <w:t xml:space="preserve">regarding </w:t>
      </w:r>
      <w:r w:rsidR="00E55DA3">
        <w:t xml:space="preserve">the </w:t>
      </w:r>
      <w:r w:rsidR="00353E0D">
        <w:t xml:space="preserve">enhanced subscription </w:t>
      </w:r>
      <w:r w:rsidR="00E55DA3">
        <w:t xml:space="preserve">process can be found </w:t>
      </w:r>
      <w:r w:rsidR="0007705B">
        <w:t xml:space="preserve">in </w:t>
      </w:r>
      <w:r w:rsidR="00F86FB6">
        <w:t>Chapter</w:t>
      </w:r>
      <w:r w:rsidR="00FC72AC">
        <w:t xml:space="preserve"> </w:t>
      </w:r>
      <w:r w:rsidR="00F86FB6">
        <w:t>10</w:t>
      </w:r>
      <w:r w:rsidR="0007705B">
        <w:t xml:space="preserve">. </w:t>
      </w:r>
    </w:p>
    <w:p w14:paraId="2C7AE4F2" w14:textId="603AD41F" w:rsidR="00F938A1" w:rsidRPr="00F938A1" w:rsidRDefault="00AC5B29" w:rsidP="00EC0809">
      <w:pPr>
        <w:pStyle w:val="Heading3"/>
        <w:rPr>
          <w:b/>
          <w:bCs/>
          <w:color w:val="0F4761"/>
        </w:rPr>
      </w:pPr>
      <w:r>
        <w:rPr>
          <w:iCs/>
        </w:rPr>
        <w:t>8.11.</w:t>
      </w:r>
      <w:r w:rsidR="00BA2B82">
        <w:rPr>
          <w:iCs/>
        </w:rPr>
        <w:t>4</w:t>
      </w:r>
      <w:r>
        <w:rPr>
          <w:iCs/>
        </w:rPr>
        <w:t xml:space="preserve"> – Distributed Generation RFP</w:t>
      </w:r>
      <w:r w:rsidR="0058773E">
        <w:rPr>
          <w:iCs/>
        </w:rPr>
        <w:t>s</w:t>
      </w:r>
      <w:r>
        <w:rPr>
          <w:iCs/>
        </w:rPr>
        <w:t xml:space="preserve"> </w:t>
      </w:r>
    </w:p>
    <w:p w14:paraId="1A9E56B7" w14:textId="38445425" w:rsidR="00EF4AD5" w:rsidRPr="0094382C" w:rsidRDefault="000D5E6B" w:rsidP="7C30FBF5">
      <w:pPr>
        <w:keepNext/>
        <w:keepLines/>
        <w:spacing w:before="240" w:after="240" w:line="278" w:lineRule="auto"/>
        <w:jc w:val="both"/>
        <w:rPr>
          <w:i/>
          <w:color w:val="0F4761"/>
          <w:sz w:val="24"/>
          <w:szCs w:val="24"/>
        </w:rPr>
      </w:pPr>
      <w:r w:rsidRPr="7C30FBF5">
        <w:rPr>
          <w:i/>
          <w:color w:val="0F4761" w:themeColor="accent1" w:themeShade="BF"/>
          <w:sz w:val="24"/>
          <w:szCs w:val="24"/>
        </w:rPr>
        <w:t xml:space="preserve">2023 </w:t>
      </w:r>
      <w:r w:rsidR="00EF4AD5" w:rsidRPr="7C30FBF5">
        <w:rPr>
          <w:i/>
          <w:color w:val="0F4761" w:themeColor="accent1" w:themeShade="BF"/>
          <w:sz w:val="24"/>
          <w:szCs w:val="24"/>
        </w:rPr>
        <w:t xml:space="preserve">&amp; </w:t>
      </w:r>
      <w:r w:rsidR="00747F6A" w:rsidRPr="7C30FBF5">
        <w:rPr>
          <w:i/>
          <w:color w:val="0F4761" w:themeColor="accent1" w:themeShade="BF"/>
          <w:sz w:val="24"/>
          <w:szCs w:val="24"/>
        </w:rPr>
        <w:t xml:space="preserve">2024 </w:t>
      </w:r>
      <w:r w:rsidR="00233A1C">
        <w:rPr>
          <w:i/>
          <w:color w:val="0F4761" w:themeColor="accent1" w:themeShade="BF"/>
          <w:sz w:val="24"/>
          <w:szCs w:val="24"/>
        </w:rPr>
        <w:t xml:space="preserve">DG </w:t>
      </w:r>
      <w:r w:rsidR="00747F6A" w:rsidRPr="7C30FBF5">
        <w:rPr>
          <w:i/>
          <w:color w:val="0F4761" w:themeColor="accent1" w:themeShade="BF"/>
          <w:sz w:val="24"/>
          <w:szCs w:val="24"/>
        </w:rPr>
        <w:t>RFP</w:t>
      </w:r>
      <w:r w:rsidR="00EF4AD5" w:rsidRPr="7C30FBF5">
        <w:rPr>
          <w:i/>
          <w:color w:val="0F4761" w:themeColor="accent1" w:themeShade="BF"/>
          <w:sz w:val="24"/>
          <w:szCs w:val="24"/>
        </w:rPr>
        <w:t xml:space="preserve"> </w:t>
      </w:r>
      <w:r w:rsidR="00141EBC" w:rsidRPr="7C30FBF5">
        <w:rPr>
          <w:i/>
          <w:color w:val="0F4761" w:themeColor="accent1" w:themeShade="BF"/>
          <w:sz w:val="24"/>
          <w:szCs w:val="24"/>
        </w:rPr>
        <w:t>R</w:t>
      </w:r>
      <w:r w:rsidR="00F938A1" w:rsidRPr="7C30FBF5">
        <w:rPr>
          <w:i/>
          <w:color w:val="0F4761" w:themeColor="accent1" w:themeShade="BF"/>
          <w:sz w:val="24"/>
          <w:szCs w:val="24"/>
        </w:rPr>
        <w:t>e</w:t>
      </w:r>
      <w:r w:rsidR="00141EBC" w:rsidRPr="7C30FBF5">
        <w:rPr>
          <w:i/>
          <w:color w:val="0F4761" w:themeColor="accent1" w:themeShade="BF"/>
          <w:sz w:val="24"/>
          <w:szCs w:val="24"/>
        </w:rPr>
        <w:t>sults</w:t>
      </w:r>
      <w:r w:rsidR="00EF4AD5" w:rsidRPr="7C30FBF5">
        <w:rPr>
          <w:i/>
          <w:color w:val="0F4761" w:themeColor="accent1" w:themeShade="BF"/>
          <w:sz w:val="24"/>
          <w:szCs w:val="24"/>
        </w:rPr>
        <w:t xml:space="preserve"> </w:t>
      </w:r>
    </w:p>
    <w:p w14:paraId="56742763" w14:textId="495AFCC5" w:rsidR="00F938A1" w:rsidRPr="007A4FF3" w:rsidRDefault="00260919" w:rsidP="007A4FF3">
      <w:pPr>
        <w:jc w:val="both"/>
        <w:rPr>
          <w:color w:val="000000" w:themeColor="text1"/>
        </w:rPr>
      </w:pPr>
      <w:r w:rsidRPr="007A4FF3">
        <w:rPr>
          <w:color w:val="000000" w:themeColor="text1"/>
        </w:rPr>
        <w:t>In</w:t>
      </w:r>
      <w:r w:rsidR="00EF4AD5" w:rsidRPr="007A4FF3">
        <w:rPr>
          <w:color w:val="000000" w:themeColor="text1"/>
        </w:rPr>
        <w:t xml:space="preserve"> the 2022 IRP, the Commission approved </w:t>
      </w:r>
      <w:r w:rsidR="00233A1C" w:rsidRPr="007A4FF3">
        <w:rPr>
          <w:color w:val="000000" w:themeColor="text1"/>
        </w:rPr>
        <w:t>two distributed generation renewable</w:t>
      </w:r>
      <w:r w:rsidR="00EF4AD5" w:rsidRPr="007A4FF3">
        <w:rPr>
          <w:color w:val="000000" w:themeColor="text1"/>
        </w:rPr>
        <w:t xml:space="preserve"> RFPs, the 2023 DG RFP and the 2024 DG RFP, which sought to procure energy from 293 MW of solar resources (</w:t>
      </w:r>
      <w:r w:rsidR="00F51EBE" w:rsidRPr="007A4FF3">
        <w:rPr>
          <w:color w:val="000000" w:themeColor="text1"/>
        </w:rPr>
        <w:t>which included</w:t>
      </w:r>
      <w:r w:rsidR="00EF4AD5" w:rsidRPr="007A4FF3">
        <w:rPr>
          <w:color w:val="000000" w:themeColor="text1"/>
        </w:rPr>
        <w:t xml:space="preserve"> 93 MW </w:t>
      </w:r>
      <w:r w:rsidR="0056552D" w:rsidRPr="007A4FF3">
        <w:rPr>
          <w:color w:val="000000" w:themeColor="text1"/>
        </w:rPr>
        <w:t>rolled over</w:t>
      </w:r>
      <w:r w:rsidR="57D0D179" w:rsidRPr="007A4FF3">
        <w:rPr>
          <w:color w:val="000000" w:themeColor="text1"/>
        </w:rPr>
        <w:t xml:space="preserve"> </w:t>
      </w:r>
      <w:r w:rsidR="00EF4AD5" w:rsidRPr="007A4FF3">
        <w:rPr>
          <w:color w:val="000000" w:themeColor="text1"/>
        </w:rPr>
        <w:t xml:space="preserve">from the 2020 DG RFP). </w:t>
      </w:r>
      <w:r w:rsidR="000C233C" w:rsidRPr="007A4FF3">
        <w:rPr>
          <w:color w:val="000000" w:themeColor="text1"/>
        </w:rPr>
        <w:t>Conducting</w:t>
      </w:r>
      <w:r w:rsidR="00EF4AD5" w:rsidRPr="007A4FF3">
        <w:rPr>
          <w:color w:val="000000" w:themeColor="text1"/>
        </w:rPr>
        <w:t xml:space="preserve"> two consecutive RFPs </w:t>
      </w:r>
      <w:r w:rsidR="00876B11" w:rsidRPr="007A4FF3">
        <w:rPr>
          <w:color w:val="000000" w:themeColor="text1"/>
        </w:rPr>
        <w:t xml:space="preserve">in a </w:t>
      </w:r>
      <w:r w:rsidR="00EC0809" w:rsidRPr="007A4FF3">
        <w:rPr>
          <w:color w:val="000000" w:themeColor="text1"/>
        </w:rPr>
        <w:t>three-year</w:t>
      </w:r>
      <w:r w:rsidR="00876B11" w:rsidRPr="007A4FF3">
        <w:rPr>
          <w:color w:val="000000" w:themeColor="text1"/>
        </w:rPr>
        <w:t xml:space="preserve"> cycle</w:t>
      </w:r>
      <w:r w:rsidR="00EF4AD5" w:rsidRPr="007A4FF3">
        <w:rPr>
          <w:color w:val="000000" w:themeColor="text1"/>
        </w:rPr>
        <w:t xml:space="preserve"> enabled a large number of bids to be </w:t>
      </w:r>
      <w:r w:rsidR="00902835" w:rsidRPr="007A4FF3">
        <w:rPr>
          <w:color w:val="000000" w:themeColor="text1"/>
        </w:rPr>
        <w:t xml:space="preserve">evaluated in a more timely and </w:t>
      </w:r>
      <w:r w:rsidR="00EA5997" w:rsidRPr="007A4FF3">
        <w:rPr>
          <w:color w:val="000000" w:themeColor="text1"/>
        </w:rPr>
        <w:t>efficient</w:t>
      </w:r>
      <w:r w:rsidR="00902835" w:rsidRPr="007A4FF3">
        <w:rPr>
          <w:color w:val="000000" w:themeColor="text1"/>
        </w:rPr>
        <w:t xml:space="preserve"> process</w:t>
      </w:r>
      <w:r w:rsidR="00F43D81" w:rsidRPr="007A4FF3">
        <w:rPr>
          <w:color w:val="000000" w:themeColor="text1"/>
        </w:rPr>
        <w:t xml:space="preserve">. </w:t>
      </w:r>
      <w:r w:rsidR="00063164" w:rsidRPr="007A4FF3">
        <w:rPr>
          <w:color w:val="000000" w:themeColor="text1"/>
        </w:rPr>
        <w:t>T</w:t>
      </w:r>
      <w:r w:rsidR="00EF4AD5" w:rsidRPr="007A4FF3">
        <w:rPr>
          <w:color w:val="000000" w:themeColor="text1"/>
        </w:rPr>
        <w:t xml:space="preserve">he 2023 </w:t>
      </w:r>
      <w:r w:rsidR="00EF4AD5" w:rsidRPr="007A4FF3">
        <w:rPr>
          <w:color w:val="000000" w:themeColor="text1"/>
        </w:rPr>
        <w:lastRenderedPageBreak/>
        <w:t xml:space="preserve">and 2024 DG RFPs </w:t>
      </w:r>
      <w:r w:rsidR="00063164" w:rsidRPr="007A4FF3">
        <w:rPr>
          <w:color w:val="000000" w:themeColor="text1"/>
        </w:rPr>
        <w:t xml:space="preserve">also </w:t>
      </w:r>
      <w:r w:rsidR="00EF4AD5" w:rsidRPr="007A4FF3">
        <w:rPr>
          <w:color w:val="000000" w:themeColor="text1"/>
        </w:rPr>
        <w:t>sought to procure energy from solar facilities sized up to 6 MW AC</w:t>
      </w:r>
      <w:r w:rsidR="007120D2" w:rsidRPr="007A4FF3">
        <w:rPr>
          <w:color w:val="000000" w:themeColor="text1"/>
        </w:rPr>
        <w:t xml:space="preserve">, which was </w:t>
      </w:r>
      <w:r w:rsidR="00EF4AD5" w:rsidRPr="007A4FF3">
        <w:rPr>
          <w:color w:val="000000" w:themeColor="text1"/>
        </w:rPr>
        <w:t xml:space="preserve">an increase from the </w:t>
      </w:r>
      <w:r w:rsidR="002344B0" w:rsidRPr="007A4FF3">
        <w:rPr>
          <w:color w:val="000000" w:themeColor="text1"/>
        </w:rPr>
        <w:t xml:space="preserve">size limit </w:t>
      </w:r>
      <w:r w:rsidR="00EF4AD5" w:rsidRPr="007A4FF3">
        <w:rPr>
          <w:color w:val="000000" w:themeColor="text1"/>
        </w:rPr>
        <w:t xml:space="preserve">of 3 MW AC in prior RFPs. </w:t>
      </w:r>
    </w:p>
    <w:p w14:paraId="46CEF6EF" w14:textId="7A66FB5A" w:rsidR="00F938A1" w:rsidRPr="007A4FF3" w:rsidRDefault="00AF57CF" w:rsidP="007A4FF3">
      <w:pPr>
        <w:jc w:val="both"/>
        <w:rPr>
          <w:color w:val="000000" w:themeColor="text1"/>
        </w:rPr>
      </w:pPr>
      <w:r w:rsidRPr="007A4FF3">
        <w:rPr>
          <w:color w:val="000000" w:themeColor="text1"/>
        </w:rPr>
        <w:t>Prior to</w:t>
      </w:r>
      <w:r w:rsidR="00EF4AD5" w:rsidRPr="007A4FF3">
        <w:rPr>
          <w:color w:val="000000" w:themeColor="text1"/>
        </w:rPr>
        <w:t xml:space="preserve"> the </w:t>
      </w:r>
      <w:r w:rsidR="00F51EBE" w:rsidRPr="007A4FF3">
        <w:rPr>
          <w:color w:val="000000" w:themeColor="text1"/>
        </w:rPr>
        <w:t>issuance of the</w:t>
      </w:r>
      <w:r w:rsidR="002344B0" w:rsidRPr="007A4FF3">
        <w:rPr>
          <w:color w:val="000000" w:themeColor="text1"/>
        </w:rPr>
        <w:t>se</w:t>
      </w:r>
      <w:r w:rsidR="00F51EBE" w:rsidRPr="007A4FF3">
        <w:rPr>
          <w:color w:val="000000" w:themeColor="text1"/>
        </w:rPr>
        <w:t xml:space="preserve"> DG</w:t>
      </w:r>
      <w:r w:rsidR="00EF4AD5" w:rsidRPr="007A4FF3">
        <w:rPr>
          <w:color w:val="000000" w:themeColor="text1"/>
        </w:rPr>
        <w:t xml:space="preserve"> RFP</w:t>
      </w:r>
      <w:r w:rsidR="00F51EBE" w:rsidRPr="007A4FF3">
        <w:rPr>
          <w:color w:val="000000" w:themeColor="text1"/>
        </w:rPr>
        <w:t>s</w:t>
      </w:r>
      <w:r w:rsidR="00EF4AD5" w:rsidRPr="007A4FF3">
        <w:rPr>
          <w:color w:val="000000" w:themeColor="text1"/>
        </w:rPr>
        <w:t xml:space="preserve">, </w:t>
      </w:r>
      <w:r w:rsidRPr="007A4FF3">
        <w:rPr>
          <w:color w:val="000000" w:themeColor="text1"/>
        </w:rPr>
        <w:t xml:space="preserve">bidders </w:t>
      </w:r>
      <w:r w:rsidR="00096830" w:rsidRPr="007A4FF3">
        <w:rPr>
          <w:color w:val="000000" w:themeColor="text1"/>
        </w:rPr>
        <w:t xml:space="preserve">were provided </w:t>
      </w:r>
      <w:r w:rsidR="00EF4AD5" w:rsidRPr="007A4FF3">
        <w:rPr>
          <w:color w:val="000000" w:themeColor="text1"/>
        </w:rPr>
        <w:t xml:space="preserve">access to </w:t>
      </w:r>
      <w:r w:rsidR="0066216A" w:rsidRPr="007A4FF3">
        <w:rPr>
          <w:color w:val="000000" w:themeColor="text1"/>
        </w:rPr>
        <w:t>additional tools</w:t>
      </w:r>
      <w:r w:rsidR="009348FE" w:rsidRPr="007A4FF3">
        <w:rPr>
          <w:color w:val="000000" w:themeColor="text1"/>
        </w:rPr>
        <w:t xml:space="preserve"> to support DG RFP </w:t>
      </w:r>
      <w:r w:rsidR="0080609D" w:rsidRPr="007A4FF3">
        <w:rPr>
          <w:color w:val="000000" w:themeColor="text1"/>
        </w:rPr>
        <w:t>bidding</w:t>
      </w:r>
      <w:r w:rsidR="009348FE" w:rsidRPr="007A4FF3">
        <w:rPr>
          <w:color w:val="000000" w:themeColor="text1"/>
        </w:rPr>
        <w:t>, including</w:t>
      </w:r>
      <w:r w:rsidR="00EF4AD5" w:rsidRPr="007A4FF3">
        <w:rPr>
          <w:color w:val="000000" w:themeColor="text1"/>
        </w:rPr>
        <w:t xml:space="preserve"> </w:t>
      </w:r>
      <w:r w:rsidR="009348FE" w:rsidRPr="007A4FF3">
        <w:rPr>
          <w:color w:val="000000" w:themeColor="text1"/>
        </w:rPr>
        <w:t xml:space="preserve">the </w:t>
      </w:r>
      <w:r w:rsidR="00EF4AD5" w:rsidRPr="007A4FF3">
        <w:rPr>
          <w:color w:val="000000" w:themeColor="text1"/>
        </w:rPr>
        <w:t>locational guidance</w:t>
      </w:r>
      <w:r w:rsidR="009348FE" w:rsidRPr="007A4FF3">
        <w:rPr>
          <w:color w:val="000000" w:themeColor="text1"/>
        </w:rPr>
        <w:t xml:space="preserve"> process</w:t>
      </w:r>
      <w:r w:rsidR="00EF4AD5" w:rsidRPr="007A4FF3">
        <w:rPr>
          <w:color w:val="000000" w:themeColor="text1"/>
        </w:rPr>
        <w:t>, an RFP enhancement approved in the 2022 IRP Order</w:t>
      </w:r>
      <w:r w:rsidR="009348FE" w:rsidRPr="007A4FF3">
        <w:rPr>
          <w:color w:val="000000" w:themeColor="text1"/>
        </w:rPr>
        <w:t xml:space="preserve"> </w:t>
      </w:r>
      <w:r w:rsidR="008702E0" w:rsidRPr="007A4FF3">
        <w:rPr>
          <w:color w:val="000000" w:themeColor="text1"/>
        </w:rPr>
        <w:t xml:space="preserve">that </w:t>
      </w:r>
      <w:r w:rsidR="00E53B94" w:rsidRPr="007A4FF3">
        <w:rPr>
          <w:color w:val="000000" w:themeColor="text1"/>
        </w:rPr>
        <w:t>includes</w:t>
      </w:r>
      <w:r w:rsidR="00EF4AD5" w:rsidRPr="007A4FF3">
        <w:rPr>
          <w:color w:val="000000" w:themeColor="text1"/>
        </w:rPr>
        <w:t xml:space="preserve"> </w:t>
      </w:r>
      <w:r w:rsidR="001775E7" w:rsidRPr="007A4FF3">
        <w:rPr>
          <w:color w:val="000000" w:themeColor="text1"/>
        </w:rPr>
        <w:t>a</w:t>
      </w:r>
      <w:r w:rsidR="00EF4AD5" w:rsidRPr="007A4FF3">
        <w:rPr>
          <w:color w:val="000000" w:themeColor="text1"/>
        </w:rPr>
        <w:t xml:space="preserve"> </w:t>
      </w:r>
      <w:r w:rsidR="001775E7" w:rsidRPr="007A4FF3">
        <w:rPr>
          <w:color w:val="000000" w:themeColor="text1"/>
        </w:rPr>
        <w:t>hosting capacity</w:t>
      </w:r>
      <w:r w:rsidR="00EF4AD5" w:rsidRPr="007A4FF3">
        <w:rPr>
          <w:color w:val="000000" w:themeColor="text1"/>
        </w:rPr>
        <w:t xml:space="preserve"> map</w:t>
      </w:r>
      <w:r w:rsidR="004B1C84" w:rsidRPr="007A4FF3">
        <w:rPr>
          <w:color w:val="000000" w:themeColor="text1"/>
        </w:rPr>
        <w:t xml:space="preserve"> </w:t>
      </w:r>
      <w:r w:rsidR="006F6DE9" w:rsidRPr="007A4FF3">
        <w:rPr>
          <w:color w:val="000000" w:themeColor="text1"/>
        </w:rPr>
        <w:t>for</w:t>
      </w:r>
      <w:r w:rsidR="004B1C84" w:rsidRPr="007A4FF3">
        <w:rPr>
          <w:color w:val="000000" w:themeColor="text1"/>
        </w:rPr>
        <w:t xml:space="preserve"> bidders</w:t>
      </w:r>
      <w:r w:rsidR="00EF4AD5" w:rsidRPr="007A4FF3">
        <w:rPr>
          <w:color w:val="000000" w:themeColor="text1"/>
        </w:rPr>
        <w:t>. This enhancement</w:t>
      </w:r>
      <w:r w:rsidR="004B1C84" w:rsidRPr="007A4FF3">
        <w:rPr>
          <w:color w:val="000000" w:themeColor="text1"/>
        </w:rPr>
        <w:t>,</w:t>
      </w:r>
      <w:r w:rsidR="00EF4AD5" w:rsidRPr="007A4FF3">
        <w:rPr>
          <w:color w:val="000000" w:themeColor="text1"/>
        </w:rPr>
        <w:t xml:space="preserve"> coupled with the Company's Interconnection Guidance </w:t>
      </w:r>
      <w:r w:rsidR="004B1C84" w:rsidRPr="007A4FF3">
        <w:rPr>
          <w:color w:val="000000" w:themeColor="text1"/>
        </w:rPr>
        <w:t>process,</w:t>
      </w:r>
      <w:r w:rsidR="00EF4AD5" w:rsidRPr="007A4FF3">
        <w:rPr>
          <w:color w:val="000000" w:themeColor="text1"/>
        </w:rPr>
        <w:t xml:space="preserve"> added </w:t>
      </w:r>
      <w:r w:rsidR="00E53B94" w:rsidRPr="007A4FF3">
        <w:rPr>
          <w:color w:val="000000" w:themeColor="text1"/>
        </w:rPr>
        <w:t>significant</w:t>
      </w:r>
      <w:r w:rsidR="004B1C84" w:rsidRPr="007A4FF3">
        <w:rPr>
          <w:color w:val="000000" w:themeColor="text1"/>
        </w:rPr>
        <w:t xml:space="preserve"> </w:t>
      </w:r>
      <w:r w:rsidR="00EF4AD5" w:rsidRPr="007A4FF3">
        <w:rPr>
          <w:color w:val="000000" w:themeColor="text1"/>
        </w:rPr>
        <w:t xml:space="preserve">efficiency </w:t>
      </w:r>
      <w:r w:rsidR="004B1C84" w:rsidRPr="007A4FF3">
        <w:rPr>
          <w:color w:val="000000" w:themeColor="text1"/>
        </w:rPr>
        <w:t>to</w:t>
      </w:r>
      <w:r w:rsidR="00EF4AD5" w:rsidRPr="007A4FF3">
        <w:rPr>
          <w:color w:val="000000" w:themeColor="text1"/>
        </w:rPr>
        <w:t xml:space="preserve"> the </w:t>
      </w:r>
      <w:r w:rsidR="00623160" w:rsidRPr="007A4FF3">
        <w:rPr>
          <w:color w:val="000000" w:themeColor="text1"/>
        </w:rPr>
        <w:t xml:space="preserve">RFP </w:t>
      </w:r>
      <w:r w:rsidR="00EF4AD5" w:rsidRPr="007A4FF3">
        <w:rPr>
          <w:color w:val="000000" w:themeColor="text1"/>
        </w:rPr>
        <w:t xml:space="preserve">process by helping bidders </w:t>
      </w:r>
      <w:r w:rsidR="004B1C84" w:rsidRPr="007A4FF3">
        <w:rPr>
          <w:color w:val="000000" w:themeColor="text1"/>
        </w:rPr>
        <w:t>locate projects in more favorable locations</w:t>
      </w:r>
      <w:r w:rsidR="00EF4AD5" w:rsidRPr="007A4FF3">
        <w:rPr>
          <w:color w:val="000000" w:themeColor="text1"/>
        </w:rPr>
        <w:t xml:space="preserve">. Bids were evaluated using the best-cost methodology, approved </w:t>
      </w:r>
      <w:r w:rsidR="0069011E" w:rsidRPr="007A4FF3">
        <w:rPr>
          <w:color w:val="000000" w:themeColor="text1"/>
        </w:rPr>
        <w:t>in</w:t>
      </w:r>
      <w:r w:rsidR="00EF4AD5" w:rsidRPr="007A4FF3">
        <w:rPr>
          <w:color w:val="000000" w:themeColor="text1"/>
        </w:rPr>
        <w:t xml:space="preserve"> the 2022 IRP Order, </w:t>
      </w:r>
      <w:r w:rsidR="0069011E" w:rsidRPr="007A4FF3">
        <w:rPr>
          <w:color w:val="000000" w:themeColor="text1"/>
        </w:rPr>
        <w:t>which</w:t>
      </w:r>
      <w:r w:rsidR="00E53B94" w:rsidRPr="007A4FF3">
        <w:rPr>
          <w:color w:val="000000" w:themeColor="text1"/>
        </w:rPr>
        <w:t xml:space="preserve"> </w:t>
      </w:r>
      <w:r w:rsidR="00EF4AD5" w:rsidRPr="007A4FF3">
        <w:rPr>
          <w:color w:val="000000" w:themeColor="text1"/>
        </w:rPr>
        <w:t>enabl</w:t>
      </w:r>
      <w:r w:rsidR="00E53B94" w:rsidRPr="007A4FF3">
        <w:rPr>
          <w:color w:val="000000" w:themeColor="text1"/>
        </w:rPr>
        <w:t>es</w:t>
      </w:r>
      <w:r w:rsidR="00EF4AD5" w:rsidRPr="007A4FF3">
        <w:rPr>
          <w:color w:val="000000" w:themeColor="text1"/>
        </w:rPr>
        <w:t xml:space="preserve"> procurement </w:t>
      </w:r>
      <w:r w:rsidR="00E53B94" w:rsidRPr="007A4FF3">
        <w:rPr>
          <w:color w:val="000000" w:themeColor="text1"/>
        </w:rPr>
        <w:t xml:space="preserve">of renewable resources </w:t>
      </w:r>
      <w:r w:rsidR="00EF4AD5" w:rsidRPr="007A4FF3">
        <w:rPr>
          <w:color w:val="000000" w:themeColor="text1"/>
        </w:rPr>
        <w:t xml:space="preserve">at the best cost for </w:t>
      </w:r>
      <w:r w:rsidR="000930A1" w:rsidRPr="007A4FF3">
        <w:rPr>
          <w:color w:val="000000" w:themeColor="text1"/>
        </w:rPr>
        <w:t>Georgia Power</w:t>
      </w:r>
      <w:r w:rsidR="00DB02E4" w:rsidRPr="007A4FF3">
        <w:rPr>
          <w:color w:val="000000" w:themeColor="text1"/>
        </w:rPr>
        <w:t xml:space="preserve"> </w:t>
      </w:r>
      <w:r w:rsidR="00A376F3" w:rsidRPr="007A4FF3">
        <w:rPr>
          <w:color w:val="000000" w:themeColor="text1"/>
        </w:rPr>
        <w:t>customers</w:t>
      </w:r>
      <w:r w:rsidR="00EF4AD5" w:rsidRPr="007A4FF3">
        <w:rPr>
          <w:color w:val="000000" w:themeColor="text1"/>
        </w:rPr>
        <w:t xml:space="preserve">. </w:t>
      </w:r>
      <w:r w:rsidR="006F6DE9" w:rsidRPr="007A4FF3">
        <w:rPr>
          <w:color w:val="000000" w:themeColor="text1"/>
        </w:rPr>
        <w:t>T</w:t>
      </w:r>
      <w:r w:rsidR="00EF4AD5" w:rsidRPr="007A4FF3">
        <w:rPr>
          <w:color w:val="000000" w:themeColor="text1"/>
        </w:rPr>
        <w:t>h</w:t>
      </w:r>
      <w:r w:rsidR="00DB02E4" w:rsidRPr="007A4FF3">
        <w:rPr>
          <w:color w:val="000000" w:themeColor="text1"/>
        </w:rPr>
        <w:t xml:space="preserve">ese process improvements </w:t>
      </w:r>
      <w:r w:rsidR="00EF4AD5" w:rsidRPr="007A4FF3">
        <w:rPr>
          <w:color w:val="000000" w:themeColor="text1"/>
        </w:rPr>
        <w:t>contributed to a higher percentage of bids progressing to the Target List</w:t>
      </w:r>
      <w:r w:rsidR="40913CB9" w:rsidRPr="007A4FF3">
        <w:rPr>
          <w:color w:val="000000" w:themeColor="text1"/>
        </w:rPr>
        <w:t>,</w:t>
      </w:r>
      <w:r w:rsidR="00EF4AD5" w:rsidRPr="007A4FF3">
        <w:rPr>
          <w:color w:val="000000" w:themeColor="text1"/>
        </w:rPr>
        <w:t xml:space="preserve"> on average</w:t>
      </w:r>
      <w:r w:rsidR="5E3FF1EE" w:rsidRPr="007A4FF3">
        <w:rPr>
          <w:color w:val="000000" w:themeColor="text1"/>
        </w:rPr>
        <w:t>,</w:t>
      </w:r>
      <w:r w:rsidR="00EF4AD5" w:rsidRPr="007A4FF3">
        <w:rPr>
          <w:color w:val="000000" w:themeColor="text1"/>
        </w:rPr>
        <w:t xml:space="preserve"> than </w:t>
      </w:r>
      <w:r w:rsidR="7F69E8EC" w:rsidRPr="007A4FF3">
        <w:rPr>
          <w:color w:val="000000" w:themeColor="text1"/>
        </w:rPr>
        <w:t xml:space="preserve">in </w:t>
      </w:r>
      <w:r w:rsidR="004E488C" w:rsidRPr="007A4FF3">
        <w:rPr>
          <w:color w:val="000000" w:themeColor="text1"/>
        </w:rPr>
        <w:t>previous RFPs.</w:t>
      </w:r>
      <w:r w:rsidR="00EF4AD5" w:rsidRPr="007A4FF3">
        <w:rPr>
          <w:color w:val="000000" w:themeColor="text1"/>
        </w:rPr>
        <w:t xml:space="preserve"> </w:t>
      </w:r>
    </w:p>
    <w:p w14:paraId="7ED003CB" w14:textId="00B769DE" w:rsidR="00EF4AD5" w:rsidRPr="007A4FF3" w:rsidRDefault="00EF4AD5" w:rsidP="007A4FF3">
      <w:pPr>
        <w:jc w:val="both"/>
        <w:rPr>
          <w:color w:val="000000" w:themeColor="text1"/>
        </w:rPr>
      </w:pPr>
      <w:r w:rsidRPr="007A4FF3">
        <w:rPr>
          <w:color w:val="000000" w:themeColor="text1"/>
        </w:rPr>
        <w:t xml:space="preserve">Through December 31, 2024, Georgia Power executed </w:t>
      </w:r>
      <w:r w:rsidR="00D83932" w:rsidRPr="007A4FF3">
        <w:rPr>
          <w:color w:val="000000" w:themeColor="text1"/>
        </w:rPr>
        <w:t>12</w:t>
      </w:r>
      <w:r w:rsidRPr="007A4FF3">
        <w:rPr>
          <w:color w:val="000000" w:themeColor="text1"/>
        </w:rPr>
        <w:t xml:space="preserve"> PPAs for </w:t>
      </w:r>
      <w:r w:rsidR="00D43D48" w:rsidRPr="007A4FF3">
        <w:rPr>
          <w:color w:val="000000" w:themeColor="text1"/>
        </w:rPr>
        <w:t xml:space="preserve">41.83 </w:t>
      </w:r>
      <w:r w:rsidRPr="007A4FF3">
        <w:rPr>
          <w:color w:val="000000" w:themeColor="text1"/>
        </w:rPr>
        <w:t>MW of solar resources in the 2023 DG RFP</w:t>
      </w:r>
      <w:r w:rsidR="004B528D" w:rsidRPr="007A4FF3">
        <w:rPr>
          <w:color w:val="000000" w:themeColor="text1"/>
        </w:rPr>
        <w:t xml:space="preserve">, and the projects are expected to reach </w:t>
      </w:r>
      <w:r w:rsidR="006C34EE" w:rsidRPr="007A4FF3">
        <w:rPr>
          <w:color w:val="000000" w:themeColor="text1"/>
        </w:rPr>
        <w:t>Mechanical</w:t>
      </w:r>
      <w:r w:rsidR="004B528D" w:rsidRPr="007A4FF3">
        <w:rPr>
          <w:color w:val="000000" w:themeColor="text1"/>
        </w:rPr>
        <w:t xml:space="preserve"> Completion in</w:t>
      </w:r>
      <w:r w:rsidR="00BC711A" w:rsidRPr="007A4FF3">
        <w:rPr>
          <w:color w:val="000000" w:themeColor="text1"/>
        </w:rPr>
        <w:t xml:space="preserve"> 2025</w:t>
      </w:r>
      <w:r w:rsidR="00E53B94" w:rsidRPr="007A4FF3">
        <w:rPr>
          <w:color w:val="000000" w:themeColor="text1"/>
        </w:rPr>
        <w:t>. The</w:t>
      </w:r>
      <w:r w:rsidRPr="007A4FF3">
        <w:rPr>
          <w:color w:val="000000" w:themeColor="text1"/>
        </w:rPr>
        <w:t xml:space="preserve"> 2024 DG RFP</w:t>
      </w:r>
      <w:r w:rsidR="004B528D" w:rsidRPr="007A4FF3">
        <w:rPr>
          <w:color w:val="000000" w:themeColor="text1"/>
        </w:rPr>
        <w:t xml:space="preserve"> is ongoing </w:t>
      </w:r>
      <w:r w:rsidR="004E488C" w:rsidRPr="007A4FF3">
        <w:rPr>
          <w:color w:val="000000" w:themeColor="text1"/>
        </w:rPr>
        <w:t>and</w:t>
      </w:r>
      <w:r w:rsidR="004B528D" w:rsidRPr="007A4FF3">
        <w:rPr>
          <w:color w:val="000000" w:themeColor="text1"/>
        </w:rPr>
        <w:t xml:space="preserve"> has been well received by the marketplace</w:t>
      </w:r>
      <w:r w:rsidR="01A9F653" w:rsidRPr="007A4FF3">
        <w:rPr>
          <w:color w:val="000000" w:themeColor="text1"/>
        </w:rPr>
        <w:t>.</w:t>
      </w:r>
      <w:r w:rsidR="004B528D" w:rsidRPr="007A4FF3">
        <w:rPr>
          <w:color w:val="000000" w:themeColor="text1"/>
        </w:rPr>
        <w:t xml:space="preserve"> </w:t>
      </w:r>
      <w:r w:rsidR="01A9F653" w:rsidRPr="007A4FF3">
        <w:rPr>
          <w:color w:val="000000" w:themeColor="text1"/>
        </w:rPr>
        <w:t>Results will be</w:t>
      </w:r>
      <w:r w:rsidR="004B528D" w:rsidRPr="007A4FF3">
        <w:rPr>
          <w:color w:val="000000" w:themeColor="text1"/>
        </w:rPr>
        <w:t xml:space="preserve"> made available in </w:t>
      </w:r>
      <w:r w:rsidR="11C330E9" w:rsidRPr="007A4FF3">
        <w:rPr>
          <w:color w:val="000000" w:themeColor="text1"/>
        </w:rPr>
        <w:t xml:space="preserve">late </w:t>
      </w:r>
      <w:r w:rsidR="004B528D" w:rsidRPr="007A4FF3">
        <w:rPr>
          <w:color w:val="000000" w:themeColor="text1"/>
        </w:rPr>
        <w:t>2025.</w:t>
      </w:r>
      <w:r w:rsidR="00BC711A" w:rsidRPr="007A4FF3">
        <w:rPr>
          <w:color w:val="000000" w:themeColor="text1"/>
        </w:rPr>
        <w:t xml:space="preserve"> Similar to the </w:t>
      </w:r>
      <w:r w:rsidR="00170966" w:rsidRPr="007A4FF3">
        <w:rPr>
          <w:color w:val="000000" w:themeColor="text1"/>
        </w:rPr>
        <w:t>U</w:t>
      </w:r>
      <w:r w:rsidR="00AA7CFC" w:rsidRPr="007A4FF3">
        <w:rPr>
          <w:color w:val="000000" w:themeColor="text1"/>
        </w:rPr>
        <w:t xml:space="preserve">tility </w:t>
      </w:r>
      <w:r w:rsidR="00170966" w:rsidRPr="007A4FF3">
        <w:rPr>
          <w:color w:val="000000" w:themeColor="text1"/>
        </w:rPr>
        <w:t>S</w:t>
      </w:r>
      <w:r w:rsidR="00AA7CFC" w:rsidRPr="007A4FF3">
        <w:rPr>
          <w:color w:val="000000" w:themeColor="text1"/>
        </w:rPr>
        <w:t>cale</w:t>
      </w:r>
      <w:r w:rsidR="00170966" w:rsidRPr="007A4FF3">
        <w:rPr>
          <w:color w:val="000000" w:themeColor="text1"/>
        </w:rPr>
        <w:t xml:space="preserve"> RFP process, the</w:t>
      </w:r>
      <w:r w:rsidR="00FC4F5D" w:rsidRPr="007A4FF3">
        <w:rPr>
          <w:color w:val="000000" w:themeColor="text1"/>
        </w:rPr>
        <w:t xml:space="preserve"> success </w:t>
      </w:r>
      <w:r w:rsidR="00174B13" w:rsidRPr="007A4FF3">
        <w:rPr>
          <w:color w:val="000000" w:themeColor="text1"/>
        </w:rPr>
        <w:t xml:space="preserve">realized </w:t>
      </w:r>
      <w:r w:rsidR="006401FE" w:rsidRPr="007A4FF3">
        <w:rPr>
          <w:color w:val="000000" w:themeColor="text1"/>
        </w:rPr>
        <w:t>through</w:t>
      </w:r>
      <w:r w:rsidR="001D1C6A" w:rsidRPr="007A4FF3">
        <w:rPr>
          <w:color w:val="000000" w:themeColor="text1"/>
        </w:rPr>
        <w:t xml:space="preserve"> </w:t>
      </w:r>
      <w:r w:rsidR="00790C11" w:rsidRPr="007A4FF3">
        <w:rPr>
          <w:color w:val="000000" w:themeColor="text1"/>
        </w:rPr>
        <w:t>changes</w:t>
      </w:r>
      <w:r w:rsidR="001D4153" w:rsidRPr="007A4FF3">
        <w:rPr>
          <w:color w:val="000000" w:themeColor="text1"/>
        </w:rPr>
        <w:t xml:space="preserve"> already implemented</w:t>
      </w:r>
      <w:r w:rsidR="00174B13" w:rsidRPr="007A4FF3">
        <w:rPr>
          <w:color w:val="000000" w:themeColor="text1"/>
        </w:rPr>
        <w:t xml:space="preserve">, </w:t>
      </w:r>
      <w:r w:rsidR="00DD77DE" w:rsidRPr="007A4FF3">
        <w:rPr>
          <w:color w:val="000000" w:themeColor="text1"/>
        </w:rPr>
        <w:t>combined with</w:t>
      </w:r>
      <w:r w:rsidR="00174B13" w:rsidRPr="007A4FF3">
        <w:rPr>
          <w:color w:val="000000" w:themeColor="text1"/>
        </w:rPr>
        <w:t xml:space="preserve"> continuous</w:t>
      </w:r>
      <w:r w:rsidR="001D4153" w:rsidRPr="007A4FF3">
        <w:rPr>
          <w:color w:val="000000" w:themeColor="text1"/>
        </w:rPr>
        <w:t xml:space="preserve"> learning gained from conducting the</w:t>
      </w:r>
      <w:r w:rsidR="00174B13" w:rsidRPr="007A4FF3">
        <w:rPr>
          <w:color w:val="000000" w:themeColor="text1"/>
        </w:rPr>
        <w:t>se</w:t>
      </w:r>
      <w:r w:rsidR="001D4153" w:rsidRPr="007A4FF3">
        <w:rPr>
          <w:color w:val="000000" w:themeColor="text1"/>
        </w:rPr>
        <w:t xml:space="preserve"> </w:t>
      </w:r>
      <w:r w:rsidR="006401FE" w:rsidRPr="007A4FF3">
        <w:rPr>
          <w:color w:val="000000" w:themeColor="text1"/>
        </w:rPr>
        <w:t>RFPs, informs</w:t>
      </w:r>
      <w:r w:rsidR="001D4153" w:rsidRPr="007A4FF3">
        <w:rPr>
          <w:color w:val="000000" w:themeColor="text1"/>
        </w:rPr>
        <w:t xml:space="preserve"> the </w:t>
      </w:r>
      <w:r w:rsidR="00D64B69" w:rsidRPr="007A4FF3">
        <w:rPr>
          <w:color w:val="000000" w:themeColor="text1"/>
        </w:rPr>
        <w:t xml:space="preserve">proposed enhancements for future </w:t>
      </w:r>
      <w:r w:rsidR="000162E8" w:rsidRPr="007A4FF3">
        <w:rPr>
          <w:color w:val="000000" w:themeColor="text1"/>
        </w:rPr>
        <w:t xml:space="preserve">distributed generation </w:t>
      </w:r>
      <w:r w:rsidR="00D64B69" w:rsidRPr="007A4FF3">
        <w:rPr>
          <w:color w:val="000000" w:themeColor="text1"/>
        </w:rPr>
        <w:t>procurements</w:t>
      </w:r>
      <w:r w:rsidR="000162E8" w:rsidRPr="007A4FF3">
        <w:rPr>
          <w:color w:val="000000" w:themeColor="text1"/>
        </w:rPr>
        <w:t>, as</w:t>
      </w:r>
      <w:r w:rsidR="006F6DE9" w:rsidRPr="007A4FF3">
        <w:rPr>
          <w:color w:val="000000" w:themeColor="text1"/>
        </w:rPr>
        <w:t xml:space="preserve"> detailed below</w:t>
      </w:r>
      <w:r w:rsidRPr="007A4FF3">
        <w:rPr>
          <w:color w:val="000000" w:themeColor="text1"/>
        </w:rPr>
        <w:t xml:space="preserve">. </w:t>
      </w:r>
    </w:p>
    <w:p w14:paraId="0BAA562B" w14:textId="2428FF79" w:rsidR="00EF4AD5" w:rsidRPr="0094382C" w:rsidRDefault="00D303B7" w:rsidP="00992300">
      <w:pPr>
        <w:keepNext/>
        <w:keepLines/>
        <w:spacing w:before="240" w:after="240" w:line="278" w:lineRule="auto"/>
        <w:jc w:val="both"/>
        <w:rPr>
          <w:i/>
          <w:color w:val="0F4761"/>
          <w:sz w:val="24"/>
          <w:szCs w:val="24"/>
        </w:rPr>
      </w:pPr>
      <w:r w:rsidRPr="0094382C">
        <w:rPr>
          <w:i/>
          <w:color w:val="0F4761"/>
          <w:sz w:val="24"/>
          <w:szCs w:val="24"/>
        </w:rPr>
        <w:t>Distributed Generation RFP Procurement Strategy</w:t>
      </w:r>
    </w:p>
    <w:p w14:paraId="31835419" w14:textId="242A4B88" w:rsidR="00706655" w:rsidRPr="007A4FF3" w:rsidRDefault="00EE3F1D" w:rsidP="007A4FF3">
      <w:pPr>
        <w:jc w:val="both"/>
        <w:rPr>
          <w:color w:val="000000" w:themeColor="text1"/>
        </w:rPr>
      </w:pPr>
      <w:r w:rsidRPr="007A4FF3">
        <w:rPr>
          <w:color w:val="000000" w:themeColor="text1"/>
        </w:rPr>
        <w:t>B</w:t>
      </w:r>
      <w:r w:rsidR="00EF4AD5" w:rsidRPr="007A4FF3">
        <w:rPr>
          <w:color w:val="000000" w:themeColor="text1"/>
        </w:rPr>
        <w:t xml:space="preserve">uilding upon the success of the RFP enhancements implemented </w:t>
      </w:r>
      <w:r w:rsidR="006F6DE9" w:rsidRPr="007A4FF3">
        <w:rPr>
          <w:color w:val="000000" w:themeColor="text1"/>
        </w:rPr>
        <w:t>pursuant to</w:t>
      </w:r>
      <w:r w:rsidR="00EF4AD5" w:rsidRPr="007A4FF3">
        <w:rPr>
          <w:color w:val="000000" w:themeColor="text1"/>
        </w:rPr>
        <w:t xml:space="preserve"> the 2022 IRP, the Company proposes to continue </w:t>
      </w:r>
      <w:r w:rsidR="4BD81C80" w:rsidRPr="007A4FF3">
        <w:rPr>
          <w:color w:val="000000" w:themeColor="text1"/>
        </w:rPr>
        <w:t xml:space="preserve">utilizing the </w:t>
      </w:r>
      <w:r w:rsidR="006B260C" w:rsidRPr="007A4FF3">
        <w:rPr>
          <w:color w:val="000000" w:themeColor="text1"/>
        </w:rPr>
        <w:t>best</w:t>
      </w:r>
      <w:r w:rsidR="00194969" w:rsidRPr="007A4FF3">
        <w:rPr>
          <w:color w:val="000000" w:themeColor="text1"/>
        </w:rPr>
        <w:t xml:space="preserve"> </w:t>
      </w:r>
      <w:r w:rsidR="006B260C" w:rsidRPr="007A4FF3">
        <w:rPr>
          <w:color w:val="000000" w:themeColor="text1"/>
        </w:rPr>
        <w:t>cost</w:t>
      </w:r>
      <w:r w:rsidR="006B260C" w:rsidRPr="007A4FF3" w:rsidDel="002A4DB8">
        <w:rPr>
          <w:color w:val="000000" w:themeColor="text1"/>
        </w:rPr>
        <w:t xml:space="preserve"> </w:t>
      </w:r>
      <w:r w:rsidR="006B260C" w:rsidRPr="007A4FF3">
        <w:rPr>
          <w:color w:val="000000" w:themeColor="text1"/>
        </w:rPr>
        <w:t>methodology</w:t>
      </w:r>
      <w:r w:rsidR="00EF4AD5" w:rsidRPr="007A4FF3">
        <w:rPr>
          <w:color w:val="000000" w:themeColor="text1"/>
        </w:rPr>
        <w:t xml:space="preserve">, </w:t>
      </w:r>
      <w:r w:rsidR="006B260C" w:rsidRPr="007A4FF3">
        <w:rPr>
          <w:color w:val="000000" w:themeColor="text1"/>
        </w:rPr>
        <w:t>l</w:t>
      </w:r>
      <w:r w:rsidR="00EF4AD5" w:rsidRPr="007A4FF3">
        <w:rPr>
          <w:color w:val="000000" w:themeColor="text1"/>
        </w:rPr>
        <w:t xml:space="preserve">ocational </w:t>
      </w:r>
      <w:r w:rsidR="006B260C" w:rsidRPr="007A4FF3">
        <w:rPr>
          <w:color w:val="000000" w:themeColor="text1"/>
        </w:rPr>
        <w:t>g</w:t>
      </w:r>
      <w:r w:rsidR="00EF4AD5" w:rsidRPr="007A4FF3">
        <w:rPr>
          <w:color w:val="000000" w:themeColor="text1"/>
        </w:rPr>
        <w:t>uidance, and</w:t>
      </w:r>
      <w:r w:rsidRPr="007A4FF3">
        <w:rPr>
          <w:color w:val="000000" w:themeColor="text1"/>
        </w:rPr>
        <w:t xml:space="preserve"> the practice of</w:t>
      </w:r>
      <w:r w:rsidR="00EF4AD5" w:rsidRPr="007A4FF3">
        <w:rPr>
          <w:color w:val="000000" w:themeColor="text1"/>
        </w:rPr>
        <w:t xml:space="preserve"> running </w:t>
      </w:r>
      <w:r w:rsidR="7145C7D0" w:rsidRPr="007A4FF3">
        <w:rPr>
          <w:color w:val="000000" w:themeColor="text1"/>
        </w:rPr>
        <w:t xml:space="preserve">two </w:t>
      </w:r>
      <w:r w:rsidR="00EF4AD5" w:rsidRPr="007A4FF3">
        <w:rPr>
          <w:color w:val="000000" w:themeColor="text1"/>
        </w:rPr>
        <w:t xml:space="preserve">RFPs per </w:t>
      </w:r>
      <w:r w:rsidR="00F938A1" w:rsidRPr="007A4FF3">
        <w:rPr>
          <w:color w:val="000000" w:themeColor="text1"/>
        </w:rPr>
        <w:t>three-</w:t>
      </w:r>
      <w:r w:rsidR="006F6DE9" w:rsidRPr="007A4FF3">
        <w:rPr>
          <w:color w:val="000000" w:themeColor="text1"/>
        </w:rPr>
        <w:t xml:space="preserve">year </w:t>
      </w:r>
      <w:r w:rsidR="00EF4AD5" w:rsidRPr="007A4FF3">
        <w:rPr>
          <w:color w:val="000000" w:themeColor="text1"/>
        </w:rPr>
        <w:t xml:space="preserve">IRP cycle. </w:t>
      </w:r>
      <w:r w:rsidR="00194969" w:rsidRPr="007A4FF3">
        <w:rPr>
          <w:color w:val="000000" w:themeColor="text1"/>
        </w:rPr>
        <w:t>T</w:t>
      </w:r>
      <w:r w:rsidR="00EF4AD5" w:rsidRPr="007A4FF3">
        <w:rPr>
          <w:color w:val="000000" w:themeColor="text1"/>
        </w:rPr>
        <w:t xml:space="preserve">he Company seeks to </w:t>
      </w:r>
      <w:r w:rsidR="00063DFE" w:rsidRPr="007A4FF3">
        <w:rPr>
          <w:color w:val="000000" w:themeColor="text1"/>
        </w:rPr>
        <w:t xml:space="preserve">procure energy </w:t>
      </w:r>
      <w:r w:rsidR="00297C39" w:rsidRPr="007A4FF3">
        <w:rPr>
          <w:color w:val="000000" w:themeColor="text1"/>
        </w:rPr>
        <w:t>from</w:t>
      </w:r>
      <w:r w:rsidR="00EF4AD5" w:rsidRPr="007A4FF3">
        <w:rPr>
          <w:color w:val="000000" w:themeColor="text1"/>
        </w:rPr>
        <w:t xml:space="preserve"> </w:t>
      </w:r>
      <w:r w:rsidR="6476ABBB" w:rsidRPr="007A4FF3">
        <w:rPr>
          <w:color w:val="000000" w:themeColor="text1"/>
        </w:rPr>
        <w:t>1</w:t>
      </w:r>
      <w:r w:rsidR="00EF4AD5" w:rsidRPr="007A4FF3">
        <w:rPr>
          <w:color w:val="000000" w:themeColor="text1"/>
        </w:rPr>
        <w:t>00 MW</w:t>
      </w:r>
      <w:r w:rsidR="001A0FD7">
        <w:rPr>
          <w:color w:val="000000" w:themeColor="text1"/>
        </w:rPr>
        <w:t xml:space="preserve"> of </w:t>
      </w:r>
      <w:r w:rsidR="00EC0809" w:rsidRPr="007A4FF3">
        <w:rPr>
          <w:color w:val="000000" w:themeColor="text1"/>
        </w:rPr>
        <w:t>DG</w:t>
      </w:r>
      <w:r w:rsidR="00EF4AD5" w:rsidRPr="007A4FF3">
        <w:rPr>
          <w:color w:val="000000" w:themeColor="text1"/>
        </w:rPr>
        <w:t xml:space="preserve"> </w:t>
      </w:r>
      <w:r w:rsidR="00297C39" w:rsidRPr="007A4FF3">
        <w:rPr>
          <w:color w:val="000000" w:themeColor="text1"/>
        </w:rPr>
        <w:t>resources</w:t>
      </w:r>
      <w:r w:rsidR="00EF4AD5" w:rsidRPr="007A4FF3">
        <w:rPr>
          <w:color w:val="000000" w:themeColor="text1"/>
        </w:rPr>
        <w:t xml:space="preserve">, through two </w:t>
      </w:r>
      <w:r w:rsidRPr="007A4FF3">
        <w:rPr>
          <w:color w:val="000000" w:themeColor="text1"/>
        </w:rPr>
        <w:t>5</w:t>
      </w:r>
      <w:r w:rsidR="00EF4AD5" w:rsidRPr="007A4FF3">
        <w:rPr>
          <w:color w:val="000000" w:themeColor="text1"/>
        </w:rPr>
        <w:t>0 MW solicitations in 2026 and 2027</w:t>
      </w:r>
      <w:r w:rsidR="00F42F4E" w:rsidRPr="007A4FF3">
        <w:rPr>
          <w:color w:val="000000" w:themeColor="text1"/>
        </w:rPr>
        <w:t>, respectively</w:t>
      </w:r>
      <w:r w:rsidR="15830BCD" w:rsidRPr="007A4FF3">
        <w:rPr>
          <w:color w:val="000000" w:themeColor="text1"/>
        </w:rPr>
        <w:t xml:space="preserve">, with </w:t>
      </w:r>
      <w:r w:rsidR="5EBED44E" w:rsidRPr="007A4FF3">
        <w:rPr>
          <w:color w:val="000000" w:themeColor="text1"/>
        </w:rPr>
        <w:t>the</w:t>
      </w:r>
      <w:r w:rsidR="15830BCD" w:rsidRPr="007A4FF3">
        <w:rPr>
          <w:color w:val="000000" w:themeColor="text1"/>
        </w:rPr>
        <w:t xml:space="preserve"> ability to procure </w:t>
      </w:r>
      <w:r w:rsidR="22016320" w:rsidRPr="007A4FF3">
        <w:rPr>
          <w:color w:val="000000" w:themeColor="text1"/>
        </w:rPr>
        <w:t>additional resources</w:t>
      </w:r>
      <w:r w:rsidR="15830BCD" w:rsidRPr="007A4FF3">
        <w:rPr>
          <w:color w:val="000000" w:themeColor="text1"/>
        </w:rPr>
        <w:t xml:space="preserve"> to </w:t>
      </w:r>
      <w:r w:rsidR="22016320" w:rsidRPr="007A4FF3">
        <w:rPr>
          <w:color w:val="000000" w:themeColor="text1"/>
        </w:rPr>
        <w:t xml:space="preserve">meet customer </w:t>
      </w:r>
      <w:r w:rsidR="00C674D0" w:rsidRPr="007A4FF3">
        <w:rPr>
          <w:color w:val="000000" w:themeColor="text1"/>
        </w:rPr>
        <w:t xml:space="preserve">subscription </w:t>
      </w:r>
      <w:r w:rsidR="22016320" w:rsidRPr="007A4FF3">
        <w:rPr>
          <w:color w:val="000000" w:themeColor="text1"/>
        </w:rPr>
        <w:t>demand</w:t>
      </w:r>
      <w:r w:rsidR="007D0EEE" w:rsidRPr="007A4FF3">
        <w:rPr>
          <w:color w:val="000000" w:themeColor="text1"/>
        </w:rPr>
        <w:t xml:space="preserve"> </w:t>
      </w:r>
      <w:r w:rsidR="001C5B59" w:rsidRPr="007A4FF3">
        <w:rPr>
          <w:color w:val="000000" w:themeColor="text1"/>
        </w:rPr>
        <w:t>from the CARES DG</w:t>
      </w:r>
      <w:r w:rsidR="00BF323B">
        <w:rPr>
          <w:color w:val="000000" w:themeColor="text1"/>
        </w:rPr>
        <w:t xml:space="preserve"> Subscription Program</w:t>
      </w:r>
      <w:r w:rsidR="00C674D0" w:rsidRPr="007A4FF3">
        <w:rPr>
          <w:color w:val="000000" w:themeColor="text1"/>
        </w:rPr>
        <w:t>, further described in Chapter 10</w:t>
      </w:r>
      <w:r w:rsidR="00EF4AD5" w:rsidRPr="007A4FF3">
        <w:rPr>
          <w:color w:val="000000" w:themeColor="text1"/>
        </w:rPr>
        <w:t xml:space="preserve">. This </w:t>
      </w:r>
      <w:r w:rsidRPr="007A4FF3">
        <w:rPr>
          <w:color w:val="000000" w:themeColor="text1"/>
        </w:rPr>
        <w:t xml:space="preserve">plan </w:t>
      </w:r>
      <w:r w:rsidR="00EF4AD5" w:rsidRPr="007A4FF3">
        <w:rPr>
          <w:color w:val="000000" w:themeColor="text1"/>
        </w:rPr>
        <w:t xml:space="preserve">not only supports the </w:t>
      </w:r>
      <w:r w:rsidR="78A9DD04" w:rsidRPr="007A4FF3">
        <w:rPr>
          <w:color w:val="000000" w:themeColor="text1"/>
        </w:rPr>
        <w:t>C</w:t>
      </w:r>
      <w:r w:rsidR="00EF4AD5" w:rsidRPr="007A4FF3">
        <w:rPr>
          <w:color w:val="000000" w:themeColor="text1"/>
        </w:rPr>
        <w:t>ompany's long-term renewable integration strategy but is also supported by external stakeholders (</w:t>
      </w:r>
      <w:r w:rsidR="00706655" w:rsidRPr="007A4FF3">
        <w:rPr>
          <w:color w:val="000000" w:themeColor="text1"/>
        </w:rPr>
        <w:t>i.e.</w:t>
      </w:r>
      <w:r w:rsidR="005D4F34" w:rsidRPr="007A4FF3">
        <w:rPr>
          <w:color w:val="000000" w:themeColor="text1"/>
        </w:rPr>
        <w:t>, bidders</w:t>
      </w:r>
      <w:r w:rsidR="00EF4AD5" w:rsidRPr="007A4FF3">
        <w:rPr>
          <w:color w:val="000000" w:themeColor="text1"/>
        </w:rPr>
        <w:t xml:space="preserve">, customers, and installers), as </w:t>
      </w:r>
      <w:r w:rsidR="00AD3D57" w:rsidRPr="007A4FF3">
        <w:rPr>
          <w:color w:val="000000" w:themeColor="text1"/>
        </w:rPr>
        <w:t>confirmed</w:t>
      </w:r>
      <w:r w:rsidR="00EF4AD5" w:rsidRPr="007A4FF3">
        <w:rPr>
          <w:color w:val="000000" w:themeColor="text1"/>
        </w:rPr>
        <w:t xml:space="preserve"> through </w:t>
      </w:r>
      <w:r w:rsidR="00AD3D57" w:rsidRPr="007A4FF3">
        <w:rPr>
          <w:color w:val="000000" w:themeColor="text1"/>
        </w:rPr>
        <w:t>ongoing and</w:t>
      </w:r>
      <w:r w:rsidR="54FA6820" w:rsidRPr="007A4FF3">
        <w:rPr>
          <w:color w:val="000000" w:themeColor="text1"/>
        </w:rPr>
        <w:t xml:space="preserve"> </w:t>
      </w:r>
      <w:r w:rsidR="00EF4AD5" w:rsidRPr="007A4FF3">
        <w:rPr>
          <w:color w:val="000000" w:themeColor="text1"/>
        </w:rPr>
        <w:t xml:space="preserve">robust market feedback. </w:t>
      </w:r>
    </w:p>
    <w:p w14:paraId="5FF8104C" w14:textId="46C99D23" w:rsidR="00EF4AD5" w:rsidRPr="007A4FF3" w:rsidRDefault="006840AE" w:rsidP="007A4FF3">
      <w:pPr>
        <w:jc w:val="both"/>
        <w:rPr>
          <w:color w:val="000000" w:themeColor="text1"/>
        </w:rPr>
      </w:pPr>
      <w:r w:rsidRPr="007A4FF3">
        <w:rPr>
          <w:color w:val="000000" w:themeColor="text1"/>
        </w:rPr>
        <w:t>Additionally, t</w:t>
      </w:r>
      <w:r w:rsidR="00EF4AD5" w:rsidRPr="007A4FF3">
        <w:rPr>
          <w:color w:val="000000" w:themeColor="text1"/>
        </w:rPr>
        <w:t xml:space="preserve">he </w:t>
      </w:r>
      <w:r w:rsidR="00C674D0" w:rsidRPr="007A4FF3">
        <w:rPr>
          <w:color w:val="000000" w:themeColor="text1"/>
        </w:rPr>
        <w:t>Company received</w:t>
      </w:r>
      <w:r w:rsidR="00EF4AD5" w:rsidRPr="007A4FF3">
        <w:rPr>
          <w:color w:val="000000" w:themeColor="text1"/>
        </w:rPr>
        <w:t xml:space="preserve"> feedback </w:t>
      </w:r>
      <w:r w:rsidR="005D4F34" w:rsidRPr="007A4FF3">
        <w:rPr>
          <w:color w:val="000000" w:themeColor="text1"/>
        </w:rPr>
        <w:t>regarding potential enhancement</w:t>
      </w:r>
      <w:r w:rsidR="0088717C" w:rsidRPr="007A4FF3">
        <w:rPr>
          <w:color w:val="000000" w:themeColor="text1"/>
        </w:rPr>
        <w:t>s to</w:t>
      </w:r>
      <w:r w:rsidR="00EF4AD5" w:rsidRPr="007A4FF3">
        <w:rPr>
          <w:color w:val="000000" w:themeColor="text1"/>
        </w:rPr>
        <w:t xml:space="preserve"> DG procurement</w:t>
      </w:r>
      <w:r w:rsidR="00C674D0" w:rsidRPr="007A4FF3">
        <w:rPr>
          <w:color w:val="000000" w:themeColor="text1"/>
        </w:rPr>
        <w:t>s</w:t>
      </w:r>
      <w:r w:rsidR="00EF4AD5" w:rsidRPr="007A4FF3">
        <w:rPr>
          <w:color w:val="000000" w:themeColor="text1"/>
        </w:rPr>
        <w:t>,</w:t>
      </w:r>
      <w:r w:rsidR="0088717C" w:rsidRPr="007A4FF3">
        <w:rPr>
          <w:color w:val="000000" w:themeColor="text1"/>
        </w:rPr>
        <w:t xml:space="preserve"> including</w:t>
      </w:r>
      <w:r w:rsidR="00EF4AD5" w:rsidRPr="007A4FF3">
        <w:rPr>
          <w:color w:val="000000" w:themeColor="text1"/>
        </w:rPr>
        <w:t xml:space="preserve"> process improvements, </w:t>
      </w:r>
      <w:r w:rsidR="00701FDD" w:rsidRPr="007A4FF3">
        <w:rPr>
          <w:color w:val="000000" w:themeColor="text1"/>
        </w:rPr>
        <w:t xml:space="preserve">the options to include </w:t>
      </w:r>
      <w:r w:rsidR="00EF4AD5" w:rsidRPr="007A4FF3">
        <w:rPr>
          <w:color w:val="000000" w:themeColor="text1"/>
        </w:rPr>
        <w:t xml:space="preserve">BESS </w:t>
      </w:r>
      <w:r w:rsidR="00DF1EA3" w:rsidRPr="007A4FF3">
        <w:rPr>
          <w:color w:val="000000" w:themeColor="text1"/>
        </w:rPr>
        <w:t xml:space="preserve">as part of the </w:t>
      </w:r>
      <w:r w:rsidR="00EF4AD5" w:rsidRPr="007A4FF3">
        <w:rPr>
          <w:color w:val="000000" w:themeColor="text1"/>
        </w:rPr>
        <w:t xml:space="preserve">procurement, and </w:t>
      </w:r>
      <w:r w:rsidR="005F1FA3" w:rsidRPr="007A4FF3">
        <w:rPr>
          <w:color w:val="000000" w:themeColor="text1"/>
        </w:rPr>
        <w:t xml:space="preserve">potential </w:t>
      </w:r>
      <w:r w:rsidR="00DF1EA3" w:rsidRPr="007A4FF3">
        <w:rPr>
          <w:color w:val="000000" w:themeColor="text1"/>
        </w:rPr>
        <w:t xml:space="preserve">for offering </w:t>
      </w:r>
      <w:r w:rsidR="00EF4AD5" w:rsidRPr="007A4FF3">
        <w:rPr>
          <w:color w:val="000000" w:themeColor="text1"/>
        </w:rPr>
        <w:t>customer subscriptions</w:t>
      </w:r>
      <w:r w:rsidR="00C84959" w:rsidRPr="007A4FF3">
        <w:rPr>
          <w:color w:val="000000" w:themeColor="text1"/>
        </w:rPr>
        <w:t xml:space="preserve"> to the energy procured through these solicitations</w:t>
      </w:r>
      <w:r w:rsidR="00EF4AD5" w:rsidRPr="007A4FF3">
        <w:rPr>
          <w:color w:val="000000" w:themeColor="text1"/>
        </w:rPr>
        <w:t xml:space="preserve">. The </w:t>
      </w:r>
      <w:r w:rsidR="002A2ED8" w:rsidRPr="007A4FF3">
        <w:rPr>
          <w:color w:val="000000" w:themeColor="text1"/>
        </w:rPr>
        <w:t xml:space="preserve">Company is proposing the </w:t>
      </w:r>
      <w:r w:rsidR="00EF4AD5" w:rsidRPr="007A4FF3">
        <w:rPr>
          <w:color w:val="000000" w:themeColor="text1"/>
        </w:rPr>
        <w:t xml:space="preserve">following RFP enhancements </w:t>
      </w:r>
      <w:r w:rsidR="00472AB8" w:rsidRPr="007A4FF3">
        <w:rPr>
          <w:color w:val="000000" w:themeColor="text1"/>
        </w:rPr>
        <w:t>based on</w:t>
      </w:r>
      <w:r w:rsidR="00EF4AD5" w:rsidRPr="007A4FF3">
        <w:rPr>
          <w:color w:val="000000" w:themeColor="text1"/>
        </w:rPr>
        <w:t xml:space="preserve"> that feedback</w:t>
      </w:r>
      <w:r w:rsidR="25EC622A" w:rsidRPr="007A4FF3">
        <w:rPr>
          <w:color w:val="000000" w:themeColor="text1"/>
        </w:rPr>
        <w:t>.</w:t>
      </w:r>
    </w:p>
    <w:p w14:paraId="26F0D75A" w14:textId="5BCC498E" w:rsidR="00EF4AD5" w:rsidRPr="0094382C" w:rsidRDefault="00EF4AD5" w:rsidP="00986CCA">
      <w:pPr>
        <w:spacing w:before="240" w:after="240" w:line="278" w:lineRule="auto"/>
        <w:jc w:val="both"/>
        <w:rPr>
          <w:i/>
          <w:color w:val="0F4761"/>
          <w:sz w:val="24"/>
          <w:szCs w:val="24"/>
        </w:rPr>
      </w:pPr>
      <w:r w:rsidRPr="0094382C">
        <w:rPr>
          <w:i/>
          <w:color w:val="0F4761"/>
          <w:sz w:val="24"/>
          <w:szCs w:val="24"/>
        </w:rPr>
        <w:t xml:space="preserve">Flexible DG Resources </w:t>
      </w:r>
      <w:r w:rsidR="00020C4C">
        <w:rPr>
          <w:i/>
          <w:color w:val="0F4761"/>
          <w:sz w:val="24"/>
          <w:szCs w:val="24"/>
        </w:rPr>
        <w:t>with BESS</w:t>
      </w:r>
    </w:p>
    <w:p w14:paraId="53CDCEE8" w14:textId="27EBD78A" w:rsidR="005F03F1" w:rsidRPr="007A4FF3" w:rsidRDefault="00EF4AD5" w:rsidP="007A4FF3">
      <w:pPr>
        <w:jc w:val="both"/>
        <w:rPr>
          <w:color w:val="000000" w:themeColor="text1"/>
        </w:rPr>
      </w:pPr>
      <w:r w:rsidRPr="007A4FF3">
        <w:rPr>
          <w:color w:val="000000" w:themeColor="text1"/>
        </w:rPr>
        <w:t>With increasing solar penetration</w:t>
      </w:r>
      <w:r w:rsidR="001B51C5" w:rsidRPr="007A4FF3">
        <w:rPr>
          <w:color w:val="000000" w:themeColor="text1"/>
        </w:rPr>
        <w:t>,</w:t>
      </w:r>
      <w:r w:rsidRPr="007A4FF3">
        <w:rPr>
          <w:color w:val="000000" w:themeColor="text1"/>
        </w:rPr>
        <w:t xml:space="preserve"> operational flexibility and control at the distribution level </w:t>
      </w:r>
      <w:r w:rsidR="009C76EC" w:rsidRPr="007A4FF3">
        <w:rPr>
          <w:color w:val="000000" w:themeColor="text1"/>
        </w:rPr>
        <w:t>is vital</w:t>
      </w:r>
      <w:r w:rsidR="005C60B9" w:rsidRPr="007A4FF3">
        <w:rPr>
          <w:color w:val="000000" w:themeColor="text1"/>
        </w:rPr>
        <w:t xml:space="preserve"> to ensure the reliability of the </w:t>
      </w:r>
      <w:r w:rsidR="000F0054" w:rsidRPr="007A4FF3">
        <w:rPr>
          <w:color w:val="000000" w:themeColor="text1"/>
        </w:rPr>
        <w:t>S</w:t>
      </w:r>
      <w:r w:rsidR="00112F42" w:rsidRPr="007A4FF3">
        <w:rPr>
          <w:color w:val="000000" w:themeColor="text1"/>
        </w:rPr>
        <w:t>ystem</w:t>
      </w:r>
      <w:r w:rsidRPr="007A4FF3">
        <w:rPr>
          <w:color w:val="000000" w:themeColor="text1"/>
        </w:rPr>
        <w:t xml:space="preserve">. Additionally, development of projects in </w:t>
      </w:r>
      <w:r w:rsidR="177A3249" w:rsidRPr="007A4FF3">
        <w:rPr>
          <w:color w:val="000000" w:themeColor="text1"/>
        </w:rPr>
        <w:t>close</w:t>
      </w:r>
      <w:r w:rsidR="001D1C45" w:rsidRPr="007A4FF3">
        <w:rPr>
          <w:color w:val="000000" w:themeColor="text1"/>
        </w:rPr>
        <w:t xml:space="preserve"> proximity</w:t>
      </w:r>
      <w:r w:rsidRPr="007A4FF3">
        <w:rPr>
          <w:color w:val="000000" w:themeColor="text1"/>
        </w:rPr>
        <w:t xml:space="preserve"> </w:t>
      </w:r>
      <w:r w:rsidR="6FB969C4" w:rsidRPr="007A4FF3">
        <w:rPr>
          <w:color w:val="000000" w:themeColor="text1"/>
        </w:rPr>
        <w:t xml:space="preserve">to each other </w:t>
      </w:r>
      <w:r w:rsidRPr="007A4FF3">
        <w:rPr>
          <w:color w:val="000000" w:themeColor="text1"/>
        </w:rPr>
        <w:t xml:space="preserve">has created </w:t>
      </w:r>
      <w:r w:rsidR="007900B0" w:rsidRPr="007A4FF3">
        <w:rPr>
          <w:color w:val="000000" w:themeColor="text1"/>
        </w:rPr>
        <w:t>siting challenges</w:t>
      </w:r>
      <w:r w:rsidRPr="007A4FF3">
        <w:rPr>
          <w:color w:val="000000" w:themeColor="text1"/>
        </w:rPr>
        <w:t xml:space="preserve"> on the distribution grid. To continue support</w:t>
      </w:r>
      <w:r w:rsidR="72FAE766" w:rsidRPr="007A4FF3">
        <w:rPr>
          <w:color w:val="000000" w:themeColor="text1"/>
        </w:rPr>
        <w:t>ing</w:t>
      </w:r>
      <w:r w:rsidRPr="007A4FF3">
        <w:rPr>
          <w:color w:val="000000" w:themeColor="text1"/>
        </w:rPr>
        <w:t xml:space="preserve"> the growth of renewables </w:t>
      </w:r>
      <w:r w:rsidR="00C20510" w:rsidRPr="007A4FF3">
        <w:rPr>
          <w:color w:val="000000" w:themeColor="text1"/>
        </w:rPr>
        <w:t>that benefit Georgia Power customers</w:t>
      </w:r>
      <w:r w:rsidRPr="007A4FF3">
        <w:rPr>
          <w:color w:val="000000" w:themeColor="text1"/>
        </w:rPr>
        <w:t xml:space="preserve">, </w:t>
      </w:r>
      <w:r w:rsidR="004C1A5E" w:rsidRPr="007A4FF3">
        <w:rPr>
          <w:color w:val="000000" w:themeColor="text1"/>
        </w:rPr>
        <w:t xml:space="preserve">the </w:t>
      </w:r>
      <w:r w:rsidR="00C50D7E" w:rsidRPr="007A4FF3">
        <w:rPr>
          <w:color w:val="000000" w:themeColor="text1"/>
        </w:rPr>
        <w:t>ability</w:t>
      </w:r>
      <w:r w:rsidR="004C1A5E" w:rsidRPr="007A4FF3">
        <w:rPr>
          <w:color w:val="000000" w:themeColor="text1"/>
        </w:rPr>
        <w:t xml:space="preserve"> to add </w:t>
      </w:r>
      <w:r w:rsidR="00C50D7E" w:rsidRPr="007A4FF3">
        <w:rPr>
          <w:color w:val="000000" w:themeColor="text1"/>
        </w:rPr>
        <w:t>solar</w:t>
      </w:r>
      <w:r w:rsidR="00BF6C94" w:rsidRPr="007A4FF3">
        <w:rPr>
          <w:color w:val="000000" w:themeColor="text1"/>
        </w:rPr>
        <w:t xml:space="preserve"> charged</w:t>
      </w:r>
      <w:r w:rsidR="00C50D7E" w:rsidRPr="007A4FF3">
        <w:rPr>
          <w:color w:val="000000" w:themeColor="text1"/>
        </w:rPr>
        <w:t xml:space="preserve"> or </w:t>
      </w:r>
      <w:r w:rsidR="00B125A4" w:rsidRPr="007A4FF3">
        <w:rPr>
          <w:color w:val="000000" w:themeColor="text1"/>
        </w:rPr>
        <w:t xml:space="preserve">grid charged </w:t>
      </w:r>
      <w:r w:rsidR="004C1A5E" w:rsidRPr="007A4FF3">
        <w:rPr>
          <w:color w:val="000000" w:themeColor="text1"/>
        </w:rPr>
        <w:t>dispatchable storage</w:t>
      </w:r>
      <w:r w:rsidRPr="007A4FF3">
        <w:rPr>
          <w:color w:val="000000" w:themeColor="text1"/>
        </w:rPr>
        <w:t xml:space="preserve"> </w:t>
      </w:r>
      <w:r w:rsidR="00290416" w:rsidRPr="007A4FF3">
        <w:rPr>
          <w:color w:val="000000" w:themeColor="text1"/>
        </w:rPr>
        <w:t xml:space="preserve">to </w:t>
      </w:r>
      <w:r w:rsidR="007564FB" w:rsidRPr="007A4FF3">
        <w:rPr>
          <w:color w:val="000000" w:themeColor="text1"/>
        </w:rPr>
        <w:t xml:space="preserve">DG solar </w:t>
      </w:r>
      <w:r w:rsidR="00B26E30" w:rsidRPr="007A4FF3">
        <w:rPr>
          <w:color w:val="000000" w:themeColor="text1"/>
        </w:rPr>
        <w:t>facilities will</w:t>
      </w:r>
      <w:r w:rsidR="00290416" w:rsidRPr="007A4FF3">
        <w:rPr>
          <w:color w:val="000000" w:themeColor="text1"/>
        </w:rPr>
        <w:t xml:space="preserve"> </w:t>
      </w:r>
      <w:r w:rsidR="00C62901" w:rsidRPr="007A4FF3">
        <w:rPr>
          <w:color w:val="000000" w:themeColor="text1"/>
        </w:rPr>
        <w:t>enhance</w:t>
      </w:r>
      <w:r w:rsidR="00290416" w:rsidRPr="007A4FF3">
        <w:rPr>
          <w:color w:val="000000" w:themeColor="text1"/>
        </w:rPr>
        <w:t xml:space="preserve"> capacity value and </w:t>
      </w:r>
      <w:r w:rsidR="3267F143" w:rsidRPr="007A4FF3">
        <w:rPr>
          <w:color w:val="000000" w:themeColor="text1"/>
        </w:rPr>
        <w:t xml:space="preserve">allow </w:t>
      </w:r>
      <w:r w:rsidR="040B3B8D" w:rsidRPr="007A4FF3">
        <w:rPr>
          <w:color w:val="000000" w:themeColor="text1"/>
        </w:rPr>
        <w:t xml:space="preserve">the </w:t>
      </w:r>
      <w:r w:rsidRPr="007A4FF3">
        <w:rPr>
          <w:color w:val="000000" w:themeColor="text1"/>
        </w:rPr>
        <w:t>stor</w:t>
      </w:r>
      <w:r w:rsidR="0CCA9084" w:rsidRPr="007A4FF3">
        <w:rPr>
          <w:color w:val="000000" w:themeColor="text1"/>
        </w:rPr>
        <w:t>age of</w:t>
      </w:r>
      <w:r w:rsidRPr="007A4FF3">
        <w:rPr>
          <w:color w:val="000000" w:themeColor="text1"/>
        </w:rPr>
        <w:t xml:space="preserve"> excess solar generation. As such</w:t>
      </w:r>
      <w:r w:rsidR="00773598" w:rsidRPr="007A4FF3">
        <w:rPr>
          <w:color w:val="000000" w:themeColor="text1"/>
        </w:rPr>
        <w:t>,</w:t>
      </w:r>
      <w:r w:rsidRPr="007A4FF3">
        <w:rPr>
          <w:color w:val="000000" w:themeColor="text1"/>
        </w:rPr>
        <w:t xml:space="preserve"> the Company </w:t>
      </w:r>
      <w:r w:rsidR="00290416" w:rsidRPr="007A4FF3">
        <w:rPr>
          <w:color w:val="000000" w:themeColor="text1"/>
        </w:rPr>
        <w:t>proposes to</w:t>
      </w:r>
      <w:r w:rsidRPr="007A4FF3">
        <w:rPr>
          <w:color w:val="000000" w:themeColor="text1"/>
        </w:rPr>
        <w:t xml:space="preserve"> procure flexible DG resources, </w:t>
      </w:r>
      <w:r w:rsidR="00290416" w:rsidRPr="007A4FF3">
        <w:rPr>
          <w:color w:val="000000" w:themeColor="text1"/>
        </w:rPr>
        <w:t>with the option to co-locate</w:t>
      </w:r>
      <w:r w:rsidRPr="007A4FF3">
        <w:rPr>
          <w:color w:val="000000" w:themeColor="text1"/>
        </w:rPr>
        <w:t xml:space="preserve"> distribution-connected BESS resources. For operational flexibility, the Company will requir</w:t>
      </w:r>
      <w:r w:rsidR="00C62901" w:rsidRPr="007A4FF3">
        <w:rPr>
          <w:color w:val="000000" w:themeColor="text1"/>
        </w:rPr>
        <w:t>e</w:t>
      </w:r>
      <w:r w:rsidRPr="007A4FF3">
        <w:rPr>
          <w:color w:val="000000" w:themeColor="text1"/>
        </w:rPr>
        <w:t xml:space="preserve"> </w:t>
      </w:r>
      <w:r w:rsidR="003A7911" w:rsidRPr="007A4FF3">
        <w:rPr>
          <w:color w:val="000000" w:themeColor="text1"/>
        </w:rPr>
        <w:t>visibility and control of</w:t>
      </w:r>
      <w:r w:rsidRPr="007A4FF3">
        <w:rPr>
          <w:color w:val="000000" w:themeColor="text1"/>
        </w:rPr>
        <w:t xml:space="preserve"> </w:t>
      </w:r>
      <w:r w:rsidR="008D1EE6" w:rsidRPr="007A4FF3">
        <w:rPr>
          <w:color w:val="000000" w:themeColor="text1"/>
        </w:rPr>
        <w:t xml:space="preserve">new renewable and BESS </w:t>
      </w:r>
      <w:r w:rsidRPr="007A4FF3">
        <w:rPr>
          <w:color w:val="000000" w:themeColor="text1"/>
        </w:rPr>
        <w:t xml:space="preserve">resources to protect the reliability of the </w:t>
      </w:r>
      <w:r w:rsidR="008D1EE6" w:rsidRPr="007A4FF3">
        <w:rPr>
          <w:color w:val="000000" w:themeColor="text1"/>
        </w:rPr>
        <w:lastRenderedPageBreak/>
        <w:t xml:space="preserve">electric </w:t>
      </w:r>
      <w:r w:rsidRPr="007A4FF3">
        <w:rPr>
          <w:color w:val="000000" w:themeColor="text1"/>
        </w:rPr>
        <w:t xml:space="preserve">system through integration with DERMS. In turn, flexible DG resources will </w:t>
      </w:r>
      <w:r w:rsidR="009006A2" w:rsidRPr="007A4FF3">
        <w:rPr>
          <w:color w:val="000000" w:themeColor="text1"/>
        </w:rPr>
        <w:t>be</w:t>
      </w:r>
      <w:r w:rsidRPr="007A4FF3">
        <w:rPr>
          <w:color w:val="000000" w:themeColor="text1"/>
        </w:rPr>
        <w:t xml:space="preserve"> </w:t>
      </w:r>
      <w:r w:rsidR="00FF444E" w:rsidRPr="007A4FF3">
        <w:rPr>
          <w:color w:val="000000" w:themeColor="text1"/>
        </w:rPr>
        <w:t>recogni</w:t>
      </w:r>
      <w:r w:rsidR="009006A2" w:rsidRPr="007A4FF3">
        <w:rPr>
          <w:color w:val="000000" w:themeColor="text1"/>
        </w:rPr>
        <w:t>zed</w:t>
      </w:r>
      <w:r w:rsidR="00685201" w:rsidRPr="007A4FF3">
        <w:rPr>
          <w:color w:val="000000" w:themeColor="text1"/>
        </w:rPr>
        <w:t xml:space="preserve"> </w:t>
      </w:r>
      <w:r w:rsidR="009006A2" w:rsidRPr="007A4FF3">
        <w:rPr>
          <w:color w:val="000000" w:themeColor="text1"/>
        </w:rPr>
        <w:t>for</w:t>
      </w:r>
      <w:r w:rsidR="00FF444E" w:rsidRPr="007A4FF3">
        <w:rPr>
          <w:color w:val="000000" w:themeColor="text1"/>
        </w:rPr>
        <w:t xml:space="preserve"> the </w:t>
      </w:r>
      <w:r w:rsidRPr="007A4FF3">
        <w:rPr>
          <w:color w:val="000000" w:themeColor="text1"/>
        </w:rPr>
        <w:t xml:space="preserve">additional </w:t>
      </w:r>
      <w:r w:rsidR="00AF4D68" w:rsidRPr="007A4FF3">
        <w:rPr>
          <w:color w:val="000000" w:themeColor="text1"/>
        </w:rPr>
        <w:t>S</w:t>
      </w:r>
      <w:r w:rsidR="00D62419" w:rsidRPr="007A4FF3">
        <w:rPr>
          <w:color w:val="000000" w:themeColor="text1"/>
        </w:rPr>
        <w:t xml:space="preserve">ystem </w:t>
      </w:r>
      <w:r w:rsidRPr="007A4FF3">
        <w:rPr>
          <w:color w:val="000000" w:themeColor="text1"/>
        </w:rPr>
        <w:t>value</w:t>
      </w:r>
      <w:r w:rsidR="00D62419" w:rsidRPr="007A4FF3">
        <w:rPr>
          <w:color w:val="000000" w:themeColor="text1"/>
        </w:rPr>
        <w:t xml:space="preserve"> as part of the RFP evaluation process</w:t>
      </w:r>
      <w:r w:rsidR="00543E45" w:rsidRPr="007A4FF3">
        <w:rPr>
          <w:color w:val="000000" w:themeColor="text1"/>
        </w:rPr>
        <w:t>.</w:t>
      </w:r>
      <w:r w:rsidR="00A20464" w:rsidRPr="007A4FF3">
        <w:rPr>
          <w:color w:val="000000" w:themeColor="text1"/>
        </w:rPr>
        <w:t xml:space="preserve"> </w:t>
      </w:r>
    </w:p>
    <w:p w14:paraId="0911D562" w14:textId="4B6FDC3F" w:rsidR="006F0DA7" w:rsidRPr="0094382C" w:rsidRDefault="006F0DA7" w:rsidP="003D47F2">
      <w:pPr>
        <w:spacing w:before="240" w:after="240" w:line="278" w:lineRule="auto"/>
        <w:jc w:val="both"/>
        <w:rPr>
          <w:sz w:val="24"/>
          <w:szCs w:val="24"/>
        </w:rPr>
      </w:pPr>
      <w:r w:rsidRPr="0094382C">
        <w:rPr>
          <w:i/>
          <w:color w:val="0F4761"/>
          <w:sz w:val="24"/>
          <w:szCs w:val="24"/>
        </w:rPr>
        <w:t>DG Procurement Enhancements</w:t>
      </w:r>
    </w:p>
    <w:p w14:paraId="24347DEF" w14:textId="505B65CA" w:rsidR="002D14A6" w:rsidRPr="007A4FF3" w:rsidRDefault="00EF4AD5" w:rsidP="007A4FF3">
      <w:pPr>
        <w:pStyle w:val="ListParagraph"/>
        <w:numPr>
          <w:ilvl w:val="0"/>
          <w:numId w:val="40"/>
        </w:numPr>
        <w:contextualSpacing w:val="0"/>
        <w:jc w:val="both"/>
        <w:rPr>
          <w:color w:val="000000" w:themeColor="text1"/>
        </w:rPr>
      </w:pPr>
      <w:r w:rsidRPr="007A4FF3">
        <w:rPr>
          <w:b/>
          <w:color w:val="000000" w:themeColor="text1"/>
        </w:rPr>
        <w:t>Locational Value</w:t>
      </w:r>
      <w:r w:rsidR="00606377" w:rsidRPr="007A4FF3">
        <w:rPr>
          <w:color w:val="000000" w:themeColor="text1"/>
        </w:rPr>
        <w:t>.</w:t>
      </w:r>
      <w:r w:rsidRPr="007A4FF3">
        <w:rPr>
          <w:color w:val="000000" w:themeColor="text1"/>
        </w:rPr>
        <w:t xml:space="preserve"> To aid in the development of renewable </w:t>
      </w:r>
      <w:r w:rsidR="00F601B5" w:rsidRPr="007A4FF3">
        <w:rPr>
          <w:color w:val="000000" w:themeColor="text1"/>
        </w:rPr>
        <w:t xml:space="preserve">DG </w:t>
      </w:r>
      <w:r w:rsidRPr="007A4FF3">
        <w:rPr>
          <w:color w:val="000000" w:themeColor="text1"/>
        </w:rPr>
        <w:t xml:space="preserve">resources in areas with more favorable interconnection conditions, the Company seeks to update the RCB Framework </w:t>
      </w:r>
      <w:r w:rsidR="00AB1E25" w:rsidRPr="007A4FF3">
        <w:rPr>
          <w:color w:val="000000" w:themeColor="text1"/>
        </w:rPr>
        <w:t xml:space="preserve">used in the evaluation process </w:t>
      </w:r>
      <w:r w:rsidRPr="007A4FF3">
        <w:rPr>
          <w:color w:val="000000" w:themeColor="text1"/>
        </w:rPr>
        <w:t xml:space="preserve">to assign value to projects </w:t>
      </w:r>
      <w:r w:rsidR="000837A2" w:rsidRPr="007A4FF3">
        <w:rPr>
          <w:color w:val="000000" w:themeColor="text1"/>
        </w:rPr>
        <w:t>based on their geographic location</w:t>
      </w:r>
      <w:r w:rsidRPr="007A4FF3">
        <w:rPr>
          <w:color w:val="000000" w:themeColor="text1"/>
        </w:rPr>
        <w:t xml:space="preserve">. </w:t>
      </w:r>
      <w:r w:rsidR="000837A2" w:rsidRPr="007A4FF3">
        <w:rPr>
          <w:color w:val="000000" w:themeColor="text1"/>
        </w:rPr>
        <w:t>D</w:t>
      </w:r>
      <w:r w:rsidR="00111409" w:rsidRPr="007A4FF3">
        <w:rPr>
          <w:color w:val="000000" w:themeColor="text1"/>
        </w:rPr>
        <w:t>etails about</w:t>
      </w:r>
      <w:r w:rsidRPr="007A4FF3">
        <w:rPr>
          <w:color w:val="000000" w:themeColor="text1"/>
        </w:rPr>
        <w:t xml:space="preserve"> this change are further outlined in </w:t>
      </w:r>
      <w:r w:rsidR="00C62C9F" w:rsidRPr="007A4FF3">
        <w:rPr>
          <w:color w:val="000000" w:themeColor="text1"/>
        </w:rPr>
        <w:t xml:space="preserve">Technical </w:t>
      </w:r>
      <w:r w:rsidRPr="007A4FF3">
        <w:rPr>
          <w:color w:val="000000" w:themeColor="text1"/>
        </w:rPr>
        <w:t xml:space="preserve">Appendix </w:t>
      </w:r>
      <w:r w:rsidR="00C62C9F" w:rsidRPr="007A4FF3">
        <w:rPr>
          <w:color w:val="000000" w:themeColor="text1"/>
        </w:rPr>
        <w:t>Volume 2</w:t>
      </w:r>
      <w:r w:rsidR="00111409" w:rsidRPr="007A4FF3">
        <w:rPr>
          <w:color w:val="000000" w:themeColor="text1"/>
        </w:rPr>
        <w:t>. I</w:t>
      </w:r>
      <w:r w:rsidR="002C623C" w:rsidRPr="007A4FF3">
        <w:rPr>
          <w:color w:val="000000" w:themeColor="text1"/>
        </w:rPr>
        <w:t>n s</w:t>
      </w:r>
      <w:r w:rsidR="004478FF" w:rsidRPr="007A4FF3">
        <w:rPr>
          <w:color w:val="000000" w:themeColor="text1"/>
        </w:rPr>
        <w:t>ummary</w:t>
      </w:r>
      <w:r w:rsidR="004C9A6E" w:rsidRPr="007A4FF3">
        <w:rPr>
          <w:color w:val="000000" w:themeColor="text1"/>
        </w:rPr>
        <w:t>,</w:t>
      </w:r>
      <w:r w:rsidR="004478FF" w:rsidRPr="007A4FF3">
        <w:rPr>
          <w:color w:val="000000" w:themeColor="text1"/>
        </w:rPr>
        <w:t xml:space="preserve"> </w:t>
      </w:r>
      <w:r w:rsidR="00906F42" w:rsidRPr="007A4FF3">
        <w:rPr>
          <w:color w:val="000000" w:themeColor="text1"/>
        </w:rPr>
        <w:t xml:space="preserve">the </w:t>
      </w:r>
      <w:r w:rsidR="00A519A3" w:rsidRPr="007A4FF3">
        <w:rPr>
          <w:color w:val="000000" w:themeColor="text1"/>
        </w:rPr>
        <w:t>deferred</w:t>
      </w:r>
      <w:r w:rsidR="00906F42" w:rsidRPr="007A4FF3">
        <w:rPr>
          <w:color w:val="000000" w:themeColor="text1"/>
        </w:rPr>
        <w:t xml:space="preserve"> transmission </w:t>
      </w:r>
      <w:r w:rsidR="00A519A3" w:rsidRPr="007A4FF3">
        <w:rPr>
          <w:color w:val="000000" w:themeColor="text1"/>
        </w:rPr>
        <w:t>investment component of the RCB</w:t>
      </w:r>
      <w:r w:rsidR="00BD7A9E" w:rsidRPr="007A4FF3">
        <w:rPr>
          <w:color w:val="000000" w:themeColor="text1"/>
        </w:rPr>
        <w:t xml:space="preserve"> Framework</w:t>
      </w:r>
      <w:r w:rsidR="00D96560" w:rsidRPr="007A4FF3">
        <w:rPr>
          <w:color w:val="000000" w:themeColor="text1"/>
        </w:rPr>
        <w:t>,</w:t>
      </w:r>
      <w:r w:rsidR="00A519A3" w:rsidRPr="007A4FF3">
        <w:rPr>
          <w:color w:val="000000" w:themeColor="text1"/>
        </w:rPr>
        <w:t xml:space="preserve"> </w:t>
      </w:r>
      <w:r w:rsidR="001E1D93" w:rsidRPr="007A4FF3">
        <w:rPr>
          <w:color w:val="000000" w:themeColor="text1"/>
        </w:rPr>
        <w:t xml:space="preserve">which </w:t>
      </w:r>
      <w:r w:rsidR="00A7647C" w:rsidRPr="007A4FF3">
        <w:rPr>
          <w:color w:val="000000" w:themeColor="text1"/>
        </w:rPr>
        <w:t>is</w:t>
      </w:r>
      <w:r w:rsidR="001E1D93" w:rsidRPr="007A4FF3">
        <w:rPr>
          <w:color w:val="000000" w:themeColor="text1"/>
        </w:rPr>
        <w:t xml:space="preserve"> applied </w:t>
      </w:r>
      <w:r w:rsidR="00354932" w:rsidRPr="007A4FF3">
        <w:rPr>
          <w:color w:val="000000" w:themeColor="text1"/>
        </w:rPr>
        <w:t>to all resources regardless of location</w:t>
      </w:r>
      <w:r w:rsidR="00D96560" w:rsidRPr="007A4FF3">
        <w:rPr>
          <w:color w:val="000000" w:themeColor="text1"/>
        </w:rPr>
        <w:t>,</w:t>
      </w:r>
      <w:r w:rsidR="00354932" w:rsidRPr="007A4FF3">
        <w:rPr>
          <w:color w:val="000000" w:themeColor="text1"/>
        </w:rPr>
        <w:t xml:space="preserve"> will be replaced with</w:t>
      </w:r>
      <w:r w:rsidR="005E57BF" w:rsidRPr="007A4FF3">
        <w:rPr>
          <w:color w:val="000000" w:themeColor="text1"/>
        </w:rPr>
        <w:t xml:space="preserve"> </w:t>
      </w:r>
      <w:r w:rsidR="00A7647C" w:rsidRPr="007A4FF3">
        <w:rPr>
          <w:color w:val="000000" w:themeColor="text1"/>
        </w:rPr>
        <w:t>a geographically differentiated transmission system cost benefit factor in the evaluation process</w:t>
      </w:r>
      <w:r w:rsidR="002D14A6" w:rsidRPr="007A4FF3" w:rsidDel="002B0D25">
        <w:rPr>
          <w:color w:val="000000" w:themeColor="text1"/>
        </w:rPr>
        <w:t xml:space="preserve"> t</w:t>
      </w:r>
      <w:r w:rsidR="002D14A6" w:rsidRPr="007A4FF3">
        <w:rPr>
          <w:color w:val="000000" w:themeColor="text1"/>
        </w:rPr>
        <w:t xml:space="preserve">o ensure the portfolio </w:t>
      </w:r>
      <w:r w:rsidR="00B94846" w:rsidRPr="007A4FF3">
        <w:rPr>
          <w:color w:val="000000" w:themeColor="text1"/>
        </w:rPr>
        <w:t>of resources</w:t>
      </w:r>
      <w:r w:rsidR="002D14A6" w:rsidRPr="007A4FF3">
        <w:rPr>
          <w:color w:val="000000" w:themeColor="text1"/>
        </w:rPr>
        <w:t xml:space="preserve"> selected provides the maximum benefits to Georgia Power customers</w:t>
      </w:r>
      <w:r w:rsidRPr="007A4FF3" w:rsidDel="002C623C">
        <w:rPr>
          <w:color w:val="000000" w:themeColor="text1"/>
        </w:rPr>
        <w:t>.</w:t>
      </w:r>
      <w:r w:rsidRPr="007A4FF3">
        <w:rPr>
          <w:color w:val="000000" w:themeColor="text1"/>
        </w:rPr>
        <w:t xml:space="preserve"> </w:t>
      </w:r>
    </w:p>
    <w:p w14:paraId="5C458C7C" w14:textId="71B5F849" w:rsidR="007A4FF3" w:rsidRDefault="00EF4AD5" w:rsidP="007A4FF3">
      <w:pPr>
        <w:pStyle w:val="ListParagraph"/>
        <w:numPr>
          <w:ilvl w:val="0"/>
          <w:numId w:val="40"/>
        </w:numPr>
        <w:jc w:val="both"/>
        <w:rPr>
          <w:color w:val="000000" w:themeColor="text1"/>
        </w:rPr>
      </w:pPr>
      <w:r w:rsidRPr="007A4FF3">
        <w:rPr>
          <w:b/>
          <w:color w:val="000000" w:themeColor="text1"/>
        </w:rPr>
        <w:t>Buy</w:t>
      </w:r>
      <w:r w:rsidR="00F938A1" w:rsidRPr="007A4FF3">
        <w:rPr>
          <w:b/>
          <w:color w:val="000000" w:themeColor="text1"/>
        </w:rPr>
        <w:t>-</w:t>
      </w:r>
      <w:r w:rsidRPr="007A4FF3">
        <w:rPr>
          <w:b/>
          <w:color w:val="000000" w:themeColor="text1"/>
        </w:rPr>
        <w:t xml:space="preserve">down Optionality </w:t>
      </w:r>
      <w:r w:rsidR="005F6A83" w:rsidRPr="007A4FF3">
        <w:rPr>
          <w:b/>
          <w:color w:val="000000" w:themeColor="text1"/>
        </w:rPr>
        <w:t>and Extended RFP</w:t>
      </w:r>
      <w:r w:rsidR="00945774" w:rsidRPr="007A4FF3">
        <w:rPr>
          <w:b/>
          <w:color w:val="000000" w:themeColor="text1"/>
        </w:rPr>
        <w:t xml:space="preserve"> Period</w:t>
      </w:r>
      <w:r w:rsidR="00606377" w:rsidRPr="007A4FF3">
        <w:rPr>
          <w:color w:val="000000" w:themeColor="text1"/>
        </w:rPr>
        <w:t xml:space="preserve">. </w:t>
      </w:r>
      <w:r w:rsidRPr="007A4FF3">
        <w:rPr>
          <w:color w:val="000000" w:themeColor="text1"/>
        </w:rPr>
        <w:t xml:space="preserve">To further </w:t>
      </w:r>
      <w:r w:rsidR="00E36455" w:rsidRPr="007A4FF3">
        <w:rPr>
          <w:color w:val="000000" w:themeColor="text1"/>
        </w:rPr>
        <w:t xml:space="preserve">increase the </w:t>
      </w:r>
      <w:r w:rsidRPr="007A4FF3" w:rsidDel="00EF4AD5">
        <w:rPr>
          <w:color w:val="000000" w:themeColor="text1"/>
        </w:rPr>
        <w:t>chan</w:t>
      </w:r>
      <w:r w:rsidR="00614433" w:rsidRPr="007A4FF3">
        <w:rPr>
          <w:color w:val="000000" w:themeColor="text1"/>
        </w:rPr>
        <w:t>ces</w:t>
      </w:r>
      <w:r w:rsidR="00E36455" w:rsidRPr="007A4FF3">
        <w:rPr>
          <w:color w:val="000000" w:themeColor="text1"/>
        </w:rPr>
        <w:t xml:space="preserve"> of </w:t>
      </w:r>
      <w:r w:rsidR="00F50533" w:rsidRPr="007A4FF3">
        <w:rPr>
          <w:color w:val="000000" w:themeColor="text1"/>
        </w:rPr>
        <w:t>capturing the benefits of cost-effective renewable energy</w:t>
      </w:r>
      <w:r w:rsidRPr="007A4FF3">
        <w:rPr>
          <w:color w:val="000000" w:themeColor="text1"/>
        </w:rPr>
        <w:t xml:space="preserve"> </w:t>
      </w:r>
      <w:r w:rsidR="00436C92" w:rsidRPr="007A4FF3">
        <w:rPr>
          <w:color w:val="000000" w:themeColor="text1"/>
        </w:rPr>
        <w:t>in DG</w:t>
      </w:r>
      <w:r w:rsidRPr="007A4FF3">
        <w:rPr>
          <w:color w:val="000000" w:themeColor="text1"/>
        </w:rPr>
        <w:t xml:space="preserve"> RFPs, the Company proposes </w:t>
      </w:r>
      <w:r w:rsidR="008933F3" w:rsidRPr="007A4FF3">
        <w:rPr>
          <w:color w:val="000000" w:themeColor="text1"/>
        </w:rPr>
        <w:t xml:space="preserve">modifying </w:t>
      </w:r>
      <w:r w:rsidRPr="007A4FF3">
        <w:rPr>
          <w:color w:val="000000" w:themeColor="text1"/>
        </w:rPr>
        <w:t xml:space="preserve">the RFP </w:t>
      </w:r>
      <w:r w:rsidR="00436C92" w:rsidRPr="007A4FF3">
        <w:rPr>
          <w:color w:val="000000" w:themeColor="text1"/>
        </w:rPr>
        <w:t>process</w:t>
      </w:r>
      <w:r w:rsidR="001C1A56" w:rsidRPr="007A4FF3">
        <w:rPr>
          <w:color w:val="000000" w:themeColor="text1"/>
        </w:rPr>
        <w:t xml:space="preserve">, </w:t>
      </w:r>
      <w:r w:rsidR="00CD09A4" w:rsidRPr="007A4FF3">
        <w:rPr>
          <w:color w:val="000000" w:themeColor="text1"/>
        </w:rPr>
        <w:t>in accordance with</w:t>
      </w:r>
      <w:r w:rsidR="001C1A56" w:rsidRPr="007A4FF3">
        <w:rPr>
          <w:color w:val="000000" w:themeColor="text1"/>
        </w:rPr>
        <w:t xml:space="preserve"> the IRP statute and Commission </w:t>
      </w:r>
      <w:r w:rsidR="00741BDD" w:rsidRPr="007A4FF3">
        <w:rPr>
          <w:color w:val="000000" w:themeColor="text1"/>
        </w:rPr>
        <w:t>r</w:t>
      </w:r>
      <w:r w:rsidR="004B6B57" w:rsidRPr="007A4FF3">
        <w:rPr>
          <w:color w:val="000000" w:themeColor="text1"/>
        </w:rPr>
        <w:t>ules</w:t>
      </w:r>
      <w:r w:rsidR="001C1A56" w:rsidRPr="007A4FF3">
        <w:rPr>
          <w:color w:val="000000" w:themeColor="text1"/>
        </w:rPr>
        <w:t>,</w:t>
      </w:r>
      <w:r w:rsidR="00436C92" w:rsidRPr="007A4FF3">
        <w:rPr>
          <w:color w:val="000000" w:themeColor="text1"/>
        </w:rPr>
        <w:t xml:space="preserve"> </w:t>
      </w:r>
      <w:r w:rsidRPr="007A4FF3">
        <w:rPr>
          <w:color w:val="000000" w:themeColor="text1"/>
        </w:rPr>
        <w:t xml:space="preserve">to </w:t>
      </w:r>
      <w:r w:rsidR="00CD09A4" w:rsidRPr="007A4FF3">
        <w:rPr>
          <w:color w:val="000000" w:themeColor="text1"/>
        </w:rPr>
        <w:t xml:space="preserve">provide </w:t>
      </w:r>
      <w:r w:rsidR="00DD0203" w:rsidRPr="007A4FF3">
        <w:rPr>
          <w:color w:val="000000" w:themeColor="text1"/>
        </w:rPr>
        <w:t xml:space="preserve">additional opportunities for </w:t>
      </w:r>
      <w:r w:rsidRPr="007A4FF3">
        <w:rPr>
          <w:color w:val="000000" w:themeColor="text1"/>
        </w:rPr>
        <w:t xml:space="preserve">bids to be </w:t>
      </w:r>
      <w:r w:rsidR="00F442DA" w:rsidRPr="007A4FF3">
        <w:rPr>
          <w:color w:val="000000" w:themeColor="text1"/>
        </w:rPr>
        <w:t xml:space="preserve">considered for </w:t>
      </w:r>
      <w:r w:rsidRPr="007A4FF3">
        <w:rPr>
          <w:color w:val="000000" w:themeColor="text1"/>
        </w:rPr>
        <w:t>procure</w:t>
      </w:r>
      <w:r w:rsidR="00F442DA" w:rsidRPr="007A4FF3">
        <w:rPr>
          <w:color w:val="000000" w:themeColor="text1"/>
        </w:rPr>
        <w:t>ment</w:t>
      </w:r>
      <w:r w:rsidRPr="007A4FF3">
        <w:rPr>
          <w:color w:val="000000" w:themeColor="text1"/>
        </w:rPr>
        <w:t xml:space="preserve"> at the best cost to customers. The first </w:t>
      </w:r>
      <w:r w:rsidR="00F442DA" w:rsidRPr="007A4FF3">
        <w:rPr>
          <w:color w:val="000000" w:themeColor="text1"/>
        </w:rPr>
        <w:t xml:space="preserve">proposed modification to the existing process is similar to the </w:t>
      </w:r>
      <w:r w:rsidR="00B930D8" w:rsidRPr="007A4FF3">
        <w:rPr>
          <w:color w:val="000000" w:themeColor="text1"/>
        </w:rPr>
        <w:t>Utility</w:t>
      </w:r>
      <w:r w:rsidR="00F442DA" w:rsidRPr="007A4FF3">
        <w:rPr>
          <w:color w:val="000000" w:themeColor="text1"/>
        </w:rPr>
        <w:t xml:space="preserve"> Scale “buy down” </w:t>
      </w:r>
      <w:r w:rsidRPr="007A4FF3">
        <w:rPr>
          <w:color w:val="000000" w:themeColor="text1"/>
        </w:rPr>
        <w:t>process</w:t>
      </w:r>
      <w:r w:rsidR="00E25C4C" w:rsidRPr="007A4FF3">
        <w:rPr>
          <w:color w:val="000000" w:themeColor="text1"/>
        </w:rPr>
        <w:t xml:space="preserve"> described above</w:t>
      </w:r>
      <w:r w:rsidR="00F442DA" w:rsidRPr="007A4FF3">
        <w:rPr>
          <w:color w:val="000000" w:themeColor="text1"/>
        </w:rPr>
        <w:t xml:space="preserve">, </w:t>
      </w:r>
      <w:r w:rsidRPr="007A4FF3">
        <w:rPr>
          <w:color w:val="000000" w:themeColor="text1"/>
        </w:rPr>
        <w:t>where</w:t>
      </w:r>
      <w:r w:rsidR="00F442DA" w:rsidRPr="007A4FF3">
        <w:rPr>
          <w:color w:val="000000" w:themeColor="text1"/>
        </w:rPr>
        <w:t>by</w:t>
      </w:r>
      <w:r w:rsidRPr="007A4FF3">
        <w:rPr>
          <w:color w:val="000000" w:themeColor="text1"/>
        </w:rPr>
        <w:t xml:space="preserve"> bid</w:t>
      </w:r>
      <w:r w:rsidR="00B930D8" w:rsidRPr="007A4FF3">
        <w:rPr>
          <w:color w:val="000000" w:themeColor="text1"/>
        </w:rPr>
        <w:t>ders</w:t>
      </w:r>
      <w:r w:rsidRPr="007A4FF3">
        <w:rPr>
          <w:color w:val="000000" w:themeColor="text1"/>
        </w:rPr>
        <w:t xml:space="preserve"> </w:t>
      </w:r>
      <w:r w:rsidR="00F442DA" w:rsidRPr="007A4FF3">
        <w:rPr>
          <w:color w:val="000000" w:themeColor="text1"/>
        </w:rPr>
        <w:t xml:space="preserve">in the RFP </w:t>
      </w:r>
      <w:r w:rsidR="001424E3" w:rsidRPr="007A4FF3">
        <w:rPr>
          <w:color w:val="000000" w:themeColor="text1"/>
        </w:rPr>
        <w:t>that were</w:t>
      </w:r>
      <w:r w:rsidR="00F442DA" w:rsidRPr="007A4FF3">
        <w:rPr>
          <w:color w:val="000000" w:themeColor="text1"/>
        </w:rPr>
        <w:t xml:space="preserve"> not selected for the </w:t>
      </w:r>
      <w:r w:rsidR="08D5BA22" w:rsidRPr="007A4FF3">
        <w:rPr>
          <w:color w:val="000000" w:themeColor="text1"/>
        </w:rPr>
        <w:t>T</w:t>
      </w:r>
      <w:r w:rsidR="00CC0619" w:rsidRPr="007A4FF3">
        <w:rPr>
          <w:color w:val="000000" w:themeColor="text1"/>
        </w:rPr>
        <w:t>arget</w:t>
      </w:r>
      <w:r w:rsidR="00F442DA" w:rsidRPr="007A4FF3">
        <w:rPr>
          <w:color w:val="000000" w:themeColor="text1"/>
        </w:rPr>
        <w:t xml:space="preserve"> </w:t>
      </w:r>
      <w:r w:rsidR="3505CE3D" w:rsidRPr="007A4FF3">
        <w:rPr>
          <w:color w:val="000000" w:themeColor="text1"/>
        </w:rPr>
        <w:t>L</w:t>
      </w:r>
      <w:r w:rsidR="00F442DA" w:rsidRPr="007A4FF3">
        <w:rPr>
          <w:color w:val="000000" w:themeColor="text1"/>
        </w:rPr>
        <w:t xml:space="preserve">ist would be provided </w:t>
      </w:r>
      <w:r w:rsidR="00895403" w:rsidRPr="007A4FF3">
        <w:rPr>
          <w:color w:val="000000" w:themeColor="text1"/>
        </w:rPr>
        <w:t xml:space="preserve">an </w:t>
      </w:r>
      <w:r w:rsidRPr="007A4FF3">
        <w:rPr>
          <w:color w:val="000000" w:themeColor="text1"/>
        </w:rPr>
        <w:t xml:space="preserve">option </w:t>
      </w:r>
      <w:r w:rsidR="00895403" w:rsidRPr="007A4FF3">
        <w:rPr>
          <w:color w:val="000000" w:themeColor="text1"/>
        </w:rPr>
        <w:t xml:space="preserve">to </w:t>
      </w:r>
      <w:r w:rsidRPr="007A4FF3">
        <w:rPr>
          <w:color w:val="000000" w:themeColor="text1"/>
        </w:rPr>
        <w:t>buy-</w:t>
      </w:r>
      <w:r w:rsidR="00A9674B" w:rsidRPr="007A4FF3" w:rsidDel="007B76F2">
        <w:rPr>
          <w:color w:val="000000" w:themeColor="text1"/>
        </w:rPr>
        <w:t>down</w:t>
      </w:r>
      <w:r w:rsidR="00A9674B" w:rsidRPr="007A4FF3">
        <w:rPr>
          <w:color w:val="000000" w:themeColor="text1"/>
        </w:rPr>
        <w:t xml:space="preserve"> the</w:t>
      </w:r>
      <w:r w:rsidR="00B930D8" w:rsidRPr="007A4FF3">
        <w:rPr>
          <w:color w:val="000000" w:themeColor="text1"/>
        </w:rPr>
        <w:t xml:space="preserve"> </w:t>
      </w:r>
      <w:r w:rsidR="009031D0" w:rsidRPr="007A4FF3">
        <w:rPr>
          <w:color w:val="000000" w:themeColor="text1"/>
        </w:rPr>
        <w:t>price</w:t>
      </w:r>
      <w:r w:rsidR="00B930D8" w:rsidRPr="007A4FF3">
        <w:rPr>
          <w:color w:val="000000" w:themeColor="text1"/>
        </w:rPr>
        <w:t xml:space="preserve"> of the bid to meet the average </w:t>
      </w:r>
      <w:r w:rsidR="009A3425" w:rsidRPr="007A4FF3">
        <w:rPr>
          <w:color w:val="000000" w:themeColor="text1"/>
        </w:rPr>
        <w:t>Total Net Benefits</w:t>
      </w:r>
      <w:r w:rsidR="00B930D8" w:rsidRPr="007A4FF3">
        <w:rPr>
          <w:color w:val="000000" w:themeColor="text1"/>
        </w:rPr>
        <w:t xml:space="preserve"> of the selected portfolio</w:t>
      </w:r>
      <w:r w:rsidRPr="007A4FF3">
        <w:rPr>
          <w:color w:val="000000" w:themeColor="text1"/>
        </w:rPr>
        <w:t xml:space="preserve">. </w:t>
      </w:r>
      <w:r w:rsidR="00B930D8" w:rsidRPr="007A4FF3">
        <w:rPr>
          <w:color w:val="000000" w:themeColor="text1"/>
        </w:rPr>
        <w:t xml:space="preserve">This </w:t>
      </w:r>
      <w:r w:rsidR="00CC0C21" w:rsidRPr="007A4FF3">
        <w:rPr>
          <w:color w:val="000000" w:themeColor="text1"/>
        </w:rPr>
        <w:t xml:space="preserve">buy down process would only be implemented if there is </w:t>
      </w:r>
      <w:r w:rsidR="001C1A56" w:rsidRPr="007A4FF3">
        <w:rPr>
          <w:color w:val="000000" w:themeColor="text1"/>
        </w:rPr>
        <w:t xml:space="preserve">an </w:t>
      </w:r>
      <w:r w:rsidR="00AD17C9" w:rsidRPr="007A4FF3">
        <w:rPr>
          <w:color w:val="000000" w:themeColor="text1"/>
        </w:rPr>
        <w:t>unmet need</w:t>
      </w:r>
      <w:r w:rsidR="001C1A56" w:rsidRPr="007A4FF3">
        <w:rPr>
          <w:color w:val="000000" w:themeColor="text1"/>
        </w:rPr>
        <w:t xml:space="preserve"> </w:t>
      </w:r>
      <w:r w:rsidR="3E716536" w:rsidRPr="007A4FF3">
        <w:rPr>
          <w:color w:val="000000" w:themeColor="text1"/>
        </w:rPr>
        <w:t xml:space="preserve">to supply </w:t>
      </w:r>
      <w:r w:rsidR="001C1A56" w:rsidRPr="007A4FF3">
        <w:rPr>
          <w:color w:val="000000" w:themeColor="text1"/>
        </w:rPr>
        <w:t xml:space="preserve">the CARES DG subscription program. </w:t>
      </w:r>
    </w:p>
    <w:p w14:paraId="1882AD38" w14:textId="77777777" w:rsidR="007A4FF3" w:rsidRDefault="007A4FF3" w:rsidP="007A4FF3">
      <w:pPr>
        <w:pStyle w:val="ListParagraph"/>
        <w:jc w:val="both"/>
        <w:rPr>
          <w:b/>
          <w:bCs/>
          <w:color w:val="000000" w:themeColor="text1"/>
        </w:rPr>
      </w:pPr>
    </w:p>
    <w:p w14:paraId="6A2C36B7" w14:textId="7B020B91" w:rsidR="00E62710" w:rsidRPr="007A4FF3" w:rsidRDefault="00EF4AD5" w:rsidP="007A4FF3">
      <w:pPr>
        <w:pStyle w:val="ListParagraph"/>
        <w:jc w:val="both"/>
        <w:rPr>
          <w:color w:val="000000" w:themeColor="text1"/>
        </w:rPr>
      </w:pPr>
      <w:r w:rsidRPr="007A4FF3">
        <w:rPr>
          <w:color w:val="000000" w:themeColor="text1"/>
        </w:rPr>
        <w:t>The second</w:t>
      </w:r>
      <w:r w:rsidR="001424E3" w:rsidRPr="007A4FF3">
        <w:rPr>
          <w:color w:val="000000" w:themeColor="text1"/>
        </w:rPr>
        <w:t xml:space="preserve"> enhancement is </w:t>
      </w:r>
      <w:r w:rsidR="002219FF" w:rsidRPr="007A4FF3">
        <w:rPr>
          <w:color w:val="000000" w:themeColor="text1"/>
        </w:rPr>
        <w:t xml:space="preserve">a proposed </w:t>
      </w:r>
      <w:r w:rsidR="004B6354" w:rsidRPr="007A4FF3">
        <w:rPr>
          <w:color w:val="000000" w:themeColor="text1"/>
        </w:rPr>
        <w:t>extended</w:t>
      </w:r>
      <w:r w:rsidRPr="007A4FF3">
        <w:rPr>
          <w:color w:val="000000" w:themeColor="text1"/>
        </w:rPr>
        <w:t xml:space="preserve"> phase </w:t>
      </w:r>
      <w:r w:rsidR="002219FF" w:rsidRPr="007A4FF3">
        <w:rPr>
          <w:color w:val="000000" w:themeColor="text1"/>
        </w:rPr>
        <w:t>of the RFP, which</w:t>
      </w:r>
      <w:r w:rsidRPr="007A4FF3">
        <w:rPr>
          <w:color w:val="000000" w:themeColor="text1"/>
        </w:rPr>
        <w:t xml:space="preserve"> would allow </w:t>
      </w:r>
      <w:r w:rsidR="002219FF" w:rsidRPr="007A4FF3">
        <w:rPr>
          <w:color w:val="000000" w:themeColor="text1"/>
        </w:rPr>
        <w:t>new projects</w:t>
      </w:r>
      <w:r w:rsidR="00A44601" w:rsidRPr="007A4FF3">
        <w:rPr>
          <w:color w:val="000000" w:themeColor="text1"/>
        </w:rPr>
        <w:t xml:space="preserve">, including </w:t>
      </w:r>
      <w:r w:rsidR="27472E42" w:rsidRPr="007A4FF3">
        <w:rPr>
          <w:color w:val="000000" w:themeColor="text1"/>
        </w:rPr>
        <w:t>c</w:t>
      </w:r>
      <w:r w:rsidR="00A44601" w:rsidRPr="007A4FF3">
        <w:rPr>
          <w:color w:val="000000" w:themeColor="text1"/>
        </w:rPr>
        <w:t xml:space="preserve">ustomer </w:t>
      </w:r>
      <w:r w:rsidR="773EF5BD" w:rsidRPr="007A4FF3">
        <w:rPr>
          <w:color w:val="000000" w:themeColor="text1"/>
        </w:rPr>
        <w:t>i</w:t>
      </w:r>
      <w:r w:rsidR="00A44601" w:rsidRPr="007A4FF3">
        <w:rPr>
          <w:color w:val="000000" w:themeColor="text1"/>
        </w:rPr>
        <w:t xml:space="preserve">dentified </w:t>
      </w:r>
      <w:r w:rsidR="7005CAAB" w:rsidRPr="007A4FF3">
        <w:rPr>
          <w:color w:val="000000" w:themeColor="text1"/>
        </w:rPr>
        <w:t>r</w:t>
      </w:r>
      <w:r w:rsidR="00A44601" w:rsidRPr="007A4FF3">
        <w:rPr>
          <w:color w:val="000000" w:themeColor="text1"/>
        </w:rPr>
        <w:t>esources</w:t>
      </w:r>
      <w:r w:rsidR="21964C2D" w:rsidRPr="007A4FF3">
        <w:rPr>
          <w:color w:val="000000" w:themeColor="text1"/>
        </w:rPr>
        <w:t>,</w:t>
      </w:r>
      <w:r w:rsidR="002219FF" w:rsidRPr="007A4FF3">
        <w:rPr>
          <w:color w:val="000000" w:themeColor="text1"/>
        </w:rPr>
        <w:t xml:space="preserve"> to be submitted </w:t>
      </w:r>
      <w:r w:rsidR="00BF4048" w:rsidRPr="007A4FF3">
        <w:rPr>
          <w:color w:val="000000" w:themeColor="text1"/>
        </w:rPr>
        <w:t xml:space="preserve">into the RFP </w:t>
      </w:r>
      <w:r w:rsidR="000D3536" w:rsidRPr="007A4FF3">
        <w:rPr>
          <w:color w:val="000000" w:themeColor="text1"/>
        </w:rPr>
        <w:t>at</w:t>
      </w:r>
      <w:r w:rsidR="3D18B1DF" w:rsidRPr="007A4FF3">
        <w:rPr>
          <w:color w:val="000000" w:themeColor="text1"/>
        </w:rPr>
        <w:t>,</w:t>
      </w:r>
      <w:r w:rsidR="000D3536" w:rsidRPr="007A4FF3">
        <w:rPr>
          <w:color w:val="000000" w:themeColor="text1"/>
        </w:rPr>
        <w:t xml:space="preserve"> </w:t>
      </w:r>
      <w:r w:rsidR="00CE0311" w:rsidRPr="007A4FF3">
        <w:rPr>
          <w:color w:val="000000" w:themeColor="text1"/>
        </w:rPr>
        <w:t>or below</w:t>
      </w:r>
      <w:r w:rsidR="647A5A9D" w:rsidRPr="007A4FF3">
        <w:rPr>
          <w:color w:val="000000" w:themeColor="text1"/>
        </w:rPr>
        <w:t>,</w:t>
      </w:r>
      <w:r w:rsidR="00CE0311" w:rsidRPr="007A4FF3">
        <w:rPr>
          <w:color w:val="000000" w:themeColor="text1"/>
        </w:rPr>
        <w:t xml:space="preserve"> a price that results in a </w:t>
      </w:r>
      <w:r w:rsidR="009A3425" w:rsidRPr="007A4FF3">
        <w:rPr>
          <w:color w:val="000000" w:themeColor="text1"/>
        </w:rPr>
        <w:t>Total Net Benefit</w:t>
      </w:r>
      <w:r w:rsidR="00CE0311" w:rsidRPr="007A4FF3">
        <w:rPr>
          <w:color w:val="000000" w:themeColor="text1"/>
        </w:rPr>
        <w:t xml:space="preserve"> for the additional bid(s)</w:t>
      </w:r>
      <w:r w:rsidR="007D5AC4" w:rsidRPr="007A4FF3">
        <w:rPr>
          <w:color w:val="000000" w:themeColor="text1"/>
        </w:rPr>
        <w:t xml:space="preserve"> that matches the average </w:t>
      </w:r>
      <w:r w:rsidR="009A3425" w:rsidRPr="007A4FF3">
        <w:rPr>
          <w:color w:val="000000" w:themeColor="text1"/>
        </w:rPr>
        <w:t>Total Net Benefits</w:t>
      </w:r>
      <w:r w:rsidR="007D5AC4" w:rsidRPr="007A4FF3">
        <w:rPr>
          <w:color w:val="000000" w:themeColor="text1"/>
        </w:rPr>
        <w:t xml:space="preserve"> </w:t>
      </w:r>
      <w:r w:rsidR="00686D1F" w:rsidRPr="007A4FF3">
        <w:rPr>
          <w:color w:val="000000" w:themeColor="text1"/>
        </w:rPr>
        <w:t xml:space="preserve">from </w:t>
      </w:r>
      <w:r w:rsidR="00020E99" w:rsidRPr="007A4FF3">
        <w:rPr>
          <w:color w:val="000000" w:themeColor="text1"/>
        </w:rPr>
        <w:t>the first p</w:t>
      </w:r>
      <w:r w:rsidR="00686D1F" w:rsidRPr="007A4FF3">
        <w:rPr>
          <w:color w:val="000000" w:themeColor="text1"/>
        </w:rPr>
        <w:t xml:space="preserve">hase </w:t>
      </w:r>
      <w:r w:rsidR="00020E99" w:rsidRPr="007A4FF3">
        <w:rPr>
          <w:color w:val="000000" w:themeColor="text1"/>
        </w:rPr>
        <w:t>of the RFP</w:t>
      </w:r>
      <w:r w:rsidR="00A8577F" w:rsidRPr="007A4FF3">
        <w:rPr>
          <w:color w:val="000000" w:themeColor="text1"/>
        </w:rPr>
        <w:t>. Th</w:t>
      </w:r>
      <w:r w:rsidR="00D25CB1" w:rsidRPr="007A4FF3">
        <w:rPr>
          <w:color w:val="000000" w:themeColor="text1"/>
        </w:rPr>
        <w:t xml:space="preserve">is additional option </w:t>
      </w:r>
      <w:r w:rsidR="00F17B16" w:rsidRPr="007A4FF3">
        <w:rPr>
          <w:color w:val="000000" w:themeColor="text1"/>
        </w:rPr>
        <w:t xml:space="preserve">would be available if there continued to be </w:t>
      </w:r>
      <w:r w:rsidR="4DAB565A" w:rsidRPr="007A4FF3">
        <w:rPr>
          <w:color w:val="000000" w:themeColor="text1"/>
        </w:rPr>
        <w:t xml:space="preserve">an </w:t>
      </w:r>
      <w:r w:rsidR="00F17B16" w:rsidRPr="007A4FF3">
        <w:rPr>
          <w:color w:val="000000" w:themeColor="text1"/>
        </w:rPr>
        <w:t xml:space="preserve">unmet CARES DG customer </w:t>
      </w:r>
      <w:r w:rsidR="007B76F2" w:rsidRPr="007A4FF3">
        <w:rPr>
          <w:color w:val="000000" w:themeColor="text1"/>
        </w:rPr>
        <w:t>subscription</w:t>
      </w:r>
      <w:r w:rsidR="00F17B16" w:rsidRPr="007A4FF3">
        <w:rPr>
          <w:color w:val="000000" w:themeColor="text1"/>
        </w:rPr>
        <w:t xml:space="preserve"> need</w:t>
      </w:r>
      <w:r w:rsidR="42C66361" w:rsidRPr="007A4FF3">
        <w:rPr>
          <w:color w:val="000000" w:themeColor="text1"/>
        </w:rPr>
        <w:t xml:space="preserve"> after the first phase of the RFP</w:t>
      </w:r>
      <w:r w:rsidR="00D61238" w:rsidRPr="007A4FF3">
        <w:rPr>
          <w:color w:val="000000" w:themeColor="text1"/>
        </w:rPr>
        <w:t xml:space="preserve">, including </w:t>
      </w:r>
      <w:r w:rsidR="00C674D0" w:rsidRPr="007A4FF3">
        <w:rPr>
          <w:color w:val="000000" w:themeColor="text1"/>
        </w:rPr>
        <w:t xml:space="preserve">the </w:t>
      </w:r>
      <w:r w:rsidR="00D61238" w:rsidRPr="007A4FF3">
        <w:rPr>
          <w:color w:val="000000" w:themeColor="text1"/>
        </w:rPr>
        <w:t xml:space="preserve">need to supply the Residential </w:t>
      </w:r>
      <w:r w:rsidR="00443CBF" w:rsidRPr="007A4FF3">
        <w:rPr>
          <w:color w:val="000000" w:themeColor="text1"/>
        </w:rPr>
        <w:t>Distributed</w:t>
      </w:r>
      <w:r w:rsidR="00D61238" w:rsidRPr="007A4FF3">
        <w:rPr>
          <w:color w:val="000000" w:themeColor="text1"/>
        </w:rPr>
        <w:t xml:space="preserve"> Generation </w:t>
      </w:r>
      <w:r w:rsidR="00443CBF" w:rsidRPr="007A4FF3">
        <w:rPr>
          <w:color w:val="000000" w:themeColor="text1"/>
        </w:rPr>
        <w:t>Community Solar Program</w:t>
      </w:r>
      <w:r w:rsidR="24B87649" w:rsidRPr="007A4FF3">
        <w:rPr>
          <w:color w:val="000000" w:themeColor="text1"/>
        </w:rPr>
        <w:t>. T</w:t>
      </w:r>
      <w:r w:rsidR="00E62710" w:rsidRPr="007A4FF3">
        <w:rPr>
          <w:color w:val="000000" w:themeColor="text1"/>
        </w:rPr>
        <w:t xml:space="preserve">he options through which customers and developers can partner to bring forth </w:t>
      </w:r>
      <w:r w:rsidR="007B76F2" w:rsidRPr="007A4FF3">
        <w:rPr>
          <w:color w:val="000000" w:themeColor="text1"/>
        </w:rPr>
        <w:t>those</w:t>
      </w:r>
      <w:r w:rsidR="00E62710" w:rsidRPr="007A4FF3">
        <w:rPr>
          <w:color w:val="000000" w:themeColor="text1"/>
        </w:rPr>
        <w:t xml:space="preserve"> projects are detailed further in the customer programs section. </w:t>
      </w:r>
      <w:r w:rsidRPr="007A4FF3">
        <w:rPr>
          <w:color w:val="000000" w:themeColor="text1"/>
        </w:rPr>
        <w:t xml:space="preserve">The intent of this </w:t>
      </w:r>
      <w:r w:rsidR="00925271" w:rsidRPr="007A4FF3">
        <w:rPr>
          <w:color w:val="000000" w:themeColor="text1"/>
        </w:rPr>
        <w:t>multi</w:t>
      </w:r>
      <w:r w:rsidRPr="007A4FF3">
        <w:rPr>
          <w:color w:val="000000" w:themeColor="text1"/>
        </w:rPr>
        <w:t xml:space="preserve">-phase approach </w:t>
      </w:r>
      <w:r w:rsidR="00E62710" w:rsidRPr="007A4FF3">
        <w:rPr>
          <w:color w:val="000000" w:themeColor="text1"/>
        </w:rPr>
        <w:t>is</w:t>
      </w:r>
      <w:r w:rsidRPr="007A4FF3">
        <w:rPr>
          <w:color w:val="000000" w:themeColor="text1"/>
        </w:rPr>
        <w:t xml:space="preserve"> to provide additional price and demand certainty for developers</w:t>
      </w:r>
      <w:r w:rsidR="00E62710" w:rsidRPr="007A4FF3">
        <w:rPr>
          <w:color w:val="000000" w:themeColor="text1"/>
        </w:rPr>
        <w:t>, and additional subscription opportunities for customers,</w:t>
      </w:r>
      <w:r w:rsidRPr="007A4FF3">
        <w:rPr>
          <w:color w:val="000000" w:themeColor="text1"/>
        </w:rPr>
        <w:t xml:space="preserve"> while </w:t>
      </w:r>
      <w:r w:rsidR="00E62710" w:rsidRPr="007A4FF3">
        <w:rPr>
          <w:color w:val="000000" w:themeColor="text1"/>
        </w:rPr>
        <w:t>preserving benefits and</w:t>
      </w:r>
      <w:r w:rsidRPr="007A4FF3">
        <w:rPr>
          <w:color w:val="000000" w:themeColor="text1"/>
        </w:rPr>
        <w:t xml:space="preserve"> maintaining protections for all Georgia Power customers. </w:t>
      </w:r>
    </w:p>
    <w:p w14:paraId="01164B48" w14:textId="799D42B6" w:rsidR="006F27D7" w:rsidRPr="007A4FF3" w:rsidRDefault="000939F4" w:rsidP="007A4FF3">
      <w:pPr>
        <w:jc w:val="both"/>
        <w:rPr>
          <w:color w:val="000000" w:themeColor="text1"/>
        </w:rPr>
      </w:pPr>
      <w:r w:rsidRPr="007A4FF3">
        <w:rPr>
          <w:color w:val="000000" w:themeColor="text1"/>
        </w:rPr>
        <w:t xml:space="preserve">In sum, these changes to the Utility Scale and DG procurement processes are proposed after considerable and serious deliberation in light of recent RFP results, as well as direct feedback from customers and stakeholders. The Company takes pride in conducting industry-leading renewable solicitations aimed at securing renewable resources that create value for customers and is compelled to propose these changes as </w:t>
      </w:r>
      <w:r w:rsidR="00965E63" w:rsidRPr="007A4FF3">
        <w:rPr>
          <w:color w:val="000000" w:themeColor="text1"/>
        </w:rPr>
        <w:t>it seeks</w:t>
      </w:r>
      <w:r w:rsidRPr="007A4FF3">
        <w:rPr>
          <w:color w:val="000000" w:themeColor="text1"/>
        </w:rPr>
        <w:t xml:space="preserve"> to continue efficient and compliant procurements on behalf of all Georgia Power customers and renewable program subscribers. </w:t>
      </w:r>
      <w:r w:rsidR="00A929D9" w:rsidRPr="007A4FF3">
        <w:rPr>
          <w:color w:val="000000" w:themeColor="text1"/>
        </w:rPr>
        <w:t xml:space="preserve">These </w:t>
      </w:r>
      <w:r w:rsidR="008F59FF" w:rsidRPr="007A4FF3">
        <w:rPr>
          <w:color w:val="000000" w:themeColor="text1"/>
        </w:rPr>
        <w:t xml:space="preserve">proposed </w:t>
      </w:r>
      <w:r w:rsidR="00A929D9" w:rsidRPr="007A4FF3">
        <w:rPr>
          <w:color w:val="000000" w:themeColor="text1"/>
        </w:rPr>
        <w:t xml:space="preserve">modifications will be </w:t>
      </w:r>
      <w:r w:rsidR="008F59FF" w:rsidRPr="007A4FF3">
        <w:rPr>
          <w:color w:val="000000" w:themeColor="text1"/>
        </w:rPr>
        <w:t xml:space="preserve">reflected in </w:t>
      </w:r>
      <w:r w:rsidR="00550114" w:rsidRPr="007A4FF3">
        <w:rPr>
          <w:color w:val="000000" w:themeColor="text1"/>
        </w:rPr>
        <w:t>future</w:t>
      </w:r>
      <w:r w:rsidR="008F59FF" w:rsidRPr="007A4FF3">
        <w:rPr>
          <w:color w:val="000000" w:themeColor="text1"/>
        </w:rPr>
        <w:t xml:space="preserve"> RFP and PPA documents</w:t>
      </w:r>
      <w:r w:rsidR="00390025" w:rsidRPr="007A4FF3">
        <w:rPr>
          <w:color w:val="000000" w:themeColor="text1"/>
        </w:rPr>
        <w:t xml:space="preserve">, and </w:t>
      </w:r>
      <w:r w:rsidR="00673B17" w:rsidRPr="007A4FF3">
        <w:rPr>
          <w:color w:val="000000" w:themeColor="text1"/>
        </w:rPr>
        <w:t xml:space="preserve">subject to comment, </w:t>
      </w:r>
      <w:r w:rsidR="00450725" w:rsidRPr="007A4FF3">
        <w:rPr>
          <w:color w:val="000000" w:themeColor="text1"/>
        </w:rPr>
        <w:t>modification, and approval through the Commission-approved RFP process.</w:t>
      </w:r>
      <w:r w:rsidR="00A929D9" w:rsidRPr="007A4FF3">
        <w:rPr>
          <w:color w:val="000000" w:themeColor="text1"/>
        </w:rPr>
        <w:t xml:space="preserve"> </w:t>
      </w:r>
      <w:r w:rsidR="00450725" w:rsidRPr="007A4FF3">
        <w:rPr>
          <w:color w:val="000000" w:themeColor="text1"/>
        </w:rPr>
        <w:t xml:space="preserve">The </w:t>
      </w:r>
      <w:r w:rsidR="00AC5B29" w:rsidRPr="007A4FF3">
        <w:rPr>
          <w:color w:val="000000" w:themeColor="text1"/>
        </w:rPr>
        <w:t>C</w:t>
      </w:r>
      <w:r w:rsidR="00450725" w:rsidRPr="007A4FF3">
        <w:rPr>
          <w:color w:val="000000" w:themeColor="text1"/>
        </w:rPr>
        <w:t xml:space="preserve">ompany remains </w:t>
      </w:r>
      <w:r w:rsidR="00450725" w:rsidRPr="007A4FF3">
        <w:rPr>
          <w:color w:val="000000" w:themeColor="text1"/>
        </w:rPr>
        <w:lastRenderedPageBreak/>
        <w:t>committed</w:t>
      </w:r>
      <w:r w:rsidR="004B0D1A" w:rsidRPr="007A4FF3">
        <w:rPr>
          <w:color w:val="000000" w:themeColor="text1"/>
        </w:rPr>
        <w:t xml:space="preserve"> to </w:t>
      </w:r>
      <w:r w:rsidR="00550114" w:rsidRPr="007A4FF3">
        <w:rPr>
          <w:color w:val="000000" w:themeColor="text1"/>
        </w:rPr>
        <w:t>compliance with</w:t>
      </w:r>
      <w:r w:rsidR="004B0D1A" w:rsidRPr="007A4FF3" w:rsidDel="00550114">
        <w:rPr>
          <w:color w:val="000000" w:themeColor="text1"/>
        </w:rPr>
        <w:t xml:space="preserve"> </w:t>
      </w:r>
      <w:r w:rsidR="00450725" w:rsidRPr="007A4FF3">
        <w:rPr>
          <w:color w:val="000000" w:themeColor="text1"/>
        </w:rPr>
        <w:t>appliable</w:t>
      </w:r>
      <w:r w:rsidR="004B0D1A" w:rsidRPr="007A4FF3">
        <w:rPr>
          <w:color w:val="000000" w:themeColor="text1"/>
        </w:rPr>
        <w:t xml:space="preserve"> </w:t>
      </w:r>
      <w:r w:rsidR="00F65CEA" w:rsidRPr="007A4FF3">
        <w:rPr>
          <w:color w:val="000000" w:themeColor="text1"/>
        </w:rPr>
        <w:t>statutes</w:t>
      </w:r>
      <w:r w:rsidR="00450725" w:rsidRPr="007A4FF3">
        <w:rPr>
          <w:color w:val="000000" w:themeColor="text1"/>
        </w:rPr>
        <w:t>,</w:t>
      </w:r>
      <w:r w:rsidR="00F65CEA" w:rsidRPr="007A4FF3">
        <w:rPr>
          <w:color w:val="000000" w:themeColor="text1"/>
        </w:rPr>
        <w:t xml:space="preserve"> rules,</w:t>
      </w:r>
      <w:r w:rsidR="00450725" w:rsidRPr="007A4FF3">
        <w:rPr>
          <w:color w:val="000000" w:themeColor="text1"/>
        </w:rPr>
        <w:t xml:space="preserve"> and </w:t>
      </w:r>
      <w:r w:rsidR="00550114" w:rsidRPr="007A4FF3">
        <w:rPr>
          <w:color w:val="000000" w:themeColor="text1"/>
        </w:rPr>
        <w:t xml:space="preserve">a desire to meet </w:t>
      </w:r>
      <w:r w:rsidR="00450725" w:rsidRPr="007A4FF3">
        <w:rPr>
          <w:color w:val="000000" w:themeColor="text1"/>
        </w:rPr>
        <w:t xml:space="preserve">market and customer expectations, </w:t>
      </w:r>
      <w:r w:rsidR="00190D1A" w:rsidRPr="007A4FF3">
        <w:rPr>
          <w:color w:val="000000" w:themeColor="text1"/>
        </w:rPr>
        <w:t>resulting in</w:t>
      </w:r>
      <w:r w:rsidR="00F65CEA" w:rsidRPr="007A4FF3" w:rsidDel="00190D1A">
        <w:rPr>
          <w:color w:val="000000" w:themeColor="text1"/>
        </w:rPr>
        <w:t xml:space="preserve"> </w:t>
      </w:r>
      <w:r w:rsidR="00190D1A" w:rsidRPr="007A4FF3">
        <w:rPr>
          <w:color w:val="000000" w:themeColor="text1"/>
        </w:rPr>
        <w:t xml:space="preserve">disciplined and </w:t>
      </w:r>
      <w:r w:rsidR="00791B81" w:rsidRPr="007A4FF3">
        <w:rPr>
          <w:color w:val="000000" w:themeColor="text1"/>
        </w:rPr>
        <w:t>principle</w:t>
      </w:r>
      <w:r w:rsidR="00190D1A" w:rsidRPr="007A4FF3">
        <w:rPr>
          <w:color w:val="000000" w:themeColor="text1"/>
        </w:rPr>
        <w:t>d</w:t>
      </w:r>
      <w:r w:rsidR="00791B81" w:rsidRPr="007A4FF3">
        <w:rPr>
          <w:color w:val="000000" w:themeColor="text1"/>
        </w:rPr>
        <w:t xml:space="preserve"> </w:t>
      </w:r>
      <w:r w:rsidR="00190D1A" w:rsidRPr="007A4FF3">
        <w:rPr>
          <w:color w:val="000000" w:themeColor="text1"/>
        </w:rPr>
        <w:t xml:space="preserve">procurements </w:t>
      </w:r>
      <w:r w:rsidR="2B4C9E0B" w:rsidRPr="007A4FF3">
        <w:rPr>
          <w:color w:val="000000" w:themeColor="text1"/>
        </w:rPr>
        <w:t xml:space="preserve">that </w:t>
      </w:r>
      <w:r w:rsidR="00190D1A" w:rsidRPr="007A4FF3">
        <w:rPr>
          <w:color w:val="000000" w:themeColor="text1"/>
        </w:rPr>
        <w:t>benefit all customers</w:t>
      </w:r>
      <w:r w:rsidR="00550114" w:rsidRPr="007A4FF3">
        <w:rPr>
          <w:color w:val="000000" w:themeColor="text1"/>
        </w:rPr>
        <w:t xml:space="preserve">. </w:t>
      </w:r>
      <w:r w:rsidR="003B1288" w:rsidRPr="007A4FF3">
        <w:rPr>
          <w:color w:val="000000" w:themeColor="text1"/>
        </w:rPr>
        <w:t xml:space="preserve">This continuous evolution of </w:t>
      </w:r>
      <w:r w:rsidR="004B6B57" w:rsidRPr="007A4FF3">
        <w:rPr>
          <w:color w:val="000000" w:themeColor="text1"/>
        </w:rPr>
        <w:t xml:space="preserve">Utility Scale </w:t>
      </w:r>
      <w:r w:rsidR="007C02A6" w:rsidRPr="007A4FF3">
        <w:rPr>
          <w:color w:val="000000" w:themeColor="text1"/>
        </w:rPr>
        <w:t xml:space="preserve">and </w:t>
      </w:r>
      <w:r w:rsidR="00D31CAD" w:rsidRPr="007A4FF3">
        <w:rPr>
          <w:color w:val="000000" w:themeColor="text1"/>
        </w:rPr>
        <w:t xml:space="preserve">DG </w:t>
      </w:r>
      <w:r w:rsidR="003B1288" w:rsidRPr="007A4FF3">
        <w:rPr>
          <w:color w:val="000000" w:themeColor="text1"/>
        </w:rPr>
        <w:t>procurement</w:t>
      </w:r>
      <w:r w:rsidR="00D31CAD" w:rsidRPr="007A4FF3">
        <w:rPr>
          <w:color w:val="000000" w:themeColor="text1"/>
        </w:rPr>
        <w:t>s</w:t>
      </w:r>
      <w:r w:rsidR="00791B81" w:rsidRPr="007A4FF3">
        <w:rPr>
          <w:color w:val="000000" w:themeColor="text1"/>
        </w:rPr>
        <w:t xml:space="preserve"> </w:t>
      </w:r>
      <w:r w:rsidR="00D31CAD" w:rsidRPr="007A4FF3">
        <w:rPr>
          <w:color w:val="000000" w:themeColor="text1"/>
        </w:rPr>
        <w:t>seeks to produce a</w:t>
      </w:r>
      <w:r w:rsidR="00353719" w:rsidRPr="007A4FF3">
        <w:rPr>
          <w:color w:val="000000" w:themeColor="text1"/>
        </w:rPr>
        <w:t xml:space="preserve"> </w:t>
      </w:r>
      <w:r w:rsidR="00190D1A" w:rsidRPr="007A4FF3">
        <w:rPr>
          <w:color w:val="000000" w:themeColor="text1"/>
        </w:rPr>
        <w:t xml:space="preserve">market and </w:t>
      </w:r>
      <w:r w:rsidR="00353719" w:rsidRPr="007A4FF3">
        <w:rPr>
          <w:color w:val="000000" w:themeColor="text1"/>
        </w:rPr>
        <w:t>customer</w:t>
      </w:r>
      <w:r w:rsidR="1A614F28" w:rsidRPr="007A4FF3">
        <w:rPr>
          <w:color w:val="000000" w:themeColor="text1"/>
        </w:rPr>
        <w:t>-</w:t>
      </w:r>
      <w:r w:rsidR="00353719" w:rsidRPr="007A4FF3">
        <w:rPr>
          <w:color w:val="000000" w:themeColor="text1"/>
        </w:rPr>
        <w:t xml:space="preserve">driven </w:t>
      </w:r>
      <w:r w:rsidR="00BD56C9" w:rsidRPr="007A4FF3">
        <w:rPr>
          <w:color w:val="000000" w:themeColor="text1"/>
        </w:rPr>
        <w:t xml:space="preserve">process designed to take advantage of </w:t>
      </w:r>
      <w:r w:rsidR="00D31CAD" w:rsidRPr="007A4FF3">
        <w:rPr>
          <w:color w:val="000000" w:themeColor="text1"/>
        </w:rPr>
        <w:t xml:space="preserve">changing conditions </w:t>
      </w:r>
      <w:r w:rsidR="000205D9" w:rsidRPr="007A4FF3">
        <w:rPr>
          <w:color w:val="000000" w:themeColor="text1"/>
        </w:rPr>
        <w:t xml:space="preserve">and </w:t>
      </w:r>
      <w:r w:rsidR="7212D63E" w:rsidRPr="007A4FF3">
        <w:rPr>
          <w:color w:val="000000" w:themeColor="text1"/>
        </w:rPr>
        <w:t>technological</w:t>
      </w:r>
      <w:r w:rsidR="00FE311E" w:rsidRPr="007A4FF3">
        <w:rPr>
          <w:color w:val="000000" w:themeColor="text1"/>
        </w:rPr>
        <w:t xml:space="preserve"> </w:t>
      </w:r>
      <w:r w:rsidR="00190D1A" w:rsidRPr="007A4FF3">
        <w:rPr>
          <w:color w:val="000000" w:themeColor="text1"/>
        </w:rPr>
        <w:t>advances</w:t>
      </w:r>
      <w:r w:rsidR="00FE311E" w:rsidRPr="007A4FF3">
        <w:rPr>
          <w:color w:val="000000" w:themeColor="text1"/>
        </w:rPr>
        <w:t xml:space="preserve"> </w:t>
      </w:r>
      <w:r w:rsidR="00C26779" w:rsidRPr="007A4FF3">
        <w:rPr>
          <w:color w:val="000000" w:themeColor="text1"/>
        </w:rPr>
        <w:t>to</w:t>
      </w:r>
      <w:r w:rsidR="00722AA3" w:rsidRPr="007A4FF3">
        <w:rPr>
          <w:color w:val="000000" w:themeColor="text1"/>
        </w:rPr>
        <w:t xml:space="preserve"> deliver maximum customer benefits.</w:t>
      </w:r>
    </w:p>
    <w:p w14:paraId="41F501E1" w14:textId="70E5649B" w:rsidR="00A566CD" w:rsidRDefault="00545B58" w:rsidP="00DC2CAF">
      <w:pPr>
        <w:pStyle w:val="Heading2"/>
      </w:pPr>
      <w:bookmarkStart w:id="55" w:name="_Toc189122775"/>
      <w:r>
        <w:t>8</w:t>
      </w:r>
      <w:r w:rsidR="004E56A5">
        <w:t>.1</w:t>
      </w:r>
      <w:r w:rsidR="00200490">
        <w:t>2</w:t>
      </w:r>
      <w:r w:rsidR="004E56A5">
        <w:t xml:space="preserve"> – </w:t>
      </w:r>
      <w:r w:rsidR="00BB3F89">
        <w:t>Nuclear</w:t>
      </w:r>
      <w:bookmarkEnd w:id="55"/>
    </w:p>
    <w:p w14:paraId="5BFA364B" w14:textId="364FAF67" w:rsidR="008E639B" w:rsidRPr="007A4FF3" w:rsidRDefault="008E639B" w:rsidP="006C32B6">
      <w:pPr>
        <w:jc w:val="both"/>
        <w:rPr>
          <w:color w:val="000000" w:themeColor="text1"/>
        </w:rPr>
      </w:pPr>
      <w:r w:rsidRPr="007A4FF3">
        <w:rPr>
          <w:color w:val="000000" w:themeColor="text1"/>
        </w:rPr>
        <w:t xml:space="preserve">With </w:t>
      </w:r>
      <w:r w:rsidR="002B0E29" w:rsidRPr="007A4FF3">
        <w:rPr>
          <w:color w:val="000000" w:themeColor="text1"/>
        </w:rPr>
        <w:t>Plant</w:t>
      </w:r>
      <w:r w:rsidRPr="007A4FF3">
        <w:rPr>
          <w:color w:val="000000" w:themeColor="text1"/>
        </w:rPr>
        <w:t xml:space="preserve"> Vogtle Unit</w:t>
      </w:r>
      <w:r w:rsidR="00965D0F" w:rsidRPr="007A4FF3">
        <w:rPr>
          <w:color w:val="000000" w:themeColor="text1"/>
        </w:rPr>
        <w:t>s</w:t>
      </w:r>
      <w:r w:rsidRPr="007A4FF3">
        <w:rPr>
          <w:color w:val="000000" w:themeColor="text1"/>
        </w:rPr>
        <w:t xml:space="preserve"> 3</w:t>
      </w:r>
      <w:r w:rsidR="000E489F" w:rsidRPr="007A4FF3">
        <w:rPr>
          <w:color w:val="000000" w:themeColor="text1"/>
        </w:rPr>
        <w:t>-4</w:t>
      </w:r>
      <w:r w:rsidRPr="007A4FF3">
        <w:rPr>
          <w:color w:val="000000" w:themeColor="text1"/>
        </w:rPr>
        <w:t xml:space="preserve"> </w:t>
      </w:r>
      <w:r w:rsidR="008246D9" w:rsidRPr="007A4FF3">
        <w:rPr>
          <w:color w:val="000000" w:themeColor="text1"/>
        </w:rPr>
        <w:t>achieving commercial operation</w:t>
      </w:r>
      <w:r w:rsidRPr="007A4FF3">
        <w:rPr>
          <w:color w:val="000000" w:themeColor="text1"/>
        </w:rPr>
        <w:t xml:space="preserve"> on July 31, 2023</w:t>
      </w:r>
      <w:r w:rsidR="00AE4D73" w:rsidRPr="007A4FF3">
        <w:rPr>
          <w:color w:val="000000" w:themeColor="text1"/>
        </w:rPr>
        <w:t>,</w:t>
      </w:r>
      <w:r w:rsidRPr="007A4FF3">
        <w:rPr>
          <w:color w:val="000000" w:themeColor="text1"/>
        </w:rPr>
        <w:t xml:space="preserve"> and </w:t>
      </w:r>
      <w:r w:rsidR="00CF2BA6" w:rsidRPr="007A4FF3">
        <w:rPr>
          <w:color w:val="000000" w:themeColor="text1"/>
        </w:rPr>
        <w:t>April 29</w:t>
      </w:r>
      <w:r w:rsidR="00CA3AB6" w:rsidRPr="007A4FF3">
        <w:rPr>
          <w:color w:val="000000" w:themeColor="text1"/>
        </w:rPr>
        <w:t>,</w:t>
      </w:r>
      <w:r w:rsidRPr="007A4FF3">
        <w:rPr>
          <w:color w:val="000000" w:themeColor="text1"/>
        </w:rPr>
        <w:t xml:space="preserve"> 2024,</w:t>
      </w:r>
      <w:r w:rsidR="008246D9" w:rsidRPr="007A4FF3">
        <w:rPr>
          <w:color w:val="000000" w:themeColor="text1"/>
        </w:rPr>
        <w:t xml:space="preserve"> respectively,</w:t>
      </w:r>
      <w:r w:rsidRPr="007A4FF3">
        <w:rPr>
          <w:color w:val="000000" w:themeColor="text1"/>
        </w:rPr>
        <w:t xml:space="preserve"> Georgia Power completed the nation’s first new nuclear generation units in over 30 years. Through the vision and support of the Commission, the Company’s leadership</w:t>
      </w:r>
      <w:r w:rsidR="00CA3AB6" w:rsidRPr="007A4FF3">
        <w:rPr>
          <w:color w:val="000000" w:themeColor="text1"/>
        </w:rPr>
        <w:t>,</w:t>
      </w:r>
      <w:r w:rsidRPr="007A4FF3">
        <w:rPr>
          <w:color w:val="000000" w:themeColor="text1"/>
        </w:rPr>
        <w:t xml:space="preserve"> and dedication of over 9,000 workers and 30 million manhours, </w:t>
      </w:r>
      <w:r w:rsidR="00480E14" w:rsidRPr="007A4FF3">
        <w:rPr>
          <w:color w:val="000000" w:themeColor="text1"/>
        </w:rPr>
        <w:t xml:space="preserve">Plant </w:t>
      </w:r>
      <w:r w:rsidRPr="007A4FF3">
        <w:rPr>
          <w:color w:val="000000" w:themeColor="text1"/>
        </w:rPr>
        <w:t xml:space="preserve">Vogtle </w:t>
      </w:r>
      <w:r w:rsidR="00965D0F" w:rsidRPr="007A4FF3">
        <w:rPr>
          <w:color w:val="000000" w:themeColor="text1"/>
        </w:rPr>
        <w:t xml:space="preserve">Units </w:t>
      </w:r>
      <w:r w:rsidRPr="007A4FF3">
        <w:rPr>
          <w:color w:val="000000" w:themeColor="text1"/>
        </w:rPr>
        <w:t>3</w:t>
      </w:r>
      <w:r w:rsidR="00961618" w:rsidRPr="007A4FF3">
        <w:rPr>
          <w:color w:val="000000" w:themeColor="text1"/>
        </w:rPr>
        <w:t>-</w:t>
      </w:r>
      <w:r w:rsidRPr="007A4FF3">
        <w:rPr>
          <w:color w:val="000000" w:themeColor="text1"/>
        </w:rPr>
        <w:t>4 are delivering over 2</w:t>
      </w:r>
      <w:r w:rsidR="009B593C" w:rsidRPr="007A4FF3">
        <w:rPr>
          <w:color w:val="000000" w:themeColor="text1"/>
        </w:rPr>
        <w:t>,</w:t>
      </w:r>
      <w:r w:rsidR="00CA3AB6" w:rsidRPr="007A4FF3">
        <w:rPr>
          <w:color w:val="000000" w:themeColor="text1"/>
        </w:rPr>
        <w:t xml:space="preserve">200 </w:t>
      </w:r>
      <w:r w:rsidR="009B593C" w:rsidRPr="007A4FF3">
        <w:rPr>
          <w:color w:val="000000" w:themeColor="text1"/>
        </w:rPr>
        <w:t>MW</w:t>
      </w:r>
      <w:r w:rsidRPr="007A4FF3">
        <w:rPr>
          <w:color w:val="000000" w:themeColor="text1"/>
        </w:rPr>
        <w:t xml:space="preserve"> of clean, safe, </w:t>
      </w:r>
      <w:r w:rsidR="006B06B0" w:rsidRPr="007A4FF3">
        <w:rPr>
          <w:color w:val="000000" w:themeColor="text1"/>
        </w:rPr>
        <w:t>reliable</w:t>
      </w:r>
      <w:r w:rsidR="00CA3AB6" w:rsidRPr="007A4FF3">
        <w:rPr>
          <w:color w:val="000000" w:themeColor="text1"/>
        </w:rPr>
        <w:t>,</w:t>
      </w:r>
      <w:r w:rsidR="006B06B0" w:rsidRPr="007A4FF3">
        <w:rPr>
          <w:color w:val="000000" w:themeColor="text1"/>
        </w:rPr>
        <w:t xml:space="preserve"> </w:t>
      </w:r>
      <w:r w:rsidRPr="007A4FF3">
        <w:rPr>
          <w:color w:val="000000" w:themeColor="text1"/>
        </w:rPr>
        <w:t>and affordable baseload generation to a growing Georgia</w:t>
      </w:r>
      <w:r w:rsidR="0091512D" w:rsidRPr="007A4FF3">
        <w:rPr>
          <w:color w:val="000000" w:themeColor="text1"/>
        </w:rPr>
        <w:t>.</w:t>
      </w:r>
      <w:r w:rsidR="006B06B0" w:rsidRPr="007A4FF3">
        <w:rPr>
          <w:color w:val="000000" w:themeColor="text1"/>
        </w:rPr>
        <w:t xml:space="preserve"> </w:t>
      </w:r>
      <w:r w:rsidR="008137CF" w:rsidRPr="007A4FF3">
        <w:rPr>
          <w:color w:val="000000" w:themeColor="text1"/>
        </w:rPr>
        <w:t>With the addition of Units 3</w:t>
      </w:r>
      <w:r w:rsidR="006265C7" w:rsidRPr="007A4FF3">
        <w:rPr>
          <w:color w:val="000000" w:themeColor="text1"/>
        </w:rPr>
        <w:t>-</w:t>
      </w:r>
      <w:r w:rsidR="008137CF" w:rsidRPr="007A4FF3">
        <w:rPr>
          <w:color w:val="000000" w:themeColor="text1"/>
        </w:rPr>
        <w:t xml:space="preserve">4, </w:t>
      </w:r>
      <w:r w:rsidR="006B06B0" w:rsidRPr="007A4FF3">
        <w:rPr>
          <w:color w:val="000000" w:themeColor="text1"/>
        </w:rPr>
        <w:t xml:space="preserve">Plant Vogtle is now the largest </w:t>
      </w:r>
      <w:r w:rsidR="00E37A8E" w:rsidRPr="007A4FF3">
        <w:rPr>
          <w:color w:val="000000" w:themeColor="text1"/>
        </w:rPr>
        <w:t xml:space="preserve">generator </w:t>
      </w:r>
      <w:r w:rsidR="006B06B0" w:rsidRPr="007A4FF3">
        <w:rPr>
          <w:color w:val="000000" w:themeColor="text1"/>
        </w:rPr>
        <w:t xml:space="preserve">of clean energy in </w:t>
      </w:r>
      <w:r w:rsidR="00226F2F" w:rsidRPr="007A4FF3">
        <w:rPr>
          <w:color w:val="000000" w:themeColor="text1"/>
        </w:rPr>
        <w:t xml:space="preserve">the </w:t>
      </w:r>
      <w:r w:rsidR="008137CF" w:rsidRPr="007A4FF3">
        <w:rPr>
          <w:color w:val="000000" w:themeColor="text1"/>
        </w:rPr>
        <w:t>U</w:t>
      </w:r>
      <w:r w:rsidR="001D3037" w:rsidRPr="007A4FF3">
        <w:rPr>
          <w:color w:val="000000" w:themeColor="text1"/>
        </w:rPr>
        <w:t>.S.</w:t>
      </w:r>
      <w:r w:rsidR="001D3037" w:rsidRPr="007A4FF3" w:rsidDel="001D3037">
        <w:rPr>
          <w:color w:val="000000" w:themeColor="text1"/>
        </w:rPr>
        <w:t xml:space="preserve"> </w:t>
      </w:r>
    </w:p>
    <w:p w14:paraId="4981D5E2" w14:textId="57799E05" w:rsidR="00077D77" w:rsidRPr="007A4FF3" w:rsidRDefault="003744E0" w:rsidP="006C32B6">
      <w:pPr>
        <w:jc w:val="both"/>
        <w:rPr>
          <w:color w:val="000000" w:themeColor="text1"/>
        </w:rPr>
      </w:pPr>
      <w:r w:rsidRPr="007A4FF3">
        <w:rPr>
          <w:color w:val="000000" w:themeColor="text1"/>
        </w:rPr>
        <w:t xml:space="preserve">The Company believes that additional nuclear power will be needed over the long-term to reliably and economically serve the energy needs of its customers. </w:t>
      </w:r>
      <w:r w:rsidR="00EF06B8" w:rsidRPr="007A4FF3">
        <w:rPr>
          <w:color w:val="000000" w:themeColor="text1"/>
        </w:rPr>
        <w:t>Nuclear plants provide resilient baseload power, ensuring a consistent and dependable energy supply without relying on just-in-time fuel deliveries. The fuel costs of operating a nuclear unit are relatively low compared to other energy sources, making it a cost-effective solution over the long term</w:t>
      </w:r>
      <w:r w:rsidR="001D3037" w:rsidRPr="007A4FF3">
        <w:rPr>
          <w:color w:val="000000" w:themeColor="text1"/>
        </w:rPr>
        <w:t>,</w:t>
      </w:r>
      <w:r w:rsidR="000F5912" w:rsidRPr="007A4FF3">
        <w:rPr>
          <w:color w:val="000000" w:themeColor="text1"/>
        </w:rPr>
        <w:t xml:space="preserve"> especially considering the long asset li</w:t>
      </w:r>
      <w:r w:rsidR="4FF10035" w:rsidRPr="007A4FF3">
        <w:rPr>
          <w:color w:val="000000" w:themeColor="text1"/>
        </w:rPr>
        <w:t>fe</w:t>
      </w:r>
      <w:r w:rsidR="000F5912" w:rsidRPr="007A4FF3">
        <w:rPr>
          <w:color w:val="000000" w:themeColor="text1"/>
        </w:rPr>
        <w:t xml:space="preserve"> of </w:t>
      </w:r>
      <w:r w:rsidR="30AC0CA1" w:rsidRPr="007A4FF3">
        <w:rPr>
          <w:color w:val="000000" w:themeColor="text1"/>
        </w:rPr>
        <w:t xml:space="preserve">a </w:t>
      </w:r>
      <w:r w:rsidR="000F5912" w:rsidRPr="007A4FF3">
        <w:rPr>
          <w:color w:val="000000" w:themeColor="text1"/>
        </w:rPr>
        <w:t>nuclear unit of 60</w:t>
      </w:r>
      <w:r w:rsidR="001D6640" w:rsidRPr="007A4FF3">
        <w:rPr>
          <w:color w:val="000000" w:themeColor="text1"/>
        </w:rPr>
        <w:t xml:space="preserve"> to </w:t>
      </w:r>
      <w:r w:rsidR="000F5912" w:rsidRPr="007A4FF3">
        <w:rPr>
          <w:color w:val="000000" w:themeColor="text1"/>
        </w:rPr>
        <w:t>80 years</w:t>
      </w:r>
      <w:r w:rsidR="00EF06B8" w:rsidRPr="007A4FF3">
        <w:rPr>
          <w:color w:val="000000" w:themeColor="text1"/>
        </w:rPr>
        <w:t>. This</w:t>
      </w:r>
      <w:r w:rsidR="005C0383" w:rsidRPr="007A4FF3">
        <w:rPr>
          <w:color w:val="000000" w:themeColor="text1"/>
        </w:rPr>
        <w:t xml:space="preserve"> benefits the</w:t>
      </w:r>
      <w:r w:rsidR="000A54E5" w:rsidRPr="007A4FF3">
        <w:rPr>
          <w:color w:val="000000" w:themeColor="text1"/>
        </w:rPr>
        <w:t xml:space="preserve"> fuel diversity</w:t>
      </w:r>
      <w:r w:rsidR="005C0383" w:rsidRPr="007A4FF3">
        <w:rPr>
          <w:color w:val="000000" w:themeColor="text1"/>
        </w:rPr>
        <w:t xml:space="preserve"> of the generation fleet</w:t>
      </w:r>
      <w:r w:rsidR="00EF06B8" w:rsidRPr="007A4FF3">
        <w:rPr>
          <w:color w:val="000000" w:themeColor="text1"/>
        </w:rPr>
        <w:t xml:space="preserve"> </w:t>
      </w:r>
      <w:r w:rsidR="009340E3" w:rsidRPr="007A4FF3">
        <w:rPr>
          <w:color w:val="000000" w:themeColor="text1"/>
        </w:rPr>
        <w:t>and</w:t>
      </w:r>
      <w:r w:rsidR="000A54E5" w:rsidRPr="007A4FF3">
        <w:rPr>
          <w:color w:val="000000" w:themeColor="text1"/>
        </w:rPr>
        <w:t xml:space="preserve"> plays a significant role in stabilizing fuel prices and dampening the risk of price fluctuations. </w:t>
      </w:r>
    </w:p>
    <w:p w14:paraId="0DCEA51D" w14:textId="7E5383F8" w:rsidR="00060695" w:rsidRPr="007A4FF3" w:rsidRDefault="00060695" w:rsidP="00026357">
      <w:pPr>
        <w:jc w:val="both"/>
        <w:rPr>
          <w:color w:val="000000" w:themeColor="text1"/>
        </w:rPr>
      </w:pPr>
      <w:r w:rsidRPr="007A4FF3">
        <w:rPr>
          <w:color w:val="000000" w:themeColor="text1"/>
        </w:rPr>
        <w:t>Similarly, nuclear power provides a long-term pathway to reduce carbon</w:t>
      </w:r>
      <w:r w:rsidR="00826141" w:rsidRPr="007A4FF3">
        <w:rPr>
          <w:color w:val="000000" w:themeColor="text1"/>
        </w:rPr>
        <w:t xml:space="preserve"> </w:t>
      </w:r>
      <w:r w:rsidRPr="007A4FF3">
        <w:rPr>
          <w:color w:val="000000" w:themeColor="text1"/>
        </w:rPr>
        <w:t xml:space="preserve">emissions and mitigate the cost pressures that </w:t>
      </w:r>
      <w:r w:rsidR="00367071" w:rsidRPr="007A4FF3">
        <w:rPr>
          <w:color w:val="000000" w:themeColor="text1"/>
        </w:rPr>
        <w:t xml:space="preserve">potential future </w:t>
      </w:r>
      <w:r w:rsidRPr="007A4FF3">
        <w:rPr>
          <w:color w:val="000000" w:themeColor="text1"/>
        </w:rPr>
        <w:t xml:space="preserve">environmental regulations </w:t>
      </w:r>
      <w:r w:rsidR="00367071" w:rsidRPr="007A4FF3">
        <w:rPr>
          <w:color w:val="000000" w:themeColor="text1"/>
        </w:rPr>
        <w:t>could impose on</w:t>
      </w:r>
      <w:r w:rsidRPr="007A4FF3">
        <w:rPr>
          <w:color w:val="000000" w:themeColor="text1"/>
        </w:rPr>
        <w:t xml:space="preserve"> the </w:t>
      </w:r>
      <w:r w:rsidR="00F30D7F" w:rsidRPr="007A4FF3">
        <w:rPr>
          <w:color w:val="000000" w:themeColor="text1"/>
        </w:rPr>
        <w:t xml:space="preserve">existing </w:t>
      </w:r>
      <w:r w:rsidRPr="007A4FF3">
        <w:rPr>
          <w:color w:val="000000" w:themeColor="text1"/>
        </w:rPr>
        <w:t>fossil-fired fleet</w:t>
      </w:r>
      <w:r w:rsidR="00367071" w:rsidRPr="007A4FF3">
        <w:rPr>
          <w:color w:val="000000" w:themeColor="text1"/>
        </w:rPr>
        <w:t xml:space="preserve"> and future </w:t>
      </w:r>
      <w:r w:rsidR="00F30D7F" w:rsidRPr="007A4FF3">
        <w:rPr>
          <w:color w:val="000000" w:themeColor="text1"/>
        </w:rPr>
        <w:t>new fossil resources</w:t>
      </w:r>
      <w:r w:rsidRPr="007A4FF3">
        <w:rPr>
          <w:color w:val="000000" w:themeColor="text1"/>
        </w:rPr>
        <w:t>. Environmental regulation, like the 111 GHG Rules, can impact fossil-fired generation operations and economic benefit through added costs or production limits. In some cases, these cost pressures can drive unit retirements when other generation types or fuels become better options. To that exten</w:t>
      </w:r>
      <w:r w:rsidR="5E4D140E" w:rsidRPr="007A4FF3">
        <w:rPr>
          <w:color w:val="000000" w:themeColor="text1"/>
        </w:rPr>
        <w:t>t</w:t>
      </w:r>
      <w:r w:rsidRPr="007A4FF3">
        <w:rPr>
          <w:color w:val="000000" w:themeColor="text1"/>
        </w:rPr>
        <w:t xml:space="preserve">, nuclear generation is </w:t>
      </w:r>
      <w:r w:rsidR="00826141" w:rsidRPr="007A4FF3">
        <w:rPr>
          <w:color w:val="000000" w:themeColor="text1"/>
        </w:rPr>
        <w:t>a</w:t>
      </w:r>
      <w:r w:rsidRPr="007A4FF3">
        <w:rPr>
          <w:color w:val="000000" w:themeColor="text1"/>
        </w:rPr>
        <w:t xml:space="preserve"> viable long-term replacement to fossil-fired baseload resources as it hedges regulatory risk and positions the Company for a low-carbon emissions future.</w:t>
      </w:r>
    </w:p>
    <w:p w14:paraId="36B6A323" w14:textId="691542F0" w:rsidR="008E639B" w:rsidRPr="007A4FF3" w:rsidRDefault="006B7535" w:rsidP="006C32B6">
      <w:pPr>
        <w:jc w:val="both"/>
        <w:rPr>
          <w:color w:val="000000" w:themeColor="text1"/>
        </w:rPr>
      </w:pPr>
      <w:bookmarkStart w:id="56" w:name="_Hlk183529013"/>
      <w:r w:rsidRPr="007A4FF3">
        <w:rPr>
          <w:color w:val="000000" w:themeColor="text1"/>
        </w:rPr>
        <w:t>As discus</w:t>
      </w:r>
      <w:r w:rsidR="00E246C8" w:rsidRPr="007A4FF3">
        <w:rPr>
          <w:color w:val="000000" w:themeColor="text1"/>
        </w:rPr>
        <w:t>sed in Chapter 3,</w:t>
      </w:r>
      <w:r w:rsidR="00077D77" w:rsidRPr="007A4FF3">
        <w:rPr>
          <w:color w:val="000000" w:themeColor="text1"/>
        </w:rPr>
        <w:t xml:space="preserve"> the </w:t>
      </w:r>
      <w:r w:rsidR="00E246C8" w:rsidRPr="007A4FF3">
        <w:rPr>
          <w:color w:val="000000" w:themeColor="text1"/>
        </w:rPr>
        <w:t>Company develops multiple views</w:t>
      </w:r>
      <w:r w:rsidR="00077D77" w:rsidRPr="007A4FF3">
        <w:rPr>
          <w:color w:val="000000" w:themeColor="text1"/>
        </w:rPr>
        <w:t xml:space="preserve"> of </w:t>
      </w:r>
      <w:r w:rsidR="00E246C8" w:rsidRPr="007A4FF3">
        <w:rPr>
          <w:color w:val="000000" w:themeColor="text1"/>
        </w:rPr>
        <w:t>future cost and performance</w:t>
      </w:r>
      <w:r w:rsidR="00077D77" w:rsidRPr="007A4FF3">
        <w:rPr>
          <w:color w:val="000000" w:themeColor="text1"/>
        </w:rPr>
        <w:t xml:space="preserve"> of </w:t>
      </w:r>
      <w:r w:rsidR="00E246C8" w:rsidRPr="007A4FF3">
        <w:rPr>
          <w:color w:val="000000" w:themeColor="text1"/>
        </w:rPr>
        <w:t>generating technologies</w:t>
      </w:r>
      <w:r w:rsidR="00B83190" w:rsidRPr="007A4FF3">
        <w:rPr>
          <w:color w:val="000000" w:themeColor="text1"/>
        </w:rPr>
        <w:t>,</w:t>
      </w:r>
      <w:r w:rsidR="00E246C8" w:rsidRPr="007A4FF3">
        <w:rPr>
          <w:color w:val="000000" w:themeColor="text1"/>
        </w:rPr>
        <w:t xml:space="preserve"> </w:t>
      </w:r>
      <w:r w:rsidR="00B83190" w:rsidRPr="007A4FF3">
        <w:rPr>
          <w:color w:val="000000" w:themeColor="text1"/>
        </w:rPr>
        <w:t>multiple views of future electricity consumption, and multiple views of the future price of fuels</w:t>
      </w:r>
      <w:r w:rsidR="00077D77" w:rsidRPr="007A4FF3">
        <w:rPr>
          <w:color w:val="000000" w:themeColor="text1"/>
        </w:rPr>
        <w:t xml:space="preserve"> to </w:t>
      </w:r>
      <w:r w:rsidR="00B83190" w:rsidRPr="007A4FF3">
        <w:rPr>
          <w:color w:val="000000" w:themeColor="text1"/>
        </w:rPr>
        <w:t>support expansion planning for future years of need.</w:t>
      </w:r>
      <w:r w:rsidR="008B54A1" w:rsidRPr="007A4FF3">
        <w:rPr>
          <w:color w:val="000000" w:themeColor="text1"/>
        </w:rPr>
        <w:t xml:space="preserve"> </w:t>
      </w:r>
      <w:r w:rsidR="00123179" w:rsidRPr="007A4FF3">
        <w:rPr>
          <w:color w:val="000000" w:themeColor="text1"/>
        </w:rPr>
        <w:t>Accordingly</w:t>
      </w:r>
      <w:r w:rsidR="0041755A" w:rsidRPr="007A4FF3">
        <w:rPr>
          <w:color w:val="000000" w:themeColor="text1"/>
        </w:rPr>
        <w:t>,</w:t>
      </w:r>
      <w:r w:rsidR="00123179" w:rsidRPr="007A4FF3">
        <w:rPr>
          <w:color w:val="000000" w:themeColor="text1"/>
        </w:rPr>
        <w:t xml:space="preserve"> B</w:t>
      </w:r>
      <w:r w:rsidR="006F0A94" w:rsidRPr="007A4FF3">
        <w:rPr>
          <w:color w:val="000000" w:themeColor="text1"/>
        </w:rPr>
        <w:t>2025</w:t>
      </w:r>
      <w:r w:rsidR="0041755A" w:rsidRPr="007A4FF3">
        <w:rPr>
          <w:color w:val="000000" w:themeColor="text1"/>
        </w:rPr>
        <w:t xml:space="preserve"> scenarios select </w:t>
      </w:r>
      <w:r w:rsidR="008B54A1" w:rsidRPr="007A4FF3">
        <w:rPr>
          <w:color w:val="000000" w:themeColor="text1"/>
        </w:rPr>
        <w:t xml:space="preserve">nuclear generation </w:t>
      </w:r>
      <w:r w:rsidR="00077D77" w:rsidRPr="007A4FF3">
        <w:rPr>
          <w:color w:val="000000" w:themeColor="text1"/>
        </w:rPr>
        <w:t xml:space="preserve">in </w:t>
      </w:r>
      <w:r w:rsidR="00277D8F" w:rsidRPr="007A4FF3">
        <w:rPr>
          <w:color w:val="000000" w:themeColor="text1"/>
        </w:rPr>
        <w:t>six</w:t>
      </w:r>
      <w:r w:rsidR="00077D77" w:rsidRPr="007A4FF3">
        <w:rPr>
          <w:color w:val="000000" w:themeColor="text1"/>
        </w:rPr>
        <w:t xml:space="preserve"> of </w:t>
      </w:r>
      <w:r w:rsidR="00277D8F" w:rsidRPr="007A4FF3">
        <w:rPr>
          <w:color w:val="000000" w:themeColor="text1"/>
        </w:rPr>
        <w:t>nine</w:t>
      </w:r>
      <w:r w:rsidR="00077D77" w:rsidRPr="007A4FF3">
        <w:rPr>
          <w:color w:val="000000" w:themeColor="text1"/>
        </w:rPr>
        <w:t xml:space="preserve"> scenarios </w:t>
      </w:r>
      <w:r w:rsidR="5728070F" w:rsidRPr="007A4FF3">
        <w:rPr>
          <w:color w:val="000000" w:themeColor="text1"/>
        </w:rPr>
        <w:t xml:space="preserve">over the 20-year planning horizon </w:t>
      </w:r>
      <w:r w:rsidR="00077D77" w:rsidRPr="007A4FF3">
        <w:rPr>
          <w:color w:val="000000" w:themeColor="text1"/>
        </w:rPr>
        <w:t xml:space="preserve">and </w:t>
      </w:r>
      <w:r w:rsidR="3317CAB7" w:rsidRPr="007A4FF3">
        <w:rPr>
          <w:color w:val="000000" w:themeColor="text1"/>
        </w:rPr>
        <w:t>as early as</w:t>
      </w:r>
      <w:r w:rsidR="00077D77" w:rsidRPr="007A4FF3">
        <w:rPr>
          <w:color w:val="000000" w:themeColor="text1"/>
        </w:rPr>
        <w:t xml:space="preserve"> 2037. </w:t>
      </w:r>
      <w:r w:rsidR="008E639B" w:rsidRPr="007A4FF3">
        <w:rPr>
          <w:color w:val="000000" w:themeColor="text1"/>
        </w:rPr>
        <w:t xml:space="preserve">Carbon pressure, natural gas firm transportation, and carbon capture and sequestration constraints are considerations in the amount of potential nuclear generation that could be economically beneficial for customers. </w:t>
      </w:r>
    </w:p>
    <w:bookmarkEnd w:id="56"/>
    <w:p w14:paraId="0DD41BE5" w14:textId="20BBB147" w:rsidR="009E3E83" w:rsidRPr="007A4FF3" w:rsidRDefault="00A52088" w:rsidP="006C32B6">
      <w:pPr>
        <w:jc w:val="both"/>
        <w:rPr>
          <w:color w:val="000000" w:themeColor="text1"/>
        </w:rPr>
      </w:pPr>
      <w:r w:rsidRPr="007A4FF3">
        <w:rPr>
          <w:color w:val="000000" w:themeColor="text1"/>
        </w:rPr>
        <w:t xml:space="preserve">Even with new </w:t>
      </w:r>
      <w:r w:rsidR="007F6BA6" w:rsidRPr="007A4FF3">
        <w:rPr>
          <w:color w:val="000000" w:themeColor="text1"/>
        </w:rPr>
        <w:t>nuclear</w:t>
      </w:r>
      <w:r w:rsidR="00FF349C" w:rsidRPr="007A4FF3">
        <w:rPr>
          <w:color w:val="000000" w:themeColor="text1"/>
        </w:rPr>
        <w:t xml:space="preserve"> generation</w:t>
      </w:r>
      <w:r w:rsidR="007F6BA6" w:rsidRPr="007A4FF3">
        <w:rPr>
          <w:color w:val="000000" w:themeColor="text1"/>
        </w:rPr>
        <w:t>’s</w:t>
      </w:r>
      <w:r w:rsidRPr="007A4FF3">
        <w:rPr>
          <w:color w:val="000000" w:themeColor="text1"/>
        </w:rPr>
        <w:t xml:space="preserve"> </w:t>
      </w:r>
      <w:r w:rsidR="00305473" w:rsidRPr="007A4FF3">
        <w:rPr>
          <w:color w:val="000000" w:themeColor="text1"/>
        </w:rPr>
        <w:t xml:space="preserve">numerous </w:t>
      </w:r>
      <w:r w:rsidR="005404F2" w:rsidRPr="007A4FF3">
        <w:rPr>
          <w:color w:val="000000" w:themeColor="text1"/>
        </w:rPr>
        <w:t xml:space="preserve">benefits, undertaking the construction of new nuclear </w:t>
      </w:r>
      <w:r w:rsidR="00826141" w:rsidRPr="007A4FF3">
        <w:rPr>
          <w:color w:val="000000" w:themeColor="text1"/>
        </w:rPr>
        <w:t xml:space="preserve">generation </w:t>
      </w:r>
      <w:r w:rsidR="005404F2" w:rsidRPr="007A4FF3">
        <w:rPr>
          <w:color w:val="000000" w:themeColor="text1"/>
        </w:rPr>
        <w:t>carries substantial risks for all stakeholders involved</w:t>
      </w:r>
      <w:r w:rsidR="00531F2B" w:rsidRPr="007A4FF3">
        <w:rPr>
          <w:color w:val="000000" w:themeColor="text1"/>
        </w:rPr>
        <w:t xml:space="preserve">. Before </w:t>
      </w:r>
      <w:r w:rsidR="00842F42" w:rsidRPr="007A4FF3">
        <w:rPr>
          <w:color w:val="000000" w:themeColor="text1"/>
        </w:rPr>
        <w:t>proposing</w:t>
      </w:r>
      <w:r w:rsidR="004C5B89" w:rsidRPr="007A4FF3">
        <w:rPr>
          <w:color w:val="000000" w:themeColor="text1"/>
        </w:rPr>
        <w:t xml:space="preserve"> additional new nuclear generation, the Company believes that </w:t>
      </w:r>
      <w:r w:rsidR="00CE7E3B" w:rsidRPr="007A4FF3">
        <w:rPr>
          <w:color w:val="000000" w:themeColor="text1"/>
        </w:rPr>
        <w:t xml:space="preserve">solutions must be developed to </w:t>
      </w:r>
      <w:r w:rsidR="00135BEA" w:rsidRPr="007A4FF3">
        <w:rPr>
          <w:color w:val="000000" w:themeColor="text1"/>
        </w:rPr>
        <w:t>adequately balance and mit</w:t>
      </w:r>
      <w:r w:rsidR="0058120D" w:rsidRPr="007A4FF3">
        <w:rPr>
          <w:color w:val="000000" w:themeColor="text1"/>
        </w:rPr>
        <w:t xml:space="preserve">igate risks to stakeholders. </w:t>
      </w:r>
      <w:r w:rsidR="00B22C68" w:rsidRPr="007A4FF3">
        <w:rPr>
          <w:color w:val="000000" w:themeColor="text1"/>
        </w:rPr>
        <w:t>The risks and</w:t>
      </w:r>
      <w:r w:rsidR="009E3E83" w:rsidRPr="007A4FF3">
        <w:rPr>
          <w:color w:val="000000" w:themeColor="text1"/>
        </w:rPr>
        <w:t xml:space="preserve"> challenges to the development of new nuclear projects </w:t>
      </w:r>
      <w:r w:rsidR="00C11B29" w:rsidRPr="007A4FF3">
        <w:rPr>
          <w:color w:val="000000" w:themeColor="text1"/>
        </w:rPr>
        <w:t>are well known and documen</w:t>
      </w:r>
      <w:r w:rsidR="007B0B98" w:rsidRPr="007A4FF3">
        <w:rPr>
          <w:color w:val="000000" w:themeColor="text1"/>
        </w:rPr>
        <w:t xml:space="preserve">ted </w:t>
      </w:r>
      <w:r w:rsidR="00717B60" w:rsidRPr="007A4FF3">
        <w:rPr>
          <w:color w:val="000000" w:themeColor="text1"/>
        </w:rPr>
        <w:t xml:space="preserve">and </w:t>
      </w:r>
      <w:r w:rsidR="00273175" w:rsidRPr="007A4FF3">
        <w:rPr>
          <w:color w:val="000000" w:themeColor="text1"/>
        </w:rPr>
        <w:t xml:space="preserve">include </w:t>
      </w:r>
      <w:r w:rsidR="009E3E83" w:rsidRPr="007A4FF3">
        <w:rPr>
          <w:color w:val="000000" w:themeColor="text1"/>
        </w:rPr>
        <w:t xml:space="preserve">the large initial investment, construction </w:t>
      </w:r>
      <w:r w:rsidR="002E1763" w:rsidRPr="007A4FF3">
        <w:rPr>
          <w:color w:val="000000" w:themeColor="text1"/>
        </w:rPr>
        <w:t>cost</w:t>
      </w:r>
      <w:r w:rsidR="009E3E83" w:rsidRPr="007A4FF3">
        <w:rPr>
          <w:color w:val="000000" w:themeColor="text1"/>
        </w:rPr>
        <w:t xml:space="preserve"> and </w:t>
      </w:r>
      <w:r w:rsidR="002E1763" w:rsidRPr="007A4FF3">
        <w:rPr>
          <w:color w:val="000000" w:themeColor="text1"/>
        </w:rPr>
        <w:t>schedule</w:t>
      </w:r>
      <w:r w:rsidR="00ED30F0" w:rsidRPr="007A4FF3">
        <w:rPr>
          <w:color w:val="000000" w:themeColor="text1"/>
        </w:rPr>
        <w:t xml:space="preserve"> </w:t>
      </w:r>
      <w:r w:rsidR="009E3E83" w:rsidRPr="007A4FF3">
        <w:rPr>
          <w:color w:val="000000" w:themeColor="text1"/>
        </w:rPr>
        <w:t>risk</w:t>
      </w:r>
      <w:r w:rsidR="00ED30F0" w:rsidRPr="007A4FF3">
        <w:rPr>
          <w:color w:val="000000" w:themeColor="text1"/>
        </w:rPr>
        <w:t>s</w:t>
      </w:r>
      <w:r w:rsidR="009E3E83" w:rsidRPr="007A4FF3">
        <w:rPr>
          <w:color w:val="000000" w:themeColor="text1"/>
        </w:rPr>
        <w:t xml:space="preserve">, </w:t>
      </w:r>
      <w:r w:rsidR="00271FC5" w:rsidRPr="007A4FF3">
        <w:rPr>
          <w:color w:val="000000" w:themeColor="text1"/>
        </w:rPr>
        <w:t>as well as</w:t>
      </w:r>
      <w:r w:rsidR="004354D4" w:rsidRPr="007A4FF3">
        <w:rPr>
          <w:color w:val="000000" w:themeColor="text1"/>
        </w:rPr>
        <w:t xml:space="preserve"> the substantial</w:t>
      </w:r>
      <w:r w:rsidR="00271FC5" w:rsidRPr="007A4FF3">
        <w:rPr>
          <w:color w:val="000000" w:themeColor="text1"/>
        </w:rPr>
        <w:t xml:space="preserve"> </w:t>
      </w:r>
      <w:r w:rsidR="009E3E83" w:rsidRPr="007A4FF3">
        <w:rPr>
          <w:color w:val="000000" w:themeColor="text1"/>
        </w:rPr>
        <w:t xml:space="preserve">credit </w:t>
      </w:r>
      <w:r w:rsidR="003379A1" w:rsidRPr="007A4FF3">
        <w:rPr>
          <w:color w:val="000000" w:themeColor="text1"/>
        </w:rPr>
        <w:t xml:space="preserve">quality </w:t>
      </w:r>
      <w:r w:rsidR="009E3E83" w:rsidRPr="007A4FF3">
        <w:rPr>
          <w:color w:val="000000" w:themeColor="text1"/>
        </w:rPr>
        <w:t>impacts</w:t>
      </w:r>
      <w:r w:rsidR="005D5171" w:rsidRPr="007A4FF3">
        <w:rPr>
          <w:color w:val="000000" w:themeColor="text1"/>
        </w:rPr>
        <w:t xml:space="preserve"> to the </w:t>
      </w:r>
      <w:r w:rsidR="00212A57" w:rsidRPr="007A4FF3">
        <w:rPr>
          <w:color w:val="000000" w:themeColor="text1"/>
        </w:rPr>
        <w:t xml:space="preserve">sponsors </w:t>
      </w:r>
      <w:r w:rsidR="00E027BE" w:rsidRPr="007A4FF3">
        <w:rPr>
          <w:color w:val="000000" w:themeColor="text1"/>
        </w:rPr>
        <w:t>of the project</w:t>
      </w:r>
      <w:r w:rsidR="009E3E83" w:rsidRPr="007A4FF3">
        <w:rPr>
          <w:color w:val="000000" w:themeColor="text1"/>
        </w:rPr>
        <w:t>.</w:t>
      </w:r>
      <w:r w:rsidR="00FF4EF2" w:rsidRPr="007A4FF3">
        <w:rPr>
          <w:color w:val="000000" w:themeColor="text1"/>
        </w:rPr>
        <w:t xml:space="preserve"> </w:t>
      </w:r>
      <w:r w:rsidR="00A64230" w:rsidRPr="007A4FF3">
        <w:rPr>
          <w:color w:val="000000" w:themeColor="text1"/>
        </w:rPr>
        <w:t>T</w:t>
      </w:r>
      <w:r w:rsidR="00A55CEC" w:rsidRPr="007A4FF3">
        <w:rPr>
          <w:color w:val="000000" w:themeColor="text1"/>
        </w:rPr>
        <w:t>he Compan</w:t>
      </w:r>
      <w:r w:rsidR="002E6998" w:rsidRPr="007A4FF3">
        <w:rPr>
          <w:color w:val="000000" w:themeColor="text1"/>
        </w:rPr>
        <w:t xml:space="preserve">y’s </w:t>
      </w:r>
      <w:r w:rsidR="002F1945" w:rsidRPr="007A4FF3">
        <w:rPr>
          <w:color w:val="000000" w:themeColor="text1"/>
        </w:rPr>
        <w:t xml:space="preserve">experience </w:t>
      </w:r>
      <w:r w:rsidR="00BC257C" w:rsidRPr="007A4FF3">
        <w:rPr>
          <w:color w:val="000000" w:themeColor="text1"/>
        </w:rPr>
        <w:t xml:space="preserve">completing </w:t>
      </w:r>
      <w:r w:rsidR="00470C88" w:rsidRPr="007A4FF3">
        <w:rPr>
          <w:color w:val="000000" w:themeColor="text1"/>
        </w:rPr>
        <w:t>Vogtle Units</w:t>
      </w:r>
      <w:r w:rsidR="00216407" w:rsidRPr="007A4FF3">
        <w:rPr>
          <w:color w:val="000000" w:themeColor="text1"/>
        </w:rPr>
        <w:t xml:space="preserve"> 3</w:t>
      </w:r>
      <w:r w:rsidR="003D1D26" w:rsidRPr="007A4FF3">
        <w:rPr>
          <w:color w:val="000000" w:themeColor="text1"/>
        </w:rPr>
        <w:t>-</w:t>
      </w:r>
      <w:r w:rsidR="00810432" w:rsidRPr="007A4FF3">
        <w:rPr>
          <w:color w:val="000000" w:themeColor="text1"/>
        </w:rPr>
        <w:t>4</w:t>
      </w:r>
      <w:r w:rsidR="00EE1A7A" w:rsidRPr="007A4FF3">
        <w:rPr>
          <w:color w:val="000000" w:themeColor="text1"/>
        </w:rPr>
        <w:t xml:space="preserve"> </w:t>
      </w:r>
      <w:r w:rsidR="00DC14EE" w:rsidRPr="007A4FF3">
        <w:rPr>
          <w:color w:val="000000" w:themeColor="text1"/>
        </w:rPr>
        <w:t xml:space="preserve">positions </w:t>
      </w:r>
      <w:r w:rsidR="00EE1A7A" w:rsidRPr="007A4FF3">
        <w:rPr>
          <w:color w:val="000000" w:themeColor="text1"/>
        </w:rPr>
        <w:t>the</w:t>
      </w:r>
      <w:r w:rsidR="00A24514" w:rsidRPr="007A4FF3">
        <w:rPr>
          <w:color w:val="000000" w:themeColor="text1"/>
        </w:rPr>
        <w:t xml:space="preserve"> Company </w:t>
      </w:r>
      <w:r w:rsidR="00D018A7" w:rsidRPr="007A4FF3">
        <w:rPr>
          <w:color w:val="000000" w:themeColor="text1"/>
        </w:rPr>
        <w:t xml:space="preserve">well </w:t>
      </w:r>
      <w:r w:rsidR="00901BEE" w:rsidRPr="007A4FF3">
        <w:rPr>
          <w:color w:val="000000" w:themeColor="text1"/>
        </w:rPr>
        <w:t xml:space="preserve">to be actively </w:t>
      </w:r>
      <w:r w:rsidR="00901BEE" w:rsidRPr="007A4FF3">
        <w:rPr>
          <w:color w:val="000000" w:themeColor="text1"/>
        </w:rPr>
        <w:lastRenderedPageBreak/>
        <w:t xml:space="preserve">engaged </w:t>
      </w:r>
      <w:r w:rsidR="00412A75" w:rsidRPr="007A4FF3">
        <w:rPr>
          <w:color w:val="000000" w:themeColor="text1"/>
        </w:rPr>
        <w:t xml:space="preserve">with state, local, </w:t>
      </w:r>
      <w:r w:rsidR="00B30BC6" w:rsidRPr="007A4FF3">
        <w:rPr>
          <w:color w:val="000000" w:themeColor="text1"/>
        </w:rPr>
        <w:t xml:space="preserve">federal, and customer stakeholders in efforts to address </w:t>
      </w:r>
      <w:r w:rsidR="00C32D1A" w:rsidRPr="007A4FF3">
        <w:rPr>
          <w:color w:val="000000" w:themeColor="text1"/>
        </w:rPr>
        <w:t xml:space="preserve">risks associated </w:t>
      </w:r>
      <w:r w:rsidR="003F017B" w:rsidRPr="007A4FF3">
        <w:rPr>
          <w:color w:val="000000" w:themeColor="text1"/>
        </w:rPr>
        <w:t>with new nuclear construction.</w:t>
      </w:r>
      <w:r w:rsidR="003F017B">
        <w:rPr>
          <w:color w:val="000000" w:themeColor="text1"/>
        </w:rPr>
        <w:t xml:space="preserve"> </w:t>
      </w:r>
    </w:p>
    <w:p w14:paraId="18A673EA" w14:textId="4363E151" w:rsidR="003366DE" w:rsidRDefault="006259ED" w:rsidP="00BF44DE">
      <w:pPr>
        <w:jc w:val="both"/>
      </w:pPr>
      <w:r w:rsidRPr="007A4FF3">
        <w:rPr>
          <w:color w:val="000000" w:themeColor="text1"/>
        </w:rPr>
        <w:t>Preserving viable new nuclear generation options for the benefit of customers is a priority for the Company. Accordingly, the Company continues to perform in-depth assessments of potential project sites, evaluate available and emerging technologies, and engage with stakeholders in developing improved methods to deploy new nuclear generation projects. Over the long term, with adequate additional risk mitigations and leveraging the experience gained with Vogtle Units 3-4, the Company believes customers would benefit from additional new nuclear in the future.</w:t>
      </w:r>
      <w:r w:rsidR="003366DE">
        <w:br w:type="page"/>
      </w:r>
    </w:p>
    <w:p w14:paraId="3664101F" w14:textId="78CC22B9" w:rsidR="00B46CC7" w:rsidRDefault="004E56A5" w:rsidP="00B46CC7">
      <w:pPr>
        <w:pStyle w:val="Heading1"/>
      </w:pPr>
      <w:bookmarkStart w:id="57" w:name="_Toc189122776"/>
      <w:r>
        <w:lastRenderedPageBreak/>
        <w:t xml:space="preserve">Chapter </w:t>
      </w:r>
      <w:r w:rsidR="00545B58">
        <w:t>9</w:t>
      </w:r>
      <w:r>
        <w:t xml:space="preserve">. </w:t>
      </w:r>
      <w:r w:rsidR="00B46CC7">
        <w:t xml:space="preserve">Environmental Compliance Strategy </w:t>
      </w:r>
      <w:r w:rsidR="00100569">
        <w:t xml:space="preserve">&amp; </w:t>
      </w:r>
      <w:r w:rsidR="00B46CC7">
        <w:t>Climate Approach</w:t>
      </w:r>
      <w:bookmarkEnd w:id="57"/>
    </w:p>
    <w:p w14:paraId="190811BE" w14:textId="7726D693" w:rsidR="00B70F8F" w:rsidRPr="00D153CD" w:rsidRDefault="00B70F8F" w:rsidP="00B70F8F">
      <w:pPr>
        <w:jc w:val="both"/>
        <w:rPr>
          <w:color w:val="000000" w:themeColor="text1"/>
        </w:rPr>
      </w:pPr>
      <w:r w:rsidRPr="00D153CD">
        <w:rPr>
          <w:color w:val="000000" w:themeColor="text1"/>
        </w:rPr>
        <w:t>The 2025 IRP considers changes to federal and state environmental regulatory requirements</w:t>
      </w:r>
      <w:r w:rsidR="00B5214D">
        <w:rPr>
          <w:color w:val="000000" w:themeColor="text1"/>
        </w:rPr>
        <w:t>,</w:t>
      </w:r>
      <w:r w:rsidRPr="00D153CD">
        <w:rPr>
          <w:color w:val="000000" w:themeColor="text1"/>
        </w:rPr>
        <w:t xml:space="preserve"> and the uncertainty </w:t>
      </w:r>
      <w:r w:rsidR="00B5214D">
        <w:rPr>
          <w:color w:val="000000" w:themeColor="text1"/>
        </w:rPr>
        <w:t>associated with these changes,</w:t>
      </w:r>
      <w:r w:rsidRPr="00D153CD">
        <w:rPr>
          <w:color w:val="000000" w:themeColor="text1"/>
        </w:rPr>
        <w:t xml:space="preserve"> to develop a flexible and adaptive strategy to ensure continued compliance </w:t>
      </w:r>
      <w:r w:rsidR="005B4EF8">
        <w:rPr>
          <w:color w:val="000000" w:themeColor="text1"/>
        </w:rPr>
        <w:t>and</w:t>
      </w:r>
      <w:r w:rsidRPr="00D153CD">
        <w:rPr>
          <w:color w:val="000000" w:themeColor="text1"/>
        </w:rPr>
        <w:t xml:space="preserve"> resource planning optionality. Recent changes in federal environmental mandates applicable to the utility sector, such as 111 GHG Rules and Supplemental </w:t>
      </w:r>
      <w:r w:rsidR="009C6BC9">
        <w:rPr>
          <w:color w:val="000000" w:themeColor="text1"/>
        </w:rPr>
        <w:t xml:space="preserve">ELG </w:t>
      </w:r>
      <w:r w:rsidRPr="00D153CD">
        <w:rPr>
          <w:color w:val="000000" w:themeColor="text1"/>
        </w:rPr>
        <w:t>Rule, add significant compliance costs on top of investments and compliance projects that are already in progress, and create</w:t>
      </w:r>
      <w:r w:rsidR="009106FF">
        <w:rPr>
          <w:color w:val="000000" w:themeColor="text1"/>
        </w:rPr>
        <w:t xml:space="preserve"> constraint</w:t>
      </w:r>
      <w:r w:rsidRPr="00D153CD">
        <w:rPr>
          <w:color w:val="000000" w:themeColor="text1"/>
        </w:rPr>
        <w:t>s</w:t>
      </w:r>
      <w:r w:rsidR="009106FF">
        <w:rPr>
          <w:color w:val="000000" w:themeColor="text1"/>
        </w:rPr>
        <w:t xml:space="preserve"> </w:t>
      </w:r>
      <w:r w:rsidR="000E1790">
        <w:rPr>
          <w:color w:val="000000" w:themeColor="text1"/>
        </w:rPr>
        <w:t xml:space="preserve">on new and existing power plants </w:t>
      </w:r>
      <w:r w:rsidR="009106FF">
        <w:rPr>
          <w:color w:val="000000" w:themeColor="text1"/>
        </w:rPr>
        <w:t>that present</w:t>
      </w:r>
      <w:r w:rsidRPr="00D153CD">
        <w:rPr>
          <w:color w:val="000000" w:themeColor="text1"/>
        </w:rPr>
        <w:t xml:space="preserve"> significant</w:t>
      </w:r>
      <w:r w:rsidR="009106FF">
        <w:rPr>
          <w:color w:val="000000" w:themeColor="text1"/>
        </w:rPr>
        <w:t xml:space="preserve"> resource planning</w:t>
      </w:r>
      <w:r w:rsidRPr="00D153CD">
        <w:rPr>
          <w:color w:val="000000" w:themeColor="text1"/>
        </w:rPr>
        <w:t xml:space="preserve"> challenges</w:t>
      </w:r>
      <w:r w:rsidR="00814794" w:rsidRPr="00D153CD">
        <w:rPr>
          <w:color w:val="000000" w:themeColor="text1"/>
        </w:rPr>
        <w:t>.</w:t>
      </w:r>
      <w:r w:rsidRPr="00D153CD">
        <w:rPr>
          <w:color w:val="000000" w:themeColor="text1"/>
        </w:rPr>
        <w:t xml:space="preserve"> </w:t>
      </w:r>
      <w:r w:rsidR="009106FF">
        <w:rPr>
          <w:color w:val="000000" w:themeColor="text1"/>
        </w:rPr>
        <w:t>While t</w:t>
      </w:r>
      <w:r w:rsidRPr="00D153CD">
        <w:rPr>
          <w:color w:val="000000" w:themeColor="text1"/>
        </w:rPr>
        <w:t>hese environmental rules are currently being litigated</w:t>
      </w:r>
      <w:r w:rsidR="0000705E">
        <w:rPr>
          <w:color w:val="000000" w:themeColor="text1"/>
        </w:rPr>
        <w:t>, they</w:t>
      </w:r>
      <w:r w:rsidRPr="00D153CD">
        <w:rPr>
          <w:color w:val="000000" w:themeColor="text1"/>
        </w:rPr>
        <w:t xml:space="preserve"> remain in effect </w:t>
      </w:r>
      <w:r w:rsidR="0000705E">
        <w:rPr>
          <w:color w:val="000000" w:themeColor="text1"/>
        </w:rPr>
        <w:t xml:space="preserve">and carry </w:t>
      </w:r>
      <w:r w:rsidRPr="00D153CD">
        <w:rPr>
          <w:color w:val="000000" w:themeColor="text1"/>
        </w:rPr>
        <w:t xml:space="preserve">compliance deadlines that require work to begin immediately. The Company must continue to evaluate and pursue the compliance pathways to meet the </w:t>
      </w:r>
      <w:r w:rsidR="0000705E">
        <w:rPr>
          <w:color w:val="000000" w:themeColor="text1"/>
        </w:rPr>
        <w:t xml:space="preserve">existing </w:t>
      </w:r>
      <w:r w:rsidRPr="00D153CD">
        <w:rPr>
          <w:color w:val="000000" w:themeColor="text1"/>
        </w:rPr>
        <w:t xml:space="preserve">rules’ requirements </w:t>
      </w:r>
      <w:r w:rsidR="0000705E">
        <w:rPr>
          <w:color w:val="000000" w:themeColor="text1"/>
        </w:rPr>
        <w:t xml:space="preserve">and do so in a way that is </w:t>
      </w:r>
      <w:r w:rsidRPr="00D153CD">
        <w:rPr>
          <w:color w:val="000000" w:themeColor="text1"/>
        </w:rPr>
        <w:t>in the best interest</w:t>
      </w:r>
      <w:r w:rsidR="00B23556">
        <w:rPr>
          <w:color w:val="000000" w:themeColor="text1"/>
        </w:rPr>
        <w:t>s</w:t>
      </w:r>
      <w:r w:rsidRPr="00D153CD">
        <w:rPr>
          <w:color w:val="000000" w:themeColor="text1"/>
        </w:rPr>
        <w:t xml:space="preserve"> of customers </w:t>
      </w:r>
      <w:r w:rsidR="00DB7E69">
        <w:rPr>
          <w:color w:val="000000" w:themeColor="text1"/>
        </w:rPr>
        <w:t>and</w:t>
      </w:r>
      <w:r w:rsidR="00DB7E69" w:rsidRPr="00D153CD">
        <w:rPr>
          <w:color w:val="000000" w:themeColor="text1"/>
        </w:rPr>
        <w:t xml:space="preserve"> </w:t>
      </w:r>
      <w:r w:rsidRPr="00D153CD">
        <w:rPr>
          <w:color w:val="000000" w:themeColor="text1"/>
        </w:rPr>
        <w:t>minimize</w:t>
      </w:r>
      <w:r w:rsidR="00DB7E69">
        <w:rPr>
          <w:color w:val="000000" w:themeColor="text1"/>
        </w:rPr>
        <w:t>s</w:t>
      </w:r>
      <w:r w:rsidRPr="00D153CD">
        <w:rPr>
          <w:color w:val="000000" w:themeColor="text1"/>
        </w:rPr>
        <w:t xml:space="preserve"> impacts to both reliability and affordability. The </w:t>
      </w:r>
      <w:r w:rsidR="00DB7E69">
        <w:rPr>
          <w:color w:val="000000" w:themeColor="text1"/>
        </w:rPr>
        <w:t xml:space="preserve">Company’s </w:t>
      </w:r>
      <w:r w:rsidRPr="00D153CD">
        <w:rPr>
          <w:color w:val="000000" w:themeColor="text1"/>
        </w:rPr>
        <w:t>compliance strategy ensure</w:t>
      </w:r>
      <w:r w:rsidR="00DB7E69">
        <w:rPr>
          <w:color w:val="000000" w:themeColor="text1"/>
        </w:rPr>
        <w:t>s</w:t>
      </w:r>
      <w:r w:rsidRPr="00D153CD">
        <w:rPr>
          <w:color w:val="000000" w:themeColor="text1"/>
        </w:rPr>
        <w:t xml:space="preserve"> environmental mandates can be met </w:t>
      </w:r>
      <w:r w:rsidR="00067653">
        <w:rPr>
          <w:color w:val="000000" w:themeColor="text1"/>
        </w:rPr>
        <w:t>while</w:t>
      </w:r>
      <w:r w:rsidRPr="00D153CD">
        <w:rPr>
          <w:color w:val="000000" w:themeColor="text1"/>
        </w:rPr>
        <w:t xml:space="preserve"> remain</w:t>
      </w:r>
      <w:r w:rsidR="00067653">
        <w:rPr>
          <w:color w:val="000000" w:themeColor="text1"/>
        </w:rPr>
        <w:t>ing</w:t>
      </w:r>
      <w:r w:rsidRPr="00D153CD">
        <w:rPr>
          <w:color w:val="000000" w:themeColor="text1"/>
        </w:rPr>
        <w:t xml:space="preserve"> ready to adapt to future litigation or regulatory developments. </w:t>
      </w:r>
      <w:r w:rsidR="00067653">
        <w:rPr>
          <w:color w:val="000000" w:themeColor="text1"/>
        </w:rPr>
        <w:t>T</w:t>
      </w:r>
      <w:r w:rsidRPr="00D153CD">
        <w:rPr>
          <w:color w:val="000000" w:themeColor="text1"/>
        </w:rPr>
        <w:t xml:space="preserve">he Company’s “all of the above” approach to supply-side, demand-side, and transmission planning is critical to manage </w:t>
      </w:r>
      <w:r w:rsidR="00067653">
        <w:rPr>
          <w:color w:val="000000" w:themeColor="text1"/>
        </w:rPr>
        <w:t>the</w:t>
      </w:r>
      <w:r w:rsidRPr="00D153CD">
        <w:rPr>
          <w:color w:val="000000" w:themeColor="text1"/>
        </w:rPr>
        <w:t xml:space="preserve"> uncertainty </w:t>
      </w:r>
      <w:r w:rsidR="00067653">
        <w:rPr>
          <w:color w:val="000000" w:themeColor="text1"/>
        </w:rPr>
        <w:t>presented by</w:t>
      </w:r>
      <w:r w:rsidRPr="00D153CD">
        <w:rPr>
          <w:color w:val="000000" w:themeColor="text1"/>
        </w:rPr>
        <w:t xml:space="preserve"> environmental mandates both now and in the future, especially during a time of high projected load growth.</w:t>
      </w:r>
    </w:p>
    <w:p w14:paraId="0EAEDE39" w14:textId="53222730" w:rsidR="00B46CC7" w:rsidRDefault="000176C6" w:rsidP="00B46CC7">
      <w:pPr>
        <w:jc w:val="both"/>
      </w:pPr>
      <w:r>
        <w:t xml:space="preserve">In addition to </w:t>
      </w:r>
      <w:r w:rsidR="00F840AA">
        <w:t xml:space="preserve">the constraints </w:t>
      </w:r>
      <w:r w:rsidR="008E0128">
        <w:t xml:space="preserve">imposed by </w:t>
      </w:r>
      <w:r>
        <w:t xml:space="preserve">new </w:t>
      </w:r>
      <w:r w:rsidR="0067484F">
        <w:t>regulatory</w:t>
      </w:r>
      <w:r>
        <w:t xml:space="preserve"> requirements, </w:t>
      </w:r>
      <w:r w:rsidR="00BF27A8">
        <w:t xml:space="preserve">certain </w:t>
      </w:r>
      <w:r w:rsidR="005B33AD">
        <w:t xml:space="preserve">climate policies and </w:t>
      </w:r>
      <w:r w:rsidR="006D453E">
        <w:t xml:space="preserve">evolving customer needs </w:t>
      </w:r>
      <w:r w:rsidR="002C7C86">
        <w:t>also present potential</w:t>
      </w:r>
      <w:r w:rsidR="00F840AA">
        <w:t xml:space="preserve"> opportunities</w:t>
      </w:r>
      <w:r w:rsidR="005B33AD">
        <w:t xml:space="preserve"> that are important</w:t>
      </w:r>
      <w:r w:rsidR="00F840AA">
        <w:t xml:space="preserve"> to </w:t>
      </w:r>
      <w:r w:rsidR="005B33AD">
        <w:t>consider</w:t>
      </w:r>
      <w:r w:rsidR="004F1B63">
        <w:t xml:space="preserve"> in </w:t>
      </w:r>
      <w:r w:rsidR="00F840AA">
        <w:t xml:space="preserve">the </w:t>
      </w:r>
      <w:r w:rsidR="004F1B63">
        <w:t xml:space="preserve">Company’s </w:t>
      </w:r>
      <w:r w:rsidR="005342A3">
        <w:t xml:space="preserve">overall </w:t>
      </w:r>
      <w:r w:rsidR="004F1B63">
        <w:t>environmental strategy.</w:t>
      </w:r>
      <w:r w:rsidR="00F840AA">
        <w:t xml:space="preserve"> </w:t>
      </w:r>
      <w:r w:rsidR="004F1B63">
        <w:t>R</w:t>
      </w:r>
      <w:r w:rsidR="00B46CC7">
        <w:t>ecent legislati</w:t>
      </w:r>
      <w:r w:rsidR="00387003">
        <w:t>on</w:t>
      </w:r>
      <w:r w:rsidR="00B46CC7">
        <w:t xml:space="preserve">, such as the IRA and </w:t>
      </w:r>
      <w:r w:rsidR="005F4A77">
        <w:t>IIJA</w:t>
      </w:r>
      <w:r w:rsidR="00B46CC7">
        <w:t xml:space="preserve">, provide opportunities to increase the affordability of clean energy solutions. </w:t>
      </w:r>
      <w:r w:rsidR="00387003">
        <w:t>Notably</w:t>
      </w:r>
      <w:r w:rsidR="00B46CC7">
        <w:t xml:space="preserve">, a contributing factor to increased energy needs is the continued electrification of the economy, as customers transition to low-carbon electric solutions, such as electric transportation and electric boilers, rather than traditional fuel-burning technologies. </w:t>
      </w:r>
      <w:r w:rsidR="00387003">
        <w:t>T</w:t>
      </w:r>
      <w:r w:rsidR="00B46CC7">
        <w:t xml:space="preserve">he utility industry is </w:t>
      </w:r>
      <w:r w:rsidR="00387003">
        <w:t xml:space="preserve">also </w:t>
      </w:r>
      <w:r w:rsidR="00B46CC7">
        <w:t xml:space="preserve">experiencing extraordinary growth in electricity demand driven by the manufacturing and infrastructure </w:t>
      </w:r>
      <w:r w:rsidR="00387003">
        <w:t xml:space="preserve">that </w:t>
      </w:r>
      <w:r w:rsidR="00B46CC7">
        <w:t xml:space="preserve">support these low-carbon technology advancements, including economic development associated with data centers and EVs, battery, and solar panel manufacturing. The IRP framework provides Georgia Power and the Commission with a constructive platform to address these issues—both as constraints and opportunities—in order to reduce carbon emissions risk for the benefit of customers. </w:t>
      </w:r>
    </w:p>
    <w:p w14:paraId="658FE83A" w14:textId="2BF16A57" w:rsidR="00B46CC7" w:rsidRDefault="00B46CC7" w:rsidP="00B46CC7">
      <w:pPr>
        <w:jc w:val="both"/>
      </w:pPr>
      <w:r>
        <w:t xml:space="preserve">This </w:t>
      </w:r>
      <w:r w:rsidR="00E759AB">
        <w:t>C</w:t>
      </w:r>
      <w:r>
        <w:t xml:space="preserve">hapter summarizes Georgia Power’s Environmental Compliance Strategy and climate approach, the progress and path forward using resource-planning drivers, and potential long-term technology evaluation </w:t>
      </w:r>
      <w:r w:rsidR="00937EC8">
        <w:t>and</w:t>
      </w:r>
      <w:r>
        <w:t xml:space="preserve"> development needed to continue to make cost-effective </w:t>
      </w:r>
      <w:r w:rsidR="00BB74B0">
        <w:t>resource planning and environmental compliance</w:t>
      </w:r>
      <w:r>
        <w:t xml:space="preserve"> decisions for customers.</w:t>
      </w:r>
    </w:p>
    <w:p w14:paraId="5CCCE9C3" w14:textId="2DE809F4" w:rsidR="00B46CC7" w:rsidRDefault="00B46CC7" w:rsidP="00B46CC7">
      <w:pPr>
        <w:pStyle w:val="Heading2"/>
      </w:pPr>
      <w:bookmarkStart w:id="58" w:name="_Toc189122777"/>
      <w:r>
        <w:t>9.1 – Environmental Compliance Strategy</w:t>
      </w:r>
      <w:bookmarkEnd w:id="58"/>
    </w:p>
    <w:p w14:paraId="3C30BEDF" w14:textId="34454A38" w:rsidR="00B46CC7" w:rsidRDefault="00B46CC7" w:rsidP="00B46CC7">
      <w:pPr>
        <w:jc w:val="both"/>
      </w:pPr>
      <w:r>
        <w:t>Georgia Power has a long history of demonstrating environmental stewardship while meeting the energy needs of customers. Complying with federal and state environmental requirements is a fundamental element of the Company’s longstanding commitment to meet</w:t>
      </w:r>
      <w:r w:rsidR="00A676C4">
        <w:t>ing customer</w:t>
      </w:r>
      <w:r>
        <w:t xml:space="preserve"> energy needs. Consistent with the Company’s efforts to supply clean, safe, reliable, and affordable </w:t>
      </w:r>
      <w:r w:rsidR="00A676C4">
        <w:t>electric service</w:t>
      </w:r>
      <w:r>
        <w:t xml:space="preserve">, the ECS describes the comprehensive strategy to comply with environmental laws and regulations through the implementation of cost-effective environmental controls and actions. </w:t>
      </w:r>
    </w:p>
    <w:p w14:paraId="35175378" w14:textId="70D8DE8F" w:rsidR="00B46CC7" w:rsidRDefault="00B46CC7" w:rsidP="00B46CC7">
      <w:pPr>
        <w:jc w:val="both"/>
      </w:pPr>
      <w:r>
        <w:lastRenderedPageBreak/>
        <w:t>The</w:t>
      </w:r>
      <w:r w:rsidDel="003A5194">
        <w:t xml:space="preserve"> </w:t>
      </w:r>
      <w:r>
        <w:t xml:space="preserve">2025 ECS </w:t>
      </w:r>
      <w:r w:rsidR="00A676C4">
        <w:t xml:space="preserve">sets forth </w:t>
      </w:r>
      <w:r>
        <w:t xml:space="preserve">the Company’s strategy to comply with federal and state </w:t>
      </w:r>
      <w:r w:rsidR="00A676C4">
        <w:t xml:space="preserve">environmental </w:t>
      </w:r>
      <w:r>
        <w:t xml:space="preserve">requirements, including rules finalized by EPA in the spring of 2024 that impose new requirements on the power sector, such as the 111 GHG Rules and </w:t>
      </w:r>
      <w:r w:rsidR="00570974">
        <w:t xml:space="preserve">Supplemental </w:t>
      </w:r>
      <w:r>
        <w:t xml:space="preserve">ELG Rule. Although the ultimate outcome of these rules is subject to ongoing </w:t>
      </w:r>
      <w:r w:rsidR="005E354F">
        <w:t>litigation</w:t>
      </w:r>
      <w:r>
        <w:t xml:space="preserve"> and the</w:t>
      </w:r>
      <w:r w:rsidR="005E354F">
        <w:t>re may be</w:t>
      </w:r>
      <w:r>
        <w:t xml:space="preserve"> future rule revisions, the Company must evaluate compliance pathways </w:t>
      </w:r>
      <w:r w:rsidR="005E354F">
        <w:t>and develop</w:t>
      </w:r>
      <w:r>
        <w:t xml:space="preserve"> </w:t>
      </w:r>
      <w:r w:rsidRPr="4842DCCD">
        <w:rPr>
          <w:rFonts w:ascii="Aptos" w:eastAsia="Aptos" w:hAnsi="Aptos" w:cs="Aptos"/>
        </w:rPr>
        <w:t>a flexible and adaptive strategy to ensure continued compliance and resource planning optionality</w:t>
      </w:r>
      <w:r>
        <w:t xml:space="preserve">. </w:t>
      </w:r>
    </w:p>
    <w:p w14:paraId="5AE9EFFE" w14:textId="106BA749" w:rsidR="00B46CC7" w:rsidRDefault="00B46CC7" w:rsidP="009A12F5">
      <w:pPr>
        <w:pStyle w:val="ListParagraph"/>
        <w:numPr>
          <w:ilvl w:val="0"/>
          <w:numId w:val="38"/>
        </w:numPr>
        <w:jc w:val="both"/>
      </w:pPr>
      <w:r w:rsidRPr="00790516">
        <w:rPr>
          <w:b/>
        </w:rPr>
        <w:t>EPA’s 111 GHG Rules</w:t>
      </w:r>
      <w:r w:rsidRPr="0F257294">
        <w:rPr>
          <w:rFonts w:ascii="Segoe UI" w:eastAsia="Segoe UI" w:hAnsi="Segoe UI" w:cs="Segoe UI"/>
          <w:color w:val="242424"/>
          <w:sz w:val="21"/>
          <w:szCs w:val="21"/>
        </w:rPr>
        <w:t xml:space="preserve"> </w:t>
      </w:r>
      <w:r>
        <w:t xml:space="preserve">require new natural gas combined-cycle units to either install and operate CCS by January 1, 2032, or operate to less than 40% annual capacity factor. These stringent requirements would apply to any proposed new natural gas combined-cycle capacity, whether Company-owned or acquired through PPAs, that commence construction </w:t>
      </w:r>
      <w:r w:rsidRPr="005D1BB8">
        <w:t>after May 23, 2023</w:t>
      </w:r>
      <w:r>
        <w:t xml:space="preserve">. The 111 GHG Rules set guidelines for states to require standards for existing fossil fuel-fired steam units through state plans that are due by May 2026. Plant Bowen and Plant Scherer are expected to be subject to standards in a state plan to be determined by Georgia </w:t>
      </w:r>
      <w:r w:rsidR="00877B52">
        <w:t>Environmental Protection Division (“</w:t>
      </w:r>
      <w:r>
        <w:t>EPD</w:t>
      </w:r>
      <w:r w:rsidR="00877B52">
        <w:t>”)</w:t>
      </w:r>
      <w:r>
        <w:t xml:space="preserve"> based on three compliance pathways outlined by EPA: </w:t>
      </w:r>
    </w:p>
    <w:p w14:paraId="5BA8D576" w14:textId="77777777" w:rsidR="00B46CC7" w:rsidRDefault="00B46CC7" w:rsidP="00B46CC7">
      <w:pPr>
        <w:ind w:left="720" w:firstLine="720"/>
        <w:jc w:val="both"/>
      </w:pPr>
      <w:r>
        <w:t>(1) retirement by January 1, 2032</w:t>
      </w:r>
    </w:p>
    <w:p w14:paraId="7712092C" w14:textId="77777777" w:rsidR="00B46CC7" w:rsidRDefault="00B46CC7" w:rsidP="00B46CC7">
      <w:pPr>
        <w:ind w:left="720" w:firstLine="720"/>
        <w:jc w:val="both"/>
      </w:pPr>
      <w:r>
        <w:t xml:space="preserve">(2) installation and operation of CCS by January 1, 2032; or </w:t>
      </w:r>
    </w:p>
    <w:p w14:paraId="09F6E01D" w14:textId="77777777" w:rsidR="00B46CC7" w:rsidRDefault="00B46CC7" w:rsidP="00B46CC7">
      <w:pPr>
        <w:ind w:left="720" w:firstLine="720"/>
        <w:jc w:val="both"/>
      </w:pPr>
      <w:r>
        <w:t xml:space="preserve">(3) 40% co-fire of natural gas by January 1, 2030, and retirement by January 1, 2039. </w:t>
      </w:r>
    </w:p>
    <w:p w14:paraId="5F006737" w14:textId="0A2E5C34" w:rsidR="00B46CC7" w:rsidRDefault="00B46CC7" w:rsidP="00B46CC7">
      <w:pPr>
        <w:spacing w:after="0"/>
        <w:ind w:left="720"/>
        <w:jc w:val="both"/>
      </w:pPr>
      <w:r>
        <w:t xml:space="preserve">Georgia EPD may deviate from these guidelines, including by setting different standards using different timelines, or by considering the remaining useful life and other factors for each coal unit. EPA also provides regulatory mechanisms for a one-year compliance extension if certain conditions are met. Although all compliance options for coal under the 111 GHG Rules are extremely impactful, the natural gas co-fire pathway is the most balanced option of the three. Retirement by January 1, 2032, for these units is not practicable due to </w:t>
      </w:r>
      <w:r w:rsidR="00843E65">
        <w:t xml:space="preserve">reliability and </w:t>
      </w:r>
      <w:r>
        <w:t>projected capacity needs</w:t>
      </w:r>
      <w:r w:rsidR="006F6E27">
        <w:t>,</w:t>
      </w:r>
      <w:r>
        <w:t xml:space="preserve"> and </w:t>
      </w:r>
      <w:r w:rsidR="00670374">
        <w:t xml:space="preserve">the </w:t>
      </w:r>
      <w:r>
        <w:t xml:space="preserve">implementation of CCS is also </w:t>
      </w:r>
      <w:r w:rsidR="00670374">
        <w:t>in</w:t>
      </w:r>
      <w:r>
        <w:t xml:space="preserve">feasible </w:t>
      </w:r>
      <w:r w:rsidR="00670374">
        <w:t>due to (1)</w:t>
      </w:r>
      <w:r>
        <w:t xml:space="preserve"> the </w:t>
      </w:r>
      <w:r w:rsidR="00670374">
        <w:t>required</w:t>
      </w:r>
      <w:r>
        <w:t xml:space="preserve"> compliance timelines specified</w:t>
      </w:r>
      <w:r w:rsidR="00670374">
        <w:t xml:space="preserve"> and</w:t>
      </w:r>
      <w:r>
        <w:t xml:space="preserve"> </w:t>
      </w:r>
      <w:r w:rsidR="00670374">
        <w:t>(2)</w:t>
      </w:r>
      <w:r>
        <w:t xml:space="preserve"> infrastructure and other significant challenges that remain unsolved. </w:t>
      </w:r>
    </w:p>
    <w:p w14:paraId="508A193A" w14:textId="626CC307" w:rsidR="00B46CC7" w:rsidRDefault="00B46CC7" w:rsidP="0058773E">
      <w:pPr>
        <w:spacing w:before="240"/>
        <w:ind w:left="720"/>
        <w:jc w:val="both"/>
      </w:pPr>
      <w:r w:rsidRPr="002648BD">
        <w:t>As a part of Georgia Power</w:t>
      </w:r>
      <w:r>
        <w:t>’s</w:t>
      </w:r>
      <w:r w:rsidRPr="002648BD">
        <w:t xml:space="preserve"> ECS, the 111 GHG Rule strategy for </w:t>
      </w:r>
      <w:r>
        <w:t xml:space="preserve">Plant </w:t>
      </w:r>
      <w:r w:rsidRPr="002648BD">
        <w:t>Bowen and</w:t>
      </w:r>
      <w:r>
        <w:t xml:space="preserve"> Plant</w:t>
      </w:r>
      <w:r w:rsidRPr="002648BD">
        <w:t xml:space="preserve"> Scherer is to pursue the natural gas co-firing compliance pathway</w:t>
      </w:r>
      <w:r>
        <w:t xml:space="preserve">, starting with engaging engineering firms to perform boiler studies </w:t>
      </w:r>
      <w:r w:rsidRPr="002648BD">
        <w:t xml:space="preserve">to determine potential designs for adding natural gas co-firing capability as quickly as possible. Georgia Power will also engage with Georgia EPD and other stakeholders on the compliance timeline and requirements that will minimize the impacts to reliability and affordability for customers. While these activities can be paused or slowed down in the event of a future legal decision or policy change, waiting to start these activities could have profound consequences for resource planning </w:t>
      </w:r>
      <w:r w:rsidR="00DA5826">
        <w:t xml:space="preserve">and reliability </w:t>
      </w:r>
      <w:r w:rsidRPr="002648BD">
        <w:t xml:space="preserve">in the event the rules are upheld. </w:t>
      </w:r>
    </w:p>
    <w:p w14:paraId="5CF6A2AE" w14:textId="5638953D" w:rsidR="00B46CC7" w:rsidRDefault="00B46CC7" w:rsidP="009A12F5">
      <w:pPr>
        <w:pStyle w:val="ListParagraph"/>
        <w:numPr>
          <w:ilvl w:val="0"/>
          <w:numId w:val="38"/>
        </w:numPr>
        <w:spacing w:before="240"/>
        <w:jc w:val="both"/>
      </w:pPr>
      <w:r w:rsidRPr="00790516">
        <w:rPr>
          <w:b/>
        </w:rPr>
        <w:t xml:space="preserve">EPA’s </w:t>
      </w:r>
      <w:r>
        <w:rPr>
          <w:b/>
        </w:rPr>
        <w:t>Supplemental</w:t>
      </w:r>
      <w:r w:rsidRPr="00790516">
        <w:rPr>
          <w:b/>
        </w:rPr>
        <w:t xml:space="preserve"> ELG Rule</w:t>
      </w:r>
      <w:r>
        <w:t xml:space="preserve"> requires the installation of additional wastewater treatment controls at current and former coal-fired power plants, even though implementation of the requirements for the 2020 ELG Rule is still in progress. For Plant Bowen, the physical-chemical-biological scrubber wastewater treatment system being installed to meet the 2020 </w:t>
      </w:r>
      <w:r>
        <w:lastRenderedPageBreak/>
        <w:t xml:space="preserve">Rule requirements is expected to be complete this year to meet the December 31, 2025, deadline. The Supplemental ELG Rule will require that Plant Bowen install additional controls to meet a zero liquid discharge requirement by December 31, 2029, for both scrubber wastewater and leachate collected from on-site landfills containing CCR. For Plant Scherer, the membrane scrubber wastewater treatment being installed to meet the 2020 Rule by December 31, 2028, is unaffected by the Supplemental ELG Rule, but combustion residual leachate will have to meet new zero liquid discharge requirements. As part of Georgia Power’s ECS, the ELG strategy for Plant Bowen and Plant Scherer is to pursue additional controls necessary to meet zero liquid discharge requirements. In addition, ash pond dewatering at current and former coal-fired power plants are subject to potential requirements as determined by the state permitting authority and leachate collected from coal ash landfills at former coal-fired power plants are expected to require physical-chemical treatment. </w:t>
      </w:r>
    </w:p>
    <w:p w14:paraId="7CCBDA87" w14:textId="77777777" w:rsidR="00B46CC7" w:rsidRDefault="00B46CC7" w:rsidP="00B46CC7">
      <w:pPr>
        <w:jc w:val="both"/>
      </w:pPr>
      <w:r>
        <w:t xml:space="preserve">Georgia Power is continuing to implement the CCR strategy to permanently close CCR ash ponds and landfills. </w:t>
      </w:r>
      <w:r w:rsidRPr="009C796C">
        <w:t>The Company’s CCR strategy, approved in the 2019 IRP</w:t>
      </w:r>
      <w:r>
        <w:t xml:space="preserve"> and again in 2022</w:t>
      </w:r>
      <w:r w:rsidRPr="009C796C">
        <w:t>, continues to be effectively implemented with significant progress made over the last three years. The Company will continue to evaluate opportunities to refine and optimize</w:t>
      </w:r>
      <w:r>
        <w:t xml:space="preserve"> its</w:t>
      </w:r>
      <w:r w:rsidRPr="009C796C">
        <w:t xml:space="preserve"> closure plans</w:t>
      </w:r>
      <w:r>
        <w:t xml:space="preserve">. Also finalized in 2024, </w:t>
      </w:r>
      <w:r w:rsidRPr="002648BD">
        <w:t>EPA’s CCR Legacy Rul</w:t>
      </w:r>
      <w:r>
        <w:t xml:space="preserve">e establishes two new categories of federally regulated CCR units. Therefore, Georgia Power must complete required facility evaluations at all 12 current and former coal generation locations. The Company </w:t>
      </w:r>
      <w:r w:rsidRPr="002648BD">
        <w:t>expect</w:t>
      </w:r>
      <w:r>
        <w:t>s</w:t>
      </w:r>
      <w:r w:rsidRPr="002648BD">
        <w:t xml:space="preserve"> limited impact </w:t>
      </w:r>
      <w:r>
        <w:t>to</w:t>
      </w:r>
      <w:r w:rsidRPr="002648BD">
        <w:t xml:space="preserve"> Georgia Power CCR units </w:t>
      </w:r>
      <w:r>
        <w:t>under the new definitions</w:t>
      </w:r>
      <w:r w:rsidRPr="002648BD">
        <w:t xml:space="preserve"> because those units have already been regulated under similar </w:t>
      </w:r>
      <w:r>
        <w:t xml:space="preserve">state </w:t>
      </w:r>
      <w:r w:rsidRPr="002648BD">
        <w:t>requirements. The finalization of the federal rule, however, subjects these legacy units to duplicative requirements and oversight by both the state and federal agencies. Georgia Power’s ECS for the CCR Legacy Rule includes completing the required site investigations that began in late 2024, as well as complying with administrative applicability reports and website updates.</w:t>
      </w:r>
    </w:p>
    <w:p w14:paraId="338B6DC5" w14:textId="6C43A738" w:rsidR="00B46CC7" w:rsidRDefault="00B46CC7" w:rsidP="00B46CC7">
      <w:pPr>
        <w:jc w:val="both"/>
      </w:pPr>
      <w:r>
        <w:t>The ECS also discusses various other key environmental rules that continue to evolve, such as the Mercury and Air Toxics Standards (</w:t>
      </w:r>
      <w:r w:rsidR="009C04FC">
        <w:t>“</w:t>
      </w:r>
      <w:r>
        <w:t>MATS</w:t>
      </w:r>
      <w:r w:rsidR="009C04FC">
        <w:t>”</w:t>
      </w:r>
      <w:r>
        <w:t>) Rule revision applicable to Plant Bowen and Plant Scherer requiring continuous emissions monitoring systems to demonstrate ongoing particulate matter compliance. The ECS also discusses climate and carbon emission regulations and policy. Over the past decade, there has been significant activity in Congress on climate-related legislation to reduce GHG emissions and mandate renewable or carbon-free energy. Of note, several bills have been introduced that focus on an economy-wide carbon tax. These proposals typically impose an initial economy-wide price on carbon (e.g., dollars per ton CO</w:t>
      </w:r>
      <w:r w:rsidRPr="00877B52">
        <w:rPr>
          <w:vertAlign w:val="subscript"/>
        </w:rPr>
        <w:t>2</w:t>
      </w:r>
      <w:r>
        <w:t xml:space="preserve">), with varying degrees of escalation each year until the proposal’s specific national emission reduction targets are achieved. The proposals contemplate initial pricing in a range from $15/ton to $52/ton and increase annually at varying rates. Another approach to pricing carbon, a clean electricity standard, has also been contemplated and additional legislative activity is expected in the future. </w:t>
      </w:r>
    </w:p>
    <w:p w14:paraId="06FEFACF" w14:textId="1902EB92" w:rsidR="00B46CC7" w:rsidRDefault="00B46CC7" w:rsidP="00B46CC7">
      <w:pPr>
        <w:jc w:val="both"/>
      </w:pPr>
      <w:r>
        <w:t xml:space="preserve">In this IRP, Georgia Power presents the potential risks the Company faces from the uncertainty around future federal regulatory and policy changes addressing carbon emissions not only of the utility industry but also of customer operations. This </w:t>
      </w:r>
      <w:r w:rsidR="002B6ABF">
        <w:t>c</w:t>
      </w:r>
      <w:r>
        <w:t>hapter further describes how Georgia Power plans to continue reducing the risk of potential carbon regulation or legislation in the context of unprecedented load growth and capacity resources needs.</w:t>
      </w:r>
    </w:p>
    <w:p w14:paraId="7EE87B50" w14:textId="077F8DAC" w:rsidR="00B46CC7" w:rsidRDefault="00B46CC7" w:rsidP="00B46CC7">
      <w:pPr>
        <w:pStyle w:val="Heading2"/>
      </w:pPr>
      <w:bookmarkStart w:id="59" w:name="_Toc189122778"/>
      <w:r>
        <w:lastRenderedPageBreak/>
        <w:t xml:space="preserve">9.2 – </w:t>
      </w:r>
      <w:r w:rsidRPr="00666A48">
        <w:t>Environmental Compliance Cost Recovery</w:t>
      </w:r>
      <w:bookmarkEnd w:id="59"/>
      <w:r w:rsidRPr="00666A48">
        <w:t xml:space="preserve"> </w:t>
      </w:r>
    </w:p>
    <w:p w14:paraId="37CF9B08" w14:textId="4F0AE758" w:rsidR="00B46CC7" w:rsidRPr="00BB3F89" w:rsidRDefault="00C47D21" w:rsidP="00B46CC7">
      <w:pPr>
        <w:jc w:val="both"/>
      </w:pPr>
      <w:r>
        <w:t>As with prior regulatory cycles, t</w:t>
      </w:r>
      <w:r w:rsidR="00B46CC7">
        <w:t xml:space="preserve">he Company anticipates the ECCR tariff will need to be updated in </w:t>
      </w:r>
      <w:r w:rsidR="00AF6A0B">
        <w:t>its next base</w:t>
      </w:r>
      <w:r w:rsidR="00B46CC7">
        <w:t xml:space="preserve"> rate case to appropriately reflect the incremental costs of environmental compliance. The incremental capital, O&amp;M, and CCR ARO environmental compliance costs for which the Company seeks approval in this IRP are more specifically described in the Selected Supporting Information section of Technical Appendix Volume 2.</w:t>
      </w:r>
    </w:p>
    <w:p w14:paraId="327B5C32" w14:textId="388DE2A0" w:rsidR="00B46CC7" w:rsidRPr="004C145F" w:rsidRDefault="00B46CC7" w:rsidP="00B46CC7">
      <w:pPr>
        <w:pStyle w:val="Heading2"/>
        <w:jc w:val="both"/>
      </w:pPr>
      <w:bookmarkStart w:id="60" w:name="_Toc189122779"/>
      <w:r>
        <w:t xml:space="preserve">9.3 – </w:t>
      </w:r>
      <w:r w:rsidRPr="004C145F">
        <w:t>Georgia Power’s Climate Approach &amp; Drivers</w:t>
      </w:r>
      <w:bookmarkEnd w:id="60"/>
    </w:p>
    <w:p w14:paraId="418CBF48" w14:textId="5E86D5E3" w:rsidR="00B46CC7" w:rsidRDefault="00EC2C0C" w:rsidP="00B46CC7">
      <w:pPr>
        <w:jc w:val="both"/>
      </w:pPr>
      <w:r>
        <w:t xml:space="preserve">In addition </w:t>
      </w:r>
      <w:r w:rsidR="008F3531">
        <w:t xml:space="preserve">to ensuring compliance with all applicable environmental rules, </w:t>
      </w:r>
      <w:r w:rsidR="00AA3A5D" w:rsidRPr="00FC1804">
        <w:t>Georgia Power’s planning process has historically considered a wide range of factors that inform long-term decision making</w:t>
      </w:r>
      <w:r w:rsidR="00A25952">
        <w:t xml:space="preserve">, including </w:t>
      </w:r>
      <w:r w:rsidR="008E67FF">
        <w:t>customer needs</w:t>
      </w:r>
      <w:r w:rsidR="009A42E3">
        <w:t>, technology advancement, and</w:t>
      </w:r>
      <w:r w:rsidR="009A42E3" w:rsidRPr="009A42E3">
        <w:t xml:space="preserve"> </w:t>
      </w:r>
      <w:r w:rsidR="009A42E3">
        <w:t>developments and trends in climate policies</w:t>
      </w:r>
      <w:r w:rsidR="00C63705">
        <w:t>.</w:t>
      </w:r>
      <w:r w:rsidR="008F3531">
        <w:t xml:space="preserve"> </w:t>
      </w:r>
      <w:r w:rsidR="00B46CC7">
        <w:t>Georgia Power’s well-balanced and diversified approach to a low-carbon future seeks to maximize optionality and operational flexibility to best serve customers. Under the state-regulated, vertically integrated utility model, Georgia Power relies on the IRP framework to specifically evaluate these potential future conditions and associated options with the Commission. This approach provides a holistic view into the reliability and resiliency needs of customers, with direct visibility into numerous elements of and planning for the electricity supply chain, such as generation, transmission, and distribution. To build on this approach and plan for the future, further consideration of a low-carbon future can utilize a net-zero approach, whereby any direct GHG emissions produced are counterbalanced by an equal amount of GHG removed through “negative</w:t>
      </w:r>
      <w:r w:rsidR="002434FB">
        <w:t xml:space="preserve"> </w:t>
      </w:r>
      <w:r w:rsidR="00B46CC7">
        <w:t xml:space="preserve">carbon solutions,” which may include various forms of CCS or carbon offset. </w:t>
      </w:r>
    </w:p>
    <w:p w14:paraId="4F93142F" w14:textId="77777777" w:rsidR="00B46CC7" w:rsidRDefault="00B46CC7" w:rsidP="00B46CC7">
      <w:pPr>
        <w:jc w:val="both"/>
      </w:pPr>
      <w:r>
        <w:t>To benefit customers through competitive costs and reduced carbon emissions risk, Georgia Power’s climate approach is consistent with the three pillars set forth in Southern Company’s 2050 net-zero goal of pursuing a diverse energy resource portfolio, developing new technologies to lower GHG emissions, and constructively engaging with stakeholders.</w:t>
      </w:r>
      <w:r>
        <w:rPr>
          <w:rStyle w:val="FootnoteReference"/>
        </w:rPr>
        <w:footnoteReference w:id="38"/>
      </w:r>
      <w:r>
        <w:t xml:space="preserve"> Georgia Power recognizes that the feasibility of continued progress toward a low-carbon future, including a net-zero future, is highly dependent on the continued use of natural gas and continued technological advancements that will facilitate a reliable and economic low-carbon electricity supply. </w:t>
      </w:r>
    </w:p>
    <w:p w14:paraId="587A1F8C" w14:textId="6218FCAA" w:rsidR="00B46CC7" w:rsidRDefault="00B46CC7" w:rsidP="00B46CC7">
      <w:pPr>
        <w:jc w:val="both"/>
      </w:pPr>
      <w:r>
        <w:t>As a direct result of working with the Commission, Georgia Power has demonstrated how progress towards decarbonization of electricity generation can be achieved through a state regulatory framework, resulting in more than 60% reduction in Scope 1</w:t>
      </w:r>
      <w:r>
        <w:rPr>
          <w:rStyle w:val="FootnoteReference"/>
        </w:rPr>
        <w:footnoteReference w:id="39"/>
      </w:r>
      <w:r>
        <w:t xml:space="preserve"> GHG emissions from direct Company operations since 2007. While planning for projected energy demand and considering new federal </w:t>
      </w:r>
      <w:r>
        <w:lastRenderedPageBreak/>
        <w:t xml:space="preserve">GHG regulations, the Company is continuing to responsibly transition its coal generation fleet to more cost-effective natural gas and zero-carbon resources to continue to </w:t>
      </w:r>
      <w:r w:rsidR="000E58CD">
        <w:t xml:space="preserve">provide </w:t>
      </w:r>
      <w:r>
        <w:t xml:space="preserve">customers with clean, safe, reliable, and affordable </w:t>
      </w:r>
      <w:r w:rsidR="000E58CD">
        <w:t>electric service</w:t>
      </w:r>
      <w:r>
        <w:t>. During this period of extraordinary load growth, variation in total Scope 1 GHG emissions</w:t>
      </w:r>
      <w:r w:rsidR="006556EA">
        <w:t xml:space="preserve"> </w:t>
      </w:r>
      <w:r>
        <w:t xml:space="preserve">is expected due to a range of factors, including significantly increased electricity demand and fluctuations in fuel mix based on actual economic dispatch of resources. Continued prioritization of a flexible fleet transition that aligns with the timing and availability of technology advancements will be critical. </w:t>
      </w:r>
    </w:p>
    <w:p w14:paraId="60191AD8" w14:textId="77777777" w:rsidR="00B46CC7" w:rsidRDefault="00B46CC7" w:rsidP="00B46CC7">
      <w:pPr>
        <w:jc w:val="both"/>
      </w:pPr>
      <w:r>
        <w:t xml:space="preserve">Georgia Power recognizes the importance of this climate approach being driven by optimizing costs and mitigating risks to customers. Focusing on keeping rates competitive remains critical to serving Georgia Power’s customers. As such, Georgia Power’s climate approach must allow for economic decisions that benefit all customers through the IRP process. As technology advances, the Company’s proactive planning will help ensure customers realize the benefits of zero-carbon resources, negative carbon solutions, and </w:t>
      </w:r>
      <w:r w:rsidRPr="00B13271">
        <w:t>enhanced energy efficiency initiatives</w:t>
      </w:r>
      <w:r>
        <w:t xml:space="preserve"> as they become increasingly cost effective.</w:t>
      </w:r>
    </w:p>
    <w:p w14:paraId="3E27BA45" w14:textId="5567E4A3" w:rsidR="00B46CC7" w:rsidRDefault="00B46CC7" w:rsidP="00B46CC7">
      <w:pPr>
        <w:jc w:val="both"/>
      </w:pPr>
      <w:r>
        <w:t xml:space="preserve">Finally, Georgia Power is proactively planning to mitigate future risks and challenges that could impact customer costs. Carbon risks include the uncertainty around federal regulatory and policy changes addressing the carbon footprint, not only of the utility industry, but also of customers, as detailed in Georgia Power’s 2025 ECS document located in Technical Appendix Volume </w:t>
      </w:r>
      <w:r w:rsidR="000B0876">
        <w:t>1</w:t>
      </w:r>
      <w:r>
        <w:t>. In addition, potential challenges to future decarbonization for Georgia Power include the uncertainties around complex operational impacts of new technologies, limited geologic feasibility of CCS in Georgia, and potential infrastructure timeline restrictions associated with pipelines and grid transmission systems that could impact the transition of the generation mix to low-carbon resources. Taking proactive steps to incorporate evaluation of, and planning for, these risks and challenges is critical to help mitigate and shield customers from future costs.</w:t>
      </w:r>
    </w:p>
    <w:p w14:paraId="1521AED4" w14:textId="54056BE9" w:rsidR="00B46CC7" w:rsidRDefault="00B46CC7" w:rsidP="00B46CC7">
      <w:pPr>
        <w:pStyle w:val="Heading2"/>
      </w:pPr>
      <w:bookmarkStart w:id="61" w:name="_Toc189122780"/>
      <w:r>
        <w:t>9.4 – Georgia Power’s Path and Progress</w:t>
      </w:r>
      <w:bookmarkEnd w:id="61"/>
    </w:p>
    <w:p w14:paraId="483CB29D" w14:textId="282930E1" w:rsidR="00B46CC7" w:rsidRDefault="00B46CC7" w:rsidP="00B46CC7">
      <w:pPr>
        <w:jc w:val="both"/>
      </w:pPr>
      <w:r>
        <w:t xml:space="preserve">Georgia Power’s outstanding track record for maintaining high reliability as the Company’s generation fleet evolves is heavily rooted in </w:t>
      </w:r>
      <w:r w:rsidR="0003404A">
        <w:t xml:space="preserve">Georgia’s constructive </w:t>
      </w:r>
      <w:r>
        <w:t xml:space="preserve">state-regulatory framework, which has </w:t>
      </w:r>
      <w:r w:rsidR="00806A82">
        <w:t>resulted in</w:t>
      </w:r>
      <w:r>
        <w:t xml:space="preserve"> cost-effective, reliable, and low-carbon resource decisions. Georgia Power customers have benefitted from these decisions by having a diverse resource mix to mitigate risks and optimize costs as Georgia’s economy continues to grow. Through the </w:t>
      </w:r>
      <w:r w:rsidR="000A3BE6">
        <w:t>IRP</w:t>
      </w:r>
      <w:r>
        <w:t xml:space="preserve"> process, the Commission has approved, and the Company has achieved or plans to achieve:</w:t>
      </w:r>
    </w:p>
    <w:p w14:paraId="5B9D0255" w14:textId="33E33776" w:rsidR="00B46CC7" w:rsidRDefault="007904E9" w:rsidP="009A12F5">
      <w:pPr>
        <w:pStyle w:val="ListParagraph"/>
        <w:numPr>
          <w:ilvl w:val="0"/>
          <w:numId w:val="15"/>
        </w:numPr>
        <w:jc w:val="both"/>
      </w:pPr>
      <w:r>
        <w:t>A</w:t>
      </w:r>
      <w:r w:rsidR="00B46CC7">
        <w:t>ddition of over 3,000 MW of nuclear resources, including the completion of Plant Vogtle Units 3-4 to make Plant Vogtle the largest generator of clean energy in the United States</w:t>
      </w:r>
    </w:p>
    <w:p w14:paraId="316F53CB" w14:textId="2ED38368" w:rsidR="00B46CC7" w:rsidRDefault="008167FB" w:rsidP="009A12F5">
      <w:pPr>
        <w:pStyle w:val="ListParagraph"/>
        <w:numPr>
          <w:ilvl w:val="0"/>
          <w:numId w:val="15"/>
        </w:numPr>
        <w:jc w:val="both"/>
      </w:pPr>
      <w:r>
        <w:t>E</w:t>
      </w:r>
      <w:r w:rsidR="00B46CC7">
        <w:t>conomic retirements of over 5,500 MW of coal, oil, and gas capacity</w:t>
      </w:r>
    </w:p>
    <w:p w14:paraId="16EE4F37" w14:textId="036508F2" w:rsidR="00B46CC7" w:rsidRDefault="008167FB" w:rsidP="009A12F5">
      <w:pPr>
        <w:pStyle w:val="ListParagraph"/>
        <w:numPr>
          <w:ilvl w:val="0"/>
          <w:numId w:val="15"/>
        </w:numPr>
        <w:jc w:val="both"/>
      </w:pPr>
      <w:r>
        <w:t>C</w:t>
      </w:r>
      <w:r w:rsidR="00B46CC7">
        <w:t xml:space="preserve">onversion of over 1,200 MW of coal resources to lower-carbon natural gas </w:t>
      </w:r>
    </w:p>
    <w:p w14:paraId="4F61BADC" w14:textId="5614EF6C" w:rsidR="00B46CC7" w:rsidRDefault="007904E9" w:rsidP="009A12F5">
      <w:pPr>
        <w:pStyle w:val="ListParagraph"/>
        <w:numPr>
          <w:ilvl w:val="0"/>
          <w:numId w:val="15"/>
        </w:numPr>
        <w:jc w:val="both"/>
      </w:pPr>
      <w:r>
        <w:t>A</w:t>
      </w:r>
      <w:r w:rsidR="00B46CC7">
        <w:t>ddition of approximately 1,300 MW of advanced class natural gas combustion turbines</w:t>
      </w:r>
    </w:p>
    <w:p w14:paraId="734A6781" w14:textId="08090600" w:rsidR="00B46CC7" w:rsidRDefault="007904E9" w:rsidP="009A12F5">
      <w:pPr>
        <w:pStyle w:val="ListParagraph"/>
        <w:numPr>
          <w:ilvl w:val="0"/>
          <w:numId w:val="15"/>
        </w:numPr>
        <w:jc w:val="both"/>
      </w:pPr>
      <w:r>
        <w:t>A</w:t>
      </w:r>
      <w:r w:rsidR="00B46CC7">
        <w:t>ddition of more than 840 MW of BESS resources</w:t>
      </w:r>
    </w:p>
    <w:p w14:paraId="0871BB0D" w14:textId="2B3F6C66" w:rsidR="00B46CC7" w:rsidRDefault="007904E9" w:rsidP="009A12F5">
      <w:pPr>
        <w:pStyle w:val="ListParagraph"/>
        <w:numPr>
          <w:ilvl w:val="0"/>
          <w:numId w:val="15"/>
        </w:numPr>
        <w:jc w:val="both"/>
      </w:pPr>
      <w:r>
        <w:t>A</w:t>
      </w:r>
      <w:r w:rsidR="00B46CC7">
        <w:t xml:space="preserve">ddition of approximately </w:t>
      </w:r>
      <w:r w:rsidR="545F1DC3">
        <w:t>7,250</w:t>
      </w:r>
      <w:r w:rsidR="00B46CC7">
        <w:t xml:space="preserve"> MW of solar and wind resources</w:t>
      </w:r>
    </w:p>
    <w:p w14:paraId="0E218684" w14:textId="2FA3130B" w:rsidR="00B46CC7" w:rsidRDefault="007904E9" w:rsidP="009A12F5">
      <w:pPr>
        <w:pStyle w:val="ListParagraph"/>
        <w:numPr>
          <w:ilvl w:val="0"/>
          <w:numId w:val="15"/>
        </w:numPr>
        <w:jc w:val="both"/>
      </w:pPr>
      <w:r>
        <w:t>A</w:t>
      </w:r>
      <w:r w:rsidR="00B46CC7">
        <w:t xml:space="preserve">ddition of over </w:t>
      </w:r>
      <w:r w:rsidR="6C6934B4">
        <w:t>400</w:t>
      </w:r>
      <w:r w:rsidR="00B46CC7">
        <w:t xml:space="preserve"> MW of biomass and landfill gas resources</w:t>
      </w:r>
    </w:p>
    <w:p w14:paraId="3732308C" w14:textId="5E00870B" w:rsidR="00B46CC7" w:rsidRDefault="007904E9" w:rsidP="000C3AD1">
      <w:pPr>
        <w:pStyle w:val="ListParagraph"/>
        <w:keepNext/>
        <w:numPr>
          <w:ilvl w:val="0"/>
          <w:numId w:val="15"/>
        </w:numPr>
        <w:jc w:val="both"/>
      </w:pPr>
      <w:r>
        <w:lastRenderedPageBreak/>
        <w:t>R</w:t>
      </w:r>
      <w:r w:rsidR="00B46CC7">
        <w:t xml:space="preserve">eliable operation of approximately 1,100 MW of hydroelectric generation resources </w:t>
      </w:r>
    </w:p>
    <w:p w14:paraId="1B7D4659" w14:textId="554991CD" w:rsidR="00B46CC7" w:rsidRDefault="007904E9" w:rsidP="000C3AD1">
      <w:pPr>
        <w:pStyle w:val="ListParagraph"/>
        <w:keepNext/>
        <w:numPr>
          <w:ilvl w:val="0"/>
          <w:numId w:val="15"/>
        </w:numPr>
        <w:jc w:val="both"/>
      </w:pPr>
      <w:r>
        <w:t>I</w:t>
      </w:r>
      <w:r w:rsidR="00B46CC7">
        <w:t>mplementation of o</w:t>
      </w:r>
      <w:r w:rsidR="00B46CC7" w:rsidDel="007A2CBE">
        <w:t xml:space="preserve">ver </w:t>
      </w:r>
      <w:r w:rsidR="00B46CC7">
        <w:t>4,450</w:t>
      </w:r>
      <w:r w:rsidR="00B46CC7" w:rsidDel="007A2CBE">
        <w:t xml:space="preserve"> GWh of energy efficiency (2011-</w:t>
      </w:r>
      <w:r w:rsidR="00B46CC7">
        <w:t>2024</w:t>
      </w:r>
      <w:r w:rsidR="00B46CC7" w:rsidDel="007A2CBE">
        <w:t xml:space="preserve">) </w:t>
      </w:r>
    </w:p>
    <w:p w14:paraId="300095DB" w14:textId="730DF61D" w:rsidR="00B46CC7" w:rsidRDefault="007904E9" w:rsidP="000C3AD1">
      <w:pPr>
        <w:pStyle w:val="ListParagraph"/>
        <w:keepNext/>
        <w:numPr>
          <w:ilvl w:val="0"/>
          <w:numId w:val="15"/>
        </w:numPr>
        <w:jc w:val="both"/>
      </w:pPr>
      <w:r>
        <w:t>C</w:t>
      </w:r>
      <w:r w:rsidR="00B46CC7">
        <w:t xml:space="preserve">ompletion of three renewable RFPs and three capacity RFPs </w:t>
      </w:r>
    </w:p>
    <w:p w14:paraId="2181BE03" w14:textId="0C12BC84" w:rsidR="00B46CC7" w:rsidRDefault="00B46CC7" w:rsidP="00B46CC7">
      <w:pPr>
        <w:jc w:val="both"/>
      </w:pPr>
      <w:r>
        <w:t>For over a decade, the Company’s scenario planning process has included evaluations of higher and lower natural gas prices, along with variations in loads and carbon pricing, among other key factors. The 2022 IRP expanded these scenarios and sensitivities to address the potential for technology advancements, adjusted carbon pricing levels, electrification, and clean portfolio standards. For the 2025 IRP, Georgia Power maintained these expansions and added planning scenarios for the 111 GHG Rules, including</w:t>
      </w:r>
      <w:r w:rsidDel="005023FC">
        <w:t xml:space="preserve"> the </w:t>
      </w:r>
      <w:r>
        <w:t xml:space="preserve">base case of 111-MG0, as discussed in </w:t>
      </w:r>
      <w:r w:rsidR="002B6ABF">
        <w:t>Chapter</w:t>
      </w:r>
      <w:r>
        <w:t xml:space="preserve"> 3. </w:t>
      </w:r>
    </w:p>
    <w:p w14:paraId="09634F90" w14:textId="4C04D6F6" w:rsidR="00B46CC7" w:rsidRDefault="00B46CC7" w:rsidP="00B46CC7">
      <w:pPr>
        <w:jc w:val="both"/>
      </w:pPr>
      <w:r>
        <w:t xml:space="preserve">Within the context of </w:t>
      </w:r>
      <w:r w:rsidR="001134FC">
        <w:t>both</w:t>
      </w:r>
      <w:r>
        <w:t xml:space="preserve"> the 111 GHG Rules and the increased capacity needs over the next decade and beyond, the Company</w:t>
      </w:r>
      <w:r w:rsidR="00683AEB">
        <w:t xml:space="preserve">’s </w:t>
      </w:r>
      <w:r>
        <w:t xml:space="preserve">Unit Retirement Studies </w:t>
      </w:r>
      <w:r w:rsidR="00683AEB">
        <w:t xml:space="preserve">have </w:t>
      </w:r>
      <w:r>
        <w:t>identif</w:t>
      </w:r>
      <w:r w:rsidR="00683AEB">
        <w:t>ied</w:t>
      </w:r>
      <w:r>
        <w:t xml:space="preserve"> the need to continue operation</w:t>
      </w:r>
      <w:r w:rsidR="009661AF">
        <w:t>s</w:t>
      </w:r>
      <w:r>
        <w:t xml:space="preserve"> of coal units with comprehensive environmental controls at Plants Bowen and Scherer through 2035 or later</w:t>
      </w:r>
      <w:r w:rsidR="00CA4BEE">
        <w:t xml:space="preserve">. </w:t>
      </w:r>
      <w:r w:rsidR="00671B24">
        <w:t xml:space="preserve">This recommendation is further addressed in </w:t>
      </w:r>
      <w:r>
        <w:t>Section 8.2</w:t>
      </w:r>
      <w:r w:rsidR="00671B24">
        <w:t xml:space="preserve"> and </w:t>
      </w:r>
      <w:r>
        <w:t xml:space="preserve">is an example of </w:t>
      </w:r>
      <w:r w:rsidR="008C1053">
        <w:t>how</w:t>
      </w:r>
      <w:r>
        <w:t xml:space="preserve"> the Company </w:t>
      </w:r>
      <w:r w:rsidR="008C1053">
        <w:t xml:space="preserve">is </w:t>
      </w:r>
      <w:r>
        <w:t xml:space="preserve">applying its long-term resource planning approach to responsibly transition its coal fleet on </w:t>
      </w:r>
      <w:r w:rsidR="008C1053">
        <w:t>an</w:t>
      </w:r>
      <w:r>
        <w:t xml:space="preserve"> appropriate timeframe to optimize costs and mitigate risks. </w:t>
      </w:r>
      <w:r w:rsidR="0010390D">
        <w:t>T</w:t>
      </w:r>
      <w:r>
        <w:t xml:space="preserve">he Company will continue to engage with Georgia EPD to </w:t>
      </w:r>
      <w:r w:rsidR="0010390D">
        <w:t xml:space="preserve">address </w:t>
      </w:r>
      <w:r>
        <w:t>compliance for these coal units and any associated retirement targets to be included in Georgia’s state plan</w:t>
      </w:r>
      <w:r w:rsidR="004A42FD">
        <w:t xml:space="preserve"> for 111 GHG Rules compliance</w:t>
      </w:r>
      <w:r>
        <w:t xml:space="preserve">. State plan requirements will be incorporated </w:t>
      </w:r>
      <w:r w:rsidR="00790454">
        <w:t xml:space="preserve">within </w:t>
      </w:r>
      <w:r>
        <w:t xml:space="preserve">Georgia Power’s long-term </w:t>
      </w:r>
      <w:r w:rsidR="008670C0">
        <w:t xml:space="preserve">resource planning </w:t>
      </w:r>
      <w:r>
        <w:t xml:space="preserve">processes to </w:t>
      </w:r>
      <w:r w:rsidR="00601548">
        <w:t>establish a</w:t>
      </w:r>
      <w:r>
        <w:t xml:space="preserve"> reliable and cost-effective transition to low-carbon resources in the future. </w:t>
      </w:r>
    </w:p>
    <w:p w14:paraId="41EFEBF4" w14:textId="5F87468D" w:rsidR="00B46CC7" w:rsidRDefault="00B46CC7" w:rsidP="00B46CC7">
      <w:pPr>
        <w:jc w:val="both"/>
      </w:pPr>
      <w:r>
        <w:t>The 2025 IRP uses a well-balanced and diversified approach to meet future capacity needs through strategic expansion while continuing the Company’s flexible economic fleet transition. The requests in this IRP will provide optionality and risk mitigation through a cost-</w:t>
      </w:r>
      <w:r w:rsidR="00BB1133">
        <w:t>effective</w:t>
      </w:r>
      <w:r>
        <w:t>, low-carbon, and reliable resource mix that will benefit all customers, while also providing clean energy options to meet the needs of customers</w:t>
      </w:r>
      <w:r w:rsidR="00385768">
        <w:t xml:space="preserve"> with decarbonization goals</w:t>
      </w:r>
      <w:r>
        <w:t xml:space="preserve">. The proposed </w:t>
      </w:r>
      <w:r w:rsidR="00C23D6D">
        <w:t xml:space="preserve">resource </w:t>
      </w:r>
      <w:r>
        <w:t>portfolio</w:t>
      </w:r>
      <w:r w:rsidR="00715416">
        <w:t xml:space="preserve"> also </w:t>
      </w:r>
      <w:r>
        <w:t xml:space="preserve">positions the Company to address constraints and opportunities associated with current and potential future national climate policy. </w:t>
      </w:r>
    </w:p>
    <w:p w14:paraId="2C3BC2AA" w14:textId="0AE518D3" w:rsidR="00B46CC7" w:rsidRDefault="00B46CC7" w:rsidP="00B46CC7">
      <w:pPr>
        <w:pStyle w:val="Heading2"/>
      </w:pPr>
      <w:bookmarkStart w:id="62" w:name="_Toc189122781"/>
      <w:r>
        <w:t>9.5 – Potential Net-Zero Technology Evaluations</w:t>
      </w:r>
      <w:bookmarkEnd w:id="62"/>
    </w:p>
    <w:p w14:paraId="0BA7B121" w14:textId="4B429340" w:rsidR="00B46CC7" w:rsidRDefault="00E8559B" w:rsidP="00B46CC7">
      <w:pPr>
        <w:jc w:val="both"/>
      </w:pPr>
      <w:r>
        <w:t>S</w:t>
      </w:r>
      <w:r w:rsidR="00B46CC7">
        <w:t>ustained progress toward a lower carbon future require</w:t>
      </w:r>
      <w:r w:rsidR="00D73370">
        <w:t>s</w:t>
      </w:r>
      <w:r w:rsidR="00B46CC7">
        <w:t xml:space="preserve"> </w:t>
      </w:r>
      <w:r w:rsidR="0010220E">
        <w:t xml:space="preserve">technologies that are both </w:t>
      </w:r>
      <w:r w:rsidR="00B46CC7">
        <w:t xml:space="preserve">technically feasible </w:t>
      </w:r>
      <w:r w:rsidR="00E35EB8">
        <w:t>and economical</w:t>
      </w:r>
      <w:r w:rsidR="00C23D6D">
        <w:t>.</w:t>
      </w:r>
      <w:r w:rsidR="00B46CC7">
        <w:t xml:space="preserve"> </w:t>
      </w:r>
      <w:r w:rsidR="00FD03E4">
        <w:t>The Company is evaluating p</w:t>
      </w:r>
      <w:r w:rsidR="00EB3FCF">
        <w:t>otential</w:t>
      </w:r>
      <w:r w:rsidR="00B46CC7">
        <w:t xml:space="preserve"> zero-carbon resources</w:t>
      </w:r>
      <w:r w:rsidR="00444B7A">
        <w:t>,</w:t>
      </w:r>
      <w:r w:rsidR="00B46CC7">
        <w:t xml:space="preserve"> </w:t>
      </w:r>
      <w:r w:rsidR="00FD03E4">
        <w:t>such as</w:t>
      </w:r>
      <w:r w:rsidR="00B46CC7">
        <w:t xml:space="preserve"> advanced nuclear, long-duration </w:t>
      </w:r>
      <w:r w:rsidR="0049176D">
        <w:t>energy</w:t>
      </w:r>
      <w:r w:rsidR="00B46CC7">
        <w:t xml:space="preserve"> storage, hydrogen, and wind energy</w:t>
      </w:r>
      <w:r w:rsidR="00B97875">
        <w:t xml:space="preserve">, which </w:t>
      </w:r>
      <w:r w:rsidR="00DD0417">
        <w:t xml:space="preserve">may provide substantial value for customers as their </w:t>
      </w:r>
      <w:r w:rsidR="00B46CC7">
        <w:t>costs decline and technology improves.</w:t>
      </w:r>
    </w:p>
    <w:p w14:paraId="3B42E966" w14:textId="3269504D" w:rsidR="00B46CC7" w:rsidRDefault="00B46CC7" w:rsidP="00B46CC7">
      <w:pPr>
        <w:jc w:val="both"/>
      </w:pPr>
      <w:r>
        <w:t xml:space="preserve">Negative carbon solutions are </w:t>
      </w:r>
      <w:r w:rsidR="00727387">
        <w:t xml:space="preserve">also </w:t>
      </w:r>
      <w:r>
        <w:t xml:space="preserve">an important component of a net-zero carbon approach and counterbalance direct GHG emissions from Company operations through either the capture and storage of GHGs or the application of carbon offset credits </w:t>
      </w:r>
      <w:r w:rsidR="000455BB">
        <w:t xml:space="preserve">from </w:t>
      </w:r>
      <w:r>
        <w:t xml:space="preserve">qualifying GHG reduction projects. CCS could potentially be applied as an </w:t>
      </w:r>
      <w:r w:rsidR="00057F1C">
        <w:t>additional</w:t>
      </w:r>
      <w:r>
        <w:t xml:space="preserve"> environmental control </w:t>
      </w:r>
      <w:r w:rsidR="008B4C6C">
        <w:t>at</w:t>
      </w:r>
      <w:r>
        <w:t xml:space="preserve"> a generating unit to remove GHG emissions at their source or could be used as direct air capture (“DAC”)</w:t>
      </w:r>
      <w:r w:rsidR="001C0DDB">
        <w:t xml:space="preserve"> by removing GHGs from ambient air</w:t>
      </w:r>
      <w:r>
        <w:t xml:space="preserve">. While many of these negative carbon solutions are evolving or </w:t>
      </w:r>
      <w:r w:rsidR="00CE73EA">
        <w:t xml:space="preserve">are </w:t>
      </w:r>
      <w:r>
        <w:t>in development</w:t>
      </w:r>
      <w:r w:rsidR="00AB65C8">
        <w:t xml:space="preserve">, </w:t>
      </w:r>
      <w:r w:rsidR="006A727F">
        <w:t>there are</w:t>
      </w:r>
      <w:r>
        <w:t xml:space="preserve"> some unique challenges for CCS in Georgia. Unlike some neighboring states with extensive oil and gas exploration and development, Georgia </w:t>
      </w:r>
      <w:r w:rsidR="00FA32C0">
        <w:t xml:space="preserve">has </w:t>
      </w:r>
      <w:r>
        <w:t>historically lack</w:t>
      </w:r>
      <w:r w:rsidR="00FA32C0">
        <w:t>ed</w:t>
      </w:r>
      <w:r>
        <w:t xml:space="preserve"> the detailed geological </w:t>
      </w:r>
      <w:r w:rsidR="0063657C">
        <w:t xml:space="preserve">capability and </w:t>
      </w:r>
      <w:r>
        <w:t xml:space="preserve">information needed for CCS deployment. Since 2021, </w:t>
      </w:r>
      <w:r w:rsidR="00930C9D">
        <w:t>however</w:t>
      </w:r>
      <w:r>
        <w:t xml:space="preserve">, Georgia Power has been partnering with Southern Company to evaluate the viability of CCS in Georgia. </w:t>
      </w:r>
      <w:r w:rsidR="009F591C">
        <w:t xml:space="preserve">In </w:t>
      </w:r>
      <w:r w:rsidR="009F591C">
        <w:lastRenderedPageBreak/>
        <w:t>2024</w:t>
      </w:r>
      <w:r>
        <w:t>, test borings were completed at three</w:t>
      </w:r>
      <w:r w:rsidR="009F591C">
        <w:t xml:space="preserve"> </w:t>
      </w:r>
      <w:r>
        <w:t>sites</w:t>
      </w:r>
      <w:r w:rsidR="00CC6836">
        <w:t>, with a fourth site completed in January 2025,</w:t>
      </w:r>
      <w:r>
        <w:t xml:space="preserve"> to gain information about </w:t>
      </w:r>
      <w:r w:rsidR="00557B18">
        <w:t xml:space="preserve">underground </w:t>
      </w:r>
      <w:r>
        <w:t xml:space="preserve">geologic formations in northwest and southeast Georgia. While the ability to implement CCS is years away, these studies are necessary to keep diversified </w:t>
      </w:r>
      <w:r w:rsidR="00D55D3D">
        <w:t>and potentially beneficial</w:t>
      </w:r>
      <w:r>
        <w:t xml:space="preserve"> generation options viable for </w:t>
      </w:r>
      <w:r w:rsidR="00F0203C">
        <w:t xml:space="preserve">Georgia’s </w:t>
      </w:r>
      <w:r>
        <w:t>future.</w:t>
      </w:r>
    </w:p>
    <w:p w14:paraId="1100C08E" w14:textId="21DEBBFA" w:rsidR="00B46CC7" w:rsidRDefault="00B46CC7" w:rsidP="00B46CC7">
      <w:pPr>
        <w:jc w:val="both"/>
      </w:pPr>
      <w:r>
        <w:t>DAC technologies, which could provide flexibility in carbon capture, are being researched at the National Carbon Capture Center, which is managed and operated by Southern Company. Southern Company aims to explore flexible carbon removal solutions and support pilot projects with the DOE, universities</w:t>
      </w:r>
      <w:r w:rsidR="0067642B">
        <w:t>,</w:t>
      </w:r>
      <w:r>
        <w:t xml:space="preserve"> and DAC technology developers. Recently, these efforts resulted in a pilot project for testing on-site DAC in collaboration with Southern States Energy Board and Aircapture.</w:t>
      </w:r>
      <w:r w:rsidR="000A7698">
        <w:rPr>
          <w:rStyle w:val="FootnoteReference"/>
        </w:rPr>
        <w:footnoteReference w:id="40"/>
      </w:r>
    </w:p>
    <w:p w14:paraId="64E7BA89" w14:textId="21F3F56D" w:rsidR="00B46CC7" w:rsidRDefault="00B46CC7" w:rsidP="00B46CC7">
      <w:pPr>
        <w:pStyle w:val="Heading2"/>
      </w:pPr>
      <w:bookmarkStart w:id="63" w:name="_Toc189122782"/>
      <w:r>
        <w:t>9.6 – Customer Decarbonization Solutions</w:t>
      </w:r>
      <w:bookmarkEnd w:id="63"/>
    </w:p>
    <w:p w14:paraId="28EC0764" w14:textId="13118DF0" w:rsidR="00B46CC7" w:rsidRDefault="00B46CC7" w:rsidP="00B46CC7">
      <w:pPr>
        <w:jc w:val="both"/>
      </w:pPr>
      <w:r>
        <w:t xml:space="preserve">In addition to achieving significant emissions reductions from </w:t>
      </w:r>
      <w:r w:rsidR="02851116">
        <w:t>its own</w:t>
      </w:r>
      <w:r>
        <w:t xml:space="preserve"> operations, Georgia Power has a proven track record for developing programs, including renewable energy, energy efficiency, and electrification</w:t>
      </w:r>
      <w:r w:rsidR="5C0A2EA2">
        <w:t xml:space="preserve"> programs</w:t>
      </w:r>
      <w:r>
        <w:t>, that support customer decarbonization goals. A growing number of customers are seeking clean energy solutions, with some focused on a carbon</w:t>
      </w:r>
      <w:r w:rsidR="00C84A5E">
        <w:t>-free</w:t>
      </w:r>
      <w:r>
        <w:t xml:space="preserve"> energy supply. </w:t>
      </w:r>
      <w:r w:rsidR="6364E02F">
        <w:t xml:space="preserve">When </w:t>
      </w:r>
      <w:r w:rsidR="6BA541B1">
        <w:t>s</w:t>
      </w:r>
      <w:r w:rsidR="00DF27C0">
        <w:t>i</w:t>
      </w:r>
      <w:r w:rsidR="6BA541B1">
        <w:t xml:space="preserve">ting </w:t>
      </w:r>
      <w:r>
        <w:t>new facilities</w:t>
      </w:r>
      <w:r w:rsidR="607FBE8A">
        <w:t xml:space="preserve">, many potential customers </w:t>
      </w:r>
      <w:r w:rsidR="025AE338">
        <w:t xml:space="preserve">also </w:t>
      </w:r>
      <w:r w:rsidR="4CAF4473">
        <w:t>consider</w:t>
      </w:r>
      <w:r w:rsidR="747A519D">
        <w:t xml:space="preserve"> </w:t>
      </w:r>
      <w:r w:rsidR="383AAF53">
        <w:t>a</w:t>
      </w:r>
      <w:r w:rsidR="747A519D">
        <w:t xml:space="preserve"> utilit</w:t>
      </w:r>
      <w:r w:rsidR="71D08138">
        <w:t>y’</w:t>
      </w:r>
      <w:r w:rsidR="747A519D">
        <w:t>s</w:t>
      </w:r>
      <w:r w:rsidR="162F74AF">
        <w:t xml:space="preserve"> ability</w:t>
      </w:r>
      <w:r w:rsidR="747A519D">
        <w:t xml:space="preserve"> </w:t>
      </w:r>
      <w:r>
        <w:t xml:space="preserve">to help them meet their sustainability goals. </w:t>
      </w:r>
      <w:r w:rsidR="003D02AC">
        <w:t>Chapter 10</w:t>
      </w:r>
      <w:r>
        <w:t xml:space="preserve"> provides details of the renewable customer programs proposed by the Company in this IRP.</w:t>
      </w:r>
    </w:p>
    <w:p w14:paraId="01E45735" w14:textId="68DF98E7" w:rsidR="00B46CC7" w:rsidRDefault="7B116ACD" w:rsidP="00B46CC7">
      <w:pPr>
        <w:jc w:val="both"/>
      </w:pPr>
      <w:r>
        <w:t>In</w:t>
      </w:r>
      <w:r w:rsidR="00B46CC7">
        <w:t xml:space="preserve"> addressing carbon risk, Georgia Power will continue to consider </w:t>
      </w:r>
      <w:r w:rsidR="2BEE19C9">
        <w:t xml:space="preserve">how </w:t>
      </w:r>
      <w:r w:rsidR="00B46CC7">
        <w:t xml:space="preserve">it </w:t>
      </w:r>
      <w:r w:rsidR="19382CBC">
        <w:t>can</w:t>
      </w:r>
      <w:r w:rsidR="00B46CC7">
        <w:t xml:space="preserve"> best serve customers by preparing for future challenges, leveraging existing resources, and growing flexibility in serving its customers. The 2025 IRP position</w:t>
      </w:r>
      <w:r w:rsidR="7FC6BE08">
        <w:t>s</w:t>
      </w:r>
      <w:r w:rsidR="00B46CC7">
        <w:t xml:space="preserve"> the Company to continue to provide </w:t>
      </w:r>
      <w:r w:rsidR="26AC2FE2">
        <w:t xml:space="preserve">its customers with </w:t>
      </w:r>
      <w:r w:rsidR="00B46CC7">
        <w:t>clean, safe, reliable, and affordable electric</w:t>
      </w:r>
      <w:r w:rsidR="7F28CE41">
        <w:t xml:space="preserve"> service</w:t>
      </w:r>
      <w:r w:rsidR="00B46CC7">
        <w:t>.</w:t>
      </w:r>
    </w:p>
    <w:p w14:paraId="0AD79E3F" w14:textId="0CDE9BAD" w:rsidR="0058773E" w:rsidRDefault="0058773E">
      <w:r>
        <w:br w:type="page"/>
      </w:r>
    </w:p>
    <w:p w14:paraId="6D319D36" w14:textId="77777777" w:rsidR="00DB2C65" w:rsidRDefault="00DB2C65" w:rsidP="00DB2C65">
      <w:pPr>
        <w:jc w:val="both"/>
      </w:pPr>
    </w:p>
    <w:p w14:paraId="23692398" w14:textId="77777777" w:rsidR="00DB2C65" w:rsidRDefault="00DB2C65" w:rsidP="00DB2C65">
      <w:pPr>
        <w:jc w:val="both"/>
      </w:pPr>
    </w:p>
    <w:p w14:paraId="1387452E" w14:textId="77777777" w:rsidR="00DB2C65" w:rsidRDefault="00DB2C65" w:rsidP="00DB2C65">
      <w:pPr>
        <w:jc w:val="both"/>
      </w:pPr>
    </w:p>
    <w:p w14:paraId="4775A9B6" w14:textId="77777777" w:rsidR="00DB2C65" w:rsidRDefault="00DB2C65" w:rsidP="00DB2C65">
      <w:pPr>
        <w:jc w:val="both"/>
      </w:pPr>
    </w:p>
    <w:p w14:paraId="07FC8735" w14:textId="77777777" w:rsidR="00DB2C65" w:rsidRDefault="00DB2C65" w:rsidP="00DB2C65">
      <w:pPr>
        <w:jc w:val="both"/>
      </w:pPr>
    </w:p>
    <w:p w14:paraId="7DDBB8CB" w14:textId="77777777" w:rsidR="00DB2C65" w:rsidRDefault="00DB2C65" w:rsidP="00DB2C65">
      <w:pPr>
        <w:jc w:val="both"/>
      </w:pPr>
    </w:p>
    <w:p w14:paraId="714D3AF4" w14:textId="77777777" w:rsidR="00DB2C65" w:rsidRDefault="00DB2C65" w:rsidP="00DB2C65">
      <w:pPr>
        <w:jc w:val="both"/>
      </w:pPr>
    </w:p>
    <w:p w14:paraId="3ADBA28B" w14:textId="77777777" w:rsidR="00DB2C65" w:rsidRDefault="00DB2C65" w:rsidP="00DB2C65">
      <w:pPr>
        <w:jc w:val="both"/>
      </w:pPr>
    </w:p>
    <w:p w14:paraId="16F78ABC" w14:textId="77777777" w:rsidR="00DB2C65" w:rsidRDefault="00DB2C65" w:rsidP="00DB2C65">
      <w:pPr>
        <w:jc w:val="both"/>
      </w:pPr>
    </w:p>
    <w:p w14:paraId="319218C7" w14:textId="77777777" w:rsidR="00DB2C65" w:rsidRDefault="00DB2C65" w:rsidP="00DB2C65">
      <w:pPr>
        <w:jc w:val="both"/>
      </w:pPr>
    </w:p>
    <w:p w14:paraId="4CCD52E6" w14:textId="77777777" w:rsidR="00DB2C65" w:rsidRDefault="00DB2C65" w:rsidP="00DB2C65">
      <w:pPr>
        <w:jc w:val="both"/>
      </w:pPr>
    </w:p>
    <w:p w14:paraId="3F24432B" w14:textId="7BF21BC4" w:rsidR="00DB2C65" w:rsidRDefault="00DB2C65" w:rsidP="00DB2C65">
      <w:pPr>
        <w:jc w:val="center"/>
        <w:rPr>
          <w:rFonts w:asciiTheme="majorHAnsi" w:eastAsiaTheme="majorEastAsia" w:hAnsiTheme="majorHAnsi" w:cstheme="majorBidi"/>
          <w:color w:val="0F4761" w:themeColor="accent1" w:themeShade="BF"/>
          <w:sz w:val="40"/>
          <w:szCs w:val="40"/>
        </w:rPr>
      </w:pPr>
      <w:r>
        <w:t>[This page is intentionally left blank.]</w:t>
      </w:r>
      <w:r>
        <w:br w:type="page"/>
      </w:r>
    </w:p>
    <w:p w14:paraId="1D5F8344" w14:textId="7DF89A38" w:rsidR="003366DE" w:rsidRDefault="004E56A5" w:rsidP="004A4AE4">
      <w:pPr>
        <w:pStyle w:val="Heading1"/>
      </w:pPr>
      <w:bookmarkStart w:id="64" w:name="_Toc189122783"/>
      <w:r>
        <w:lastRenderedPageBreak/>
        <w:t xml:space="preserve">Chapter </w:t>
      </w:r>
      <w:r w:rsidR="00B46CC7">
        <w:t>10</w:t>
      </w:r>
      <w:r>
        <w:t xml:space="preserve">. </w:t>
      </w:r>
      <w:r w:rsidR="000A02DA">
        <w:t xml:space="preserve">Renewable </w:t>
      </w:r>
      <w:r w:rsidR="00100569">
        <w:t xml:space="preserve">&amp; </w:t>
      </w:r>
      <w:r w:rsidR="009B3723">
        <w:t xml:space="preserve">Resiliency </w:t>
      </w:r>
      <w:r w:rsidR="004A4AE4">
        <w:t>Customer Programs</w:t>
      </w:r>
      <w:bookmarkEnd w:id="64"/>
    </w:p>
    <w:p w14:paraId="489BD2F1" w14:textId="354693D2" w:rsidR="006977AF" w:rsidRDefault="00EE3106" w:rsidP="007B038B">
      <w:pPr>
        <w:spacing w:before="120" w:after="120"/>
        <w:jc w:val="both"/>
      </w:pPr>
      <w:r>
        <w:t xml:space="preserve">Georgia </w:t>
      </w:r>
      <w:r w:rsidR="00917385">
        <w:t xml:space="preserve">Power’s </w:t>
      </w:r>
      <w:r w:rsidR="00E2419B">
        <w:t>portfolio</w:t>
      </w:r>
      <w:r w:rsidR="009C5D04">
        <w:t xml:space="preserve"> of</w:t>
      </w:r>
      <w:r w:rsidR="00E2419B">
        <w:t xml:space="preserve"> customer</w:t>
      </w:r>
      <w:r w:rsidR="009C5D04">
        <w:t xml:space="preserve"> program</w:t>
      </w:r>
      <w:r w:rsidR="00A73C16">
        <w:t>s</w:t>
      </w:r>
      <w:r w:rsidR="009C5D04">
        <w:t xml:space="preserve"> </w:t>
      </w:r>
      <w:r w:rsidR="00F96842">
        <w:t xml:space="preserve">is </w:t>
      </w:r>
      <w:r w:rsidR="00184922">
        <w:t>contin</w:t>
      </w:r>
      <w:r w:rsidR="00F96842">
        <w:t xml:space="preserve">ually </w:t>
      </w:r>
      <w:r w:rsidR="004A0E18">
        <w:t xml:space="preserve">evolving to </w:t>
      </w:r>
      <w:r w:rsidR="00081D04">
        <w:t>offer innovative</w:t>
      </w:r>
      <w:r w:rsidR="00415873">
        <w:t xml:space="preserve"> options</w:t>
      </w:r>
      <w:r w:rsidR="00BA3750">
        <w:t xml:space="preserve"> </w:t>
      </w:r>
      <w:r w:rsidR="00E54383">
        <w:t>t</w:t>
      </w:r>
      <w:r w:rsidR="00B14D03">
        <w:t>hat</w:t>
      </w:r>
      <w:r w:rsidR="00E54383">
        <w:t xml:space="preserve"> help </w:t>
      </w:r>
      <w:r w:rsidR="00DF121D">
        <w:t xml:space="preserve">customers </w:t>
      </w:r>
      <w:r w:rsidR="00F171FE">
        <w:t>meet</w:t>
      </w:r>
      <w:r w:rsidR="00886DF5">
        <w:t xml:space="preserve"> </w:t>
      </w:r>
      <w:r w:rsidR="001A523F">
        <w:t xml:space="preserve">their </w:t>
      </w:r>
      <w:r w:rsidR="00E2419B">
        <w:t xml:space="preserve">sustainability and resiliency </w:t>
      </w:r>
      <w:r w:rsidR="001A523F">
        <w:t>goals</w:t>
      </w:r>
      <w:r w:rsidR="0047133B">
        <w:t xml:space="preserve">. </w:t>
      </w:r>
      <w:r w:rsidR="00C82478">
        <w:t xml:space="preserve">These </w:t>
      </w:r>
      <w:r w:rsidR="00600341">
        <w:t xml:space="preserve">programs </w:t>
      </w:r>
      <w:r w:rsidR="00E046DD">
        <w:t>help</w:t>
      </w:r>
      <w:r w:rsidR="000122C8">
        <w:t xml:space="preserve"> </w:t>
      </w:r>
      <w:r w:rsidR="00D35AD3">
        <w:t>address</w:t>
      </w:r>
      <w:r w:rsidR="000122C8">
        <w:t xml:space="preserve"> customer needs </w:t>
      </w:r>
      <w:r w:rsidR="00F06E65">
        <w:t>and</w:t>
      </w:r>
      <w:r w:rsidR="00DB6E86">
        <w:t xml:space="preserve"> </w:t>
      </w:r>
      <w:r w:rsidR="000C62B6">
        <w:t xml:space="preserve">bolster </w:t>
      </w:r>
      <w:r w:rsidR="00927C27">
        <w:t xml:space="preserve">economic growth </w:t>
      </w:r>
      <w:r w:rsidR="4CD24745">
        <w:t xml:space="preserve">within the state of </w:t>
      </w:r>
      <w:r w:rsidR="00927C27">
        <w:t>Georgia</w:t>
      </w:r>
      <w:r w:rsidR="001A523F">
        <w:t xml:space="preserve">. </w:t>
      </w:r>
      <w:r w:rsidR="57F1A08F">
        <w:t>To</w:t>
      </w:r>
      <w:r w:rsidR="009606E2">
        <w:t xml:space="preserve"> meet </w:t>
      </w:r>
      <w:r w:rsidR="0011101E">
        <w:t xml:space="preserve">the broad spectrum of </w:t>
      </w:r>
      <w:r w:rsidR="006751E5">
        <w:t>customers’</w:t>
      </w:r>
      <w:r w:rsidR="009606E2">
        <w:t xml:space="preserve"> needs,</w:t>
      </w:r>
      <w:r w:rsidR="00CA0A9C">
        <w:t xml:space="preserve"> Georgia Power </w:t>
      </w:r>
      <w:r w:rsidR="007A08E4">
        <w:t xml:space="preserve">seeks </w:t>
      </w:r>
      <w:r w:rsidR="0094177C">
        <w:t xml:space="preserve">to </w:t>
      </w:r>
      <w:r w:rsidR="00F244EC">
        <w:t>continue</w:t>
      </w:r>
      <w:r w:rsidR="0094177C">
        <w:t xml:space="preserve"> t</w:t>
      </w:r>
      <w:r w:rsidR="004C5C67">
        <w:t xml:space="preserve">o </w:t>
      </w:r>
      <w:r w:rsidR="005E7033">
        <w:t>advance</w:t>
      </w:r>
      <w:r w:rsidR="00EE5A39">
        <w:t xml:space="preserve"> </w:t>
      </w:r>
      <w:r w:rsidR="00CE2EF1">
        <w:t>and innovate</w:t>
      </w:r>
      <w:r w:rsidR="005A0323">
        <w:t xml:space="preserve"> </w:t>
      </w:r>
      <w:r w:rsidR="006751E5">
        <w:t>its</w:t>
      </w:r>
      <w:r w:rsidR="005A0323">
        <w:t xml:space="preserve"> program designs</w:t>
      </w:r>
      <w:r w:rsidR="00442CDA">
        <w:t xml:space="preserve">, </w:t>
      </w:r>
      <w:r w:rsidR="00FD618D">
        <w:t>including</w:t>
      </w:r>
      <w:r w:rsidR="00A3444B">
        <w:t xml:space="preserve"> customer</w:t>
      </w:r>
      <w:r w:rsidR="00235548">
        <w:t>-</w:t>
      </w:r>
      <w:r w:rsidR="00A3444B">
        <w:t xml:space="preserve">sited </w:t>
      </w:r>
      <w:r w:rsidR="00235548">
        <w:t>generation</w:t>
      </w:r>
      <w:r w:rsidR="00D562B2">
        <w:t xml:space="preserve"> </w:t>
      </w:r>
      <w:r w:rsidR="00A3444B">
        <w:t xml:space="preserve">programs </w:t>
      </w:r>
      <w:r w:rsidR="00442CDA">
        <w:t xml:space="preserve">and </w:t>
      </w:r>
      <w:r w:rsidR="00D562B2">
        <w:t>renewable energy subscription</w:t>
      </w:r>
      <w:r w:rsidR="001D47CC">
        <w:t xml:space="preserve"> </w:t>
      </w:r>
      <w:r w:rsidR="009A095E">
        <w:t>programs</w:t>
      </w:r>
      <w:r w:rsidR="00442CDA">
        <w:t xml:space="preserve">, </w:t>
      </w:r>
      <w:r w:rsidR="00AF1F11">
        <w:t>while maintaining focus on en</w:t>
      </w:r>
      <w:r w:rsidR="00076175">
        <w:t>hance</w:t>
      </w:r>
      <w:r w:rsidR="00967C58">
        <w:t>d</w:t>
      </w:r>
      <w:r w:rsidR="00076175">
        <w:t xml:space="preserve"> </w:t>
      </w:r>
      <w:r w:rsidR="006B19ED">
        <w:t>S</w:t>
      </w:r>
      <w:r w:rsidR="00736E6A">
        <w:t>ystem</w:t>
      </w:r>
      <w:r w:rsidR="00076175">
        <w:t xml:space="preserve"> reliability</w:t>
      </w:r>
      <w:r w:rsidR="00897079">
        <w:t xml:space="preserve"> </w:t>
      </w:r>
      <w:r w:rsidR="006B3036">
        <w:t>and</w:t>
      </w:r>
      <w:r w:rsidR="00897079">
        <w:t xml:space="preserve"> </w:t>
      </w:r>
      <w:r w:rsidR="00967C58">
        <w:t>affordability</w:t>
      </w:r>
      <w:r w:rsidR="001D47CC">
        <w:t xml:space="preserve"> </w:t>
      </w:r>
      <w:r w:rsidR="006B3036">
        <w:t xml:space="preserve">for all customers. </w:t>
      </w:r>
    </w:p>
    <w:p w14:paraId="270C23F3" w14:textId="66915F84" w:rsidR="00317DED" w:rsidRPr="00BD0CD7" w:rsidRDefault="00317DED" w:rsidP="00FB14DE">
      <w:pPr>
        <w:jc w:val="both"/>
      </w:pPr>
      <w:r w:rsidRPr="00BD0CD7">
        <w:t xml:space="preserve">Georgia Power </w:t>
      </w:r>
      <w:r w:rsidR="001373BA">
        <w:t xml:space="preserve">proposes a suite </w:t>
      </w:r>
      <w:r w:rsidR="00C954A3">
        <w:t>o</w:t>
      </w:r>
      <w:r w:rsidR="00F11061">
        <w:t xml:space="preserve">f </w:t>
      </w:r>
      <w:r w:rsidRPr="00BD0CD7">
        <w:t>program</w:t>
      </w:r>
      <w:r w:rsidR="00CA40EE">
        <w:t xml:space="preserve"> option</w:t>
      </w:r>
      <w:r w:rsidRPr="00BD0CD7">
        <w:t>s</w:t>
      </w:r>
      <w:r w:rsidR="0013158F">
        <w:t xml:space="preserve"> </w:t>
      </w:r>
      <w:r w:rsidR="007539B1">
        <w:t xml:space="preserve">aimed </w:t>
      </w:r>
      <w:r w:rsidR="00394BFA">
        <w:t xml:space="preserve">at </w:t>
      </w:r>
      <w:r w:rsidR="00CD72E4">
        <w:t>promo</w:t>
      </w:r>
      <w:r w:rsidR="00A66820">
        <w:t xml:space="preserve">ting </w:t>
      </w:r>
      <w:r w:rsidR="00E1173F">
        <w:t xml:space="preserve">customer satisfaction, </w:t>
      </w:r>
      <w:r w:rsidR="003B6383">
        <w:t>sustainability</w:t>
      </w:r>
      <w:r w:rsidR="00E1173F">
        <w:t>,</w:t>
      </w:r>
      <w:r w:rsidR="00B75092">
        <w:t xml:space="preserve"> </w:t>
      </w:r>
      <w:r w:rsidR="005018FC">
        <w:t xml:space="preserve">and </w:t>
      </w:r>
      <w:r w:rsidR="00C36BD0">
        <w:t>economic</w:t>
      </w:r>
      <w:r w:rsidR="00A542F0">
        <w:t xml:space="preserve"> growth in Georgia</w:t>
      </w:r>
      <w:r w:rsidRPr="00BD0CD7">
        <w:t xml:space="preserve">. Key initiatives </w:t>
      </w:r>
      <w:r w:rsidR="00C107C6">
        <w:t>and re</w:t>
      </w:r>
      <w:r w:rsidR="00B10FB7">
        <w:t xml:space="preserve">quests </w:t>
      </w:r>
      <w:r w:rsidRPr="00BD0CD7">
        <w:t>include:</w:t>
      </w:r>
    </w:p>
    <w:p w14:paraId="31F7436E" w14:textId="419A7305" w:rsidR="00AF2BA5" w:rsidRDefault="00AF2BA5" w:rsidP="00FB14DE">
      <w:pPr>
        <w:numPr>
          <w:ilvl w:val="0"/>
          <w:numId w:val="48"/>
        </w:numPr>
        <w:jc w:val="both"/>
        <w:rPr>
          <w:b/>
          <w:bCs/>
        </w:rPr>
      </w:pPr>
      <w:r>
        <w:rPr>
          <w:b/>
          <w:bCs/>
        </w:rPr>
        <w:t>Renewable Subscription Programs:</w:t>
      </w:r>
    </w:p>
    <w:p w14:paraId="41E5D6EA" w14:textId="124FBDCB" w:rsidR="004B2319" w:rsidRPr="00BD0CD7" w:rsidRDefault="004B2319" w:rsidP="004B2319">
      <w:pPr>
        <w:numPr>
          <w:ilvl w:val="1"/>
          <w:numId w:val="48"/>
        </w:numPr>
        <w:jc w:val="both"/>
      </w:pPr>
      <w:r w:rsidRPr="00BD0CD7">
        <w:t xml:space="preserve">CARES Distributed </w:t>
      </w:r>
      <w:r w:rsidR="00BB47BB">
        <w:t>Generation</w:t>
      </w:r>
      <w:r w:rsidRPr="00BD0CD7">
        <w:t>: Expand the CARES program to</w:t>
      </w:r>
      <w:r w:rsidR="0080495F">
        <w:t xml:space="preserve"> offer </w:t>
      </w:r>
      <w:r w:rsidR="0080495F" w:rsidRPr="00BD0CD7">
        <w:t>customer subscription</w:t>
      </w:r>
      <w:r w:rsidR="0080495F">
        <w:t>s from</w:t>
      </w:r>
      <w:r w:rsidRPr="00BD0CD7">
        <w:t xml:space="preserve"> smaller projects </w:t>
      </w:r>
      <w:r w:rsidR="009102FC">
        <w:t>to C&amp;I customer</w:t>
      </w:r>
      <w:r w:rsidR="004226C8">
        <w:t>s smaller than</w:t>
      </w:r>
      <w:r w:rsidR="009102FC">
        <w:t xml:space="preserve"> 3 MW, and to Residential customers through the Distributed</w:t>
      </w:r>
      <w:r w:rsidR="00BE585C">
        <w:t xml:space="preserve"> Generation</w:t>
      </w:r>
      <w:r w:rsidR="009102FC">
        <w:t xml:space="preserve"> Community Solar subscription program</w:t>
      </w:r>
      <w:r w:rsidRPr="00BD0CD7">
        <w:t>.</w:t>
      </w:r>
    </w:p>
    <w:p w14:paraId="2972A195" w14:textId="24CED862" w:rsidR="004B2319" w:rsidRPr="00BD0CD7" w:rsidRDefault="004B2319" w:rsidP="004B2319">
      <w:pPr>
        <w:numPr>
          <w:ilvl w:val="1"/>
          <w:numId w:val="48"/>
        </w:numPr>
        <w:jc w:val="both"/>
      </w:pPr>
      <w:r w:rsidRPr="00BD0CD7">
        <w:t>CARES U</w:t>
      </w:r>
      <w:r>
        <w:t xml:space="preserve">tility </w:t>
      </w:r>
      <w:r w:rsidRPr="00BD0CD7">
        <w:t>S</w:t>
      </w:r>
      <w:r>
        <w:t>cale</w:t>
      </w:r>
      <w:r w:rsidRPr="00BD0CD7">
        <w:t xml:space="preserve"> Subscription Program: Enhanc</w:t>
      </w:r>
      <w:r w:rsidR="00793388">
        <w:t>e</w:t>
      </w:r>
      <w:r w:rsidRPr="00BD0CD7">
        <w:t xml:space="preserve"> subscription options fr</w:t>
      </w:r>
      <w:r w:rsidR="00512CDA">
        <w:t>om</w:t>
      </w:r>
      <w:r w:rsidRPr="00BD0CD7">
        <w:t xml:space="preserve"> </w:t>
      </w:r>
      <w:r>
        <w:t xml:space="preserve">Utility </w:t>
      </w:r>
      <w:r w:rsidRPr="00BD0CD7">
        <w:t>S</w:t>
      </w:r>
      <w:r>
        <w:t>cale</w:t>
      </w:r>
      <w:r w:rsidRPr="00BD0CD7">
        <w:t xml:space="preserve"> procurements, including longer participation windows and </w:t>
      </w:r>
      <w:r w:rsidR="0080495F">
        <w:t xml:space="preserve">the option to procure </w:t>
      </w:r>
      <w:r w:rsidR="009F77B8">
        <w:t xml:space="preserve">from </w:t>
      </w:r>
      <w:r w:rsidRPr="00BD0CD7">
        <w:t>customer-</w:t>
      </w:r>
      <w:r w:rsidR="009F77B8">
        <w:t>ident</w:t>
      </w:r>
      <w:r w:rsidRPr="00BD0CD7">
        <w:t>ified renewable resources.</w:t>
      </w:r>
    </w:p>
    <w:p w14:paraId="17CBF19A" w14:textId="2B2432C4" w:rsidR="00317DED" w:rsidRPr="00BD0CD7" w:rsidRDefault="00D90CA8" w:rsidP="00FB14DE">
      <w:pPr>
        <w:numPr>
          <w:ilvl w:val="0"/>
          <w:numId w:val="48"/>
        </w:numPr>
        <w:jc w:val="both"/>
        <w:rPr>
          <w:b/>
          <w:bCs/>
        </w:rPr>
      </w:pPr>
      <w:r>
        <w:rPr>
          <w:b/>
          <w:bCs/>
        </w:rPr>
        <w:t>Customer-Sited Renewable</w:t>
      </w:r>
      <w:r w:rsidR="00F41E66">
        <w:rPr>
          <w:b/>
          <w:bCs/>
        </w:rPr>
        <w:t xml:space="preserve"> Generation</w:t>
      </w:r>
      <w:r w:rsidR="00317DED" w:rsidRPr="00BD0CD7">
        <w:rPr>
          <w:b/>
          <w:bCs/>
        </w:rPr>
        <w:t xml:space="preserve"> Programs:</w:t>
      </w:r>
    </w:p>
    <w:p w14:paraId="45E1E273" w14:textId="1491C9E1" w:rsidR="00053AFF" w:rsidRDefault="00053AFF" w:rsidP="00E31A3C">
      <w:pPr>
        <w:pStyle w:val="ListParagraph"/>
        <w:numPr>
          <w:ilvl w:val="1"/>
          <w:numId w:val="48"/>
        </w:numPr>
        <w:spacing w:after="120"/>
        <w:jc w:val="both"/>
      </w:pPr>
      <w:r w:rsidRPr="00C853B6">
        <w:t xml:space="preserve">Customer-Sited Solar </w:t>
      </w:r>
      <w:r>
        <w:t>Plus</w:t>
      </w:r>
      <w:r w:rsidRPr="00C853B6">
        <w:t xml:space="preserve"> Storage Pilot Program</w:t>
      </w:r>
      <w:r w:rsidR="00362C71">
        <w:t>: A</w:t>
      </w:r>
      <w:r w:rsidR="00E31A3C">
        <w:t>p</w:t>
      </w:r>
      <w:r w:rsidRPr="00CC5C49">
        <w:t xml:space="preserve">proval to launch a </w:t>
      </w:r>
      <w:r w:rsidR="005F0BC3">
        <w:t>residential and small commercial</w:t>
      </w:r>
      <w:r w:rsidR="00DF1251">
        <w:t xml:space="preserve"> solar and battery </w:t>
      </w:r>
      <w:r w:rsidRPr="00CC5C49">
        <w:t>pilot program designed to add up to 50 MW of capacity</w:t>
      </w:r>
      <w:r w:rsidR="00935307">
        <w:t xml:space="preserve"> through </w:t>
      </w:r>
      <w:r w:rsidRPr="00CC5C49">
        <w:t>two participation options: Customer</w:t>
      </w:r>
      <w:r w:rsidR="007523CF">
        <w:t>-</w:t>
      </w:r>
      <w:r w:rsidRPr="00CC5C49">
        <w:t>Directed model (discrete events with performance-based payments) and Company</w:t>
      </w:r>
      <w:r w:rsidR="007523CF">
        <w:t>-</w:t>
      </w:r>
      <w:r w:rsidRPr="00CC5C49">
        <w:t>Directed model (continuous operation with upfront incentives).</w:t>
      </w:r>
    </w:p>
    <w:p w14:paraId="0205EB9E" w14:textId="77777777" w:rsidR="006E3BDC" w:rsidRPr="00CC5C49" w:rsidRDefault="006E3BDC" w:rsidP="00871320">
      <w:pPr>
        <w:pStyle w:val="ListParagraph"/>
        <w:spacing w:after="120"/>
        <w:ind w:left="1440"/>
        <w:jc w:val="both"/>
      </w:pPr>
    </w:p>
    <w:p w14:paraId="05B93338" w14:textId="37FA832C" w:rsidR="00053AFF" w:rsidRPr="00CC5C49" w:rsidRDefault="00053AFF" w:rsidP="00053AFF">
      <w:pPr>
        <w:pStyle w:val="ListParagraph"/>
        <w:numPr>
          <w:ilvl w:val="1"/>
          <w:numId w:val="48"/>
        </w:numPr>
        <w:spacing w:after="120"/>
        <w:contextualSpacing w:val="0"/>
        <w:jc w:val="both"/>
      </w:pPr>
      <w:r w:rsidRPr="00C853B6">
        <w:t>Enhancements to the Customer Connected Solar Program</w:t>
      </w:r>
      <w:r w:rsidR="00DF1251">
        <w:t>, including</w:t>
      </w:r>
      <w:r w:rsidRPr="00CC5C49">
        <w:t>:</w:t>
      </w:r>
    </w:p>
    <w:p w14:paraId="2CEE8BDD" w14:textId="77777777" w:rsidR="00053AFF" w:rsidRPr="00CC5C49" w:rsidRDefault="00053AFF" w:rsidP="00053AFF">
      <w:pPr>
        <w:pStyle w:val="ListParagraph"/>
        <w:numPr>
          <w:ilvl w:val="2"/>
          <w:numId w:val="48"/>
        </w:numPr>
        <w:spacing w:after="120"/>
        <w:contextualSpacing w:val="0"/>
        <w:jc w:val="both"/>
      </w:pPr>
      <w:r w:rsidRPr="00CC5C49">
        <w:t>Increase the facility size criteria to 250 kW minimum and 6 MW maximum.</w:t>
      </w:r>
    </w:p>
    <w:p w14:paraId="1F952267" w14:textId="12642692" w:rsidR="00053AFF" w:rsidRPr="00CC5C49" w:rsidRDefault="00053AFF" w:rsidP="00053AFF">
      <w:pPr>
        <w:pStyle w:val="ListParagraph"/>
        <w:numPr>
          <w:ilvl w:val="2"/>
          <w:numId w:val="48"/>
        </w:numPr>
        <w:spacing w:after="120"/>
        <w:contextualSpacing w:val="0"/>
        <w:jc w:val="both"/>
      </w:pPr>
      <w:r w:rsidRPr="00CC5C49">
        <w:t xml:space="preserve">Expand resource types to include BESS </w:t>
      </w:r>
      <w:r w:rsidR="007F2DEC">
        <w:t>co-located</w:t>
      </w:r>
      <w:r w:rsidRPr="00CC5C49">
        <w:t xml:space="preserve"> with solar.</w:t>
      </w:r>
    </w:p>
    <w:p w14:paraId="6BF4AEEE" w14:textId="34A3562E" w:rsidR="008B4285" w:rsidRDefault="00317DED" w:rsidP="00FB14DE">
      <w:pPr>
        <w:numPr>
          <w:ilvl w:val="0"/>
          <w:numId w:val="48"/>
        </w:numPr>
        <w:jc w:val="both"/>
      </w:pPr>
      <w:r w:rsidRPr="00BD0CD7">
        <w:rPr>
          <w:b/>
          <w:bCs/>
        </w:rPr>
        <w:t xml:space="preserve">Distributed Energy Resource (DER) and </w:t>
      </w:r>
      <w:r w:rsidRPr="2FB3D34B">
        <w:rPr>
          <w:b/>
          <w:bCs/>
        </w:rPr>
        <w:t>Resilienc</w:t>
      </w:r>
      <w:r w:rsidR="438F8B0B" w:rsidRPr="2FB3D34B">
        <w:rPr>
          <w:b/>
          <w:bCs/>
        </w:rPr>
        <w:t>y</w:t>
      </w:r>
      <w:r w:rsidRPr="00BD0CD7">
        <w:rPr>
          <w:b/>
          <w:bCs/>
        </w:rPr>
        <w:t xml:space="preserve"> Programs:</w:t>
      </w:r>
      <w:r w:rsidRPr="00BD0CD7">
        <w:t xml:space="preserve"> </w:t>
      </w:r>
    </w:p>
    <w:p w14:paraId="18DA8C55" w14:textId="5CC3CA65" w:rsidR="00317DED" w:rsidRPr="00BD0CD7" w:rsidRDefault="00317DED" w:rsidP="003B31DE">
      <w:pPr>
        <w:numPr>
          <w:ilvl w:val="1"/>
          <w:numId w:val="48"/>
        </w:numPr>
        <w:jc w:val="both"/>
      </w:pPr>
      <w:r w:rsidRPr="00BD0CD7">
        <w:t>Continu</w:t>
      </w:r>
      <w:r w:rsidR="00853ED4">
        <w:t>e</w:t>
      </w:r>
      <w:r w:rsidRPr="00BD0CD7">
        <w:t xml:space="preserve"> the DER Customer Program </w:t>
      </w:r>
      <w:r w:rsidR="42DF8694">
        <w:t xml:space="preserve">portfolio </w:t>
      </w:r>
      <w:r w:rsidRPr="00BD0CD7">
        <w:t>with tariffs and programs that offer energy, capacity, and resiliency benefits, including a new customer-owned option for large customers.</w:t>
      </w:r>
    </w:p>
    <w:p w14:paraId="4ECA6DB8" w14:textId="63557EC7" w:rsidR="008B4285" w:rsidRDefault="00317DED" w:rsidP="00FB14DE">
      <w:pPr>
        <w:numPr>
          <w:ilvl w:val="0"/>
          <w:numId w:val="48"/>
        </w:numPr>
        <w:jc w:val="both"/>
      </w:pPr>
      <w:r w:rsidRPr="00BD0CD7">
        <w:rPr>
          <w:b/>
          <w:bCs/>
        </w:rPr>
        <w:t>Integration with DERMS:</w:t>
      </w:r>
      <w:r w:rsidRPr="00BD0CD7">
        <w:t xml:space="preserve"> </w:t>
      </w:r>
    </w:p>
    <w:p w14:paraId="134646AA" w14:textId="04AD3534" w:rsidR="00317DED" w:rsidRPr="00BD0CD7" w:rsidRDefault="00317DED" w:rsidP="00871320">
      <w:pPr>
        <w:numPr>
          <w:ilvl w:val="1"/>
          <w:numId w:val="48"/>
        </w:numPr>
        <w:jc w:val="both"/>
      </w:pPr>
      <w:r w:rsidRPr="00BD0CD7">
        <w:t xml:space="preserve">Develop and deploy a Distributed Energy Resource Management System to enhance </w:t>
      </w:r>
      <w:r w:rsidR="00840501">
        <w:t xml:space="preserve">the </w:t>
      </w:r>
      <w:r w:rsidRPr="00BD0CD7">
        <w:t>operational capabilities</w:t>
      </w:r>
      <w:r w:rsidR="00840501">
        <w:t xml:space="preserve"> of DERs</w:t>
      </w:r>
      <w:r w:rsidRPr="00BD0CD7">
        <w:t xml:space="preserve"> and optimize grid operations.</w:t>
      </w:r>
    </w:p>
    <w:p w14:paraId="1BF527FF" w14:textId="43E86DE7" w:rsidR="00317DED" w:rsidRDefault="00515E65" w:rsidP="007B038B">
      <w:pPr>
        <w:spacing w:before="120" w:after="120"/>
        <w:jc w:val="both"/>
      </w:pPr>
      <w:r>
        <w:t xml:space="preserve">Georgia Power’s </w:t>
      </w:r>
      <w:r w:rsidR="000D4D26">
        <w:t xml:space="preserve">portfolio of </w:t>
      </w:r>
      <w:r w:rsidR="00A95B93">
        <w:t>en</w:t>
      </w:r>
      <w:r w:rsidR="00FA7607">
        <w:t xml:space="preserve">hanced customer programs </w:t>
      </w:r>
      <w:r w:rsidR="002B4FFF">
        <w:t>evolv</w:t>
      </w:r>
      <w:r w:rsidR="008E7485">
        <w:t>e</w:t>
      </w:r>
      <w:r w:rsidR="002B4FFF">
        <w:t xml:space="preserve"> </w:t>
      </w:r>
      <w:r w:rsidR="00595C83">
        <w:t>continu</w:t>
      </w:r>
      <w:r w:rsidR="00356EB9">
        <w:t xml:space="preserve">ously </w:t>
      </w:r>
      <w:r w:rsidR="002B4FFF">
        <w:t xml:space="preserve">based on customer feedback and market </w:t>
      </w:r>
      <w:r w:rsidR="00827A3C">
        <w:t>demands and</w:t>
      </w:r>
      <w:r w:rsidR="00843230">
        <w:t xml:space="preserve"> are </w:t>
      </w:r>
      <w:r w:rsidR="00667006">
        <w:t xml:space="preserve">designed to </w:t>
      </w:r>
      <w:r w:rsidR="00116164">
        <w:t>help</w:t>
      </w:r>
      <w:r w:rsidR="00667006">
        <w:t xml:space="preserve"> meet customer needs and</w:t>
      </w:r>
      <w:r w:rsidR="00116164">
        <w:t xml:space="preserve"> </w:t>
      </w:r>
      <w:r w:rsidR="00A112FD">
        <w:t>foster</w:t>
      </w:r>
      <w:r w:rsidR="001141C0">
        <w:t xml:space="preserve"> </w:t>
      </w:r>
      <w:r w:rsidR="006D30B6">
        <w:t xml:space="preserve">economic </w:t>
      </w:r>
      <w:r w:rsidR="006D30B6">
        <w:lastRenderedPageBreak/>
        <w:t>growth within Georgia</w:t>
      </w:r>
      <w:r w:rsidR="00651BAB">
        <w:t xml:space="preserve">. </w:t>
      </w:r>
      <w:r w:rsidR="00EA08C5">
        <w:t xml:space="preserve">The </w:t>
      </w:r>
      <w:r w:rsidR="00D04E4A">
        <w:t>following sections</w:t>
      </w:r>
      <w:r w:rsidR="00545573">
        <w:t xml:space="preserve"> </w:t>
      </w:r>
      <w:r w:rsidR="00D04E4A">
        <w:t>provide detail</w:t>
      </w:r>
      <w:r w:rsidR="00BA207F">
        <w:t xml:space="preserve">ed information </w:t>
      </w:r>
      <w:r w:rsidR="00396C7A">
        <w:t xml:space="preserve">on </w:t>
      </w:r>
      <w:r w:rsidR="00255824">
        <w:t xml:space="preserve">the </w:t>
      </w:r>
      <w:r w:rsidR="00924CBF">
        <w:t xml:space="preserve">wide </w:t>
      </w:r>
      <w:r w:rsidR="007254CA">
        <w:t xml:space="preserve">range of </w:t>
      </w:r>
      <w:r w:rsidR="00817F98">
        <w:t>program offerings</w:t>
      </w:r>
      <w:r w:rsidR="00AF031D">
        <w:t xml:space="preserve"> available</w:t>
      </w:r>
      <w:r w:rsidR="00817F98">
        <w:t>.</w:t>
      </w:r>
    </w:p>
    <w:p w14:paraId="36D0E106" w14:textId="6B9713E7" w:rsidR="00711679" w:rsidRDefault="00EE2823" w:rsidP="004B6B57">
      <w:pPr>
        <w:pStyle w:val="Heading2"/>
      </w:pPr>
      <w:bookmarkStart w:id="65" w:name="_Toc189122784"/>
      <w:r>
        <w:t>10</w:t>
      </w:r>
      <w:r w:rsidR="004E56A5">
        <w:t xml:space="preserve">.1 – </w:t>
      </w:r>
      <w:r w:rsidR="009A7063">
        <w:t>Renewable</w:t>
      </w:r>
      <w:r w:rsidR="0099159F">
        <w:t xml:space="preserve"> and Carbon Free Energy</w:t>
      </w:r>
      <w:r w:rsidR="003D7A0F">
        <w:t xml:space="preserve"> </w:t>
      </w:r>
      <w:r w:rsidR="00534E7C">
        <w:t>Subscription</w:t>
      </w:r>
      <w:r w:rsidR="0099159F">
        <w:t xml:space="preserve"> Programs</w:t>
      </w:r>
      <w:bookmarkEnd w:id="65"/>
    </w:p>
    <w:p w14:paraId="34C1220B" w14:textId="09939FB3" w:rsidR="00AF0EA0" w:rsidRDefault="00E7452B" w:rsidP="00F65523">
      <w:pPr>
        <w:spacing w:before="240" w:after="240"/>
        <w:jc w:val="both"/>
      </w:pPr>
      <w:r>
        <w:t xml:space="preserve">Georgia Power offers a </w:t>
      </w:r>
      <w:r w:rsidR="000C23D4">
        <w:t>broad</w:t>
      </w:r>
      <w:r>
        <w:t xml:space="preserve"> portfolio of renewable </w:t>
      </w:r>
      <w:r w:rsidR="00BD5AC2">
        <w:t xml:space="preserve">subscription </w:t>
      </w:r>
      <w:r w:rsidR="0073779C">
        <w:t>program</w:t>
      </w:r>
      <w:r w:rsidR="00A21E9A">
        <w:t xml:space="preserve"> </w:t>
      </w:r>
      <w:r>
        <w:t>options for customers interested in supporting the growth of renewable energy</w:t>
      </w:r>
      <w:r w:rsidR="00993612">
        <w:t xml:space="preserve"> in Georgia and/or pursuing </w:t>
      </w:r>
      <w:r w:rsidR="000E2230">
        <w:t>individu</w:t>
      </w:r>
      <w:r w:rsidR="003C04DD">
        <w:t xml:space="preserve">al </w:t>
      </w:r>
      <w:r w:rsidR="00993612">
        <w:t>carbon reduction goals</w:t>
      </w:r>
      <w:r>
        <w:t xml:space="preserve">. </w:t>
      </w:r>
      <w:r w:rsidR="00993612">
        <w:t xml:space="preserve">Georgia Power </w:t>
      </w:r>
      <w:r w:rsidR="00E82D8B">
        <w:t>continues to be</w:t>
      </w:r>
      <w:r w:rsidR="00993612">
        <w:t xml:space="preserve"> committed to </w:t>
      </w:r>
      <w:r w:rsidR="000F66CA">
        <w:t>deploying</w:t>
      </w:r>
      <w:r w:rsidR="00993612">
        <w:t xml:space="preserve"> </w:t>
      </w:r>
      <w:r w:rsidR="00A7005D">
        <w:t xml:space="preserve">renewable </w:t>
      </w:r>
      <w:r w:rsidR="00993612">
        <w:t>program</w:t>
      </w:r>
      <w:r w:rsidR="008227D1">
        <w:t>s</w:t>
      </w:r>
      <w:r w:rsidR="00993612">
        <w:t xml:space="preserve"> that meet customer</w:t>
      </w:r>
      <w:r w:rsidR="00CE6277">
        <w:t>s’</w:t>
      </w:r>
      <w:r w:rsidR="00993612">
        <w:t xml:space="preserve"> needs</w:t>
      </w:r>
      <w:r w:rsidR="00A7005D">
        <w:t xml:space="preserve"> without compromising reliability and affordability. </w:t>
      </w:r>
      <w:r w:rsidR="00441321">
        <w:t>As</w:t>
      </w:r>
      <w:r w:rsidR="00FB629B">
        <w:t xml:space="preserve"> </w:t>
      </w:r>
      <w:r w:rsidR="00186309">
        <w:t>c</w:t>
      </w:r>
      <w:r w:rsidR="00B5391F">
        <w:t>ustomer needs</w:t>
      </w:r>
      <w:r w:rsidR="004B3F0C">
        <w:t xml:space="preserve"> for c</w:t>
      </w:r>
      <w:r w:rsidR="00524527">
        <w:t>arbon-free energy</w:t>
      </w:r>
      <w:r w:rsidR="00B5391F">
        <w:t xml:space="preserve"> </w:t>
      </w:r>
      <w:r w:rsidR="00441321">
        <w:t>continue to grow</w:t>
      </w:r>
      <w:r w:rsidR="004B1CC2">
        <w:t xml:space="preserve">, </w:t>
      </w:r>
      <w:r w:rsidR="00EF31A4">
        <w:t xml:space="preserve">the </w:t>
      </w:r>
      <w:r w:rsidR="0062799F">
        <w:t>ability to offer</w:t>
      </w:r>
      <w:r w:rsidR="001E58E6">
        <w:t xml:space="preserve"> </w:t>
      </w:r>
      <w:r w:rsidR="00E82D8B">
        <w:t xml:space="preserve">a portfolio of </w:t>
      </w:r>
      <w:r w:rsidR="008B4C50">
        <w:t>programs t</w:t>
      </w:r>
      <w:r w:rsidR="00E82D8B">
        <w:t>hat</w:t>
      </w:r>
      <w:r w:rsidR="008B4C50">
        <w:t xml:space="preserve"> provide </w:t>
      </w:r>
      <w:r w:rsidR="008E3F41">
        <w:t xml:space="preserve">optimal value for </w:t>
      </w:r>
      <w:r w:rsidR="00F55A3F">
        <w:t>all</w:t>
      </w:r>
      <w:r w:rsidR="00D43C94">
        <w:t xml:space="preserve"> customers</w:t>
      </w:r>
      <w:r w:rsidR="0062799F">
        <w:t xml:space="preserve"> becomes more important for customer satisfaction and </w:t>
      </w:r>
      <w:r w:rsidR="006B19ED">
        <w:t>S</w:t>
      </w:r>
      <w:r w:rsidR="0062799F">
        <w:t>ystem reliability</w:t>
      </w:r>
      <w:r w:rsidR="00BB77F6">
        <w:t>.</w:t>
      </w:r>
      <w:r w:rsidR="00A12177">
        <w:t xml:space="preserve"> </w:t>
      </w:r>
    </w:p>
    <w:p w14:paraId="1564FE20" w14:textId="56249D4F" w:rsidR="00496DF5" w:rsidRDefault="006E1909" w:rsidP="000F0054">
      <w:pPr>
        <w:spacing w:line="278" w:lineRule="auto"/>
        <w:jc w:val="both"/>
      </w:pPr>
      <w:r w:rsidRPr="00CA64CC">
        <w:t xml:space="preserve">To maximize the value for both program participants and non-participants, it is critical that programs are designed in accordance with Commission-approved valuation methodologies and the Company’s principles of program design. These principles include </w:t>
      </w:r>
      <w:r w:rsidR="002474A0">
        <w:t>balancing</w:t>
      </w:r>
      <w:r w:rsidRPr="00CA64CC">
        <w:t xml:space="preserve"> the needs of individual customers while capturing benefits for all </w:t>
      </w:r>
      <w:r w:rsidR="00E214EC" w:rsidRPr="00CA64CC">
        <w:t>customers</w:t>
      </w:r>
      <w:r w:rsidR="00E214EC">
        <w:t xml:space="preserve">, </w:t>
      </w:r>
      <w:r w:rsidR="00E214EC" w:rsidRPr="00CA64CC">
        <w:t>minimizing</w:t>
      </w:r>
      <w:r w:rsidRPr="00CA64CC">
        <w:t xml:space="preserve"> cost shifting and upward rate pressure</w:t>
      </w:r>
      <w:r w:rsidR="0051599F">
        <w:t>,</w:t>
      </w:r>
      <w:r w:rsidRPr="00CA64CC">
        <w:t xml:space="preserve"> and utilizing the RCB Framework to accurately and fairly value program resources. In addition to adhering to its principles of program design, the Company continues to place importance on incorporating customer feedback so that the program designs satisfy customer needs and encourage participation by interested customers. As a part of this commitment, Georgia Power continues to</w:t>
      </w:r>
      <w:r w:rsidR="0051599F">
        <w:t xml:space="preserve"> add</w:t>
      </w:r>
      <w:r w:rsidRPr="00CA64CC">
        <w:t xml:space="preserve"> cost-effective zero-carbon resources, supporting the sustainability goals of </w:t>
      </w:r>
      <w:r w:rsidR="0051599F">
        <w:t>customers</w:t>
      </w:r>
      <w:r w:rsidRPr="00CA64CC">
        <w:t xml:space="preserve"> through programs like CARES. </w:t>
      </w:r>
    </w:p>
    <w:p w14:paraId="0C7C3C0C" w14:textId="085DB877" w:rsidR="00F65523" w:rsidRDefault="0090592E" w:rsidP="00F65523">
      <w:pPr>
        <w:spacing w:before="240" w:after="240"/>
        <w:jc w:val="both"/>
      </w:pPr>
      <w:r>
        <w:t xml:space="preserve">Georgia Power </w:t>
      </w:r>
      <w:r w:rsidR="007C1158">
        <w:t xml:space="preserve">has a long history of </w:t>
      </w:r>
      <w:r w:rsidR="007D62D0">
        <w:t xml:space="preserve">stakeholder </w:t>
      </w:r>
      <w:r w:rsidR="00EA75CB">
        <w:t xml:space="preserve">engagement and has continued </w:t>
      </w:r>
      <w:r w:rsidR="00553C9A">
        <w:t xml:space="preserve">engagement </w:t>
      </w:r>
      <w:r w:rsidR="00B50DAA">
        <w:t>with customers and stakeholders</w:t>
      </w:r>
      <w:r w:rsidR="00184EE6">
        <w:t xml:space="preserve"> </w:t>
      </w:r>
      <w:r w:rsidR="6AD7A287">
        <w:t>since</w:t>
      </w:r>
      <w:r w:rsidR="00184EE6">
        <w:t xml:space="preserve"> the 2022 IRP and the 2023 IRP Update</w:t>
      </w:r>
      <w:r w:rsidR="008C25BD">
        <w:t>. This</w:t>
      </w:r>
      <w:r w:rsidR="00B50DAA">
        <w:t xml:space="preserve"> </w:t>
      </w:r>
      <w:r w:rsidR="00DF628B">
        <w:t xml:space="preserve">engagement has been focused on </w:t>
      </w:r>
      <w:r w:rsidR="00B50DAA">
        <w:t>solicit</w:t>
      </w:r>
      <w:r w:rsidR="00DF628B">
        <w:t>ing</w:t>
      </w:r>
      <w:r w:rsidR="00B50DAA">
        <w:t xml:space="preserve"> feedback on the </w:t>
      </w:r>
      <w:r w:rsidR="00083CC8">
        <w:t>C</w:t>
      </w:r>
      <w:r w:rsidR="00B50DAA">
        <w:t xml:space="preserve">ompany’s current program offerings to gain </w:t>
      </w:r>
      <w:r w:rsidR="7F74A100">
        <w:t xml:space="preserve">valuable </w:t>
      </w:r>
      <w:r w:rsidR="00B50DAA">
        <w:t xml:space="preserve">insights on potential enhancements </w:t>
      </w:r>
      <w:r w:rsidR="4851E36E">
        <w:t>and</w:t>
      </w:r>
      <w:r w:rsidR="00B50DAA">
        <w:t xml:space="preserve"> new program </w:t>
      </w:r>
      <w:r w:rsidR="009D33B5">
        <w:t>options.</w:t>
      </w:r>
      <w:r w:rsidR="00A5045B">
        <w:t xml:space="preserve"> </w:t>
      </w:r>
      <w:r w:rsidR="00B248FD">
        <w:t xml:space="preserve">As part of </w:t>
      </w:r>
      <w:r w:rsidR="009D33B5">
        <w:t xml:space="preserve">these formal and informal </w:t>
      </w:r>
      <w:r w:rsidR="00681BA2">
        <w:t xml:space="preserve">engagement </w:t>
      </w:r>
      <w:r w:rsidR="009D33B5">
        <w:t>sessions</w:t>
      </w:r>
      <w:r w:rsidR="00B66E9F">
        <w:t xml:space="preserve">, </w:t>
      </w:r>
      <w:r w:rsidR="004E31DC">
        <w:t>the Company</w:t>
      </w:r>
      <w:r w:rsidR="00A5045B">
        <w:t xml:space="preserve"> worked to educate customers on </w:t>
      </w:r>
      <w:r w:rsidR="64F339F5">
        <w:t>the</w:t>
      </w:r>
      <w:r w:rsidR="00A5045B">
        <w:t xml:space="preserve"> </w:t>
      </w:r>
      <w:r w:rsidR="006A5701">
        <w:t xml:space="preserve">program design </w:t>
      </w:r>
      <w:r w:rsidR="009F3DD9">
        <w:t>principles</w:t>
      </w:r>
      <w:r w:rsidR="006A5701">
        <w:t xml:space="preserve"> and process</w:t>
      </w:r>
      <w:r w:rsidR="009F3DD9">
        <w:t>es</w:t>
      </w:r>
      <w:r w:rsidR="00145F8B">
        <w:t>.</w:t>
      </w:r>
      <w:r w:rsidR="00A4546A">
        <w:t xml:space="preserve"> </w:t>
      </w:r>
      <w:r w:rsidR="0049311D">
        <w:t xml:space="preserve">Georgia Power is committed to </w:t>
      </w:r>
      <w:r w:rsidR="004D49F3">
        <w:t xml:space="preserve">offering options to meet </w:t>
      </w:r>
      <w:r w:rsidR="00D45C94">
        <w:t>a wide range of customer needs,</w:t>
      </w:r>
      <w:r w:rsidR="006E487A">
        <w:t xml:space="preserve"> and </w:t>
      </w:r>
      <w:r w:rsidR="00DF6625">
        <w:t xml:space="preserve">many concepts </w:t>
      </w:r>
      <w:r w:rsidR="007C6067">
        <w:t xml:space="preserve">and suggestions </w:t>
      </w:r>
      <w:r w:rsidR="009E4240">
        <w:t xml:space="preserve">identified through this robust engagement process </w:t>
      </w:r>
      <w:r w:rsidR="00DF6625">
        <w:t xml:space="preserve">are reflected </w:t>
      </w:r>
      <w:r w:rsidR="00C258DE">
        <w:t xml:space="preserve">in </w:t>
      </w:r>
      <w:r w:rsidR="00877812">
        <w:t>the Company’s</w:t>
      </w:r>
      <w:r w:rsidR="00C258DE">
        <w:t xml:space="preserve"> </w:t>
      </w:r>
      <w:r w:rsidR="00EC2974">
        <w:t xml:space="preserve">customer </w:t>
      </w:r>
      <w:r w:rsidR="00C258DE">
        <w:t xml:space="preserve">program </w:t>
      </w:r>
      <w:r w:rsidR="00EC2974">
        <w:t xml:space="preserve">portfolio as </w:t>
      </w:r>
      <w:r w:rsidR="00C258DE">
        <w:t>propos</w:t>
      </w:r>
      <w:r w:rsidR="00EC2974">
        <w:t>ed</w:t>
      </w:r>
      <w:r w:rsidR="00D54433">
        <w:t xml:space="preserve"> in this IRP</w:t>
      </w:r>
      <w:r w:rsidR="00C258DE">
        <w:t>.</w:t>
      </w:r>
      <w:r w:rsidR="00B50DAA">
        <w:t xml:space="preserve"> </w:t>
      </w:r>
    </w:p>
    <w:p w14:paraId="41B349AD" w14:textId="6421963D" w:rsidR="003A08B5" w:rsidRPr="00671871" w:rsidRDefault="00EE2823" w:rsidP="008C41BC">
      <w:pPr>
        <w:pStyle w:val="Heading3"/>
        <w:rPr>
          <w:iCs/>
        </w:rPr>
      </w:pPr>
      <w:r w:rsidRPr="00671871">
        <w:rPr>
          <w:iCs/>
        </w:rPr>
        <w:t>10</w:t>
      </w:r>
      <w:r w:rsidR="004B6B57" w:rsidRPr="00671871">
        <w:rPr>
          <w:iCs/>
        </w:rPr>
        <w:t>.1</w:t>
      </w:r>
      <w:r w:rsidR="00184EE6" w:rsidRPr="00671871">
        <w:rPr>
          <w:iCs/>
        </w:rPr>
        <w:t>.1</w:t>
      </w:r>
      <w:r w:rsidR="004B6B57" w:rsidRPr="00671871">
        <w:rPr>
          <w:iCs/>
        </w:rPr>
        <w:t xml:space="preserve"> - </w:t>
      </w:r>
      <w:r w:rsidR="00534E7C" w:rsidRPr="00671871">
        <w:rPr>
          <w:iCs/>
        </w:rPr>
        <w:t>Existi</w:t>
      </w:r>
      <w:r w:rsidR="00A03A91" w:rsidRPr="00671871">
        <w:rPr>
          <w:iCs/>
        </w:rPr>
        <w:t xml:space="preserve">ng </w:t>
      </w:r>
      <w:r w:rsidR="00CC4086" w:rsidRPr="00671871">
        <w:rPr>
          <w:iCs/>
        </w:rPr>
        <w:t>Renewable</w:t>
      </w:r>
      <w:r w:rsidR="00AA3F87" w:rsidRPr="00671871">
        <w:rPr>
          <w:iCs/>
        </w:rPr>
        <w:t xml:space="preserve"> Program</w:t>
      </w:r>
      <w:r w:rsidR="00B16039" w:rsidRPr="00671871">
        <w:rPr>
          <w:iCs/>
        </w:rPr>
        <w:t>s</w:t>
      </w:r>
    </w:p>
    <w:p w14:paraId="121FE6A6" w14:textId="153298A3" w:rsidR="00707310" w:rsidRDefault="00A24DEB" w:rsidP="00714731">
      <w:pPr>
        <w:spacing w:line="278" w:lineRule="auto"/>
        <w:jc w:val="both"/>
      </w:pPr>
      <w:r>
        <w:t>Georgia Power</w:t>
      </w:r>
      <w:r w:rsidR="00465BB3">
        <w:t xml:space="preserve"> </w:t>
      </w:r>
      <w:r w:rsidR="00101DAA">
        <w:t>continue</w:t>
      </w:r>
      <w:r w:rsidR="00465BB3">
        <w:t>s</w:t>
      </w:r>
      <w:r w:rsidR="007664F4">
        <w:t xml:space="preserve"> to</w:t>
      </w:r>
      <w:r w:rsidR="008D7258">
        <w:t xml:space="preserve"> </w:t>
      </w:r>
      <w:r w:rsidR="00764047">
        <w:t>implement</w:t>
      </w:r>
      <w:r>
        <w:t xml:space="preserve"> renewable programs</w:t>
      </w:r>
      <w:r w:rsidR="0065677C">
        <w:t xml:space="preserve">, </w:t>
      </w:r>
      <w:r w:rsidR="00712567">
        <w:t xml:space="preserve">as approved </w:t>
      </w:r>
      <w:r w:rsidR="002B6E6D">
        <w:t xml:space="preserve">by the </w:t>
      </w:r>
      <w:r w:rsidR="00184EE6">
        <w:t>Commission</w:t>
      </w:r>
      <w:r w:rsidR="008B7FFD">
        <w:t>,</w:t>
      </w:r>
      <w:r w:rsidR="0065677C">
        <w:t xml:space="preserve"> includ</w:t>
      </w:r>
      <w:r w:rsidR="009B2653">
        <w:t>ing</w:t>
      </w:r>
      <w:r w:rsidR="0065677C">
        <w:t xml:space="preserve"> </w:t>
      </w:r>
      <w:r w:rsidR="00390317">
        <w:t xml:space="preserve">renewable energy </w:t>
      </w:r>
      <w:r w:rsidR="004F6220">
        <w:t>subscription</w:t>
      </w:r>
      <w:r w:rsidR="00D26B85">
        <w:t xml:space="preserve"> programs, </w:t>
      </w:r>
      <w:r w:rsidR="00C87459">
        <w:t>REC purchasing</w:t>
      </w:r>
      <w:r w:rsidR="004334DE">
        <w:t xml:space="preserve"> </w:t>
      </w:r>
      <w:r w:rsidR="00B34B71">
        <w:t>programs</w:t>
      </w:r>
      <w:r w:rsidR="00980745">
        <w:t xml:space="preserve">, </w:t>
      </w:r>
      <w:r w:rsidR="005E4B57">
        <w:t>and</w:t>
      </w:r>
      <w:r w:rsidR="005E4B57" w:rsidRPr="005E4B57">
        <w:t xml:space="preserve"> </w:t>
      </w:r>
      <w:r w:rsidR="005E4B57">
        <w:t>customer-sited generation programs</w:t>
      </w:r>
      <w:r w:rsidR="008B1045">
        <w:t xml:space="preserve">. </w:t>
      </w:r>
      <w:r w:rsidR="008B7FFD">
        <w:t>C</w:t>
      </w:r>
      <w:r w:rsidR="00C448C8">
        <w:t xml:space="preserve">ustomer interest </w:t>
      </w:r>
      <w:r w:rsidR="001E1255">
        <w:t xml:space="preserve">in </w:t>
      </w:r>
      <w:r w:rsidR="00281D86">
        <w:t>n</w:t>
      </w:r>
      <w:r w:rsidR="00073E91">
        <w:t xml:space="preserve">early all of the existing programs </w:t>
      </w:r>
      <w:r w:rsidR="001E1255">
        <w:t xml:space="preserve">has been </w:t>
      </w:r>
      <w:r w:rsidR="00B941C2">
        <w:t>con</w:t>
      </w:r>
      <w:r w:rsidR="009673D7">
        <w:t>stant</w:t>
      </w:r>
      <w:r w:rsidR="071E7964">
        <w:t>,</w:t>
      </w:r>
      <w:r w:rsidR="003E6A16" w:rsidDel="00C136AD">
        <w:t xml:space="preserve"> </w:t>
      </w:r>
      <w:r w:rsidR="00C136AD">
        <w:t xml:space="preserve">and for many programs, </w:t>
      </w:r>
      <w:r w:rsidR="2414640B">
        <w:t>has</w:t>
      </w:r>
      <w:r w:rsidR="003E6A16">
        <w:t xml:space="preserve"> increased </w:t>
      </w:r>
      <w:r w:rsidR="00714731">
        <w:t xml:space="preserve">since the 2022 IRP, as </w:t>
      </w:r>
      <w:r w:rsidR="00010C28">
        <w:t>c</w:t>
      </w:r>
      <w:r w:rsidR="00714731">
        <w:t>ustomers are increasingly reliant upon</w:t>
      </w:r>
      <w:r w:rsidR="000730DA">
        <w:t xml:space="preserve"> </w:t>
      </w:r>
      <w:r w:rsidR="00707310">
        <w:t xml:space="preserve">renewable energy resources to </w:t>
      </w:r>
      <w:r w:rsidR="73B857F0">
        <w:t>help</w:t>
      </w:r>
      <w:r w:rsidR="00707310">
        <w:t xml:space="preserve"> </w:t>
      </w:r>
      <w:r w:rsidR="00C448C8">
        <w:t>meet their</w:t>
      </w:r>
      <w:r w:rsidR="00707310">
        <w:t xml:space="preserve"> carbon </w:t>
      </w:r>
      <w:r w:rsidR="00C448C8">
        <w:t>reduction</w:t>
      </w:r>
      <w:r w:rsidR="00707310">
        <w:t xml:space="preserve"> and</w:t>
      </w:r>
      <w:r w:rsidR="00C448C8">
        <w:t xml:space="preserve">/or sustainability goals. </w:t>
      </w:r>
    </w:p>
    <w:p w14:paraId="558B713D" w14:textId="4C71BEFF" w:rsidR="00341485" w:rsidRDefault="009B2653" w:rsidP="00B3774E">
      <w:pPr>
        <w:keepNext/>
        <w:keepLines/>
        <w:spacing w:line="278" w:lineRule="auto"/>
        <w:jc w:val="both"/>
        <w:rPr>
          <w:b/>
          <w:bCs/>
          <w:u w:val="single"/>
        </w:rPr>
      </w:pPr>
      <w:r>
        <w:rPr>
          <w:b/>
          <w:u w:val="single"/>
        </w:rPr>
        <w:lastRenderedPageBreak/>
        <w:t xml:space="preserve">Renewable </w:t>
      </w:r>
      <w:r w:rsidR="00414F00" w:rsidRPr="005D5238">
        <w:rPr>
          <w:b/>
          <w:u w:val="single"/>
        </w:rPr>
        <w:t>Subscription Programs</w:t>
      </w:r>
    </w:p>
    <w:p w14:paraId="652610B0" w14:textId="167DE305" w:rsidR="00B3774E" w:rsidRDefault="00CD5C81" w:rsidP="00B3774E">
      <w:pPr>
        <w:keepNext/>
        <w:keepLines/>
        <w:jc w:val="both"/>
        <w:rPr>
          <w:rFonts w:ascii="Aptos" w:eastAsia="Aptos" w:hAnsi="Aptos" w:cs="Aptos"/>
        </w:rPr>
      </w:pPr>
      <w:r>
        <w:t>Georgia P</w:t>
      </w:r>
      <w:r w:rsidR="00036B28">
        <w:t xml:space="preserve">ower </w:t>
      </w:r>
      <w:r w:rsidR="003E7AC3">
        <w:t xml:space="preserve">customers </w:t>
      </w:r>
      <w:r w:rsidR="00B927B0">
        <w:t xml:space="preserve">have the option to </w:t>
      </w:r>
      <w:r w:rsidR="00895F3B">
        <w:t>participate in</w:t>
      </w:r>
      <w:r w:rsidR="00615DB1">
        <w:t xml:space="preserve"> </w:t>
      </w:r>
      <w:r w:rsidR="0012000F">
        <w:t xml:space="preserve">renewable </w:t>
      </w:r>
      <w:r w:rsidR="00895F3B">
        <w:t xml:space="preserve">subscription programs that </w:t>
      </w:r>
      <w:r w:rsidR="00924B4E">
        <w:t xml:space="preserve">support the </w:t>
      </w:r>
      <w:r w:rsidR="00A86A0C">
        <w:t xml:space="preserve">continued </w:t>
      </w:r>
      <w:r w:rsidR="00174D17">
        <w:t xml:space="preserve">development of renewable resources </w:t>
      </w:r>
      <w:r w:rsidR="00191BE7">
        <w:t>here in Georgia and contr</w:t>
      </w:r>
      <w:r w:rsidR="00190557">
        <w:t xml:space="preserve">ibute towards a customer’s </w:t>
      </w:r>
      <w:r w:rsidR="0017319A">
        <w:t xml:space="preserve">carbon </w:t>
      </w:r>
      <w:r w:rsidR="00307BE2">
        <w:t xml:space="preserve">reduction goals while </w:t>
      </w:r>
      <w:r w:rsidR="00851B0A">
        <w:t xml:space="preserve">providing </w:t>
      </w:r>
      <w:r w:rsidR="00422204">
        <w:t>access to the benefits of grid connected renewable resources.</w:t>
      </w:r>
      <w:r w:rsidR="59C7EEBB" w:rsidRPr="766FBAA3">
        <w:rPr>
          <w:rFonts w:ascii="Aptos" w:eastAsia="Aptos" w:hAnsi="Aptos" w:cs="Aptos"/>
        </w:rPr>
        <w:t xml:space="preserve"> Since the introduction of Georgia Power’s first subscription</w:t>
      </w:r>
      <w:r w:rsidR="00BD02A1">
        <w:rPr>
          <w:rFonts w:ascii="Aptos" w:eastAsia="Aptos" w:hAnsi="Aptos" w:cs="Aptos"/>
        </w:rPr>
        <w:t>-</w:t>
      </w:r>
      <w:r w:rsidR="59C7EEBB" w:rsidRPr="766FBAA3">
        <w:rPr>
          <w:rFonts w:ascii="Aptos" w:eastAsia="Aptos" w:hAnsi="Aptos" w:cs="Aptos"/>
        </w:rPr>
        <w:t xml:space="preserve">based renewable energy program in the 2016 IRP, the </w:t>
      </w:r>
      <w:r w:rsidR="002D2B8A" w:rsidRPr="766FBAA3">
        <w:rPr>
          <w:rFonts w:ascii="Aptos" w:eastAsia="Aptos" w:hAnsi="Aptos" w:cs="Aptos"/>
        </w:rPr>
        <w:t xml:space="preserve">Commercial and Industrial </w:t>
      </w:r>
      <w:r w:rsidR="59C7EEBB" w:rsidRPr="766FBAA3">
        <w:rPr>
          <w:rFonts w:ascii="Aptos" w:eastAsia="Aptos" w:hAnsi="Aptos" w:cs="Aptos"/>
        </w:rPr>
        <w:t>Renewable Energy Development Initiative</w:t>
      </w:r>
      <w:r w:rsidR="00B21ADF" w:rsidRPr="766FBAA3">
        <w:rPr>
          <w:rFonts w:ascii="Aptos" w:eastAsia="Aptos" w:hAnsi="Aptos" w:cs="Aptos"/>
        </w:rPr>
        <w:t xml:space="preserve"> (</w:t>
      </w:r>
      <w:r w:rsidR="007B2664">
        <w:rPr>
          <w:rFonts w:ascii="Aptos" w:eastAsia="Aptos" w:hAnsi="Aptos" w:cs="Aptos"/>
        </w:rPr>
        <w:t>“</w:t>
      </w:r>
      <w:r w:rsidR="59C7EEBB" w:rsidRPr="766FBAA3">
        <w:rPr>
          <w:rFonts w:ascii="Aptos" w:eastAsia="Aptos" w:hAnsi="Aptos" w:cs="Aptos"/>
        </w:rPr>
        <w:t>C&amp;I</w:t>
      </w:r>
      <w:r w:rsidR="005C5689">
        <w:rPr>
          <w:rFonts w:ascii="Aptos" w:eastAsia="Aptos" w:hAnsi="Aptos" w:cs="Aptos"/>
        </w:rPr>
        <w:t xml:space="preserve"> </w:t>
      </w:r>
      <w:r w:rsidR="005C5689" w:rsidRPr="766FBAA3">
        <w:rPr>
          <w:rFonts w:ascii="Aptos" w:eastAsia="Aptos" w:hAnsi="Aptos" w:cs="Aptos"/>
        </w:rPr>
        <w:t>REDI</w:t>
      </w:r>
      <w:r w:rsidR="007B2664">
        <w:rPr>
          <w:rFonts w:ascii="Aptos" w:eastAsia="Aptos" w:hAnsi="Aptos" w:cs="Aptos"/>
        </w:rPr>
        <w:t>”</w:t>
      </w:r>
      <w:r w:rsidR="59C7EEBB" w:rsidRPr="766FBAA3">
        <w:rPr>
          <w:rFonts w:ascii="Aptos" w:eastAsia="Aptos" w:hAnsi="Aptos" w:cs="Aptos"/>
        </w:rPr>
        <w:t xml:space="preserve">), subscription programs have been an attractive program option to customers with sustainability goals. Building on the initial success of the C&amp;I </w:t>
      </w:r>
      <w:r w:rsidR="00103367" w:rsidRPr="766FBAA3">
        <w:rPr>
          <w:rFonts w:ascii="Aptos" w:eastAsia="Aptos" w:hAnsi="Aptos" w:cs="Aptos"/>
        </w:rPr>
        <w:t xml:space="preserve">REDI </w:t>
      </w:r>
      <w:r w:rsidR="59C7EEBB" w:rsidRPr="766FBAA3">
        <w:rPr>
          <w:rFonts w:ascii="Aptos" w:eastAsia="Aptos" w:hAnsi="Aptos" w:cs="Aptos"/>
        </w:rPr>
        <w:t>program and its successor from the 2019 IRP, the CRSP</w:t>
      </w:r>
      <w:r w:rsidR="00BF4AA4">
        <w:rPr>
          <w:rFonts w:ascii="Aptos" w:eastAsia="Aptos" w:hAnsi="Aptos" w:cs="Aptos"/>
        </w:rPr>
        <w:t xml:space="preserve"> program</w:t>
      </w:r>
      <w:r w:rsidR="59C7EEBB" w:rsidRPr="766FBAA3">
        <w:rPr>
          <w:rFonts w:ascii="Aptos" w:eastAsia="Aptos" w:hAnsi="Aptos" w:cs="Aptos"/>
        </w:rPr>
        <w:t xml:space="preserve">, Georgia Power was approved to procure an additional 2,100 MW in the 2022 IRP to support </w:t>
      </w:r>
      <w:r w:rsidR="00D2462B">
        <w:rPr>
          <w:rFonts w:ascii="Aptos" w:eastAsia="Aptos" w:hAnsi="Aptos" w:cs="Aptos"/>
        </w:rPr>
        <w:t xml:space="preserve">the </w:t>
      </w:r>
      <w:r w:rsidR="59C7EEBB" w:rsidRPr="766FBAA3">
        <w:rPr>
          <w:rFonts w:ascii="Aptos" w:eastAsia="Aptos" w:hAnsi="Aptos" w:cs="Aptos"/>
        </w:rPr>
        <w:t xml:space="preserve">CARES program. </w:t>
      </w:r>
    </w:p>
    <w:p w14:paraId="5F117D10" w14:textId="48B77CF4" w:rsidR="004E7277" w:rsidRDefault="59C7EEBB" w:rsidP="00B3774E">
      <w:pPr>
        <w:keepNext/>
        <w:keepLines/>
        <w:jc w:val="both"/>
        <w:rPr>
          <w:rFonts w:ascii="Aptos" w:eastAsia="Aptos" w:hAnsi="Aptos" w:cs="Aptos"/>
        </w:rPr>
      </w:pPr>
      <w:r w:rsidRPr="766FBAA3">
        <w:rPr>
          <w:rFonts w:ascii="Aptos" w:eastAsia="Aptos" w:hAnsi="Aptos" w:cs="Aptos"/>
        </w:rPr>
        <w:t>The CARES program allows broader customer participation by allocating program capacity across multiple customer segments, including existing, MUSH and new load customers. Between both the CRSP and CARES Notice of Intent (</w:t>
      </w:r>
      <w:r w:rsidR="00B3774E">
        <w:rPr>
          <w:rFonts w:ascii="Aptos" w:eastAsia="Aptos" w:hAnsi="Aptos" w:cs="Aptos"/>
        </w:rPr>
        <w:t>“</w:t>
      </w:r>
      <w:r w:rsidRPr="766FBAA3">
        <w:rPr>
          <w:rFonts w:ascii="Aptos" w:eastAsia="Aptos" w:hAnsi="Aptos" w:cs="Aptos"/>
        </w:rPr>
        <w:t>NOI</w:t>
      </w:r>
      <w:r w:rsidR="00B3774E">
        <w:rPr>
          <w:rFonts w:ascii="Aptos" w:eastAsia="Aptos" w:hAnsi="Aptos" w:cs="Aptos"/>
        </w:rPr>
        <w:t>”</w:t>
      </w:r>
      <w:r w:rsidRPr="766FBAA3">
        <w:rPr>
          <w:rFonts w:ascii="Aptos" w:eastAsia="Aptos" w:hAnsi="Aptos" w:cs="Aptos"/>
        </w:rPr>
        <w:t xml:space="preserve">) periods from 2020 to 2024, Georgia Power received </w:t>
      </w:r>
      <w:r w:rsidR="6EF778D2" w:rsidRPr="4356A8D5">
        <w:rPr>
          <w:rFonts w:ascii="Aptos" w:eastAsia="Aptos" w:hAnsi="Aptos" w:cs="Aptos"/>
        </w:rPr>
        <w:t>more than</w:t>
      </w:r>
      <w:r w:rsidRPr="766FBAA3">
        <w:rPr>
          <w:rFonts w:ascii="Aptos" w:eastAsia="Aptos" w:hAnsi="Aptos" w:cs="Aptos"/>
        </w:rPr>
        <w:t xml:space="preserve"> 9,</w:t>
      </w:r>
      <w:r w:rsidR="441E2435" w:rsidRPr="4356A8D5">
        <w:rPr>
          <w:rFonts w:ascii="Aptos" w:eastAsia="Aptos" w:hAnsi="Aptos" w:cs="Aptos"/>
        </w:rPr>
        <w:t>0</w:t>
      </w:r>
      <w:r w:rsidRPr="4356A8D5">
        <w:rPr>
          <w:rFonts w:ascii="Aptos" w:eastAsia="Aptos" w:hAnsi="Aptos" w:cs="Aptos"/>
        </w:rPr>
        <w:t>00</w:t>
      </w:r>
      <w:r w:rsidRPr="766FBAA3">
        <w:rPr>
          <w:rFonts w:ascii="Aptos" w:eastAsia="Aptos" w:hAnsi="Aptos" w:cs="Aptos"/>
        </w:rPr>
        <w:t xml:space="preserve"> MW of customer interest to participate in the</w:t>
      </w:r>
      <w:r w:rsidR="00541021">
        <w:rPr>
          <w:rFonts w:ascii="Aptos" w:eastAsia="Aptos" w:hAnsi="Aptos" w:cs="Aptos"/>
        </w:rPr>
        <w:t>se</w:t>
      </w:r>
      <w:r w:rsidRPr="766FBAA3">
        <w:rPr>
          <w:rFonts w:ascii="Aptos" w:eastAsia="Aptos" w:hAnsi="Aptos" w:cs="Aptos"/>
        </w:rPr>
        <w:t xml:space="preserve"> programs. To date, Georgia Power has been able to bring online 777.5 MW of renewable resources to supply the C&amp;I </w:t>
      </w:r>
      <w:r w:rsidR="00462838" w:rsidRPr="766FBAA3">
        <w:rPr>
          <w:rFonts w:ascii="Aptos" w:eastAsia="Aptos" w:hAnsi="Aptos" w:cs="Aptos"/>
        </w:rPr>
        <w:t xml:space="preserve">REDI </w:t>
      </w:r>
      <w:r w:rsidRPr="766FBAA3">
        <w:rPr>
          <w:rFonts w:ascii="Aptos" w:eastAsia="Aptos" w:hAnsi="Aptos" w:cs="Aptos"/>
        </w:rPr>
        <w:t xml:space="preserve">and CRSP subscription programs. Due to not selecting projects as part of the 2023/2024 </w:t>
      </w:r>
      <w:r w:rsidR="00B3774E">
        <w:rPr>
          <w:rFonts w:ascii="Aptos" w:eastAsia="Aptos" w:hAnsi="Aptos" w:cs="Aptos"/>
        </w:rPr>
        <w:t xml:space="preserve">Utility Scale </w:t>
      </w:r>
      <w:r w:rsidRPr="766FBAA3">
        <w:rPr>
          <w:rFonts w:ascii="Aptos" w:eastAsia="Aptos" w:hAnsi="Aptos" w:cs="Aptos"/>
        </w:rPr>
        <w:t xml:space="preserve">RFP, the Company received approval by the Commission to roll forward </w:t>
      </w:r>
      <w:r w:rsidR="00B3774E">
        <w:rPr>
          <w:rFonts w:ascii="Aptos" w:eastAsia="Aptos" w:hAnsi="Aptos" w:cs="Aptos"/>
        </w:rPr>
        <w:t>unfilled MW</w:t>
      </w:r>
      <w:r w:rsidRPr="766FBAA3">
        <w:rPr>
          <w:rFonts w:ascii="Aptos" w:eastAsia="Aptos" w:hAnsi="Aptos" w:cs="Aptos"/>
        </w:rPr>
        <w:t xml:space="preserve"> to the future CARES 2023 </w:t>
      </w:r>
      <w:r w:rsidR="00BF4AA4">
        <w:rPr>
          <w:rFonts w:ascii="Aptos" w:eastAsia="Aptos" w:hAnsi="Aptos" w:cs="Aptos"/>
        </w:rPr>
        <w:t>Utility Scale</w:t>
      </w:r>
      <w:r w:rsidRPr="766FBAA3">
        <w:rPr>
          <w:rFonts w:ascii="Aptos" w:eastAsia="Aptos" w:hAnsi="Aptos" w:cs="Aptos"/>
        </w:rPr>
        <w:t xml:space="preserve"> RFP and offer CRSP subscribing customers the option to subscribe to existing resources from the REDI 1&amp;2 resource portfolio. Additionally, CRSP NOI 2 customers were given the first option to subscribe to resources procured as part of the CARES 2023 </w:t>
      </w:r>
      <w:r w:rsidR="00BF4AA4">
        <w:rPr>
          <w:rFonts w:ascii="Aptos" w:eastAsia="Aptos" w:hAnsi="Aptos" w:cs="Aptos"/>
        </w:rPr>
        <w:t>Utility Scale</w:t>
      </w:r>
      <w:r w:rsidRPr="766FBAA3">
        <w:rPr>
          <w:rFonts w:ascii="Aptos" w:eastAsia="Aptos" w:hAnsi="Aptos" w:cs="Aptos"/>
        </w:rPr>
        <w:t xml:space="preserve"> RFP. As discussed in Chapter 8, Georgia Power is actively evaluating resources bid in through the CARES 2023</w:t>
      </w:r>
      <w:r w:rsidR="006341CC">
        <w:rPr>
          <w:rFonts w:ascii="Aptos" w:eastAsia="Aptos" w:hAnsi="Aptos" w:cs="Aptos"/>
        </w:rPr>
        <w:t xml:space="preserve"> </w:t>
      </w:r>
      <w:r w:rsidR="00BF4AA4">
        <w:rPr>
          <w:rFonts w:ascii="Aptos" w:eastAsia="Aptos" w:hAnsi="Aptos" w:cs="Aptos"/>
        </w:rPr>
        <w:t>Utility Scale</w:t>
      </w:r>
      <w:r w:rsidR="006341CC">
        <w:rPr>
          <w:rFonts w:ascii="Aptos" w:eastAsia="Aptos" w:hAnsi="Aptos" w:cs="Aptos"/>
        </w:rPr>
        <w:t xml:space="preserve"> </w:t>
      </w:r>
      <w:r w:rsidRPr="766FBAA3">
        <w:rPr>
          <w:rFonts w:ascii="Aptos" w:eastAsia="Aptos" w:hAnsi="Aptos" w:cs="Aptos"/>
        </w:rPr>
        <w:t xml:space="preserve">RFP to assess options and timelines that would enable the procurement of </w:t>
      </w:r>
      <w:r w:rsidR="009B55C4">
        <w:rPr>
          <w:rFonts w:ascii="Aptos" w:eastAsia="Aptos" w:hAnsi="Aptos" w:cs="Aptos"/>
        </w:rPr>
        <w:t>new</w:t>
      </w:r>
      <w:r w:rsidR="009B55C4" w:rsidRPr="766FBAA3">
        <w:rPr>
          <w:rFonts w:ascii="Aptos" w:eastAsia="Aptos" w:hAnsi="Aptos" w:cs="Aptos"/>
        </w:rPr>
        <w:t xml:space="preserve"> </w:t>
      </w:r>
      <w:r w:rsidRPr="766FBAA3">
        <w:rPr>
          <w:rFonts w:ascii="Aptos" w:eastAsia="Aptos" w:hAnsi="Aptos" w:cs="Aptos"/>
        </w:rPr>
        <w:t>renewable resources and meet the customer needs for the CRSP and CARES programs. Also</w:t>
      </w:r>
      <w:r w:rsidR="002B6ABF">
        <w:rPr>
          <w:rFonts w:ascii="Aptos" w:eastAsia="Aptos" w:hAnsi="Aptos" w:cs="Aptos"/>
        </w:rPr>
        <w:t>,</w:t>
      </w:r>
      <w:r w:rsidRPr="766FBAA3">
        <w:rPr>
          <w:rFonts w:ascii="Aptos" w:eastAsia="Aptos" w:hAnsi="Aptos" w:cs="Aptos"/>
        </w:rPr>
        <w:t xml:space="preserve"> as discussed in Chapter 8 and further below, Georgia Power is proposing significant enhancements to the CARES resource procurement</w:t>
      </w:r>
      <w:r w:rsidR="00762C6D">
        <w:rPr>
          <w:rFonts w:ascii="Aptos" w:eastAsia="Aptos" w:hAnsi="Aptos" w:cs="Aptos"/>
        </w:rPr>
        <w:t>s</w:t>
      </w:r>
      <w:r w:rsidRPr="766FBAA3">
        <w:rPr>
          <w:rFonts w:ascii="Aptos" w:eastAsia="Aptos" w:hAnsi="Aptos" w:cs="Aptos"/>
        </w:rPr>
        <w:t xml:space="preserve"> that would allow </w:t>
      </w:r>
      <w:r w:rsidR="00B3774E">
        <w:rPr>
          <w:rFonts w:ascii="Aptos" w:eastAsia="Aptos" w:hAnsi="Aptos" w:cs="Aptos"/>
        </w:rPr>
        <w:t>greater</w:t>
      </w:r>
      <w:r w:rsidRPr="766FBAA3">
        <w:rPr>
          <w:rFonts w:ascii="Aptos" w:eastAsia="Aptos" w:hAnsi="Aptos" w:cs="Aptos"/>
        </w:rPr>
        <w:t xml:space="preserve"> flexibility for </w:t>
      </w:r>
      <w:r w:rsidR="00B3774E">
        <w:rPr>
          <w:rFonts w:ascii="Aptos" w:eastAsia="Aptos" w:hAnsi="Aptos" w:cs="Aptos"/>
        </w:rPr>
        <w:t>c</w:t>
      </w:r>
      <w:r w:rsidR="00B3774E" w:rsidRPr="766FBAA3">
        <w:rPr>
          <w:rFonts w:ascii="Aptos" w:eastAsia="Aptos" w:hAnsi="Aptos" w:cs="Aptos"/>
        </w:rPr>
        <w:t>ustomers</w:t>
      </w:r>
      <w:r w:rsidRPr="766FBAA3">
        <w:rPr>
          <w:rFonts w:ascii="Aptos" w:eastAsia="Aptos" w:hAnsi="Aptos" w:cs="Aptos"/>
        </w:rPr>
        <w:t xml:space="preserve">, RFP </w:t>
      </w:r>
      <w:r w:rsidR="006608FA">
        <w:rPr>
          <w:rFonts w:ascii="Aptos" w:eastAsia="Aptos" w:hAnsi="Aptos" w:cs="Aptos"/>
        </w:rPr>
        <w:t>participants</w:t>
      </w:r>
      <w:r w:rsidR="00B3774E">
        <w:rPr>
          <w:rFonts w:ascii="Aptos" w:eastAsia="Aptos" w:hAnsi="Aptos" w:cs="Aptos"/>
        </w:rPr>
        <w:t>,</w:t>
      </w:r>
      <w:r w:rsidRPr="766FBAA3">
        <w:rPr>
          <w:rFonts w:ascii="Aptos" w:eastAsia="Aptos" w:hAnsi="Aptos" w:cs="Aptos"/>
        </w:rPr>
        <w:t xml:space="preserve"> and the Company in the </w:t>
      </w:r>
      <w:r w:rsidR="00D81756">
        <w:rPr>
          <w:rFonts w:ascii="Aptos" w:eastAsia="Aptos" w:hAnsi="Aptos" w:cs="Aptos"/>
        </w:rPr>
        <w:t>RFP and subscription</w:t>
      </w:r>
      <w:r w:rsidR="00D81756" w:rsidRPr="766FBAA3">
        <w:rPr>
          <w:rFonts w:ascii="Aptos" w:eastAsia="Aptos" w:hAnsi="Aptos" w:cs="Aptos"/>
        </w:rPr>
        <w:t xml:space="preserve"> </w:t>
      </w:r>
      <w:r w:rsidRPr="766FBAA3">
        <w:rPr>
          <w:rFonts w:ascii="Aptos" w:eastAsia="Aptos" w:hAnsi="Aptos" w:cs="Aptos"/>
        </w:rPr>
        <w:t>process</w:t>
      </w:r>
      <w:r w:rsidR="00D81756">
        <w:rPr>
          <w:rFonts w:ascii="Aptos" w:eastAsia="Aptos" w:hAnsi="Aptos" w:cs="Aptos"/>
        </w:rPr>
        <w:t>es</w:t>
      </w:r>
      <w:r w:rsidRPr="766FBAA3">
        <w:rPr>
          <w:rFonts w:ascii="Aptos" w:eastAsia="Aptos" w:hAnsi="Aptos" w:cs="Aptos"/>
        </w:rPr>
        <w:t xml:space="preserve">. </w:t>
      </w:r>
    </w:p>
    <w:p w14:paraId="7356A635" w14:textId="6F1B53FD" w:rsidR="00DD5F6A" w:rsidRDefault="00DD5F6A" w:rsidP="007B2664">
      <w:pPr>
        <w:jc w:val="both"/>
        <w:rPr>
          <w:rFonts w:ascii="Aptos" w:eastAsia="Aptos" w:hAnsi="Aptos" w:cs="Aptos"/>
        </w:rPr>
      </w:pPr>
      <w:r w:rsidRPr="766FBAA3">
        <w:rPr>
          <w:rFonts w:ascii="Aptos" w:eastAsia="Aptos" w:hAnsi="Aptos" w:cs="Aptos"/>
        </w:rPr>
        <w:t>Georgia Power’s Community Solar program as modified in the 2022 IRP allows for residential customers on the standard residential rate or commercial customers on the General Service rate to subscribe to a portfolio of local solar facilities in one-kilowatt increments, known as a block. Customers pay a monthly subscription price and receive energy credit on their bill. As of December</w:t>
      </w:r>
      <w:r w:rsidR="00B3774E">
        <w:rPr>
          <w:rFonts w:ascii="Aptos" w:eastAsia="Aptos" w:hAnsi="Aptos" w:cs="Aptos"/>
        </w:rPr>
        <w:t> </w:t>
      </w:r>
      <w:r w:rsidRPr="766FBAA3">
        <w:rPr>
          <w:rFonts w:ascii="Aptos" w:eastAsia="Aptos" w:hAnsi="Aptos" w:cs="Aptos"/>
        </w:rPr>
        <w:t>31, 2024, there are currently 1,164 customers purchasing 2,037 blocks in the Community Solar program. In addition to the standard Community Solar program, Georgia Power also has the Income Qualified Community Solar program, in which a corporate sponsor can buy down up to 5,000 blocks from the existing portfolio of Community Solar facilities, which will then be available at 75% discounted subscription rate for income-qualified customers. This program offers the unique opportunity for corporate stakeholders to partner with Georgia Power in its commitment to offer equitable access to renewable energy and bill savings for income qualified customers. To date, no corporate sponsorships have been secured but Georgia Power remains committed to keeping this option available and continuing to develop Community Solar program</w:t>
      </w:r>
      <w:r w:rsidR="00236264">
        <w:rPr>
          <w:rFonts w:ascii="Aptos" w:eastAsia="Aptos" w:hAnsi="Aptos" w:cs="Aptos"/>
        </w:rPr>
        <w:t xml:space="preserve"> options</w:t>
      </w:r>
      <w:r w:rsidRPr="766FBAA3">
        <w:rPr>
          <w:rFonts w:ascii="Aptos" w:eastAsia="Aptos" w:hAnsi="Aptos" w:cs="Aptos"/>
        </w:rPr>
        <w:t xml:space="preserve"> for customers. </w:t>
      </w:r>
      <w:r w:rsidR="00EB59B2">
        <w:rPr>
          <w:rFonts w:ascii="Aptos" w:eastAsia="Aptos" w:hAnsi="Aptos" w:cs="Aptos"/>
        </w:rPr>
        <w:t xml:space="preserve">While </w:t>
      </w:r>
      <w:r w:rsidR="00C65E23" w:rsidRPr="766FBAA3">
        <w:rPr>
          <w:rFonts w:ascii="Aptos" w:eastAsia="Aptos" w:hAnsi="Aptos" w:cs="Aptos"/>
        </w:rPr>
        <w:t xml:space="preserve">Georgia Power is not requesting any modifications to </w:t>
      </w:r>
      <w:r w:rsidR="00C65E23">
        <w:rPr>
          <w:rFonts w:ascii="Aptos" w:eastAsia="Aptos" w:hAnsi="Aptos" w:cs="Aptos"/>
        </w:rPr>
        <w:t xml:space="preserve">this </w:t>
      </w:r>
      <w:r w:rsidR="00F34E2B">
        <w:rPr>
          <w:rFonts w:ascii="Aptos" w:eastAsia="Aptos" w:hAnsi="Aptos" w:cs="Aptos"/>
        </w:rPr>
        <w:t xml:space="preserve">existing </w:t>
      </w:r>
      <w:r w:rsidR="00C65E23">
        <w:rPr>
          <w:rFonts w:ascii="Aptos" w:eastAsia="Aptos" w:hAnsi="Aptos" w:cs="Aptos"/>
        </w:rPr>
        <w:t>prog</w:t>
      </w:r>
      <w:r w:rsidR="000B7781">
        <w:rPr>
          <w:rFonts w:ascii="Aptos" w:eastAsia="Aptos" w:hAnsi="Aptos" w:cs="Aptos"/>
        </w:rPr>
        <w:t>ram</w:t>
      </w:r>
      <w:r w:rsidR="00EB59B2">
        <w:rPr>
          <w:rFonts w:ascii="Aptos" w:eastAsia="Aptos" w:hAnsi="Aptos" w:cs="Aptos"/>
        </w:rPr>
        <w:t xml:space="preserve">, </w:t>
      </w:r>
      <w:r w:rsidR="00B3152A">
        <w:rPr>
          <w:rFonts w:ascii="Aptos" w:eastAsia="Aptos" w:hAnsi="Aptos" w:cs="Aptos"/>
        </w:rPr>
        <w:t>the Company</w:t>
      </w:r>
      <w:r w:rsidR="000B7781">
        <w:rPr>
          <w:rFonts w:ascii="Aptos" w:eastAsia="Aptos" w:hAnsi="Aptos" w:cs="Aptos"/>
        </w:rPr>
        <w:t xml:space="preserve"> is </w:t>
      </w:r>
      <w:r w:rsidR="00B11945">
        <w:rPr>
          <w:rFonts w:ascii="Aptos" w:eastAsia="Aptos" w:hAnsi="Aptos" w:cs="Aptos"/>
        </w:rPr>
        <w:t>introducing</w:t>
      </w:r>
      <w:r w:rsidR="000B7781">
        <w:rPr>
          <w:rFonts w:ascii="Aptos" w:eastAsia="Aptos" w:hAnsi="Aptos" w:cs="Aptos"/>
        </w:rPr>
        <w:t xml:space="preserve"> the </w:t>
      </w:r>
      <w:r w:rsidR="006048CD">
        <w:rPr>
          <w:rFonts w:ascii="Aptos" w:eastAsia="Aptos" w:hAnsi="Aptos" w:cs="Aptos"/>
        </w:rPr>
        <w:t xml:space="preserve">new </w:t>
      </w:r>
      <w:r w:rsidR="000B7781">
        <w:rPr>
          <w:rFonts w:ascii="Aptos" w:eastAsia="Aptos" w:hAnsi="Aptos" w:cs="Aptos"/>
        </w:rPr>
        <w:t>Distributed Generation Community Solar Program</w:t>
      </w:r>
      <w:r w:rsidR="00B11945">
        <w:rPr>
          <w:rFonts w:ascii="Aptos" w:eastAsia="Aptos" w:hAnsi="Aptos" w:cs="Aptos"/>
        </w:rPr>
        <w:t xml:space="preserve"> detailed below</w:t>
      </w:r>
      <w:r w:rsidR="0058167B">
        <w:rPr>
          <w:rFonts w:ascii="Aptos" w:eastAsia="Aptos" w:hAnsi="Aptos" w:cs="Aptos"/>
        </w:rPr>
        <w:t xml:space="preserve"> as an additional subscription option for residential customers</w:t>
      </w:r>
      <w:r w:rsidR="00B11945">
        <w:rPr>
          <w:rFonts w:ascii="Aptos" w:eastAsia="Aptos" w:hAnsi="Aptos" w:cs="Aptos"/>
        </w:rPr>
        <w:t>.</w:t>
      </w:r>
    </w:p>
    <w:p w14:paraId="1B0BDC3A" w14:textId="04BE3F44" w:rsidR="00B3774E" w:rsidRPr="00B3774E" w:rsidRDefault="00F77BC2" w:rsidP="00B3774E">
      <w:pPr>
        <w:keepNext/>
        <w:keepLines/>
        <w:spacing w:line="278" w:lineRule="auto"/>
        <w:jc w:val="both"/>
        <w:rPr>
          <w:b/>
          <w:u w:val="single"/>
        </w:rPr>
      </w:pPr>
      <w:r>
        <w:rPr>
          <w:b/>
          <w:u w:val="single"/>
        </w:rPr>
        <w:lastRenderedPageBreak/>
        <w:t>Renewable Energy Cr</w:t>
      </w:r>
      <w:r w:rsidR="000E10BC">
        <w:rPr>
          <w:b/>
          <w:u w:val="single"/>
        </w:rPr>
        <w:t>e</w:t>
      </w:r>
      <w:r>
        <w:rPr>
          <w:b/>
          <w:u w:val="single"/>
        </w:rPr>
        <w:t>dit (</w:t>
      </w:r>
      <w:r w:rsidR="00B3774E" w:rsidRPr="00B3774E">
        <w:rPr>
          <w:b/>
          <w:u w:val="single"/>
        </w:rPr>
        <w:t>REC</w:t>
      </w:r>
      <w:r w:rsidR="000E10BC">
        <w:rPr>
          <w:b/>
          <w:u w:val="single"/>
        </w:rPr>
        <w:t>)</w:t>
      </w:r>
      <w:r w:rsidR="00B3774E" w:rsidRPr="00B3774E">
        <w:rPr>
          <w:b/>
          <w:u w:val="single"/>
        </w:rPr>
        <w:t xml:space="preserve"> Programs</w:t>
      </w:r>
    </w:p>
    <w:p w14:paraId="072410A3" w14:textId="79D0F3BF" w:rsidR="004E7277" w:rsidRDefault="001B3F02" w:rsidP="00C42E00">
      <w:pPr>
        <w:jc w:val="both"/>
        <w:rPr>
          <w:rFonts w:ascii="Aptos" w:eastAsia="Aptos" w:hAnsi="Aptos" w:cs="Aptos"/>
        </w:rPr>
      </w:pPr>
      <w:r>
        <w:rPr>
          <w:rFonts w:ascii="Aptos" w:eastAsia="Aptos" w:hAnsi="Aptos" w:cs="Aptos"/>
        </w:rPr>
        <w:t xml:space="preserve">Georgia Power </w:t>
      </w:r>
      <w:r w:rsidR="00F66D9A">
        <w:rPr>
          <w:rFonts w:ascii="Aptos" w:eastAsia="Aptos" w:hAnsi="Aptos" w:cs="Aptos"/>
        </w:rPr>
        <w:t xml:space="preserve">also </w:t>
      </w:r>
      <w:r>
        <w:rPr>
          <w:rFonts w:ascii="Aptos" w:eastAsia="Aptos" w:hAnsi="Aptos" w:cs="Aptos"/>
        </w:rPr>
        <w:t>work</w:t>
      </w:r>
      <w:r w:rsidR="00A663C6">
        <w:rPr>
          <w:rFonts w:ascii="Aptos" w:eastAsia="Aptos" w:hAnsi="Aptos" w:cs="Aptos"/>
        </w:rPr>
        <w:t>s</w:t>
      </w:r>
      <w:r>
        <w:rPr>
          <w:rFonts w:ascii="Aptos" w:eastAsia="Aptos" w:hAnsi="Aptos" w:cs="Aptos"/>
        </w:rPr>
        <w:t xml:space="preserve"> with customers to help satisfy their immediate renewable </w:t>
      </w:r>
      <w:r w:rsidR="00576FFD">
        <w:rPr>
          <w:rFonts w:ascii="Aptos" w:eastAsia="Aptos" w:hAnsi="Aptos" w:cs="Aptos"/>
        </w:rPr>
        <w:t xml:space="preserve">energy needs through </w:t>
      </w:r>
      <w:r w:rsidR="00B87C43">
        <w:rPr>
          <w:rFonts w:ascii="Aptos" w:eastAsia="Aptos" w:hAnsi="Aptos" w:cs="Aptos"/>
        </w:rPr>
        <w:t>REC purchasing options</w:t>
      </w:r>
      <w:r w:rsidR="00B3774E">
        <w:rPr>
          <w:rFonts w:ascii="Aptos" w:eastAsia="Aptos" w:hAnsi="Aptos" w:cs="Aptos"/>
        </w:rPr>
        <w:t>. The Company</w:t>
      </w:r>
      <w:r w:rsidR="00B87C43">
        <w:rPr>
          <w:rFonts w:ascii="Aptos" w:eastAsia="Aptos" w:hAnsi="Aptos" w:cs="Aptos"/>
        </w:rPr>
        <w:t xml:space="preserve"> offers three </w:t>
      </w:r>
      <w:r w:rsidR="00BC2082">
        <w:rPr>
          <w:rFonts w:ascii="Aptos" w:eastAsia="Aptos" w:hAnsi="Aptos" w:cs="Aptos"/>
        </w:rPr>
        <w:t>REC purchase</w:t>
      </w:r>
      <w:r w:rsidR="00715B15">
        <w:rPr>
          <w:rFonts w:ascii="Aptos" w:eastAsia="Aptos" w:hAnsi="Aptos" w:cs="Aptos"/>
        </w:rPr>
        <w:t xml:space="preserve"> programs for customers interested in supporting the continued </w:t>
      </w:r>
      <w:r w:rsidR="0039641C">
        <w:rPr>
          <w:rFonts w:ascii="Aptos" w:eastAsia="Aptos" w:hAnsi="Aptos" w:cs="Aptos"/>
        </w:rPr>
        <w:t>development of renewable resources</w:t>
      </w:r>
      <w:r w:rsidR="00887ED9">
        <w:rPr>
          <w:rFonts w:ascii="Aptos" w:eastAsia="Aptos" w:hAnsi="Aptos" w:cs="Aptos"/>
        </w:rPr>
        <w:t xml:space="preserve"> while</w:t>
      </w:r>
      <w:r w:rsidR="00B0760D">
        <w:rPr>
          <w:rFonts w:ascii="Aptos" w:eastAsia="Aptos" w:hAnsi="Aptos" w:cs="Aptos"/>
        </w:rPr>
        <w:t xml:space="preserve"> contributing towards their carbon reduction </w:t>
      </w:r>
      <w:r w:rsidR="007D70B2">
        <w:rPr>
          <w:rFonts w:ascii="Aptos" w:eastAsia="Aptos" w:hAnsi="Aptos" w:cs="Aptos"/>
        </w:rPr>
        <w:t>goals</w:t>
      </w:r>
      <w:r w:rsidR="007E5BED">
        <w:rPr>
          <w:rFonts w:ascii="Aptos" w:eastAsia="Aptos" w:hAnsi="Aptos" w:cs="Aptos"/>
        </w:rPr>
        <w:t>.</w:t>
      </w:r>
      <w:r w:rsidR="59C7EEBB" w:rsidRPr="766FBAA3">
        <w:rPr>
          <w:rFonts w:ascii="Aptos" w:eastAsia="Aptos" w:hAnsi="Aptos" w:cs="Aptos"/>
        </w:rPr>
        <w:t xml:space="preserve"> The combination of these program</w:t>
      </w:r>
      <w:r w:rsidR="005242B1">
        <w:rPr>
          <w:rFonts w:ascii="Aptos" w:eastAsia="Aptos" w:hAnsi="Aptos" w:cs="Aptos"/>
        </w:rPr>
        <w:t xml:space="preserve"> options</w:t>
      </w:r>
      <w:r w:rsidR="59C7EEBB" w:rsidRPr="766FBAA3">
        <w:rPr>
          <w:rFonts w:ascii="Aptos" w:eastAsia="Aptos" w:hAnsi="Aptos" w:cs="Aptos"/>
        </w:rPr>
        <w:t xml:space="preserve"> allows customers flexibility on quantity, timeline, and price of their REC purchases. Georgia Power is not requesting any modifications to these programs</w:t>
      </w:r>
      <w:r w:rsidR="00512F8D">
        <w:rPr>
          <w:rFonts w:ascii="Aptos" w:eastAsia="Aptos" w:hAnsi="Aptos" w:cs="Aptos"/>
        </w:rPr>
        <w:t xml:space="preserve"> in this IRP</w:t>
      </w:r>
      <w:r w:rsidR="007B2664">
        <w:rPr>
          <w:rFonts w:ascii="Aptos" w:eastAsia="Aptos" w:hAnsi="Aptos" w:cs="Aptos"/>
        </w:rPr>
        <w:t>.</w:t>
      </w:r>
    </w:p>
    <w:p w14:paraId="4AD85C81" w14:textId="54ECE819" w:rsidR="004E7277" w:rsidRDefault="59C7EEBB" w:rsidP="00F85930">
      <w:pPr>
        <w:pStyle w:val="ListParagraph"/>
        <w:numPr>
          <w:ilvl w:val="0"/>
          <w:numId w:val="46"/>
        </w:numPr>
        <w:spacing w:after="120"/>
        <w:contextualSpacing w:val="0"/>
        <w:jc w:val="both"/>
      </w:pPr>
      <w:r w:rsidRPr="007B2664">
        <w:rPr>
          <w:b/>
        </w:rPr>
        <w:t xml:space="preserve">Retail REC Retirement </w:t>
      </w:r>
      <w:r w:rsidRPr="007B2664">
        <w:rPr>
          <w:b/>
          <w:bCs/>
        </w:rPr>
        <w:t>(</w:t>
      </w:r>
      <w:r w:rsidR="007B2664">
        <w:rPr>
          <w:b/>
          <w:bCs/>
        </w:rPr>
        <w:t>“</w:t>
      </w:r>
      <w:r w:rsidRPr="007B2664">
        <w:rPr>
          <w:b/>
        </w:rPr>
        <w:t>R3</w:t>
      </w:r>
      <w:r w:rsidR="007B2664">
        <w:rPr>
          <w:b/>
          <w:bCs/>
        </w:rPr>
        <w:t>”</w:t>
      </w:r>
      <w:r w:rsidRPr="007B2664">
        <w:rPr>
          <w:b/>
          <w:bCs/>
        </w:rPr>
        <w:t>)</w:t>
      </w:r>
      <w:r w:rsidRPr="007B2664">
        <w:rPr>
          <w:b/>
        </w:rPr>
        <w:t xml:space="preserve"> Program</w:t>
      </w:r>
      <w:r w:rsidRPr="766FBAA3">
        <w:t xml:space="preserve"> provides participating commercial and industrial customers the ability to claim renewable benefits from existing renewable resources through RECs from </w:t>
      </w:r>
      <w:r w:rsidR="000C5797">
        <w:t xml:space="preserve">System </w:t>
      </w:r>
      <w:r w:rsidRPr="766FBAA3">
        <w:t xml:space="preserve">resources that are already online or are in the process of coming online. The RECs and environmental attributes that would otherwise be retired on behalf of all customers are instead retired on behalf of the participating customer. To date, </w:t>
      </w:r>
      <w:r w:rsidR="00053052">
        <w:t>no</w:t>
      </w:r>
      <w:r w:rsidR="00053052" w:rsidRPr="766FBAA3">
        <w:t xml:space="preserve"> </w:t>
      </w:r>
      <w:r w:rsidRPr="766FBAA3">
        <w:t xml:space="preserve">customers </w:t>
      </w:r>
      <w:r w:rsidR="00053052">
        <w:t xml:space="preserve">are </w:t>
      </w:r>
      <w:r w:rsidRPr="766FBAA3">
        <w:t>participating in this program</w:t>
      </w:r>
      <w:r w:rsidR="001C0FB6">
        <w:t>;</w:t>
      </w:r>
      <w:r w:rsidRPr="766FBAA3">
        <w:t xml:space="preserve"> however</w:t>
      </w:r>
      <w:r w:rsidR="001C0FB6">
        <w:t>,</w:t>
      </w:r>
      <w:r w:rsidRPr="766FBAA3">
        <w:t xml:space="preserve"> the Company </w:t>
      </w:r>
      <w:r w:rsidR="00EE264E">
        <w:t>expects</w:t>
      </w:r>
      <w:r w:rsidR="00EE264E" w:rsidRPr="766FBAA3">
        <w:t xml:space="preserve"> </w:t>
      </w:r>
      <w:r w:rsidRPr="766FBAA3">
        <w:t>that this option will continue to be a</w:t>
      </w:r>
      <w:r w:rsidR="0085201A">
        <w:t xml:space="preserve"> viable</w:t>
      </w:r>
      <w:r w:rsidR="00C139A7">
        <w:t xml:space="preserve"> </w:t>
      </w:r>
      <w:r w:rsidRPr="766FBAA3">
        <w:t xml:space="preserve">solution for customers as many pursue carbon goals with targets within the next 5 years. </w:t>
      </w:r>
    </w:p>
    <w:p w14:paraId="24977EFD" w14:textId="4C90751B" w:rsidR="004E7277" w:rsidRDefault="59C7EEBB" w:rsidP="00F85930">
      <w:pPr>
        <w:pStyle w:val="ListParagraph"/>
        <w:numPr>
          <w:ilvl w:val="0"/>
          <w:numId w:val="46"/>
        </w:numPr>
        <w:contextualSpacing w:val="0"/>
        <w:jc w:val="both"/>
      </w:pPr>
      <w:r w:rsidRPr="007B2664">
        <w:rPr>
          <w:b/>
        </w:rPr>
        <w:t xml:space="preserve">Simple Solar </w:t>
      </w:r>
      <w:r w:rsidRPr="766FBAA3">
        <w:t>allows residential, commercial</w:t>
      </w:r>
      <w:r w:rsidR="00343040">
        <w:t>,</w:t>
      </w:r>
      <w:r w:rsidRPr="766FBAA3">
        <w:t xml:space="preserve"> or industrial customers to participate in the program by matching 50 or 100 percent of their monthly energy usage with solar RECs retired on their behalf. Customers can participate monthly with no long-term commitment. Since 2022, the program has consistently average</w:t>
      </w:r>
      <w:r w:rsidR="00EE264E">
        <w:t>d</w:t>
      </w:r>
      <w:r w:rsidRPr="766FBAA3">
        <w:t xml:space="preserve"> </w:t>
      </w:r>
      <w:r w:rsidR="00DA3BF1">
        <w:t>approximately</w:t>
      </w:r>
      <w:r w:rsidR="007523CF">
        <w:t xml:space="preserve"> </w:t>
      </w:r>
      <w:r w:rsidRPr="766FBAA3">
        <w:t xml:space="preserve">1,800 customers </w:t>
      </w:r>
      <w:r w:rsidR="00314E31">
        <w:t>subscribing to</w:t>
      </w:r>
      <w:r w:rsidRPr="766FBAA3">
        <w:t xml:space="preserve"> approximately 27,000</w:t>
      </w:r>
      <w:r w:rsidR="00232F57">
        <w:t xml:space="preserve"> annually</w:t>
      </w:r>
      <w:r w:rsidRPr="766FBAA3">
        <w:t xml:space="preserve"> RECs. The Simple Solar Large Volume program sunset in December of 2022, following the </w:t>
      </w:r>
      <w:r w:rsidR="00314E31">
        <w:t xml:space="preserve">approval of the Flex REC program </w:t>
      </w:r>
      <w:r w:rsidR="00453127">
        <w:t xml:space="preserve">in the </w:t>
      </w:r>
      <w:r w:rsidRPr="766FBAA3">
        <w:t xml:space="preserve">2022 IRP. </w:t>
      </w:r>
    </w:p>
    <w:p w14:paraId="0BD52B47" w14:textId="50E13ACE" w:rsidR="004E7277" w:rsidRDefault="59C7EEBB" w:rsidP="00F85930">
      <w:pPr>
        <w:pStyle w:val="ListParagraph"/>
        <w:numPr>
          <w:ilvl w:val="0"/>
          <w:numId w:val="46"/>
        </w:numPr>
        <w:jc w:val="both"/>
      </w:pPr>
      <w:r w:rsidRPr="22F4D5C5">
        <w:rPr>
          <w:b/>
        </w:rPr>
        <w:t>Flex REC</w:t>
      </w:r>
      <w:r>
        <w:t xml:space="preserve"> was approved in the 2022 IRP as a replacement for Simple Solar Large Volume, allowing for Georgia Power to procure greater quantities of RECs to meet growing customer demand and source the RECs from a broader variety of renewables including solar, wind and potentially other renewable resources. Since its inception, this program has maintained an average participation rate of 16 customers per month and now retires approximately 300,000 RECs annually on behalf of participating customers. </w:t>
      </w:r>
    </w:p>
    <w:p w14:paraId="0CE5F04B" w14:textId="73803D00" w:rsidR="008542EC" w:rsidRPr="00671871" w:rsidRDefault="00EE2823" w:rsidP="008C41BC">
      <w:pPr>
        <w:pStyle w:val="Heading3"/>
        <w:rPr>
          <w:rStyle w:val="Heading4Char"/>
          <w:i/>
        </w:rPr>
      </w:pPr>
      <w:r w:rsidRPr="00671871">
        <w:rPr>
          <w:rStyle w:val="Heading4Char"/>
          <w:i/>
        </w:rPr>
        <w:t>10</w:t>
      </w:r>
      <w:r w:rsidR="004B6B57" w:rsidRPr="00671871">
        <w:rPr>
          <w:rStyle w:val="Heading4Char"/>
          <w:i/>
        </w:rPr>
        <w:t xml:space="preserve">.1.2 - </w:t>
      </w:r>
      <w:r w:rsidR="008542EC" w:rsidRPr="00671871">
        <w:rPr>
          <w:rStyle w:val="Heading4Char"/>
          <w:i/>
        </w:rPr>
        <w:t>CARES Utility</w:t>
      </w:r>
      <w:r w:rsidR="002D0D39" w:rsidRPr="00671871">
        <w:rPr>
          <w:rStyle w:val="Heading4Char"/>
          <w:i/>
        </w:rPr>
        <w:t>-</w:t>
      </w:r>
      <w:r w:rsidR="008542EC" w:rsidRPr="00671871">
        <w:rPr>
          <w:rStyle w:val="Heading4Char"/>
          <w:i/>
        </w:rPr>
        <w:t>Scale Subscription Program Enhancements</w:t>
      </w:r>
    </w:p>
    <w:p w14:paraId="170C10C9" w14:textId="210EF584" w:rsidR="001E19AE" w:rsidRDefault="001E19AE" w:rsidP="008542EC">
      <w:pPr>
        <w:jc w:val="both"/>
      </w:pPr>
      <w:r>
        <w:t>Georgia Power’s renewable energy subscription programs have been well received since their introduction, beginning with the</w:t>
      </w:r>
      <w:r w:rsidR="004C0899">
        <w:t xml:space="preserve"> </w:t>
      </w:r>
      <w:r>
        <w:t xml:space="preserve">C&amp;I </w:t>
      </w:r>
      <w:r w:rsidR="00573C82">
        <w:t xml:space="preserve">REDI </w:t>
      </w:r>
      <w:r>
        <w:t>program</w:t>
      </w:r>
      <w:r w:rsidR="00B36BE1">
        <w:t xml:space="preserve"> </w:t>
      </w:r>
      <w:r w:rsidR="000C4A1A">
        <w:t>and continuing into the</w:t>
      </w:r>
      <w:r w:rsidR="00060131">
        <w:t xml:space="preserve"> CRSP and </w:t>
      </w:r>
      <w:r w:rsidR="00D978FF">
        <w:t xml:space="preserve">the </w:t>
      </w:r>
      <w:r w:rsidR="00060131">
        <w:t>CARES</w:t>
      </w:r>
      <w:r w:rsidR="000C4A1A">
        <w:t xml:space="preserve"> programs</w:t>
      </w:r>
      <w:r>
        <w:t xml:space="preserve">. Interested customers </w:t>
      </w:r>
      <w:r w:rsidR="00195CAE">
        <w:t>subscribe</w:t>
      </w:r>
      <w:r>
        <w:t xml:space="preserve"> to the output </w:t>
      </w:r>
      <w:r w:rsidR="00195CAE">
        <w:t xml:space="preserve">of </w:t>
      </w:r>
      <w:r w:rsidR="00060131">
        <w:t>renewable</w:t>
      </w:r>
      <w:r w:rsidR="00D316B8">
        <w:t xml:space="preserve"> resources in a way that </w:t>
      </w:r>
      <w:r w:rsidR="00017F27">
        <w:t xml:space="preserve">benefits both </w:t>
      </w:r>
      <w:r w:rsidR="00060131">
        <w:t>subscribers</w:t>
      </w:r>
      <w:r w:rsidR="00017F27">
        <w:t xml:space="preserve"> and non-subscribers alike</w:t>
      </w:r>
      <w:r w:rsidR="00060131">
        <w:t>, supporting the continued growth of renewable resources in G</w:t>
      </w:r>
      <w:r w:rsidR="001C139D">
        <w:t>e</w:t>
      </w:r>
      <w:r w:rsidR="00060131">
        <w:t>orgia</w:t>
      </w:r>
      <w:r w:rsidR="00017F27">
        <w:t>. Demand for</w:t>
      </w:r>
      <w:r w:rsidR="001C139D">
        <w:t xml:space="preserve"> </w:t>
      </w:r>
      <w:r w:rsidR="00017F27">
        <w:t>REC</w:t>
      </w:r>
      <w:r w:rsidR="5569E30D">
        <w:t>s</w:t>
      </w:r>
      <w:r w:rsidR="00017F27">
        <w:t xml:space="preserve"> through these subscription </w:t>
      </w:r>
      <w:r w:rsidR="001C139D">
        <w:t>mechanisms</w:t>
      </w:r>
      <w:r w:rsidR="00017F27">
        <w:t xml:space="preserve"> has consistently outpaced the available supply</w:t>
      </w:r>
      <w:r w:rsidR="00D4789D">
        <w:t xml:space="preserve">—and that </w:t>
      </w:r>
      <w:r w:rsidR="001C139D">
        <w:t>imbalance</w:t>
      </w:r>
      <w:r w:rsidR="00D4789D">
        <w:t xml:space="preserve"> is </w:t>
      </w:r>
      <w:r w:rsidR="001C139D">
        <w:t>exacerbated</w:t>
      </w:r>
      <w:r w:rsidR="00D4789D">
        <w:t xml:space="preserve"> by </w:t>
      </w:r>
      <w:r w:rsidR="001C139D">
        <w:t>a growing</w:t>
      </w:r>
      <w:r w:rsidR="00D4789D">
        <w:t xml:space="preserve"> amount of new </w:t>
      </w:r>
      <w:r w:rsidR="001C139D">
        <w:t>and existing</w:t>
      </w:r>
      <w:r w:rsidR="00D4789D">
        <w:t xml:space="preserve"> customers with sustainability goals, as well as </w:t>
      </w:r>
      <w:r w:rsidR="007F295A">
        <w:t xml:space="preserve">the procurement </w:t>
      </w:r>
      <w:r w:rsidR="001C139D">
        <w:t>target shortfalls experienced</w:t>
      </w:r>
      <w:r w:rsidR="007F295A">
        <w:t xml:space="preserve"> </w:t>
      </w:r>
      <w:r w:rsidR="001C139D">
        <w:t>in recent</w:t>
      </w:r>
      <w:r w:rsidR="007F295A">
        <w:t xml:space="preserve"> U</w:t>
      </w:r>
      <w:r w:rsidR="008C0D2F">
        <w:t xml:space="preserve">tility </w:t>
      </w:r>
      <w:r w:rsidR="007F295A">
        <w:t>S</w:t>
      </w:r>
      <w:r w:rsidR="008C0D2F">
        <w:t>cale</w:t>
      </w:r>
      <w:r w:rsidR="007F295A">
        <w:t xml:space="preserve"> RFPs. Ba</w:t>
      </w:r>
      <w:r w:rsidR="001C139D">
        <w:t>s</w:t>
      </w:r>
      <w:r w:rsidR="007F295A">
        <w:t xml:space="preserve">ed on feedback from customers and </w:t>
      </w:r>
      <w:r w:rsidR="001C139D">
        <w:t>developers</w:t>
      </w:r>
      <w:r w:rsidR="007F295A">
        <w:t xml:space="preserve">, the </w:t>
      </w:r>
      <w:r w:rsidR="008C0D2F">
        <w:t>C</w:t>
      </w:r>
      <w:r w:rsidR="007F295A">
        <w:t xml:space="preserve">ompany </w:t>
      </w:r>
      <w:r w:rsidR="002D067F">
        <w:t>proposes</w:t>
      </w:r>
      <w:r w:rsidR="007F295A">
        <w:t xml:space="preserve"> to modif</w:t>
      </w:r>
      <w:r w:rsidR="001C139D">
        <w:t>y</w:t>
      </w:r>
      <w:r w:rsidR="007F295A">
        <w:t xml:space="preserve"> both the RFP and subscription </w:t>
      </w:r>
      <w:r w:rsidR="001C139D">
        <w:t>processes</w:t>
      </w:r>
      <w:r w:rsidR="007F295A">
        <w:t xml:space="preserve"> to </w:t>
      </w:r>
      <w:r w:rsidR="00510D2D">
        <w:t xml:space="preserve">provide as much flexibility as possible, increasing the chances of </w:t>
      </w:r>
      <w:r w:rsidR="001C139D">
        <w:t>procuring</w:t>
      </w:r>
      <w:r w:rsidR="00510D2D">
        <w:t xml:space="preserve"> beneficial renewable </w:t>
      </w:r>
      <w:r w:rsidR="001C139D">
        <w:t>resources</w:t>
      </w:r>
      <w:r w:rsidR="00510D2D">
        <w:t>, and offering customers more</w:t>
      </w:r>
      <w:r w:rsidR="001C139D">
        <w:t xml:space="preserve"> options</w:t>
      </w:r>
      <w:r w:rsidR="00B36BE1">
        <w:t xml:space="preserve"> </w:t>
      </w:r>
      <w:r w:rsidR="001C139D">
        <w:t>as the</w:t>
      </w:r>
      <w:r w:rsidR="1A6DA30D">
        <w:t>y</w:t>
      </w:r>
      <w:r w:rsidR="001C139D">
        <w:t xml:space="preserve"> seek to secure benefits from</w:t>
      </w:r>
      <w:r w:rsidR="00B36BE1">
        <w:t xml:space="preserve"> </w:t>
      </w:r>
      <w:r w:rsidR="000402F3">
        <w:t>renewable resources</w:t>
      </w:r>
      <w:r w:rsidR="00B36BE1">
        <w:t>.</w:t>
      </w:r>
    </w:p>
    <w:p w14:paraId="5C070BCC" w14:textId="26459C87" w:rsidR="00B36BE1" w:rsidRDefault="000402F3" w:rsidP="008542EC">
      <w:pPr>
        <w:jc w:val="both"/>
      </w:pPr>
      <w:r>
        <w:lastRenderedPageBreak/>
        <w:t xml:space="preserve">As detailed in </w:t>
      </w:r>
      <w:r w:rsidR="002B6ABF">
        <w:t>Chapter</w:t>
      </w:r>
      <w:r>
        <w:t xml:space="preserve"> 8, the Company proposes to modify the </w:t>
      </w:r>
      <w:r w:rsidR="003C567C">
        <w:t>Utility Scale</w:t>
      </w:r>
      <w:r>
        <w:t xml:space="preserve"> RFP process to include additional opportunities to procure renewable resource</w:t>
      </w:r>
      <w:r w:rsidR="00765A31">
        <w:t>s</w:t>
      </w:r>
      <w:r w:rsidR="004B2A17">
        <w:t xml:space="preserve"> if customer subscription needs </w:t>
      </w:r>
      <w:r w:rsidR="00D4646F">
        <w:t xml:space="preserve">are </w:t>
      </w:r>
      <w:r w:rsidR="004C54C3">
        <w:t xml:space="preserve">not fully met through the </w:t>
      </w:r>
      <w:r w:rsidR="00064EA8">
        <w:t xml:space="preserve">traditional </w:t>
      </w:r>
      <w:r w:rsidR="004C54C3">
        <w:t xml:space="preserve">RFP process. </w:t>
      </w:r>
      <w:r w:rsidR="002372B0">
        <w:t>Corresponding</w:t>
      </w:r>
      <w:r w:rsidR="0089619A">
        <w:t xml:space="preserve"> changes to the CARES </w:t>
      </w:r>
      <w:r w:rsidR="006E3F17">
        <w:t xml:space="preserve">subscription process </w:t>
      </w:r>
      <w:r w:rsidR="004E0C0A">
        <w:t xml:space="preserve">will enable flexibility and </w:t>
      </w:r>
      <w:r w:rsidR="00D84A09">
        <w:t xml:space="preserve">optionality for customers to </w:t>
      </w:r>
      <w:r w:rsidR="001F342D">
        <w:t xml:space="preserve">drive </w:t>
      </w:r>
      <w:r w:rsidR="00C91FF8">
        <w:t xml:space="preserve">the </w:t>
      </w:r>
      <w:r w:rsidR="002372B0">
        <w:t>procure</w:t>
      </w:r>
      <w:r w:rsidR="001F342D">
        <w:t>ment</w:t>
      </w:r>
      <w:r w:rsidR="002372B0">
        <w:t xml:space="preserve"> </w:t>
      </w:r>
      <w:r w:rsidR="00F34C8F">
        <w:t xml:space="preserve">of </w:t>
      </w:r>
      <w:r w:rsidR="002372B0">
        <w:t xml:space="preserve">additional resources beyond </w:t>
      </w:r>
      <w:r w:rsidR="00DF50CA">
        <w:t>initial RFP</w:t>
      </w:r>
      <w:r w:rsidR="002372B0">
        <w:t xml:space="preserve"> targets</w:t>
      </w:r>
      <w:r w:rsidR="00F43787">
        <w:t xml:space="preserve">, and modifications to the subscription </w:t>
      </w:r>
      <w:r w:rsidR="00564DD8">
        <w:t xml:space="preserve">pricing methodology will ensure </w:t>
      </w:r>
      <w:r w:rsidR="0014091B">
        <w:t xml:space="preserve">that </w:t>
      </w:r>
      <w:r w:rsidR="00216E18">
        <w:t xml:space="preserve">benefits are </w:t>
      </w:r>
      <w:r w:rsidR="00794529">
        <w:t>accurately allocated between participating and non-participating customers alike</w:t>
      </w:r>
      <w:r w:rsidR="002372B0">
        <w:t>.</w:t>
      </w:r>
    </w:p>
    <w:p w14:paraId="21A78353" w14:textId="52D03E09" w:rsidR="000C4A1A" w:rsidRDefault="00CC0CCA" w:rsidP="000822F5">
      <w:pPr>
        <w:jc w:val="both"/>
      </w:pPr>
      <w:r>
        <w:t xml:space="preserve">The first phase of the </w:t>
      </w:r>
      <w:r w:rsidR="0095040F">
        <w:t>enhanced</w:t>
      </w:r>
      <w:r w:rsidR="00DF50CA">
        <w:t xml:space="preserve"> CARES</w:t>
      </w:r>
      <w:r>
        <w:t xml:space="preserve"> </w:t>
      </w:r>
      <w:r w:rsidR="009341EE">
        <w:t>program</w:t>
      </w:r>
      <w:r>
        <w:t xml:space="preserve"> will mimic existing processes</w:t>
      </w:r>
      <w:r w:rsidR="363726D0">
        <w:t>,</w:t>
      </w:r>
      <w:r>
        <w:t xml:space="preserve"> and</w:t>
      </w:r>
      <w:r w:rsidR="000C4A1A">
        <w:t xml:space="preserve"> subscriptions </w:t>
      </w:r>
      <w:r>
        <w:t>will be offered through a</w:t>
      </w:r>
      <w:r w:rsidR="0014267C">
        <w:t>n enhanced</w:t>
      </w:r>
      <w:r w:rsidR="004200E8">
        <w:t xml:space="preserve"> </w:t>
      </w:r>
      <w:r>
        <w:t xml:space="preserve">NOI process and allocated </w:t>
      </w:r>
      <w:r w:rsidR="00206943">
        <w:t xml:space="preserve">to interested customers through a Commission-approved </w:t>
      </w:r>
      <w:r w:rsidR="00B00E1E">
        <w:t>methodology</w:t>
      </w:r>
      <w:r w:rsidR="00206943">
        <w:t xml:space="preserve">. </w:t>
      </w:r>
      <w:r w:rsidR="000C4A1A">
        <w:t xml:space="preserve">Once </w:t>
      </w:r>
      <w:r w:rsidR="005C4B69">
        <w:t xml:space="preserve">the Company has selected </w:t>
      </w:r>
      <w:r w:rsidR="00CF7571">
        <w:t>and entered into contracts with winning RFP participants</w:t>
      </w:r>
      <w:r w:rsidR="000C4A1A">
        <w:t xml:space="preserve">, </w:t>
      </w:r>
      <w:r w:rsidR="00CF7571">
        <w:t>customers interested in participating in the CARES program</w:t>
      </w:r>
      <w:r w:rsidR="000C4A1A">
        <w:t xml:space="preserve"> will be offered subscriptions to the output of the </w:t>
      </w:r>
      <w:r w:rsidR="00CF7571">
        <w:t xml:space="preserve">resulting resource </w:t>
      </w:r>
      <w:r w:rsidR="000C4A1A">
        <w:t>portfolio for term</w:t>
      </w:r>
      <w:r w:rsidR="00B00E1E">
        <w:t xml:space="preserve">s of </w:t>
      </w:r>
      <w:r w:rsidR="000C4A1A">
        <w:t>10</w:t>
      </w:r>
      <w:r w:rsidR="00B00E1E">
        <w:t xml:space="preserve">-30 </w:t>
      </w:r>
      <w:r w:rsidR="000C4A1A">
        <w:t>years</w:t>
      </w:r>
      <w:r w:rsidR="00B00E1E">
        <w:t xml:space="preserve">, in </w:t>
      </w:r>
      <w:r w:rsidR="00D32287">
        <w:t>five-</w:t>
      </w:r>
      <w:r w:rsidR="00B00E1E">
        <w:t>year increments.</w:t>
      </w:r>
      <w:r w:rsidR="000C4A1A">
        <w:t xml:space="preserve"> Subscriptions will be priced </w:t>
      </w:r>
      <w:r w:rsidR="00D6734B">
        <w:t xml:space="preserve">using </w:t>
      </w:r>
      <w:r w:rsidR="00522082">
        <w:t xml:space="preserve">either </w:t>
      </w:r>
      <w:r w:rsidR="00ED4B1F">
        <w:t xml:space="preserve">of the two </w:t>
      </w:r>
      <w:r w:rsidR="00522082">
        <w:t>CARES pricing mechanism</w:t>
      </w:r>
      <w:r w:rsidR="00ED4B1F">
        <w:t>s</w:t>
      </w:r>
      <w:r w:rsidR="00522082">
        <w:t>, the CARES REC-based fixed program portfolio charge with no hourly energy credit, or the CARES fixed program charge based on the PPA price, with a corresponding hourly energy credit</w:t>
      </w:r>
      <w:r w:rsidR="00FB7CA3">
        <w:t>.</w:t>
      </w:r>
      <w:r w:rsidR="00967501">
        <w:t xml:space="preserve"> </w:t>
      </w:r>
      <w:r w:rsidR="00F50D4C">
        <w:t>Georgia Power proposes to modify</w:t>
      </w:r>
      <w:r w:rsidR="00A13006">
        <w:t xml:space="preserve"> the </w:t>
      </w:r>
      <w:r w:rsidR="00F63064">
        <w:t xml:space="preserve">price calculation </w:t>
      </w:r>
      <w:r w:rsidR="005832D7">
        <w:t>methodol</w:t>
      </w:r>
      <w:r w:rsidR="00F63064">
        <w:t xml:space="preserve">ogy </w:t>
      </w:r>
      <w:r w:rsidR="00BC796B">
        <w:t xml:space="preserve">for the hourly energy credit </w:t>
      </w:r>
      <w:r w:rsidR="0082358B">
        <w:t xml:space="preserve">to reduce the risk </w:t>
      </w:r>
      <w:r w:rsidR="00123855">
        <w:t>to non-participating customers</w:t>
      </w:r>
      <w:r w:rsidR="0078181E">
        <w:t xml:space="preserve"> by </w:t>
      </w:r>
      <w:r w:rsidR="00BA0AE6">
        <w:t>establishing</w:t>
      </w:r>
      <w:r w:rsidR="0078181E">
        <w:t xml:space="preserve"> </w:t>
      </w:r>
      <w:r w:rsidR="00BA0AE6">
        <w:t>reimbursement</w:t>
      </w:r>
      <w:r w:rsidR="00EA5BC9">
        <w:t xml:space="preserve"> </w:t>
      </w:r>
      <w:r w:rsidR="0078181E">
        <w:t xml:space="preserve">thresholds </w:t>
      </w:r>
      <w:r w:rsidR="00BD039A">
        <w:t>as part of the</w:t>
      </w:r>
      <w:r w:rsidR="00EA5BC9">
        <w:t xml:space="preserve"> subscri</w:t>
      </w:r>
      <w:r w:rsidR="00BD039A">
        <w:t>ption</w:t>
      </w:r>
      <w:r w:rsidR="00BA0AE6">
        <w:t>.</w:t>
      </w:r>
    </w:p>
    <w:p w14:paraId="108A698E" w14:textId="0EBE6B1F" w:rsidR="00B342FB" w:rsidRDefault="1FEAD54F" w:rsidP="000822F5">
      <w:pPr>
        <w:jc w:val="both"/>
      </w:pPr>
      <w:r>
        <w:t>If</w:t>
      </w:r>
      <w:r w:rsidR="001544EE">
        <w:t xml:space="preserve"> customer</w:t>
      </w:r>
      <w:r w:rsidR="00B342FB">
        <w:t xml:space="preserve"> demand for subscriptions exceeds the amount of </w:t>
      </w:r>
      <w:r w:rsidR="005A6852">
        <w:t>MW</w:t>
      </w:r>
      <w:r w:rsidR="00B342FB">
        <w:t xml:space="preserve"> procured through </w:t>
      </w:r>
      <w:r w:rsidR="00940B6C">
        <w:t>the</w:t>
      </w:r>
      <w:r w:rsidR="00B342FB">
        <w:t xml:space="preserve"> initial phase of the </w:t>
      </w:r>
      <w:r w:rsidR="0091678C">
        <w:t>Utility Scale</w:t>
      </w:r>
      <w:r w:rsidR="00B342FB">
        <w:t xml:space="preserve"> RFP, a buy</w:t>
      </w:r>
      <w:r w:rsidR="0091678C">
        <w:t>-</w:t>
      </w:r>
      <w:r w:rsidR="00B342FB">
        <w:t>down process will commence to allow</w:t>
      </w:r>
      <w:r w:rsidR="00E67D2B">
        <w:t xml:space="preserve"> </w:t>
      </w:r>
      <w:r w:rsidR="00F76312">
        <w:t xml:space="preserve">projects from the competitive </w:t>
      </w:r>
      <w:r w:rsidR="00BA0AE6">
        <w:t>tier</w:t>
      </w:r>
      <w:r w:rsidR="00B342FB">
        <w:t xml:space="preserve"> to reprice </w:t>
      </w:r>
      <w:r w:rsidR="00E67D2B">
        <w:t xml:space="preserve">their </w:t>
      </w:r>
      <w:r w:rsidR="00B342FB">
        <w:t>bid</w:t>
      </w:r>
      <w:r w:rsidR="00E67D2B">
        <w:t>(</w:t>
      </w:r>
      <w:r w:rsidR="00B342FB">
        <w:t>s</w:t>
      </w:r>
      <w:r w:rsidR="00E67D2B">
        <w:t>)</w:t>
      </w:r>
      <w:r w:rsidR="00B342FB">
        <w:t xml:space="preserve"> at a price that offers a Total Net Benefit equal to or better than the</w:t>
      </w:r>
      <w:r w:rsidR="00E67D2B">
        <w:t xml:space="preserve"> average </w:t>
      </w:r>
      <w:r w:rsidR="00DF50CA">
        <w:t>Total Net Benefit of</w:t>
      </w:r>
      <w:r w:rsidR="00E67D2B">
        <w:t xml:space="preserve"> the initial </w:t>
      </w:r>
      <w:r w:rsidR="00B342FB">
        <w:t xml:space="preserve">portfolio. </w:t>
      </w:r>
      <w:r w:rsidR="004E79DA">
        <w:t xml:space="preserve">Any </w:t>
      </w:r>
      <w:r w:rsidR="00E67D2B">
        <w:t>a</w:t>
      </w:r>
      <w:r w:rsidR="00B342FB">
        <w:t xml:space="preserve">dditional </w:t>
      </w:r>
      <w:r w:rsidR="005A6852">
        <w:t>MW</w:t>
      </w:r>
      <w:r w:rsidR="00B342FB">
        <w:t xml:space="preserve"> </w:t>
      </w:r>
      <w:r w:rsidR="007B6DC8">
        <w:t xml:space="preserve">procured </w:t>
      </w:r>
      <w:r w:rsidR="00B342FB">
        <w:t>will be made available to subscribers on the NOI list at the same subscription price.</w:t>
      </w:r>
    </w:p>
    <w:p w14:paraId="58A57CB2" w14:textId="7601E907" w:rsidR="00F76E5C" w:rsidRDefault="00F76E5C" w:rsidP="000822F5">
      <w:pPr>
        <w:jc w:val="both"/>
      </w:pPr>
      <w:r>
        <w:t xml:space="preserve">If </w:t>
      </w:r>
      <w:r w:rsidR="00B2611E">
        <w:t xml:space="preserve">additional </w:t>
      </w:r>
      <w:r w:rsidR="00880E6E">
        <w:t xml:space="preserve">customer </w:t>
      </w:r>
      <w:r>
        <w:t xml:space="preserve">subscription needs </w:t>
      </w:r>
      <w:r w:rsidR="00B2611E">
        <w:t xml:space="preserve">remain </w:t>
      </w:r>
      <w:r w:rsidR="20492282">
        <w:t>after</w:t>
      </w:r>
      <w:r w:rsidR="00B2611E">
        <w:t xml:space="preserve"> the </w:t>
      </w:r>
      <w:r w:rsidR="00D573A9">
        <w:t xml:space="preserve">initial </w:t>
      </w:r>
      <w:r w:rsidR="00B2611E">
        <w:t xml:space="preserve">NOI </w:t>
      </w:r>
      <w:r w:rsidR="003F2FF6">
        <w:t xml:space="preserve">and RFP </w:t>
      </w:r>
      <w:r w:rsidR="00D573A9">
        <w:t>buy down</w:t>
      </w:r>
      <w:r w:rsidR="003F2FF6">
        <w:t xml:space="preserve"> </w:t>
      </w:r>
      <w:r w:rsidR="00B2611E">
        <w:t>process</w:t>
      </w:r>
      <w:r w:rsidR="003F2FF6">
        <w:t>es</w:t>
      </w:r>
      <w:r w:rsidR="44D17219" w:rsidDel="003F2FF6">
        <w:t xml:space="preserve"> </w:t>
      </w:r>
      <w:r w:rsidR="003F2FF6">
        <w:t>are</w:t>
      </w:r>
      <w:r w:rsidR="44D17219">
        <w:t xml:space="preserve"> complete</w:t>
      </w:r>
      <w:r w:rsidR="00B2611E">
        <w:t xml:space="preserve">, or if customers indicate a desire to participate in a Customer Identified Resource </w:t>
      </w:r>
      <w:r w:rsidR="00D71B8C">
        <w:t>procurement</w:t>
      </w:r>
      <w:r w:rsidR="0036031C">
        <w:t xml:space="preserve"> (also described in </w:t>
      </w:r>
      <w:r w:rsidR="002B6ABF">
        <w:t>Chapter</w:t>
      </w:r>
      <w:r w:rsidR="0036031C">
        <w:t xml:space="preserve"> 8)</w:t>
      </w:r>
      <w:r w:rsidR="00D71B8C">
        <w:t xml:space="preserve">, </w:t>
      </w:r>
      <w:r>
        <w:t>the Company will implement the extended phase of the RFP</w:t>
      </w:r>
      <w:r w:rsidR="00D71B8C">
        <w:t>. In the extended phase,</w:t>
      </w:r>
      <w:r w:rsidR="0036031C">
        <w:t xml:space="preserve"> the RFP will remain active and</w:t>
      </w:r>
      <w:r>
        <w:t xml:space="preserve"> additional </w:t>
      </w:r>
      <w:r w:rsidR="00522082">
        <w:t xml:space="preserve">projects </w:t>
      </w:r>
      <w:r w:rsidR="6AD901AC">
        <w:t>can</w:t>
      </w:r>
      <w:r>
        <w:t xml:space="preserve"> be submitted into the RFP for consideration, as long as they offer a Total Net </w:t>
      </w:r>
      <w:r w:rsidR="009A3425">
        <w:t>Benefits</w:t>
      </w:r>
      <w:r>
        <w:t xml:space="preserve"> equal to or better than the average </w:t>
      </w:r>
      <w:r w:rsidR="00D573A9">
        <w:t>Total Net Benefit</w:t>
      </w:r>
      <w:r>
        <w:t xml:space="preserve"> for the portfolio selected in the </w:t>
      </w:r>
      <w:r w:rsidRPr="007B6DC8">
        <w:t xml:space="preserve">initial </w:t>
      </w:r>
      <w:r>
        <w:t xml:space="preserve">phase. This extended RFP process will offer interested customers additional opportunities to subscribe to </w:t>
      </w:r>
      <w:r w:rsidR="27F741F2">
        <w:t>available</w:t>
      </w:r>
      <w:r>
        <w:t xml:space="preserve"> resources, either by submitting </w:t>
      </w:r>
      <w:r w:rsidR="0036031C">
        <w:t xml:space="preserve">(i) </w:t>
      </w:r>
      <w:r>
        <w:t xml:space="preserve">a NOI to indicate interest in projects or a portfolio of projects independently submitted into the RFP, or </w:t>
      </w:r>
      <w:r w:rsidR="00504DAC">
        <w:t>(ii)</w:t>
      </w:r>
      <w:r>
        <w:t xml:space="preserve"> a </w:t>
      </w:r>
      <w:r w:rsidR="00D573A9">
        <w:t>Customer Identified Resource</w:t>
      </w:r>
      <w:r>
        <w:t xml:space="preserve"> into the RFP. Customers who submit a NOI in this </w:t>
      </w:r>
      <w:r w:rsidR="00504DAC">
        <w:t xml:space="preserve">extended </w:t>
      </w:r>
      <w:r>
        <w:t xml:space="preserve">phase </w:t>
      </w:r>
      <w:r w:rsidR="00B64847">
        <w:t>must</w:t>
      </w:r>
      <w:r>
        <w:t xml:space="preserve"> pay a participation fee and must provide appropriate collateral. Customers who submit a </w:t>
      </w:r>
      <w:r w:rsidR="00D573A9">
        <w:t>Customer Identified Resource</w:t>
      </w:r>
      <w:r>
        <w:t xml:space="preserve"> will negotiate directly with </w:t>
      </w:r>
      <w:r w:rsidR="00504DAC">
        <w:t>a</w:t>
      </w:r>
      <w:r>
        <w:t xml:space="preserve"> </w:t>
      </w:r>
      <w:r w:rsidR="00E47F85">
        <w:t>project developer</w:t>
      </w:r>
      <w:r w:rsidR="009A5EFD">
        <w:t xml:space="preserve"> </w:t>
      </w:r>
      <w:r>
        <w:t xml:space="preserve">to submit a bid that provides the same or better </w:t>
      </w:r>
      <w:r w:rsidR="008E00DA">
        <w:t>Total Net Benefits</w:t>
      </w:r>
      <w:r>
        <w:t xml:space="preserve"> as the portfolio average</w:t>
      </w:r>
      <w:r w:rsidR="001B3031">
        <w:t xml:space="preserve"> from the </w:t>
      </w:r>
      <w:r w:rsidR="001B3031" w:rsidRPr="00355E4B">
        <w:t>initial</w:t>
      </w:r>
      <w:r w:rsidR="001B3031" w:rsidRPr="0095040F">
        <w:t xml:space="preserve"> phase of the RFP</w:t>
      </w:r>
      <w:r>
        <w:t xml:space="preserve">. Subscribers in </w:t>
      </w:r>
      <w:r w:rsidR="00504DAC">
        <w:t>the extended</w:t>
      </w:r>
      <w:r>
        <w:t xml:space="preserve"> phase may choose either CARES pricing mechanism</w:t>
      </w:r>
      <w:r w:rsidR="5A078F35">
        <w:t>,</w:t>
      </w:r>
      <w:r>
        <w:t xml:space="preserve"> the CARES REC</w:t>
      </w:r>
      <w:r w:rsidR="001B3031">
        <w:t>-</w:t>
      </w:r>
      <w:r>
        <w:t xml:space="preserve">based fixed program portfolio charge </w:t>
      </w:r>
      <w:r w:rsidR="00FC3C58">
        <w:t>with no hourly energy credit</w:t>
      </w:r>
      <w:r>
        <w:t xml:space="preserve">, or the CARES </w:t>
      </w:r>
      <w:r w:rsidR="008E0179">
        <w:t xml:space="preserve">fixed </w:t>
      </w:r>
      <w:r w:rsidR="008E0FA6">
        <w:t xml:space="preserve">program charge based on the </w:t>
      </w:r>
      <w:r>
        <w:t>PPA price</w:t>
      </w:r>
      <w:r w:rsidR="47EE71A7">
        <w:t>,</w:t>
      </w:r>
      <w:r>
        <w:t xml:space="preserve"> with a corresponding </w:t>
      </w:r>
      <w:r w:rsidR="00FF0802">
        <w:t xml:space="preserve">hourly </w:t>
      </w:r>
      <w:r>
        <w:t>energy credit.</w:t>
      </w:r>
      <w:r w:rsidR="00E47F85">
        <w:t xml:space="preserve"> A modification to the price calculation methodology for the hourly energy credit will be introduced to reduce the risk </w:t>
      </w:r>
      <w:r w:rsidR="009F1E4C">
        <w:t>to non-participating customers</w:t>
      </w:r>
      <w:r w:rsidR="00E47F85">
        <w:t xml:space="preserve"> by establishing thresholds for reimbursement to subscribers</w:t>
      </w:r>
      <w:r w:rsidR="00263345">
        <w:t>.</w:t>
      </w:r>
      <w:r>
        <w:t xml:space="preserve"> All RECs associated with a </w:t>
      </w:r>
      <w:r w:rsidR="001B3031">
        <w:t>Customer Identified Resource</w:t>
      </w:r>
      <w:r>
        <w:t xml:space="preserve"> bid </w:t>
      </w:r>
      <w:r w:rsidR="009B2D8D">
        <w:t>will be</w:t>
      </w:r>
      <w:r>
        <w:t xml:space="preserve"> retired on behalf of the subscriber.</w:t>
      </w:r>
    </w:p>
    <w:p w14:paraId="760DE0CC" w14:textId="69145F5A" w:rsidR="008542EC" w:rsidRPr="00671871" w:rsidRDefault="00EE2823" w:rsidP="008C41BC">
      <w:pPr>
        <w:pStyle w:val="Heading3"/>
        <w:rPr>
          <w:rStyle w:val="Heading4Char"/>
          <w:i/>
        </w:rPr>
      </w:pPr>
      <w:r w:rsidRPr="00671871">
        <w:rPr>
          <w:rStyle w:val="Heading4Char"/>
          <w:i/>
        </w:rPr>
        <w:lastRenderedPageBreak/>
        <w:t>10</w:t>
      </w:r>
      <w:r w:rsidR="004B6B57" w:rsidRPr="00671871">
        <w:rPr>
          <w:rStyle w:val="Heading4Char"/>
          <w:i/>
        </w:rPr>
        <w:t xml:space="preserve">.1.3 - </w:t>
      </w:r>
      <w:r w:rsidR="008542EC" w:rsidRPr="00671871">
        <w:rPr>
          <w:rStyle w:val="Heading4Char"/>
          <w:i/>
        </w:rPr>
        <w:t>CARES Distributed Generation Subscription Program</w:t>
      </w:r>
    </w:p>
    <w:p w14:paraId="59E52969" w14:textId="4B5CD3AE" w:rsidR="006A2E35" w:rsidRDefault="006A2E35" w:rsidP="002D0D39">
      <w:pPr>
        <w:jc w:val="both"/>
      </w:pPr>
      <w:r w:rsidRPr="004615DE">
        <w:t xml:space="preserve">To </w:t>
      </w:r>
      <w:r w:rsidR="00713EB3">
        <w:t>offer additional options to</w:t>
      </w:r>
      <w:r>
        <w:t xml:space="preserve"> help </w:t>
      </w:r>
      <w:r w:rsidRPr="004615DE">
        <w:t xml:space="preserve">customers meet their renewable and sustainability goals, the Company </w:t>
      </w:r>
      <w:r>
        <w:t>proposes</w:t>
      </w:r>
      <w:r w:rsidRPr="004615DE">
        <w:t xml:space="preserve"> to expand the CARES Program to include </w:t>
      </w:r>
      <w:r w:rsidR="00713EB3">
        <w:t>subscription</w:t>
      </w:r>
      <w:r w:rsidR="00DC4CAC">
        <w:t>s</w:t>
      </w:r>
      <w:r w:rsidR="00713EB3">
        <w:t xml:space="preserve"> from </w:t>
      </w:r>
      <w:r w:rsidR="001B3031">
        <w:t xml:space="preserve">Georgia Power’s </w:t>
      </w:r>
      <w:r w:rsidR="006C6BB8">
        <w:t>DG</w:t>
      </w:r>
      <w:r w:rsidRPr="004615DE">
        <w:t xml:space="preserve"> renewable procurement</w:t>
      </w:r>
      <w:r w:rsidR="00713EB3">
        <w:t>s</w:t>
      </w:r>
      <w:r w:rsidRPr="004615DE">
        <w:t xml:space="preserve">. This expansion will </w:t>
      </w:r>
      <w:r w:rsidR="006C6BB8">
        <w:t>provide</w:t>
      </w:r>
      <w:r w:rsidRPr="004615DE">
        <w:t xml:space="preserve"> </w:t>
      </w:r>
      <w:r w:rsidR="00285F3C">
        <w:t>more</w:t>
      </w:r>
      <w:r w:rsidRPr="004615DE">
        <w:t xml:space="preserve"> Georgia Power customers </w:t>
      </w:r>
      <w:r w:rsidR="00285F3C">
        <w:t xml:space="preserve">with </w:t>
      </w:r>
      <w:r w:rsidRPr="004615DE">
        <w:t xml:space="preserve">the opportunity to participate in the </w:t>
      </w:r>
      <w:r w:rsidR="006C6BB8">
        <w:t>CARES P</w:t>
      </w:r>
      <w:r w:rsidRPr="004615DE">
        <w:t>rogram, as th</w:t>
      </w:r>
      <w:r w:rsidR="006B466B">
        <w:t xml:space="preserve">is part of </w:t>
      </w:r>
      <w:r>
        <w:t xml:space="preserve">the program will </w:t>
      </w:r>
      <w:r w:rsidR="00B30107">
        <w:t>be available</w:t>
      </w:r>
      <w:r w:rsidR="006B466B">
        <w:t xml:space="preserve"> to</w:t>
      </w:r>
      <w:r w:rsidRPr="004615DE">
        <w:t xml:space="preserve"> </w:t>
      </w:r>
      <w:r w:rsidR="43A93BAA">
        <w:t>eligible</w:t>
      </w:r>
      <w:r w:rsidR="00EE1689">
        <w:t xml:space="preserve"> C&amp;I</w:t>
      </w:r>
      <w:r w:rsidR="009A3425">
        <w:t xml:space="preserve"> </w:t>
      </w:r>
      <w:r w:rsidRPr="004615DE">
        <w:t xml:space="preserve">customers with an aggregate demand </w:t>
      </w:r>
      <w:r w:rsidR="0004514F">
        <w:t xml:space="preserve">between </w:t>
      </w:r>
      <w:r w:rsidR="00AA0E49">
        <w:t>1</w:t>
      </w:r>
      <w:r w:rsidRPr="004615DE">
        <w:t xml:space="preserve"> </w:t>
      </w:r>
      <w:r w:rsidR="00AA0E49">
        <w:t>M</w:t>
      </w:r>
      <w:r w:rsidRPr="004615DE">
        <w:t>W</w:t>
      </w:r>
      <w:r w:rsidR="0004514F">
        <w:t xml:space="preserve"> and </w:t>
      </w:r>
      <w:r w:rsidR="00DC4CAC">
        <w:t>3</w:t>
      </w:r>
      <w:r w:rsidRPr="004615DE">
        <w:t xml:space="preserve"> MW</w:t>
      </w:r>
      <w:r w:rsidR="00FA3430">
        <w:t xml:space="preserve"> and Residential customers</w:t>
      </w:r>
      <w:r w:rsidRPr="004615DE">
        <w:t>.</w:t>
      </w:r>
    </w:p>
    <w:p w14:paraId="20BD9A1F" w14:textId="5E04CEFC" w:rsidR="00F26E7D" w:rsidRDefault="005B7385" w:rsidP="002D0D39">
      <w:pPr>
        <w:jc w:val="both"/>
      </w:pPr>
      <w:r>
        <w:t xml:space="preserve">Initial </w:t>
      </w:r>
      <w:r w:rsidR="00B250A6">
        <w:t>subscriptions</w:t>
      </w:r>
      <w:r>
        <w:t xml:space="preserve"> will be available to</w:t>
      </w:r>
      <w:r w:rsidR="00315FC6">
        <w:t xml:space="preserve"> eligible</w:t>
      </w:r>
      <w:r>
        <w:t xml:space="preserve"> C&amp;I customers from the </w:t>
      </w:r>
      <w:r w:rsidR="00A71A56">
        <w:t xml:space="preserve">initial </w:t>
      </w:r>
      <w:r>
        <w:t>procurement phase of each DG RFP. Interested customers</w:t>
      </w:r>
      <w:r w:rsidR="00315FC6">
        <w:t xml:space="preserve"> will</w:t>
      </w:r>
      <w:r>
        <w:t xml:space="preserve"> </w:t>
      </w:r>
      <w:r w:rsidR="00FB3C16">
        <w:t>submit</w:t>
      </w:r>
      <w:r>
        <w:t xml:space="preserve"> a</w:t>
      </w:r>
      <w:r w:rsidR="006E2E86">
        <w:t>n</w:t>
      </w:r>
      <w:r>
        <w:t xml:space="preserve"> </w:t>
      </w:r>
      <w:r w:rsidR="00F14526">
        <w:t>NOI</w:t>
      </w:r>
      <w:r w:rsidR="006E2E86">
        <w:t xml:space="preserve"> through a process</w:t>
      </w:r>
      <w:r w:rsidR="00F14526">
        <w:t xml:space="preserve"> </w:t>
      </w:r>
      <w:r>
        <w:t>similar to the current CARES</w:t>
      </w:r>
      <w:r w:rsidR="00315FC6">
        <w:t xml:space="preserve"> Utility Scale</w:t>
      </w:r>
      <w:r>
        <w:t xml:space="preserve"> process. </w:t>
      </w:r>
      <w:r w:rsidR="00315FC6">
        <w:t>Once the Company has selected and entered into contracts with winning RFP participants</w:t>
      </w:r>
      <w:r w:rsidR="00970551">
        <w:t xml:space="preserve">, </w:t>
      </w:r>
      <w:r w:rsidR="00315FC6">
        <w:t xml:space="preserve">interested customers </w:t>
      </w:r>
      <w:r w:rsidR="002A73B6">
        <w:t>will be offered</w:t>
      </w:r>
      <w:r w:rsidR="00970551">
        <w:t xml:space="preserve"> </w:t>
      </w:r>
      <w:r w:rsidR="0077120E">
        <w:t>subscriptions</w:t>
      </w:r>
      <w:r w:rsidR="00970551">
        <w:t xml:space="preserve"> to the output of the </w:t>
      </w:r>
      <w:r w:rsidR="00F72018">
        <w:t xml:space="preserve">resulting initial </w:t>
      </w:r>
      <w:r w:rsidR="00970551">
        <w:t xml:space="preserve">portfolio for term of at least </w:t>
      </w:r>
      <w:r w:rsidR="00B16940">
        <w:t>ten</w:t>
      </w:r>
      <w:r w:rsidR="00970551">
        <w:t xml:space="preserve"> years</w:t>
      </w:r>
      <w:r w:rsidR="00B250A6">
        <w:t xml:space="preserve">. Subscriptions will be priced </w:t>
      </w:r>
      <w:r w:rsidR="00DA2FED">
        <w:t>using either</w:t>
      </w:r>
      <w:r w:rsidR="006E2E86">
        <w:t xml:space="preserve"> CARES pricing mechanism, the CARES REC-based fixed program portfolio charge with no hourly energy credit, or the CARES fixed program charge based on the PPA price, with a corresponding hourly energy credit </w:t>
      </w:r>
      <w:r w:rsidR="00876C1A">
        <w:t xml:space="preserve">that includes a modification to the price calculation methodology to reduce the risk to </w:t>
      </w:r>
      <w:r w:rsidR="00F655A6">
        <w:t>non-participating customers</w:t>
      </w:r>
      <w:r w:rsidR="00923797">
        <w:t>.</w:t>
      </w:r>
      <w:r w:rsidR="004B540C">
        <w:t xml:space="preserve"> </w:t>
      </w:r>
      <w:r w:rsidR="00F72018">
        <w:t xml:space="preserve">Georgia Power will retire the </w:t>
      </w:r>
      <w:r w:rsidR="004B540C">
        <w:t>RECs on behalf of the subscribing customer.</w:t>
      </w:r>
    </w:p>
    <w:p w14:paraId="696D3D23" w14:textId="1A43988A" w:rsidR="00F26E7D" w:rsidRDefault="00F72018" w:rsidP="002D0D39">
      <w:pPr>
        <w:jc w:val="both"/>
      </w:pPr>
      <w:r>
        <w:t>If customer</w:t>
      </w:r>
      <w:r w:rsidR="004B540C">
        <w:t xml:space="preserve"> demand for subscriptions exceeds the amount of </w:t>
      </w:r>
      <w:r w:rsidR="005A6852">
        <w:t>MW</w:t>
      </w:r>
      <w:r w:rsidR="004B540C">
        <w:t xml:space="preserve"> procured through the DG RFP, the </w:t>
      </w:r>
      <w:r w:rsidR="00B16940">
        <w:t>C</w:t>
      </w:r>
      <w:r w:rsidR="004B540C">
        <w:t xml:space="preserve">ompany will initiate the buy down process as detailed in </w:t>
      </w:r>
      <w:r w:rsidR="00186330">
        <w:t>Chapter</w:t>
      </w:r>
      <w:r w:rsidR="004B540C">
        <w:t xml:space="preserve"> 8, allowing </w:t>
      </w:r>
      <w:r w:rsidR="005B0ECD">
        <w:t xml:space="preserve">unselected </w:t>
      </w:r>
      <w:r w:rsidR="00B15FC0">
        <w:t xml:space="preserve">projects from the target list </w:t>
      </w:r>
      <w:r w:rsidR="004B540C">
        <w:t xml:space="preserve">to enter into PPAs at a price that offers </w:t>
      </w:r>
      <w:r w:rsidR="008A0933">
        <w:t>a</w:t>
      </w:r>
      <w:r w:rsidR="004B540C">
        <w:t xml:space="preserve"> Total Net </w:t>
      </w:r>
      <w:r w:rsidR="008A0933">
        <w:t xml:space="preserve">Benefit equal to or better than the average for the portfolio selected in the </w:t>
      </w:r>
      <w:r w:rsidR="008A0933" w:rsidRPr="00A32467">
        <w:t>initial</w:t>
      </w:r>
      <w:r w:rsidR="008A0933">
        <w:t xml:space="preserve"> phase</w:t>
      </w:r>
      <w:r w:rsidR="0067003B">
        <w:t xml:space="preserve">. Additional </w:t>
      </w:r>
      <w:r w:rsidR="005A6852">
        <w:t>MW</w:t>
      </w:r>
      <w:r w:rsidR="0067003B">
        <w:t xml:space="preserve"> will be made available</w:t>
      </w:r>
      <w:r w:rsidR="004B540C">
        <w:t xml:space="preserve"> </w:t>
      </w:r>
      <w:r w:rsidR="00616848">
        <w:t>in a pro-rata share</w:t>
      </w:r>
      <w:r w:rsidR="004B540C">
        <w:t xml:space="preserve"> to </w:t>
      </w:r>
      <w:r w:rsidR="0067003B">
        <w:t xml:space="preserve">subscribers on the NOI list at the same </w:t>
      </w:r>
      <w:r w:rsidR="00CB4E66">
        <w:t>subscription</w:t>
      </w:r>
      <w:r w:rsidR="0067003B">
        <w:t xml:space="preserve"> price</w:t>
      </w:r>
      <w:r w:rsidR="00CB4E66">
        <w:t>.</w:t>
      </w:r>
    </w:p>
    <w:p w14:paraId="580E7998" w14:textId="77752110" w:rsidR="00F26E7D" w:rsidRDefault="000D414E" w:rsidP="002D0D39">
      <w:pPr>
        <w:jc w:val="both"/>
      </w:pPr>
      <w:r>
        <w:t>If subscription needs for medium</w:t>
      </w:r>
      <w:r w:rsidR="00580525">
        <w:t>-</w:t>
      </w:r>
      <w:r>
        <w:t>size</w:t>
      </w:r>
      <w:r w:rsidR="009A3425">
        <w:t>d</w:t>
      </w:r>
      <w:r>
        <w:t xml:space="preserve"> customers are not fully met, or if a need for DG CARES subscriptions is identified from other customer groups</w:t>
      </w:r>
      <w:r w:rsidR="006248A8">
        <w:t xml:space="preserve"> or subscription programs</w:t>
      </w:r>
      <w:r w:rsidR="00F72018">
        <w:t xml:space="preserve"> (e.g. </w:t>
      </w:r>
      <w:r w:rsidR="00FC7DC5">
        <w:t xml:space="preserve">the Residential Distributed Generation Community Solar Program described below or </w:t>
      </w:r>
      <w:r w:rsidR="00F72018">
        <w:t>large C&amp;I customers</w:t>
      </w:r>
      <w:r w:rsidR="005C05DB">
        <w:t xml:space="preserve"> over 3 MW</w:t>
      </w:r>
      <w:r w:rsidR="00FC7DC5">
        <w:t xml:space="preserve"> with unmet subscription needs</w:t>
      </w:r>
      <w:r w:rsidR="00F72018">
        <w:t>)</w:t>
      </w:r>
      <w:r>
        <w:t xml:space="preserve">, </w:t>
      </w:r>
      <w:r w:rsidR="00160459">
        <w:t xml:space="preserve">the </w:t>
      </w:r>
      <w:r w:rsidR="00AA394D">
        <w:t>Company will implement the extended phase of the RFP</w:t>
      </w:r>
      <w:r w:rsidR="00CE3A79">
        <w:t>. This phase</w:t>
      </w:r>
      <w:r w:rsidR="00BD043F">
        <w:t xml:space="preserve"> allows for </w:t>
      </w:r>
      <w:r w:rsidR="00F378B0">
        <w:t xml:space="preserve">additional bids to be submitted </w:t>
      </w:r>
      <w:r w:rsidR="00D86C99">
        <w:t xml:space="preserve">into the RFP </w:t>
      </w:r>
      <w:r w:rsidR="00F378B0">
        <w:t>for consideration as long as the</w:t>
      </w:r>
      <w:r w:rsidR="008A0933">
        <w:t>y</w:t>
      </w:r>
      <w:r w:rsidR="00F378B0">
        <w:t xml:space="preserve"> offer a Total Net Benefit equal to or better than the average for the portfolio selected in </w:t>
      </w:r>
      <w:r w:rsidR="008A0933">
        <w:t xml:space="preserve">the </w:t>
      </w:r>
      <w:r w:rsidR="008A0933" w:rsidRPr="002E1252">
        <w:t>initial</w:t>
      </w:r>
      <w:r w:rsidR="008A0933">
        <w:t xml:space="preserve"> phase</w:t>
      </w:r>
      <w:r w:rsidR="00F378B0">
        <w:t xml:space="preserve">. </w:t>
      </w:r>
      <w:r w:rsidR="00CF7169">
        <w:t xml:space="preserve">This extended RFP process will offer </w:t>
      </w:r>
      <w:r w:rsidR="00B73383">
        <w:t>interested</w:t>
      </w:r>
      <w:r w:rsidR="00CF7169">
        <w:t xml:space="preserve"> customers additional opportunities to subscribe to </w:t>
      </w:r>
      <w:r w:rsidR="00050571">
        <w:t>these resources</w:t>
      </w:r>
      <w:r w:rsidR="008F6DDC">
        <w:t xml:space="preserve">, either by submitting </w:t>
      </w:r>
      <w:r w:rsidR="00F72018">
        <w:t xml:space="preserve">(i) </w:t>
      </w:r>
      <w:r w:rsidR="008F6DDC">
        <w:t xml:space="preserve">a NOI to indicate interest in projects or a portfolio of projects </w:t>
      </w:r>
      <w:r w:rsidR="00D86C99">
        <w:t xml:space="preserve">independently </w:t>
      </w:r>
      <w:r w:rsidR="008F6DDC">
        <w:t>submitted into the RFP</w:t>
      </w:r>
      <w:r w:rsidR="00D86C99">
        <w:t xml:space="preserve"> </w:t>
      </w:r>
      <w:r w:rsidR="008F6DDC">
        <w:t xml:space="preserve">or </w:t>
      </w:r>
      <w:r w:rsidR="00F72018">
        <w:t>(ii)</w:t>
      </w:r>
      <w:r w:rsidR="009302DC">
        <w:t xml:space="preserve"> a </w:t>
      </w:r>
      <w:r w:rsidR="007B7C28">
        <w:t>Customer Identified Resource</w:t>
      </w:r>
      <w:r w:rsidR="009302DC">
        <w:t>. Customers who</w:t>
      </w:r>
      <w:r w:rsidR="00B73383">
        <w:t xml:space="preserve"> submit a NOI </w:t>
      </w:r>
      <w:r w:rsidR="00F13679">
        <w:t xml:space="preserve">in this phase </w:t>
      </w:r>
      <w:r w:rsidR="00F512DC">
        <w:t>must</w:t>
      </w:r>
      <w:r w:rsidR="003D0966">
        <w:t xml:space="preserve"> pay a participation fee and</w:t>
      </w:r>
      <w:r w:rsidR="00B73383">
        <w:t xml:space="preserve"> must </w:t>
      </w:r>
      <w:r w:rsidR="00EE147B">
        <w:t>provide collateral</w:t>
      </w:r>
      <w:r w:rsidR="0036428C">
        <w:t xml:space="preserve"> as appropriate</w:t>
      </w:r>
      <w:r w:rsidR="00EE147B">
        <w:t>. Customers who</w:t>
      </w:r>
      <w:r w:rsidR="009302DC">
        <w:t xml:space="preserve"> submit a </w:t>
      </w:r>
      <w:r w:rsidR="007B7C28">
        <w:t>Customer Identified Resource</w:t>
      </w:r>
      <w:r w:rsidR="009302DC">
        <w:t xml:space="preserve"> </w:t>
      </w:r>
      <w:r w:rsidR="00F13679">
        <w:t xml:space="preserve">will negotiate </w:t>
      </w:r>
      <w:r w:rsidR="00FB6C91">
        <w:t>directly</w:t>
      </w:r>
      <w:r w:rsidR="00EE147B">
        <w:t xml:space="preserve"> with </w:t>
      </w:r>
      <w:r w:rsidR="00F72018">
        <w:t>a</w:t>
      </w:r>
      <w:r w:rsidR="002E4406">
        <w:t xml:space="preserve"> project developer</w:t>
      </w:r>
      <w:r w:rsidR="00EE147B">
        <w:t xml:space="preserve"> to submit a bid that </w:t>
      </w:r>
      <w:r w:rsidR="00561974">
        <w:t xml:space="preserve">provides the same or better </w:t>
      </w:r>
      <w:r w:rsidR="002D53F5">
        <w:t>Total Net Benefits</w:t>
      </w:r>
      <w:r w:rsidR="00561974">
        <w:t xml:space="preserve"> as the </w:t>
      </w:r>
      <w:r w:rsidR="00F72018">
        <w:t xml:space="preserve">initial </w:t>
      </w:r>
      <w:r w:rsidR="00561974">
        <w:t xml:space="preserve">portfolio average. </w:t>
      </w:r>
      <w:r w:rsidR="00DB01EF">
        <w:t>Subscribers</w:t>
      </w:r>
      <w:r w:rsidR="000A2691">
        <w:t xml:space="preserve"> in this phase </w:t>
      </w:r>
      <w:r w:rsidR="009C489A">
        <w:t>may choos</w:t>
      </w:r>
      <w:r w:rsidR="00104574">
        <w:t>e either</w:t>
      </w:r>
      <w:r w:rsidR="00DB01EF">
        <w:t xml:space="preserve"> the CARES REC</w:t>
      </w:r>
      <w:r w:rsidR="002E582A">
        <w:t>-</w:t>
      </w:r>
      <w:r w:rsidR="00DB01EF">
        <w:t xml:space="preserve">based fixed program portfolio charge </w:t>
      </w:r>
      <w:r w:rsidR="006B1103">
        <w:t>with no hourly credit</w:t>
      </w:r>
      <w:r w:rsidR="00104574">
        <w:t xml:space="preserve">, or the </w:t>
      </w:r>
      <w:r w:rsidR="00AB2EDE">
        <w:t xml:space="preserve">CARES </w:t>
      </w:r>
      <w:r w:rsidR="00FB6C91">
        <w:t xml:space="preserve">fixed program portfolio charge </w:t>
      </w:r>
      <w:r w:rsidR="002C4D87">
        <w:t>based on the PPA price</w:t>
      </w:r>
      <w:r w:rsidR="00FB6C91">
        <w:t xml:space="preserve"> with a corresponding </w:t>
      </w:r>
      <w:r w:rsidR="002C4D87">
        <w:t xml:space="preserve">hourly </w:t>
      </w:r>
      <w:r w:rsidR="00FB6C91">
        <w:t>energy credit.</w:t>
      </w:r>
      <w:r w:rsidR="00806F61">
        <w:t xml:space="preserve"> </w:t>
      </w:r>
      <w:r w:rsidR="00082A54">
        <w:t xml:space="preserve">All RECs associated with </w:t>
      </w:r>
      <w:r w:rsidR="000A1628">
        <w:t xml:space="preserve">a </w:t>
      </w:r>
      <w:r w:rsidR="002E582A">
        <w:t>Customer Identified Resource</w:t>
      </w:r>
      <w:r w:rsidR="000A1628">
        <w:t xml:space="preserve"> bid </w:t>
      </w:r>
      <w:r w:rsidR="3ABAD45B">
        <w:t>will b</w:t>
      </w:r>
      <w:r w:rsidR="000A1628">
        <w:t>e retired on behalf of the subscriber</w:t>
      </w:r>
      <w:r w:rsidR="000A2691">
        <w:t>.</w:t>
      </w:r>
    </w:p>
    <w:p w14:paraId="5E705BB6" w14:textId="227132DF" w:rsidR="00FC7DC5" w:rsidRDefault="007C39C1" w:rsidP="00FC7DC5">
      <w:pPr>
        <w:jc w:val="both"/>
      </w:pPr>
      <w:r>
        <w:t>As part of the CARES Distributed Generation Subscription Program, t</w:t>
      </w:r>
      <w:r w:rsidR="00346EC0">
        <w:t>he Company proposes</w:t>
      </w:r>
      <w:r w:rsidR="00BE4924">
        <w:t xml:space="preserve"> to</w:t>
      </w:r>
      <w:r w:rsidR="00FC7DC5">
        <w:t xml:space="preserve"> </w:t>
      </w:r>
      <w:r w:rsidR="00595345">
        <w:t>alloc</w:t>
      </w:r>
      <w:r w:rsidR="00617A4E">
        <w:t xml:space="preserve">ate </w:t>
      </w:r>
      <w:r w:rsidR="00FC7DC5">
        <w:t xml:space="preserve">up to 10 MW of the initial 50 MW target of each </w:t>
      </w:r>
      <w:r w:rsidR="00E968C1">
        <w:t xml:space="preserve">DG </w:t>
      </w:r>
      <w:r w:rsidR="00FC7DC5">
        <w:t>RFP</w:t>
      </w:r>
      <w:r w:rsidR="00617A4E">
        <w:t xml:space="preserve"> to be offered for subscription by residential customers</w:t>
      </w:r>
      <w:r w:rsidR="00FC7DC5">
        <w:t xml:space="preserve">. The new Distributed Generation Community Solar Program will offer </w:t>
      </w:r>
      <w:r w:rsidR="00367ADF">
        <w:t>access to</w:t>
      </w:r>
      <w:r w:rsidR="00DF13F9">
        <w:t xml:space="preserve"> </w:t>
      </w:r>
      <w:r w:rsidR="00FC7DC5">
        <w:t xml:space="preserve">new </w:t>
      </w:r>
      <w:r w:rsidR="00DF13F9">
        <w:t>DG</w:t>
      </w:r>
      <w:r w:rsidR="00FC7DC5">
        <w:t xml:space="preserve"> facilities to residential customer</w:t>
      </w:r>
      <w:r w:rsidR="00E078B1">
        <w:t>s</w:t>
      </w:r>
      <w:r w:rsidR="00CF1BDA">
        <w:t xml:space="preserve"> </w:t>
      </w:r>
      <w:r w:rsidR="00501840">
        <w:t xml:space="preserve">using a </w:t>
      </w:r>
      <w:r w:rsidR="00BF0B87">
        <w:t xml:space="preserve">similar but simplified </w:t>
      </w:r>
      <w:r w:rsidR="008B219D">
        <w:t xml:space="preserve">CARES subscription </w:t>
      </w:r>
      <w:r w:rsidR="008B219D">
        <w:lastRenderedPageBreak/>
        <w:t>methodology</w:t>
      </w:r>
      <w:r w:rsidR="00FC7DC5">
        <w:t xml:space="preserve">. These projects will be procured through the DG RFP process, and Residential customers will subscribe using a pricing mechanism based on the PPA price, with an energy credit calculated </w:t>
      </w:r>
      <w:r w:rsidR="00756631">
        <w:t>from</w:t>
      </w:r>
      <w:r w:rsidR="00FC7DC5">
        <w:t xml:space="preserve"> the</w:t>
      </w:r>
      <w:r w:rsidR="00965B9C">
        <w:t xml:space="preserve"> </w:t>
      </w:r>
      <w:r w:rsidR="00FC7DC5">
        <w:t xml:space="preserve">annual average </w:t>
      </w:r>
      <w:r w:rsidR="00B90930">
        <w:t>value of the</w:t>
      </w:r>
      <w:r w:rsidR="00965B9C">
        <w:t xml:space="preserve"> DG facility</w:t>
      </w:r>
      <w:r w:rsidR="00B90930">
        <w:t>’s production based on the</w:t>
      </w:r>
      <w:r w:rsidR="00342605">
        <w:t xml:space="preserve"> Company’s hourly operating costs of incremental generation</w:t>
      </w:r>
      <w:r w:rsidR="00BC2C72">
        <w:t xml:space="preserve"> </w:t>
      </w:r>
      <w:r w:rsidR="00342605">
        <w:t>per kWh</w:t>
      </w:r>
      <w:r w:rsidR="00FC7DC5">
        <w:t xml:space="preserve">. </w:t>
      </w:r>
      <w:r w:rsidR="004E4672">
        <w:t xml:space="preserve">Georgia Power is </w:t>
      </w:r>
      <w:r w:rsidR="004929EC">
        <w:t>also exp</w:t>
      </w:r>
      <w:r w:rsidR="00E90AFD">
        <w:t>l</w:t>
      </w:r>
      <w:r w:rsidR="004929EC">
        <w:t>oring opportunities to part</w:t>
      </w:r>
      <w:r w:rsidR="00E90AFD">
        <w:t>n</w:t>
      </w:r>
      <w:r w:rsidR="004929EC">
        <w:t>er with 3</w:t>
      </w:r>
      <w:r w:rsidR="004929EC" w:rsidRPr="00B76E66">
        <w:rPr>
          <w:vertAlign w:val="superscript"/>
        </w:rPr>
        <w:t>rd</w:t>
      </w:r>
      <w:r w:rsidR="004929EC">
        <w:t xml:space="preserve"> par</w:t>
      </w:r>
      <w:r w:rsidR="00DF6A60">
        <w:t>ties to</w:t>
      </w:r>
      <w:r w:rsidR="00FC7DC5">
        <w:t xml:space="preserve"> reduce subscription prices </w:t>
      </w:r>
      <w:r w:rsidR="00E90AFD">
        <w:t>for lower income customers</w:t>
      </w:r>
      <w:r w:rsidR="00FC7DC5">
        <w:t xml:space="preserve">, enhancing the value proposition for eligible customers. </w:t>
      </w:r>
      <w:r w:rsidR="00E25A37">
        <w:t xml:space="preserve">If subscription </w:t>
      </w:r>
      <w:r w:rsidR="00950A5A">
        <w:t xml:space="preserve">needs </w:t>
      </w:r>
      <w:r w:rsidR="00041E81">
        <w:t xml:space="preserve">are </w:t>
      </w:r>
      <w:r w:rsidR="00162404">
        <w:t xml:space="preserve">greater than the MWs available for subscription by Residential customers, </w:t>
      </w:r>
      <w:r w:rsidR="001B4824">
        <w:t xml:space="preserve">additional resources </w:t>
      </w:r>
      <w:r w:rsidR="008E4364">
        <w:t xml:space="preserve">may </w:t>
      </w:r>
      <w:r w:rsidR="00D84C68">
        <w:t xml:space="preserve">be procured </w:t>
      </w:r>
      <w:r w:rsidR="00134A60">
        <w:t>through the extended RFP process outlined above</w:t>
      </w:r>
      <w:r w:rsidR="00DF13F9">
        <w:t xml:space="preserve">, with </w:t>
      </w:r>
      <w:r w:rsidR="00F06EDE">
        <w:t xml:space="preserve">the </w:t>
      </w:r>
      <w:r w:rsidR="008A01B4">
        <w:t>op</w:t>
      </w:r>
      <w:r w:rsidR="00F06EDE">
        <w:t>portunity</w:t>
      </w:r>
      <w:r w:rsidR="008A01B4">
        <w:t xml:space="preserve"> for </w:t>
      </w:r>
      <w:r w:rsidR="00DF13F9">
        <w:t>developers</w:t>
      </w:r>
      <w:r w:rsidR="008A01B4">
        <w:t xml:space="preserve"> to bring </w:t>
      </w:r>
      <w:r w:rsidR="00F06EDE">
        <w:t>new subscribers and incremental projects</w:t>
      </w:r>
      <w:r w:rsidR="00134A60">
        <w:t>.</w:t>
      </w:r>
      <w:r w:rsidR="00041E81">
        <w:t xml:space="preserve"> </w:t>
      </w:r>
      <w:r w:rsidR="00FC7DC5">
        <w:t>Details of the Distributed Generation Community Solar Program will be provided in a separate filing with the PSC pursuant to the approval of the program framework in this IRP.</w:t>
      </w:r>
    </w:p>
    <w:p w14:paraId="05F618D7" w14:textId="26C66AB6" w:rsidR="00F26E7D" w:rsidRPr="004615DE" w:rsidRDefault="00FF4ADD" w:rsidP="002D0D39">
      <w:pPr>
        <w:jc w:val="both"/>
      </w:pPr>
      <w:r>
        <w:t xml:space="preserve">These proposed </w:t>
      </w:r>
      <w:r w:rsidR="002D53F5">
        <w:t xml:space="preserve">modifications to the </w:t>
      </w:r>
      <w:r>
        <w:t xml:space="preserve">CARES </w:t>
      </w:r>
      <w:r w:rsidR="00C91086">
        <w:t>Subscription P</w:t>
      </w:r>
      <w:r w:rsidR="002D53F5">
        <w:t>rogram</w:t>
      </w:r>
      <w:r w:rsidR="00485257">
        <w:t xml:space="preserve"> </w:t>
      </w:r>
      <w:r w:rsidR="00C16D91">
        <w:t xml:space="preserve">are </w:t>
      </w:r>
      <w:r w:rsidR="007B5827">
        <w:t>intended</w:t>
      </w:r>
      <w:r w:rsidR="00C16D91">
        <w:t xml:space="preserve"> to offer customers more options to </w:t>
      </w:r>
      <w:r w:rsidR="007B5827">
        <w:t>subscribe</w:t>
      </w:r>
      <w:r w:rsidR="00C16D91">
        <w:t xml:space="preserve"> to carbon</w:t>
      </w:r>
      <w:r w:rsidR="002A1BF5">
        <w:t>-</w:t>
      </w:r>
      <w:r w:rsidR="00C16D91">
        <w:t xml:space="preserve">free resources, while adding flexibility and optionality to the RFP process for </w:t>
      </w:r>
      <w:r w:rsidR="007B5827">
        <w:t>bidders</w:t>
      </w:r>
      <w:r w:rsidR="00C16D91">
        <w:t xml:space="preserve"> and subscribers alike. </w:t>
      </w:r>
      <w:r w:rsidR="002E1C5D">
        <w:t xml:space="preserve">If approved, the details of the enhanced CARES </w:t>
      </w:r>
      <w:r w:rsidR="00982A7E">
        <w:t>S</w:t>
      </w:r>
      <w:r w:rsidR="002E1C5D">
        <w:t xml:space="preserve">ubscription </w:t>
      </w:r>
      <w:r w:rsidR="00982A7E">
        <w:t>P</w:t>
      </w:r>
      <w:r w:rsidR="002E1C5D">
        <w:t xml:space="preserve">rogram will be </w:t>
      </w:r>
      <w:r w:rsidR="00900635">
        <w:t xml:space="preserve">submitted for </w:t>
      </w:r>
      <w:r w:rsidR="00421BFC">
        <w:t xml:space="preserve">Commission approval </w:t>
      </w:r>
      <w:r w:rsidR="007B5827">
        <w:t>in a compliance filing after the conclusion of the 2025 IRP.</w:t>
      </w:r>
    </w:p>
    <w:p w14:paraId="1D99F71D" w14:textId="689DCE0A" w:rsidR="00FF0E38" w:rsidRDefault="00FF0E38" w:rsidP="00FF0E38">
      <w:pPr>
        <w:pStyle w:val="Heading2"/>
      </w:pPr>
      <w:bookmarkStart w:id="66" w:name="_Toc189122785"/>
      <w:r>
        <w:t>10.</w:t>
      </w:r>
      <w:r w:rsidR="0081683E">
        <w:t>2</w:t>
      </w:r>
      <w:r>
        <w:t xml:space="preserve"> – Customer-Sited Generation Programs</w:t>
      </w:r>
      <w:bookmarkEnd w:id="66"/>
    </w:p>
    <w:p w14:paraId="2D4F8CB7" w14:textId="2EC22415" w:rsidR="00FF0E38" w:rsidRDefault="00FF0E38" w:rsidP="00FF0E38">
      <w:pPr>
        <w:spacing w:line="278" w:lineRule="auto"/>
        <w:jc w:val="both"/>
      </w:pPr>
      <w:r>
        <w:t xml:space="preserve">Currently, customer generators can participate in one of four customer-sited renewable programs, which </w:t>
      </w:r>
      <w:r w:rsidR="00AF207E">
        <w:t xml:space="preserve">facilitate the </w:t>
      </w:r>
      <w:r>
        <w:t>install</w:t>
      </w:r>
      <w:r w:rsidR="00CF7AA6">
        <w:t>ation of</w:t>
      </w:r>
      <w:r>
        <w:t xml:space="preserve"> renewable resource</w:t>
      </w:r>
      <w:r w:rsidR="00CF7AA6">
        <w:t>s</w:t>
      </w:r>
      <w:r>
        <w:t xml:space="preserve"> on </w:t>
      </w:r>
      <w:r w:rsidR="00CF7AA6">
        <w:t>cu</w:t>
      </w:r>
      <w:r w:rsidR="00A7647F">
        <w:t>stomer</w:t>
      </w:r>
      <w:r>
        <w:t xml:space="preserve"> premises, typically solar or solar plus storage. These customer-sited programs are used primarily to offset </w:t>
      </w:r>
      <w:r w:rsidR="000012F9">
        <w:t>customer</w:t>
      </w:r>
      <w:r>
        <w:t xml:space="preserve"> energy consumption from the grid. Table 10.</w:t>
      </w:r>
      <w:r w:rsidR="000D4BBB">
        <w:t>2</w:t>
      </w:r>
      <w:r>
        <w:t xml:space="preserve"> provides the current volume of customers and the aggregate AC capacity online by program and customer class. While the growth rate of residential customers installing solar BTM has decreased since the 2022 IRP, the growth rate of both commercial and industrial customers has increased. In general, customers in all classes are installing larger systems. Georgia Power continues to support customers through the design and interconnection process of BTM systems that are increasingly complex. </w:t>
      </w:r>
    </w:p>
    <w:p w14:paraId="5FD61D99" w14:textId="7CA72382" w:rsidR="00FF0E38" w:rsidRPr="00986CCA" w:rsidRDefault="00FF0E38" w:rsidP="00FF0E38">
      <w:pPr>
        <w:keepNext/>
        <w:keepLines/>
        <w:spacing w:line="278" w:lineRule="auto"/>
        <w:jc w:val="center"/>
        <w:rPr>
          <w:i/>
        </w:rPr>
      </w:pPr>
      <w:r w:rsidRPr="00986CCA">
        <w:rPr>
          <w:i/>
          <w:iCs/>
        </w:rPr>
        <w:lastRenderedPageBreak/>
        <w:t xml:space="preserve">Table </w:t>
      </w:r>
      <w:r>
        <w:rPr>
          <w:i/>
          <w:iCs/>
        </w:rPr>
        <w:t>10.</w:t>
      </w:r>
      <w:r w:rsidR="0081683E">
        <w:rPr>
          <w:i/>
          <w:iCs/>
        </w:rPr>
        <w:t>2</w:t>
      </w:r>
      <w:r w:rsidRPr="00986CCA">
        <w:rPr>
          <w:i/>
          <w:iCs/>
        </w:rPr>
        <w:t xml:space="preserve">: </w:t>
      </w:r>
      <w:r>
        <w:rPr>
          <w:i/>
          <w:iCs/>
        </w:rPr>
        <w:t>Customer-Sited Renewable Generation Program Customer Volume</w:t>
      </w:r>
    </w:p>
    <w:tbl>
      <w:tblPr>
        <w:tblStyle w:val="TableGrid1"/>
        <w:tblW w:w="9756" w:type="dxa"/>
        <w:tblLayout w:type="fixed"/>
        <w:tblLook w:val="04A0" w:firstRow="1" w:lastRow="0" w:firstColumn="1" w:lastColumn="0" w:noHBand="0" w:noVBand="1"/>
      </w:tblPr>
      <w:tblGrid>
        <w:gridCol w:w="3899"/>
        <w:gridCol w:w="918"/>
        <w:gridCol w:w="1722"/>
        <w:gridCol w:w="1608"/>
        <w:gridCol w:w="1609"/>
      </w:tblGrid>
      <w:tr w:rsidR="00FF0E38" w:rsidRPr="00D01C9A" w14:paraId="2C5F7BD1" w14:textId="77777777">
        <w:trPr>
          <w:trHeight w:val="340"/>
        </w:trPr>
        <w:tc>
          <w:tcPr>
            <w:tcW w:w="3899" w:type="dxa"/>
            <w:vMerge w:val="restart"/>
            <w:vAlign w:val="center"/>
          </w:tcPr>
          <w:p w14:paraId="343A5D9C" w14:textId="77777777" w:rsidR="00FF0E38" w:rsidRPr="004F6E49" w:rsidRDefault="00FF0E38">
            <w:pPr>
              <w:keepNext/>
              <w:keepLines/>
              <w:jc w:val="center"/>
              <w:rPr>
                <w:rFonts w:cs="Calibri"/>
                <w:b/>
                <w:sz w:val="20"/>
                <w:szCs w:val="20"/>
              </w:rPr>
            </w:pPr>
            <w:r w:rsidRPr="004F6E49">
              <w:rPr>
                <w:rFonts w:cs="Calibri"/>
                <w:b/>
                <w:sz w:val="20"/>
                <w:szCs w:val="20"/>
              </w:rPr>
              <w:t>Online by Program</w:t>
            </w:r>
          </w:p>
        </w:tc>
        <w:tc>
          <w:tcPr>
            <w:tcW w:w="918" w:type="dxa"/>
            <w:vMerge w:val="restart"/>
            <w:vAlign w:val="center"/>
          </w:tcPr>
          <w:p w14:paraId="3E25FA25" w14:textId="77777777" w:rsidR="00FF0E38" w:rsidRPr="004F6E49" w:rsidRDefault="00FF0E38">
            <w:pPr>
              <w:keepNext/>
              <w:keepLines/>
              <w:jc w:val="center"/>
              <w:rPr>
                <w:rFonts w:cs="Calibri"/>
                <w:b/>
              </w:rPr>
            </w:pPr>
            <w:r w:rsidRPr="004F6E49">
              <w:rPr>
                <w:rFonts w:cs="Calibri"/>
                <w:b/>
                <w:sz w:val="18"/>
                <w:szCs w:val="18"/>
              </w:rPr>
              <w:t>POI</w:t>
            </w:r>
          </w:p>
        </w:tc>
        <w:tc>
          <w:tcPr>
            <w:tcW w:w="4939" w:type="dxa"/>
            <w:gridSpan w:val="3"/>
            <w:vAlign w:val="center"/>
          </w:tcPr>
          <w:p w14:paraId="51FA3A6D" w14:textId="77777777" w:rsidR="00FF0E38" w:rsidRPr="004F6E49" w:rsidRDefault="00FF0E38">
            <w:pPr>
              <w:keepNext/>
              <w:keepLines/>
              <w:jc w:val="center"/>
              <w:rPr>
                <w:rFonts w:cs="Calibri"/>
                <w:b/>
                <w:sz w:val="20"/>
                <w:szCs w:val="20"/>
              </w:rPr>
            </w:pPr>
            <w:r w:rsidRPr="004F6E49">
              <w:rPr>
                <w:rFonts w:cs="Calibri"/>
                <w:b/>
                <w:sz w:val="20"/>
                <w:szCs w:val="20"/>
              </w:rPr>
              <w:t>Volume (# of customers)</w:t>
            </w:r>
          </w:p>
          <w:p w14:paraId="07A05166" w14:textId="77777777" w:rsidR="00FF0E38" w:rsidRPr="004F6E49" w:rsidRDefault="00FF0E38">
            <w:pPr>
              <w:keepNext/>
              <w:keepLines/>
              <w:jc w:val="center"/>
              <w:rPr>
                <w:rFonts w:cs="Calibri"/>
                <w:b/>
                <w:sz w:val="20"/>
                <w:szCs w:val="20"/>
              </w:rPr>
            </w:pPr>
            <w:r w:rsidRPr="004F6E49">
              <w:rPr>
                <w:rFonts w:cs="Calibri"/>
                <w:b/>
                <w:sz w:val="20"/>
                <w:szCs w:val="20"/>
              </w:rPr>
              <w:t>Capacity (A</w:t>
            </w:r>
            <w:r>
              <w:rPr>
                <w:rFonts w:cs="Calibri"/>
                <w:b/>
                <w:sz w:val="20"/>
                <w:szCs w:val="20"/>
              </w:rPr>
              <w:t>C</w:t>
            </w:r>
            <w:r w:rsidRPr="004F6E49">
              <w:rPr>
                <w:rFonts w:cs="Calibri"/>
                <w:b/>
                <w:sz w:val="20"/>
                <w:szCs w:val="20"/>
              </w:rPr>
              <w:t>-MW)</w:t>
            </w:r>
          </w:p>
        </w:tc>
      </w:tr>
      <w:tr w:rsidR="00FF0E38" w:rsidRPr="00D01C9A" w14:paraId="0A51FC38" w14:textId="77777777">
        <w:trPr>
          <w:trHeight w:val="340"/>
        </w:trPr>
        <w:tc>
          <w:tcPr>
            <w:tcW w:w="3899" w:type="dxa"/>
            <w:vMerge/>
            <w:vAlign w:val="center"/>
          </w:tcPr>
          <w:p w14:paraId="661DB885" w14:textId="77777777" w:rsidR="00FF0E38" w:rsidRPr="00D01C9A" w:rsidRDefault="00FF0E38">
            <w:pPr>
              <w:keepNext/>
              <w:keepLines/>
              <w:jc w:val="center"/>
              <w:rPr>
                <w:rFonts w:cs="Calibri"/>
                <w:sz w:val="20"/>
                <w:szCs w:val="20"/>
              </w:rPr>
            </w:pPr>
          </w:p>
        </w:tc>
        <w:tc>
          <w:tcPr>
            <w:tcW w:w="918" w:type="dxa"/>
            <w:vMerge/>
            <w:vAlign w:val="center"/>
          </w:tcPr>
          <w:p w14:paraId="1D3CBDFB" w14:textId="77777777" w:rsidR="00FF0E38" w:rsidRPr="00D01C9A" w:rsidRDefault="00FF0E38">
            <w:pPr>
              <w:keepNext/>
              <w:keepLines/>
              <w:jc w:val="center"/>
              <w:rPr>
                <w:rFonts w:cs="Calibri"/>
                <w:sz w:val="18"/>
                <w:szCs w:val="18"/>
              </w:rPr>
            </w:pPr>
          </w:p>
        </w:tc>
        <w:tc>
          <w:tcPr>
            <w:tcW w:w="1722" w:type="dxa"/>
            <w:vAlign w:val="center"/>
          </w:tcPr>
          <w:p w14:paraId="3E50FCBB" w14:textId="77777777" w:rsidR="00FF0E38" w:rsidRPr="00D01C9A" w:rsidRDefault="00FF0E38">
            <w:pPr>
              <w:keepNext/>
              <w:keepLines/>
              <w:jc w:val="center"/>
              <w:rPr>
                <w:rFonts w:cs="Calibri"/>
                <w:sz w:val="18"/>
                <w:szCs w:val="18"/>
              </w:rPr>
            </w:pPr>
            <w:r w:rsidRPr="00D01C9A">
              <w:rPr>
                <w:rFonts w:cs="Calibri"/>
                <w:sz w:val="18"/>
                <w:szCs w:val="18"/>
              </w:rPr>
              <w:t>Commercial</w:t>
            </w:r>
          </w:p>
        </w:tc>
        <w:tc>
          <w:tcPr>
            <w:tcW w:w="1608" w:type="dxa"/>
            <w:vAlign w:val="center"/>
          </w:tcPr>
          <w:p w14:paraId="43FC74C4" w14:textId="77777777" w:rsidR="00FF0E38" w:rsidRPr="00D01C9A" w:rsidRDefault="00FF0E38">
            <w:pPr>
              <w:keepNext/>
              <w:keepLines/>
              <w:jc w:val="center"/>
              <w:rPr>
                <w:rFonts w:cs="Calibri"/>
                <w:sz w:val="18"/>
                <w:szCs w:val="18"/>
              </w:rPr>
            </w:pPr>
            <w:r w:rsidRPr="00D01C9A">
              <w:rPr>
                <w:rFonts w:cs="Calibri"/>
                <w:sz w:val="18"/>
                <w:szCs w:val="18"/>
              </w:rPr>
              <w:t>Industrial</w:t>
            </w:r>
          </w:p>
        </w:tc>
        <w:tc>
          <w:tcPr>
            <w:tcW w:w="1609" w:type="dxa"/>
            <w:vAlign w:val="center"/>
          </w:tcPr>
          <w:p w14:paraId="47184D15" w14:textId="77777777" w:rsidR="00FF0E38" w:rsidRPr="00D01C9A" w:rsidRDefault="00FF0E38">
            <w:pPr>
              <w:keepNext/>
              <w:keepLines/>
              <w:jc w:val="center"/>
              <w:rPr>
                <w:rFonts w:cs="Calibri"/>
                <w:sz w:val="18"/>
                <w:szCs w:val="18"/>
              </w:rPr>
            </w:pPr>
            <w:r w:rsidRPr="00D01C9A">
              <w:rPr>
                <w:rFonts w:cs="Calibri"/>
                <w:sz w:val="18"/>
                <w:szCs w:val="18"/>
              </w:rPr>
              <w:t>Residential</w:t>
            </w:r>
          </w:p>
        </w:tc>
      </w:tr>
      <w:tr w:rsidR="00FF0E38" w:rsidRPr="00D01C9A" w14:paraId="5E637E5C" w14:textId="77777777">
        <w:trPr>
          <w:trHeight w:val="1023"/>
        </w:trPr>
        <w:tc>
          <w:tcPr>
            <w:tcW w:w="3899" w:type="dxa"/>
            <w:vAlign w:val="center"/>
          </w:tcPr>
          <w:p w14:paraId="06459ECE" w14:textId="77777777" w:rsidR="00FF0E38" w:rsidRPr="00D01C9A" w:rsidRDefault="00FF0E38">
            <w:pPr>
              <w:keepNext/>
              <w:keepLines/>
              <w:rPr>
                <w:rFonts w:cs="Calibri"/>
                <w:b/>
                <w:bCs/>
                <w:sz w:val="20"/>
                <w:szCs w:val="20"/>
              </w:rPr>
            </w:pPr>
            <w:r w:rsidRPr="00D01C9A">
              <w:rPr>
                <w:rFonts w:cs="Calibri"/>
                <w:b/>
                <w:bCs/>
                <w:sz w:val="20"/>
                <w:szCs w:val="20"/>
              </w:rPr>
              <w:t>Energy Offset Only</w:t>
            </w:r>
          </w:p>
          <w:p w14:paraId="37E9E9A0" w14:textId="77777777" w:rsidR="00FF0E38" w:rsidRPr="00D01C9A" w:rsidRDefault="00FF0E38">
            <w:pPr>
              <w:keepNext/>
              <w:keepLines/>
              <w:rPr>
                <w:rFonts w:cs="Calibri"/>
                <w:sz w:val="20"/>
                <w:szCs w:val="20"/>
              </w:rPr>
            </w:pPr>
            <w:r w:rsidRPr="00D01C9A">
              <w:rPr>
                <w:rFonts w:cs="Calibri"/>
                <w:sz w:val="20"/>
                <w:szCs w:val="20"/>
              </w:rPr>
              <w:t>Customer systems designed to match usage and reduce grid consumption</w:t>
            </w:r>
          </w:p>
        </w:tc>
        <w:tc>
          <w:tcPr>
            <w:tcW w:w="918" w:type="dxa"/>
            <w:vAlign w:val="center"/>
          </w:tcPr>
          <w:p w14:paraId="23B48016" w14:textId="77777777" w:rsidR="00FF0E38" w:rsidRPr="00D01C9A" w:rsidRDefault="00FF0E38">
            <w:pPr>
              <w:keepNext/>
              <w:keepLines/>
              <w:jc w:val="center"/>
              <w:rPr>
                <w:rFonts w:cs="Calibri"/>
                <w:sz w:val="20"/>
                <w:szCs w:val="20"/>
              </w:rPr>
            </w:pPr>
            <w:r w:rsidRPr="00D01C9A">
              <w:rPr>
                <w:rFonts w:cs="Calibri"/>
                <w:sz w:val="20"/>
                <w:szCs w:val="20"/>
              </w:rPr>
              <w:t>BTM</w:t>
            </w:r>
          </w:p>
        </w:tc>
        <w:tc>
          <w:tcPr>
            <w:tcW w:w="1722" w:type="dxa"/>
            <w:vAlign w:val="center"/>
          </w:tcPr>
          <w:p w14:paraId="7C54AAB0" w14:textId="77777777" w:rsidR="005E1EA0" w:rsidRDefault="00B6763E">
            <w:pPr>
              <w:keepNext/>
              <w:keepLines/>
              <w:jc w:val="center"/>
              <w:rPr>
                <w:rFonts w:cs="Calibri"/>
                <w:sz w:val="20"/>
                <w:szCs w:val="20"/>
              </w:rPr>
            </w:pPr>
            <w:r>
              <w:rPr>
                <w:rFonts w:cs="Calibri"/>
                <w:sz w:val="20"/>
                <w:szCs w:val="20"/>
              </w:rPr>
              <w:t>194</w:t>
            </w:r>
          </w:p>
          <w:p w14:paraId="1B402D6C" w14:textId="7CAFB8E2" w:rsidR="00FF0E38" w:rsidRPr="00D01C9A" w:rsidRDefault="00B6763E">
            <w:pPr>
              <w:keepNext/>
              <w:keepLines/>
              <w:jc w:val="center"/>
              <w:rPr>
                <w:rFonts w:cs="Calibri"/>
                <w:sz w:val="20"/>
                <w:szCs w:val="20"/>
              </w:rPr>
            </w:pPr>
            <w:r>
              <w:rPr>
                <w:rFonts w:cs="Calibri"/>
                <w:sz w:val="20"/>
                <w:szCs w:val="20"/>
              </w:rPr>
              <w:t>16.21</w:t>
            </w:r>
            <w:r w:rsidR="00FF0E38" w:rsidRPr="00D01C9A">
              <w:rPr>
                <w:rFonts w:cs="Calibri"/>
                <w:sz w:val="20"/>
                <w:szCs w:val="20"/>
              </w:rPr>
              <w:t xml:space="preserve"> MW</w:t>
            </w:r>
          </w:p>
        </w:tc>
        <w:tc>
          <w:tcPr>
            <w:tcW w:w="1608" w:type="dxa"/>
            <w:vAlign w:val="center"/>
          </w:tcPr>
          <w:p w14:paraId="081B53B1" w14:textId="77777777" w:rsidR="00FF0E38" w:rsidRDefault="00FF0E38">
            <w:pPr>
              <w:keepNext/>
              <w:keepLines/>
              <w:jc w:val="center"/>
              <w:rPr>
                <w:rFonts w:cs="Calibri"/>
                <w:sz w:val="20"/>
                <w:szCs w:val="20"/>
              </w:rPr>
            </w:pPr>
            <w:r>
              <w:rPr>
                <w:rFonts w:cs="Calibri"/>
                <w:sz w:val="20"/>
                <w:szCs w:val="20"/>
              </w:rPr>
              <w:t>17</w:t>
            </w:r>
          </w:p>
          <w:p w14:paraId="1B665D68" w14:textId="253FF9B0" w:rsidR="00FF0E38" w:rsidRPr="00D01C9A" w:rsidRDefault="00463A27">
            <w:pPr>
              <w:keepNext/>
              <w:keepLines/>
              <w:jc w:val="center"/>
              <w:rPr>
                <w:rFonts w:cs="Calibri"/>
                <w:sz w:val="20"/>
                <w:szCs w:val="20"/>
              </w:rPr>
            </w:pPr>
            <w:r>
              <w:rPr>
                <w:rFonts w:cs="Calibri"/>
                <w:sz w:val="20"/>
                <w:szCs w:val="20"/>
              </w:rPr>
              <w:t>3.23</w:t>
            </w:r>
            <w:r w:rsidR="001E7FD2">
              <w:rPr>
                <w:rFonts w:cs="Calibri"/>
                <w:sz w:val="20"/>
                <w:szCs w:val="20"/>
              </w:rPr>
              <w:t xml:space="preserve"> </w:t>
            </w:r>
            <w:r w:rsidR="00FF0E38" w:rsidRPr="00D01C9A">
              <w:rPr>
                <w:rFonts w:cs="Calibri"/>
                <w:sz w:val="20"/>
                <w:szCs w:val="20"/>
              </w:rPr>
              <w:t>MW</w:t>
            </w:r>
          </w:p>
        </w:tc>
        <w:tc>
          <w:tcPr>
            <w:tcW w:w="1609" w:type="dxa"/>
            <w:vAlign w:val="center"/>
          </w:tcPr>
          <w:p w14:paraId="73A356CA" w14:textId="77777777" w:rsidR="00D30AFD" w:rsidRDefault="00463A27">
            <w:pPr>
              <w:keepNext/>
              <w:keepLines/>
              <w:jc w:val="center"/>
              <w:rPr>
                <w:rFonts w:cs="Calibri"/>
                <w:sz w:val="20"/>
                <w:szCs w:val="20"/>
              </w:rPr>
            </w:pPr>
            <w:r>
              <w:rPr>
                <w:rFonts w:cs="Calibri"/>
                <w:sz w:val="20"/>
                <w:szCs w:val="20"/>
              </w:rPr>
              <w:t>887</w:t>
            </w:r>
          </w:p>
          <w:p w14:paraId="23C1D70B" w14:textId="0C8C0B8A" w:rsidR="00FF0E38" w:rsidRPr="00D01C9A" w:rsidRDefault="00B31E48">
            <w:pPr>
              <w:keepNext/>
              <w:keepLines/>
              <w:jc w:val="center"/>
              <w:rPr>
                <w:rFonts w:cs="Calibri"/>
                <w:sz w:val="20"/>
                <w:szCs w:val="20"/>
              </w:rPr>
            </w:pPr>
            <w:r>
              <w:rPr>
                <w:rFonts w:cs="Calibri"/>
                <w:sz w:val="20"/>
                <w:szCs w:val="20"/>
              </w:rPr>
              <w:t>6.37</w:t>
            </w:r>
            <w:r w:rsidR="00FF0E38" w:rsidRPr="00D01C9A">
              <w:rPr>
                <w:rFonts w:cs="Calibri"/>
                <w:sz w:val="20"/>
                <w:szCs w:val="20"/>
              </w:rPr>
              <w:t xml:space="preserve"> MW</w:t>
            </w:r>
          </w:p>
        </w:tc>
      </w:tr>
      <w:tr w:rsidR="00FF0E38" w:rsidRPr="00D01C9A" w14:paraId="77874E74" w14:textId="77777777">
        <w:trPr>
          <w:trHeight w:val="666"/>
        </w:trPr>
        <w:tc>
          <w:tcPr>
            <w:tcW w:w="3899" w:type="dxa"/>
            <w:vAlign w:val="center"/>
          </w:tcPr>
          <w:p w14:paraId="29F3868F" w14:textId="77777777" w:rsidR="00FF0E38" w:rsidRPr="00D01C9A" w:rsidRDefault="00FF0E38">
            <w:pPr>
              <w:keepNext/>
              <w:keepLines/>
              <w:rPr>
                <w:rFonts w:cs="Calibri"/>
                <w:b/>
                <w:bCs/>
                <w:sz w:val="20"/>
                <w:szCs w:val="20"/>
              </w:rPr>
            </w:pPr>
            <w:r w:rsidRPr="00D01C9A">
              <w:rPr>
                <w:rFonts w:cs="Calibri"/>
                <w:b/>
                <w:bCs/>
                <w:sz w:val="20"/>
                <w:szCs w:val="20"/>
              </w:rPr>
              <w:t>Renewable &amp; Non</w:t>
            </w:r>
            <w:r>
              <w:rPr>
                <w:rFonts w:cs="Calibri"/>
                <w:b/>
                <w:bCs/>
                <w:sz w:val="20"/>
                <w:szCs w:val="20"/>
              </w:rPr>
              <w:t>-</w:t>
            </w:r>
            <w:r w:rsidRPr="00D01C9A">
              <w:rPr>
                <w:rFonts w:cs="Calibri"/>
                <w:b/>
                <w:bCs/>
                <w:sz w:val="20"/>
                <w:szCs w:val="20"/>
              </w:rPr>
              <w:t>Renewable Resources</w:t>
            </w:r>
          </w:p>
          <w:p w14:paraId="7E7DEE71" w14:textId="77777777" w:rsidR="00FF0E38" w:rsidRPr="00D01C9A" w:rsidRDefault="00FF0E38">
            <w:pPr>
              <w:keepNext/>
              <w:keepLines/>
              <w:rPr>
                <w:rFonts w:cs="Calibri"/>
                <w:sz w:val="20"/>
                <w:szCs w:val="20"/>
              </w:rPr>
            </w:pPr>
            <w:r w:rsidRPr="00D01C9A">
              <w:rPr>
                <w:rFonts w:cs="Calibri"/>
                <w:sz w:val="20"/>
                <w:szCs w:val="20"/>
              </w:rPr>
              <w:t>Customer systems designed to reduce consumption and send excess back to the grid</w:t>
            </w:r>
          </w:p>
        </w:tc>
        <w:tc>
          <w:tcPr>
            <w:tcW w:w="918" w:type="dxa"/>
            <w:vAlign w:val="center"/>
          </w:tcPr>
          <w:p w14:paraId="403164BB" w14:textId="77777777" w:rsidR="00FF0E38" w:rsidRPr="00D01C9A" w:rsidRDefault="00FF0E38">
            <w:pPr>
              <w:keepNext/>
              <w:keepLines/>
              <w:jc w:val="center"/>
              <w:rPr>
                <w:rFonts w:cs="Calibri"/>
                <w:sz w:val="20"/>
                <w:szCs w:val="20"/>
              </w:rPr>
            </w:pPr>
            <w:r w:rsidRPr="00D01C9A">
              <w:rPr>
                <w:rFonts w:cs="Calibri"/>
                <w:sz w:val="20"/>
                <w:szCs w:val="20"/>
              </w:rPr>
              <w:t>BTM</w:t>
            </w:r>
          </w:p>
        </w:tc>
        <w:tc>
          <w:tcPr>
            <w:tcW w:w="1722" w:type="dxa"/>
            <w:vAlign w:val="center"/>
          </w:tcPr>
          <w:p w14:paraId="4FDA62D8" w14:textId="77777777" w:rsidR="00FE0800" w:rsidRDefault="00B31E48">
            <w:pPr>
              <w:keepNext/>
              <w:keepLines/>
              <w:jc w:val="center"/>
              <w:rPr>
                <w:rFonts w:cs="Calibri"/>
                <w:sz w:val="20"/>
                <w:szCs w:val="20"/>
              </w:rPr>
            </w:pPr>
            <w:r>
              <w:rPr>
                <w:rFonts w:cs="Calibri"/>
                <w:sz w:val="20"/>
                <w:szCs w:val="20"/>
              </w:rPr>
              <w:t>480</w:t>
            </w:r>
          </w:p>
          <w:p w14:paraId="00F024AE" w14:textId="0E6EE881" w:rsidR="00FF0E38" w:rsidRPr="00D01C9A" w:rsidRDefault="00372E9C">
            <w:pPr>
              <w:keepNext/>
              <w:keepLines/>
              <w:jc w:val="center"/>
              <w:rPr>
                <w:rFonts w:cs="Calibri"/>
                <w:sz w:val="20"/>
                <w:szCs w:val="20"/>
              </w:rPr>
            </w:pPr>
            <w:r>
              <w:rPr>
                <w:rFonts w:cs="Calibri"/>
                <w:sz w:val="20"/>
                <w:szCs w:val="20"/>
              </w:rPr>
              <w:t>22.</w:t>
            </w:r>
            <w:r w:rsidR="00B31E48">
              <w:rPr>
                <w:rFonts w:cs="Calibri"/>
                <w:sz w:val="20"/>
                <w:szCs w:val="20"/>
              </w:rPr>
              <w:t>73</w:t>
            </w:r>
            <w:r w:rsidR="00FF0E38" w:rsidRPr="00D01C9A">
              <w:rPr>
                <w:rFonts w:cs="Calibri"/>
                <w:sz w:val="20"/>
                <w:szCs w:val="20"/>
              </w:rPr>
              <w:t xml:space="preserve"> MW</w:t>
            </w:r>
          </w:p>
        </w:tc>
        <w:tc>
          <w:tcPr>
            <w:tcW w:w="1608" w:type="dxa"/>
            <w:vAlign w:val="center"/>
          </w:tcPr>
          <w:p w14:paraId="17BBCC74" w14:textId="63B4C218" w:rsidR="00FF0E38" w:rsidRDefault="00B31E48">
            <w:pPr>
              <w:keepNext/>
              <w:keepLines/>
              <w:jc w:val="center"/>
              <w:rPr>
                <w:rFonts w:cs="Calibri"/>
                <w:sz w:val="20"/>
                <w:szCs w:val="20"/>
              </w:rPr>
            </w:pPr>
            <w:r>
              <w:rPr>
                <w:rFonts w:cs="Calibri"/>
                <w:sz w:val="20"/>
                <w:szCs w:val="20"/>
              </w:rPr>
              <w:t>37</w:t>
            </w:r>
          </w:p>
          <w:p w14:paraId="1A9F3C2F" w14:textId="7BADE86D" w:rsidR="00FF0E38" w:rsidRPr="00D01C9A" w:rsidRDefault="00372E9C">
            <w:pPr>
              <w:keepNext/>
              <w:keepLines/>
              <w:jc w:val="center"/>
              <w:rPr>
                <w:rFonts w:cs="Calibri"/>
                <w:sz w:val="20"/>
                <w:szCs w:val="20"/>
              </w:rPr>
            </w:pPr>
            <w:r>
              <w:rPr>
                <w:rFonts w:cs="Calibri"/>
                <w:sz w:val="20"/>
                <w:szCs w:val="20"/>
              </w:rPr>
              <w:t>3.63</w:t>
            </w:r>
            <w:r w:rsidR="00FF0E38" w:rsidRPr="00D01C9A">
              <w:rPr>
                <w:rFonts w:cs="Calibri"/>
                <w:sz w:val="20"/>
                <w:szCs w:val="20"/>
              </w:rPr>
              <w:t>MW</w:t>
            </w:r>
          </w:p>
        </w:tc>
        <w:tc>
          <w:tcPr>
            <w:tcW w:w="1609" w:type="dxa"/>
            <w:vAlign w:val="center"/>
          </w:tcPr>
          <w:p w14:paraId="69D4A556" w14:textId="41A3082C" w:rsidR="00FF0E38" w:rsidRDefault="00DC70EB">
            <w:pPr>
              <w:keepNext/>
              <w:keepLines/>
              <w:jc w:val="center"/>
              <w:rPr>
                <w:rFonts w:cs="Calibri"/>
                <w:sz w:val="20"/>
                <w:szCs w:val="20"/>
              </w:rPr>
            </w:pPr>
            <w:r>
              <w:rPr>
                <w:rFonts w:cs="Calibri"/>
                <w:sz w:val="20"/>
                <w:szCs w:val="20"/>
              </w:rPr>
              <w:t>11</w:t>
            </w:r>
            <w:r w:rsidR="00B010C2">
              <w:rPr>
                <w:rFonts w:cs="Calibri"/>
                <w:sz w:val="20"/>
                <w:szCs w:val="20"/>
              </w:rPr>
              <w:t>,249</w:t>
            </w:r>
          </w:p>
          <w:p w14:paraId="1DD7B6AA" w14:textId="58E19B38" w:rsidR="00FF0E38" w:rsidRPr="00D01C9A" w:rsidRDefault="00B010C2">
            <w:pPr>
              <w:keepNext/>
              <w:keepLines/>
              <w:jc w:val="center"/>
              <w:rPr>
                <w:rFonts w:cs="Calibri"/>
                <w:sz w:val="20"/>
                <w:szCs w:val="20"/>
              </w:rPr>
            </w:pPr>
            <w:r>
              <w:rPr>
                <w:rFonts w:cs="Calibri"/>
                <w:sz w:val="20"/>
                <w:szCs w:val="20"/>
              </w:rPr>
              <w:t>73.63</w:t>
            </w:r>
            <w:r w:rsidR="00FF0E38" w:rsidRPr="00D01C9A">
              <w:rPr>
                <w:rFonts w:cs="Calibri"/>
                <w:sz w:val="20"/>
                <w:szCs w:val="20"/>
              </w:rPr>
              <w:t xml:space="preserve"> MW</w:t>
            </w:r>
          </w:p>
        </w:tc>
      </w:tr>
      <w:tr w:rsidR="00FF0E38" w:rsidRPr="00D01C9A" w14:paraId="57567382" w14:textId="77777777">
        <w:trPr>
          <w:trHeight w:val="705"/>
        </w:trPr>
        <w:tc>
          <w:tcPr>
            <w:tcW w:w="3899" w:type="dxa"/>
            <w:vAlign w:val="center"/>
          </w:tcPr>
          <w:p w14:paraId="1CD9A8E9" w14:textId="77777777" w:rsidR="00FF0E38" w:rsidRPr="00D01C9A" w:rsidRDefault="00FF0E38">
            <w:pPr>
              <w:keepNext/>
              <w:keepLines/>
              <w:rPr>
                <w:rFonts w:cs="Calibri"/>
                <w:b/>
                <w:bCs/>
                <w:sz w:val="20"/>
                <w:szCs w:val="20"/>
              </w:rPr>
            </w:pPr>
            <w:r w:rsidRPr="00D01C9A">
              <w:rPr>
                <w:rFonts w:cs="Calibri"/>
                <w:b/>
                <w:bCs/>
                <w:sz w:val="20"/>
                <w:szCs w:val="20"/>
              </w:rPr>
              <w:t>Qualifying Facilities</w:t>
            </w:r>
          </w:p>
          <w:p w14:paraId="6531B45B" w14:textId="77777777" w:rsidR="00FF0E38" w:rsidRPr="00D01C9A" w:rsidRDefault="00FF0E38">
            <w:pPr>
              <w:keepNext/>
              <w:keepLines/>
              <w:rPr>
                <w:rFonts w:cs="Calibri"/>
                <w:sz w:val="20"/>
                <w:szCs w:val="20"/>
              </w:rPr>
            </w:pPr>
            <w:r w:rsidRPr="00D01C9A">
              <w:rPr>
                <w:rFonts w:cs="Calibri"/>
                <w:sz w:val="20"/>
                <w:szCs w:val="20"/>
              </w:rPr>
              <w:t>Customer or IPP systems designed to either:</w:t>
            </w:r>
          </w:p>
          <w:p w14:paraId="3EE0EC5D" w14:textId="627354DE" w:rsidR="00FF0E38" w:rsidRPr="00D01C9A" w:rsidRDefault="009317BA">
            <w:pPr>
              <w:keepNext/>
              <w:keepLines/>
              <w:numPr>
                <w:ilvl w:val="0"/>
                <w:numId w:val="37"/>
              </w:numPr>
              <w:ind w:left="180" w:hanging="180"/>
              <w:contextualSpacing/>
              <w:rPr>
                <w:rFonts w:cs="Calibri"/>
                <w:sz w:val="20"/>
                <w:szCs w:val="20"/>
              </w:rPr>
            </w:pPr>
            <w:r>
              <w:rPr>
                <w:rFonts w:cs="Calibri"/>
                <w:sz w:val="20"/>
                <w:szCs w:val="20"/>
              </w:rPr>
              <w:t>R</w:t>
            </w:r>
            <w:r w:rsidR="00FF0E38" w:rsidRPr="00D01C9A">
              <w:rPr>
                <w:rFonts w:cs="Calibri"/>
                <w:sz w:val="20"/>
                <w:szCs w:val="20"/>
              </w:rPr>
              <w:t>educe consumption and send excess back to the grid</w:t>
            </w:r>
          </w:p>
          <w:p w14:paraId="55D87570" w14:textId="7D8BB032" w:rsidR="00FF0E38" w:rsidRPr="00D01C9A" w:rsidRDefault="009317BA">
            <w:pPr>
              <w:keepNext/>
              <w:keepLines/>
              <w:numPr>
                <w:ilvl w:val="0"/>
                <w:numId w:val="37"/>
              </w:numPr>
              <w:ind w:left="180" w:hanging="180"/>
              <w:contextualSpacing/>
              <w:rPr>
                <w:rFonts w:cs="Calibri"/>
                <w:sz w:val="20"/>
                <w:szCs w:val="20"/>
              </w:rPr>
            </w:pPr>
            <w:r>
              <w:rPr>
                <w:rFonts w:cs="Calibri"/>
                <w:sz w:val="20"/>
                <w:szCs w:val="20"/>
              </w:rPr>
              <w:t>R</w:t>
            </w:r>
            <w:r w:rsidR="00FF0E38" w:rsidRPr="00D01C9A">
              <w:rPr>
                <w:rFonts w:cs="Calibri"/>
                <w:sz w:val="20"/>
                <w:szCs w:val="20"/>
              </w:rPr>
              <w:t xml:space="preserve">eceive compensation for generation to </w:t>
            </w:r>
            <w:r w:rsidR="00FF0E38">
              <w:rPr>
                <w:rFonts w:cs="Calibri"/>
                <w:sz w:val="20"/>
                <w:szCs w:val="20"/>
              </w:rPr>
              <w:t xml:space="preserve">the grid </w:t>
            </w:r>
          </w:p>
        </w:tc>
        <w:tc>
          <w:tcPr>
            <w:tcW w:w="918" w:type="dxa"/>
            <w:vAlign w:val="center"/>
          </w:tcPr>
          <w:p w14:paraId="6C1E38BB" w14:textId="77777777" w:rsidR="00FF0E38" w:rsidRPr="00D01C9A" w:rsidRDefault="00FF0E38">
            <w:pPr>
              <w:keepNext/>
              <w:keepLines/>
              <w:jc w:val="center"/>
              <w:rPr>
                <w:rFonts w:cs="Calibri"/>
                <w:sz w:val="20"/>
                <w:szCs w:val="20"/>
              </w:rPr>
            </w:pPr>
            <w:r w:rsidRPr="00D01C9A">
              <w:rPr>
                <w:rFonts w:cs="Calibri"/>
                <w:sz w:val="20"/>
                <w:szCs w:val="20"/>
              </w:rPr>
              <w:t>BTM or FTM</w:t>
            </w:r>
          </w:p>
        </w:tc>
        <w:tc>
          <w:tcPr>
            <w:tcW w:w="1722" w:type="dxa"/>
            <w:vAlign w:val="center"/>
          </w:tcPr>
          <w:p w14:paraId="5E733F1D" w14:textId="77777777" w:rsidR="00FF0E38" w:rsidRDefault="00FF0E38">
            <w:pPr>
              <w:keepNext/>
              <w:keepLines/>
              <w:jc w:val="center"/>
              <w:rPr>
                <w:rFonts w:cs="Calibri"/>
                <w:sz w:val="20"/>
                <w:szCs w:val="20"/>
              </w:rPr>
            </w:pPr>
            <w:r>
              <w:rPr>
                <w:rFonts w:cs="Calibri"/>
                <w:sz w:val="20"/>
                <w:szCs w:val="20"/>
              </w:rPr>
              <w:t>6</w:t>
            </w:r>
          </w:p>
          <w:p w14:paraId="06492C02" w14:textId="1C41FB47" w:rsidR="00FF0E38" w:rsidRPr="00D01C9A" w:rsidRDefault="00FF0E38">
            <w:pPr>
              <w:keepNext/>
              <w:keepLines/>
              <w:jc w:val="center"/>
              <w:rPr>
                <w:rFonts w:cs="Calibri"/>
                <w:sz w:val="20"/>
                <w:szCs w:val="20"/>
              </w:rPr>
            </w:pPr>
            <w:r w:rsidRPr="00D01C9A">
              <w:rPr>
                <w:rFonts w:cs="Calibri"/>
                <w:sz w:val="20"/>
                <w:szCs w:val="20"/>
              </w:rPr>
              <w:t>5.8</w:t>
            </w:r>
            <w:r w:rsidR="00B010C2">
              <w:rPr>
                <w:rFonts w:cs="Calibri"/>
                <w:sz w:val="20"/>
                <w:szCs w:val="20"/>
              </w:rPr>
              <w:t>4</w:t>
            </w:r>
            <w:r w:rsidRPr="00D01C9A">
              <w:rPr>
                <w:rFonts w:cs="Calibri"/>
                <w:sz w:val="20"/>
                <w:szCs w:val="20"/>
              </w:rPr>
              <w:t xml:space="preserve"> MW</w:t>
            </w:r>
          </w:p>
        </w:tc>
        <w:tc>
          <w:tcPr>
            <w:tcW w:w="1608" w:type="dxa"/>
            <w:vAlign w:val="center"/>
          </w:tcPr>
          <w:p w14:paraId="4029EE7E" w14:textId="504F909A" w:rsidR="00FF0E38" w:rsidRDefault="381D69EF">
            <w:pPr>
              <w:keepNext/>
              <w:keepLines/>
              <w:jc w:val="center"/>
              <w:rPr>
                <w:rFonts w:cs="Calibri"/>
                <w:sz w:val="20"/>
                <w:szCs w:val="20"/>
              </w:rPr>
            </w:pPr>
            <w:r w:rsidRPr="6446B951">
              <w:rPr>
                <w:rFonts w:cs="Calibri"/>
                <w:sz w:val="20"/>
                <w:szCs w:val="20"/>
              </w:rPr>
              <w:t>2</w:t>
            </w:r>
          </w:p>
          <w:p w14:paraId="23AF203B" w14:textId="5D3E5113" w:rsidR="00FF0E38" w:rsidRPr="00D01C9A" w:rsidRDefault="55ECAA69">
            <w:pPr>
              <w:keepNext/>
              <w:keepLines/>
              <w:jc w:val="center"/>
              <w:rPr>
                <w:rFonts w:cs="Calibri"/>
                <w:sz w:val="20"/>
                <w:szCs w:val="20"/>
              </w:rPr>
            </w:pPr>
            <w:r w:rsidRPr="6446B951">
              <w:rPr>
                <w:rFonts w:cs="Calibri"/>
                <w:sz w:val="20"/>
                <w:szCs w:val="20"/>
              </w:rPr>
              <w:t>1</w:t>
            </w:r>
            <w:r w:rsidR="00FF0E38" w:rsidRPr="00D01C9A">
              <w:rPr>
                <w:rFonts w:cs="Calibri"/>
                <w:sz w:val="20"/>
                <w:szCs w:val="20"/>
              </w:rPr>
              <w:t>.14 MW</w:t>
            </w:r>
          </w:p>
        </w:tc>
        <w:tc>
          <w:tcPr>
            <w:tcW w:w="1609" w:type="dxa"/>
            <w:vAlign w:val="center"/>
          </w:tcPr>
          <w:p w14:paraId="107443B7" w14:textId="77777777" w:rsidR="00FF0E38" w:rsidRPr="00D01C9A" w:rsidRDefault="00FF0E38">
            <w:pPr>
              <w:keepNext/>
              <w:keepLines/>
              <w:jc w:val="center"/>
              <w:rPr>
                <w:rFonts w:cs="Calibri"/>
                <w:sz w:val="20"/>
                <w:szCs w:val="20"/>
              </w:rPr>
            </w:pPr>
            <w:r w:rsidRPr="00D01C9A">
              <w:rPr>
                <w:rFonts w:cs="Calibri"/>
                <w:sz w:val="20"/>
                <w:szCs w:val="20"/>
              </w:rPr>
              <w:t>0 MW</w:t>
            </w:r>
          </w:p>
        </w:tc>
      </w:tr>
      <w:tr w:rsidR="00FF0E38" w:rsidRPr="00D01C9A" w14:paraId="0287B08C" w14:textId="77777777">
        <w:trPr>
          <w:trHeight w:val="666"/>
        </w:trPr>
        <w:tc>
          <w:tcPr>
            <w:tcW w:w="3899" w:type="dxa"/>
            <w:vAlign w:val="center"/>
          </w:tcPr>
          <w:p w14:paraId="2A9A2CA0" w14:textId="77777777" w:rsidR="00FF0E38" w:rsidRPr="00D01C9A" w:rsidRDefault="00FF0E38">
            <w:pPr>
              <w:keepNext/>
              <w:keepLines/>
              <w:rPr>
                <w:rFonts w:cs="Calibri"/>
                <w:b/>
                <w:bCs/>
                <w:sz w:val="20"/>
                <w:szCs w:val="20"/>
              </w:rPr>
            </w:pPr>
            <w:r w:rsidRPr="00D01C9A">
              <w:rPr>
                <w:rFonts w:cs="Calibri"/>
                <w:b/>
                <w:bCs/>
                <w:sz w:val="20"/>
                <w:szCs w:val="20"/>
              </w:rPr>
              <w:t>Customer Connected Solar</w:t>
            </w:r>
          </w:p>
          <w:p w14:paraId="77AECD43" w14:textId="77777777" w:rsidR="00FF0E38" w:rsidRPr="00D01C9A" w:rsidRDefault="00FF0E38">
            <w:pPr>
              <w:keepNext/>
              <w:keepLines/>
              <w:rPr>
                <w:rFonts w:cs="Calibri"/>
                <w:sz w:val="20"/>
                <w:szCs w:val="20"/>
              </w:rPr>
            </w:pPr>
            <w:r w:rsidRPr="00D01C9A">
              <w:rPr>
                <w:rFonts w:cs="Calibri"/>
                <w:sz w:val="20"/>
                <w:szCs w:val="20"/>
              </w:rPr>
              <w:t>Systems designed to match usage and reduce grid consumption</w:t>
            </w:r>
          </w:p>
        </w:tc>
        <w:tc>
          <w:tcPr>
            <w:tcW w:w="918" w:type="dxa"/>
            <w:vAlign w:val="center"/>
          </w:tcPr>
          <w:p w14:paraId="08058D10" w14:textId="77777777" w:rsidR="00FF0E38" w:rsidRPr="00D01C9A" w:rsidRDefault="00FF0E38">
            <w:pPr>
              <w:keepNext/>
              <w:keepLines/>
              <w:jc w:val="center"/>
              <w:rPr>
                <w:rFonts w:cs="Calibri"/>
                <w:sz w:val="20"/>
                <w:szCs w:val="20"/>
              </w:rPr>
            </w:pPr>
            <w:r w:rsidRPr="00D01C9A">
              <w:rPr>
                <w:rFonts w:cs="Calibri"/>
                <w:sz w:val="20"/>
                <w:szCs w:val="20"/>
              </w:rPr>
              <w:t>FTM</w:t>
            </w:r>
          </w:p>
        </w:tc>
        <w:tc>
          <w:tcPr>
            <w:tcW w:w="1722" w:type="dxa"/>
            <w:vAlign w:val="center"/>
          </w:tcPr>
          <w:p w14:paraId="58014CE4" w14:textId="77777777" w:rsidR="00FF0E38" w:rsidRDefault="00FF0E38">
            <w:pPr>
              <w:keepNext/>
              <w:keepLines/>
              <w:jc w:val="center"/>
              <w:rPr>
                <w:rFonts w:cs="Calibri"/>
                <w:sz w:val="20"/>
                <w:szCs w:val="20"/>
              </w:rPr>
            </w:pPr>
            <w:r>
              <w:rPr>
                <w:rFonts w:cs="Calibri"/>
                <w:sz w:val="20"/>
                <w:szCs w:val="20"/>
              </w:rPr>
              <w:t>1</w:t>
            </w:r>
          </w:p>
          <w:p w14:paraId="44EFBBDE" w14:textId="77777777" w:rsidR="00FF0E38" w:rsidRPr="00D01C9A" w:rsidRDefault="00FF0E38">
            <w:pPr>
              <w:keepNext/>
              <w:keepLines/>
              <w:jc w:val="center"/>
              <w:rPr>
                <w:rFonts w:cs="Calibri"/>
                <w:sz w:val="20"/>
                <w:szCs w:val="20"/>
              </w:rPr>
            </w:pPr>
            <w:r w:rsidRPr="00D01C9A">
              <w:rPr>
                <w:rFonts w:cs="Calibri"/>
                <w:sz w:val="20"/>
                <w:szCs w:val="20"/>
              </w:rPr>
              <w:t>1</w:t>
            </w:r>
            <w:r>
              <w:rPr>
                <w:rFonts w:cs="Calibri"/>
                <w:sz w:val="20"/>
                <w:szCs w:val="20"/>
              </w:rPr>
              <w:t>.5</w:t>
            </w:r>
            <w:r w:rsidRPr="00D01C9A">
              <w:rPr>
                <w:rFonts w:cs="Calibri"/>
                <w:sz w:val="20"/>
                <w:szCs w:val="20"/>
              </w:rPr>
              <w:t xml:space="preserve"> MW</w:t>
            </w:r>
          </w:p>
        </w:tc>
        <w:tc>
          <w:tcPr>
            <w:tcW w:w="1608" w:type="dxa"/>
            <w:vAlign w:val="center"/>
          </w:tcPr>
          <w:p w14:paraId="3C0702D9" w14:textId="274D7C0C" w:rsidR="00FF0E38" w:rsidRPr="00D01C9A" w:rsidRDefault="003B5547">
            <w:pPr>
              <w:keepNext/>
              <w:keepLines/>
              <w:jc w:val="center"/>
              <w:rPr>
                <w:rFonts w:cs="Calibri"/>
                <w:sz w:val="20"/>
                <w:szCs w:val="20"/>
              </w:rPr>
            </w:pPr>
            <w:r w:rsidRPr="001335D9">
              <w:rPr>
                <w:rFonts w:cs="Calibri"/>
                <w:sz w:val="20"/>
                <w:szCs w:val="20"/>
              </w:rPr>
              <w:t>0 MW</w:t>
            </w:r>
          </w:p>
        </w:tc>
        <w:tc>
          <w:tcPr>
            <w:tcW w:w="1609" w:type="dxa"/>
            <w:vAlign w:val="center"/>
          </w:tcPr>
          <w:p w14:paraId="74051872" w14:textId="629C93ED" w:rsidR="00FF0E38" w:rsidRPr="00D01C9A" w:rsidRDefault="003B5547">
            <w:pPr>
              <w:keepNext/>
              <w:keepLines/>
              <w:jc w:val="center"/>
              <w:rPr>
                <w:rFonts w:cs="Calibri"/>
                <w:sz w:val="20"/>
                <w:szCs w:val="20"/>
              </w:rPr>
            </w:pPr>
            <w:r w:rsidRPr="001335D9">
              <w:rPr>
                <w:rFonts w:cs="Calibri"/>
                <w:sz w:val="20"/>
                <w:szCs w:val="20"/>
              </w:rPr>
              <w:t>0 MW</w:t>
            </w:r>
          </w:p>
        </w:tc>
      </w:tr>
      <w:tr w:rsidR="00FF0E38" w:rsidRPr="00D01C9A" w14:paraId="1FEAF795" w14:textId="77777777">
        <w:trPr>
          <w:trHeight w:val="666"/>
        </w:trPr>
        <w:tc>
          <w:tcPr>
            <w:tcW w:w="3899" w:type="dxa"/>
            <w:vAlign w:val="center"/>
          </w:tcPr>
          <w:p w14:paraId="2A8CAA53" w14:textId="77777777" w:rsidR="00FF0E38" w:rsidRPr="00D01C9A" w:rsidRDefault="00FF0E38">
            <w:pPr>
              <w:keepNext/>
              <w:keepLines/>
              <w:rPr>
                <w:rFonts w:cs="Calibri"/>
                <w:b/>
                <w:bCs/>
                <w:sz w:val="20"/>
                <w:szCs w:val="20"/>
              </w:rPr>
            </w:pPr>
            <w:r>
              <w:rPr>
                <w:rFonts w:cs="Calibri"/>
                <w:b/>
                <w:bCs/>
                <w:sz w:val="20"/>
                <w:szCs w:val="20"/>
              </w:rPr>
              <w:t>Total Customer Participation</w:t>
            </w:r>
          </w:p>
        </w:tc>
        <w:tc>
          <w:tcPr>
            <w:tcW w:w="918" w:type="dxa"/>
            <w:vAlign w:val="center"/>
          </w:tcPr>
          <w:p w14:paraId="716F0639" w14:textId="77777777" w:rsidR="00FF0E38" w:rsidRPr="00D01C9A" w:rsidRDefault="00FF0E38">
            <w:pPr>
              <w:keepNext/>
              <w:keepLines/>
              <w:jc w:val="center"/>
              <w:rPr>
                <w:rFonts w:cs="Calibri"/>
                <w:sz w:val="20"/>
                <w:szCs w:val="20"/>
              </w:rPr>
            </w:pPr>
          </w:p>
        </w:tc>
        <w:tc>
          <w:tcPr>
            <w:tcW w:w="1722" w:type="dxa"/>
            <w:vAlign w:val="center"/>
          </w:tcPr>
          <w:p w14:paraId="4B4EA1E8" w14:textId="2D49CA82" w:rsidR="00FF0E38" w:rsidRPr="004F6E49" w:rsidRDefault="00FF4AB5">
            <w:pPr>
              <w:keepNext/>
              <w:keepLines/>
              <w:jc w:val="center"/>
              <w:rPr>
                <w:rFonts w:cs="Calibri"/>
                <w:b/>
                <w:bCs/>
                <w:sz w:val="20"/>
                <w:szCs w:val="20"/>
              </w:rPr>
            </w:pPr>
            <w:r>
              <w:rPr>
                <w:rFonts w:cs="Calibri"/>
                <w:b/>
                <w:bCs/>
                <w:sz w:val="20"/>
                <w:szCs w:val="20"/>
              </w:rPr>
              <w:t>681</w:t>
            </w:r>
          </w:p>
          <w:p w14:paraId="22A61C06" w14:textId="7B40850C" w:rsidR="00FF0E38" w:rsidRPr="004F6E49" w:rsidRDefault="00556BB2">
            <w:pPr>
              <w:keepNext/>
              <w:keepLines/>
              <w:jc w:val="center"/>
              <w:rPr>
                <w:rFonts w:cs="Calibri"/>
                <w:b/>
                <w:bCs/>
                <w:sz w:val="20"/>
                <w:szCs w:val="20"/>
              </w:rPr>
            </w:pPr>
            <w:r>
              <w:rPr>
                <w:rFonts w:cs="Calibri"/>
                <w:b/>
                <w:bCs/>
                <w:sz w:val="20"/>
                <w:szCs w:val="20"/>
              </w:rPr>
              <w:t>46.28</w:t>
            </w:r>
            <w:r w:rsidR="00FF0E38" w:rsidRPr="004F6E49">
              <w:rPr>
                <w:rFonts w:cs="Calibri"/>
                <w:b/>
                <w:bCs/>
                <w:sz w:val="20"/>
                <w:szCs w:val="20"/>
              </w:rPr>
              <w:t xml:space="preserve"> MW</w:t>
            </w:r>
          </w:p>
        </w:tc>
        <w:tc>
          <w:tcPr>
            <w:tcW w:w="1608" w:type="dxa"/>
            <w:vAlign w:val="center"/>
          </w:tcPr>
          <w:p w14:paraId="598DC461" w14:textId="5606AE9A" w:rsidR="00FF0E38" w:rsidRPr="004F6E49" w:rsidRDefault="04BEBF9C">
            <w:pPr>
              <w:keepNext/>
              <w:keepLines/>
              <w:jc w:val="center"/>
              <w:rPr>
                <w:rFonts w:cs="Calibri"/>
                <w:b/>
                <w:bCs/>
                <w:sz w:val="20"/>
                <w:szCs w:val="20"/>
              </w:rPr>
            </w:pPr>
            <w:r w:rsidRPr="6446B951">
              <w:rPr>
                <w:rFonts w:cs="Calibri"/>
                <w:b/>
                <w:bCs/>
                <w:sz w:val="20"/>
                <w:szCs w:val="20"/>
              </w:rPr>
              <w:t>5</w:t>
            </w:r>
            <w:r w:rsidR="313619F1" w:rsidRPr="6446B951">
              <w:rPr>
                <w:rFonts w:cs="Calibri"/>
                <w:b/>
                <w:bCs/>
                <w:sz w:val="20"/>
                <w:szCs w:val="20"/>
              </w:rPr>
              <w:t>6</w:t>
            </w:r>
          </w:p>
          <w:p w14:paraId="2EB3B1E7" w14:textId="6A1BBA7D" w:rsidR="00FF0E38" w:rsidRPr="004F6E49" w:rsidRDefault="79630330">
            <w:pPr>
              <w:keepNext/>
              <w:keepLines/>
              <w:jc w:val="center"/>
              <w:rPr>
                <w:rFonts w:cs="Calibri"/>
                <w:b/>
                <w:bCs/>
                <w:sz w:val="20"/>
                <w:szCs w:val="20"/>
              </w:rPr>
            </w:pPr>
            <w:r w:rsidRPr="6446B951">
              <w:rPr>
                <w:rFonts w:cs="Calibri"/>
                <w:b/>
                <w:bCs/>
                <w:sz w:val="20"/>
                <w:szCs w:val="20"/>
              </w:rPr>
              <w:t>8</w:t>
            </w:r>
            <w:r w:rsidR="00556BB2">
              <w:rPr>
                <w:rFonts w:cs="Calibri"/>
                <w:b/>
                <w:bCs/>
                <w:sz w:val="20"/>
                <w:szCs w:val="20"/>
              </w:rPr>
              <w:t>.0</w:t>
            </w:r>
            <w:r w:rsidR="00FF0E38" w:rsidRPr="004F6E49">
              <w:rPr>
                <w:rFonts w:cs="Calibri"/>
                <w:b/>
                <w:bCs/>
                <w:sz w:val="20"/>
                <w:szCs w:val="20"/>
              </w:rPr>
              <w:t xml:space="preserve"> MW</w:t>
            </w:r>
          </w:p>
        </w:tc>
        <w:tc>
          <w:tcPr>
            <w:tcW w:w="1609" w:type="dxa"/>
            <w:vAlign w:val="center"/>
          </w:tcPr>
          <w:p w14:paraId="3EBCBDA4" w14:textId="6210DFA2" w:rsidR="00FF0E38" w:rsidRPr="004F6E49" w:rsidRDefault="00556BB2">
            <w:pPr>
              <w:keepNext/>
              <w:keepLines/>
              <w:jc w:val="center"/>
              <w:rPr>
                <w:rFonts w:cs="Calibri"/>
                <w:b/>
                <w:bCs/>
                <w:sz w:val="20"/>
                <w:szCs w:val="20"/>
              </w:rPr>
            </w:pPr>
            <w:r>
              <w:rPr>
                <w:rFonts w:cs="Calibri"/>
                <w:b/>
                <w:bCs/>
                <w:sz w:val="20"/>
                <w:szCs w:val="20"/>
              </w:rPr>
              <w:t>12,136</w:t>
            </w:r>
          </w:p>
          <w:p w14:paraId="69C4046F" w14:textId="395EB201" w:rsidR="00FF0E38" w:rsidRPr="004F6E49" w:rsidRDefault="00556BB2">
            <w:pPr>
              <w:keepNext/>
              <w:keepLines/>
              <w:jc w:val="center"/>
              <w:rPr>
                <w:rFonts w:cs="Calibri"/>
                <w:b/>
                <w:bCs/>
                <w:sz w:val="20"/>
                <w:szCs w:val="20"/>
              </w:rPr>
            </w:pPr>
            <w:r>
              <w:rPr>
                <w:rFonts w:cs="Calibri"/>
                <w:b/>
                <w:bCs/>
                <w:sz w:val="20"/>
                <w:szCs w:val="20"/>
              </w:rPr>
              <w:t>80.0</w:t>
            </w:r>
            <w:r w:rsidR="00FF0E38" w:rsidRPr="004F6E49">
              <w:rPr>
                <w:rFonts w:cs="Calibri"/>
                <w:b/>
                <w:bCs/>
                <w:sz w:val="20"/>
                <w:szCs w:val="20"/>
              </w:rPr>
              <w:t xml:space="preserve"> MW</w:t>
            </w:r>
          </w:p>
        </w:tc>
      </w:tr>
    </w:tbl>
    <w:p w14:paraId="1428E021" w14:textId="77777777" w:rsidR="00FF0E38" w:rsidRDefault="00FF0E38" w:rsidP="00FF0E38">
      <w:pPr>
        <w:spacing w:line="278" w:lineRule="auto"/>
        <w:jc w:val="both"/>
      </w:pPr>
    </w:p>
    <w:p w14:paraId="03369B94" w14:textId="15091103" w:rsidR="004E74AA" w:rsidRDefault="00FF0E38" w:rsidP="00FF0E38">
      <w:pPr>
        <w:spacing w:line="278" w:lineRule="auto"/>
        <w:jc w:val="both"/>
      </w:pPr>
      <w:r>
        <w:t>Solar only resources installed through these programs help customers to meet some of their renewable and/or carbon reduction goals; however, the intermittency of these resources provides little support for customer resiliency requirements</w:t>
      </w:r>
      <w:r w:rsidR="00862A91">
        <w:t xml:space="preserve"> and mi</w:t>
      </w:r>
      <w:r w:rsidR="00B35FF4">
        <w:t xml:space="preserve">nimal </w:t>
      </w:r>
      <w:r w:rsidR="002631DD">
        <w:t xml:space="preserve">capacity </w:t>
      </w:r>
      <w:r w:rsidR="008106EF">
        <w:t>benefit</w:t>
      </w:r>
      <w:r>
        <w:t xml:space="preserve">. </w:t>
      </w:r>
      <w:r w:rsidR="009A3CA8">
        <w:t>C</w:t>
      </w:r>
      <w:r>
        <w:t>ontinued growth of these programs, particularly in the RNR program that compensa</w:t>
      </w:r>
      <w:r w:rsidR="009A3CA8">
        <w:t>tes</w:t>
      </w:r>
      <w:r w:rsidR="0077363E">
        <w:t xml:space="preserve"> customer </w:t>
      </w:r>
      <w:r w:rsidR="002936CB">
        <w:t>generators</w:t>
      </w:r>
      <w:r w:rsidR="0077363E">
        <w:t xml:space="preserve"> for energy pushed back to the grid</w:t>
      </w:r>
      <w:r w:rsidR="00C90FF9">
        <w:t xml:space="preserve"> </w:t>
      </w:r>
      <w:r w:rsidR="00911931">
        <w:t xml:space="preserve">at avoided cost </w:t>
      </w:r>
      <w:r w:rsidR="00262F3C">
        <w:t>plus the</w:t>
      </w:r>
      <w:r>
        <w:t xml:space="preserve"> four cents per kilowatt hour adder creates a cost shift to non-participating customers. For compliance with the Georgia Cogeneration Distributed Generation Act of 2001 and the 2022 IRP and 2022 Rate Case orders, the Company will continue to offer these existing programs, but Georgia Power will </w:t>
      </w:r>
      <w:r w:rsidR="00177FE1">
        <w:t xml:space="preserve">offer new programs to </w:t>
      </w:r>
      <w:r>
        <w:t xml:space="preserve">encourage customers to install Solar Plus Storage customer-sited resources that offer more value to the grid. </w:t>
      </w:r>
    </w:p>
    <w:p w14:paraId="7F2B1306" w14:textId="1400F152" w:rsidR="00FF0E38" w:rsidRDefault="00FF0E38" w:rsidP="00FF0E38">
      <w:pPr>
        <w:spacing w:line="278" w:lineRule="auto"/>
        <w:jc w:val="both"/>
      </w:pPr>
      <w:r>
        <w:t xml:space="preserve">Additionally, as the portfolio of customer-sited generation continues to grow, it will be increasingly important for Georgia Power to work with customers and solar stakeholders to ensure appropriate customer protections are in place, including transparency in program marketing related to costs, incentives and timelines, and quality workmanship to ensure system compliance with the Company DER Policy. Established consumer protection measures, </w:t>
      </w:r>
      <w:r w:rsidR="00A149B3">
        <w:t>like</w:t>
      </w:r>
      <w:r w:rsidR="00F319E1">
        <w:t xml:space="preserve"> those</w:t>
      </w:r>
      <w:r>
        <w:t xml:space="preserve"> supported by the Solar Energy Industries Association</w:t>
      </w:r>
      <w:r w:rsidR="00D55B09">
        <w:t xml:space="preserve"> (“SEIA”)</w:t>
      </w:r>
      <w:r>
        <w:t xml:space="preserve">, will be critical as new programs are introduced that may attract high customer participation and new installers, developers and </w:t>
      </w:r>
      <w:r w:rsidR="396F38C7">
        <w:t>original equipment manufacturers (“</w:t>
      </w:r>
      <w:r>
        <w:t>OEMs</w:t>
      </w:r>
      <w:r w:rsidR="6C902BAD">
        <w:t>”)</w:t>
      </w:r>
      <w:r>
        <w:t xml:space="preserve"> who have less familiarity with Georgia Power’s Rules and Regulations.</w:t>
      </w:r>
      <w:r w:rsidDel="001714F7">
        <w:t xml:space="preserve"> </w:t>
      </w:r>
      <w:r>
        <w:t xml:space="preserve">Georgia Power is </w:t>
      </w:r>
      <w:r>
        <w:lastRenderedPageBreak/>
        <w:t xml:space="preserve">committed to working with the Commission, customers, and the solar industry to ensure appropriate consumer protections are in place as programs are implemented. </w:t>
      </w:r>
    </w:p>
    <w:p w14:paraId="0A285234" w14:textId="0C6FD597" w:rsidR="00EA3E55" w:rsidRPr="00671871" w:rsidRDefault="003B668A" w:rsidP="00EA3E55">
      <w:pPr>
        <w:pStyle w:val="Heading3"/>
        <w:rPr>
          <w:rStyle w:val="Heading4Char"/>
          <w:i/>
          <w:iCs w:val="0"/>
        </w:rPr>
      </w:pPr>
      <w:r w:rsidRPr="00671871">
        <w:rPr>
          <w:rStyle w:val="Heading4Char"/>
          <w:i/>
          <w:iCs w:val="0"/>
        </w:rPr>
        <w:t>10</w:t>
      </w:r>
      <w:r w:rsidR="00EA3E55" w:rsidRPr="00671871">
        <w:rPr>
          <w:rStyle w:val="Heading4Char"/>
          <w:i/>
          <w:iCs w:val="0"/>
        </w:rPr>
        <w:t>.</w:t>
      </w:r>
      <w:r w:rsidRPr="00671871">
        <w:rPr>
          <w:rStyle w:val="Heading4Char"/>
          <w:i/>
          <w:iCs w:val="0"/>
        </w:rPr>
        <w:t>2</w:t>
      </w:r>
      <w:r w:rsidR="00EA3E55" w:rsidRPr="00671871">
        <w:rPr>
          <w:rStyle w:val="Heading4Char"/>
          <w:i/>
          <w:iCs w:val="0"/>
        </w:rPr>
        <w:t>.</w:t>
      </w:r>
      <w:r w:rsidR="008913F2" w:rsidRPr="00671871">
        <w:rPr>
          <w:rStyle w:val="Heading4Char"/>
          <w:i/>
          <w:iCs w:val="0"/>
        </w:rPr>
        <w:t>1</w:t>
      </w:r>
      <w:r w:rsidR="00EA3E55" w:rsidRPr="00671871">
        <w:rPr>
          <w:rStyle w:val="Heading4Char"/>
          <w:i/>
          <w:iCs w:val="0"/>
        </w:rPr>
        <w:t xml:space="preserve"> - Customer-Sited Renewable Generation</w:t>
      </w:r>
    </w:p>
    <w:p w14:paraId="47E6504F" w14:textId="3E397480" w:rsidR="00EA3E55" w:rsidRDefault="00EA3E55" w:rsidP="00EA3E55">
      <w:pPr>
        <w:spacing w:after="0" w:line="278" w:lineRule="auto"/>
        <w:jc w:val="both"/>
      </w:pPr>
      <w:r>
        <w:t>Georgia Power supports the development of customer-sited generation resources</w:t>
      </w:r>
      <w:r w:rsidRPr="00FD13A0">
        <w:t xml:space="preserve"> </w:t>
      </w:r>
      <w:r>
        <w:t>to help meet Georgia’s growing energy needs. As discussed below, in this IRP the Company is proposing a new Customer-Sited Solar Plus Storage Pilot as well as enhancements to the C</w:t>
      </w:r>
      <w:r w:rsidR="003C58D0">
        <w:t>ustomer Connected Solar Program</w:t>
      </w:r>
      <w:r>
        <w:t xml:space="preserve">. </w:t>
      </w:r>
    </w:p>
    <w:p w14:paraId="69A3C21C" w14:textId="77777777" w:rsidR="00EA3E55" w:rsidRDefault="00EA3E55" w:rsidP="00EA3E55">
      <w:pPr>
        <w:spacing w:after="0" w:line="278" w:lineRule="auto"/>
        <w:jc w:val="both"/>
      </w:pPr>
    </w:p>
    <w:p w14:paraId="4A5A9D17" w14:textId="1846D581" w:rsidR="00EA3E55" w:rsidRDefault="00EA3E55" w:rsidP="00EA3E55">
      <w:pPr>
        <w:widowControl w:val="0"/>
        <w:spacing w:after="0" w:line="278" w:lineRule="auto"/>
        <w:jc w:val="both"/>
      </w:pPr>
      <w:r>
        <w:t xml:space="preserve">Since the 2022 IRP, there has been steady growth and adoption of residential, commercial, and industrial customer-sited solar generation. Georgia Power is committed to evaluating </w:t>
      </w:r>
      <w:r w:rsidR="00692921">
        <w:t xml:space="preserve">and </w:t>
      </w:r>
      <w:r w:rsidR="0005310E">
        <w:t xml:space="preserve">modifying </w:t>
      </w:r>
      <w:r>
        <w:t>programs to create additional opportunities for a variety of customer-sited generation resources, including both Behind the Meter (“BTM”) and in Front of the Meter (“FTM”)</w:t>
      </w:r>
      <w:r w:rsidR="0005310E">
        <w:t xml:space="preserve"> </w:t>
      </w:r>
      <w:r w:rsidR="00E30307">
        <w:t>options</w:t>
      </w:r>
      <w:r>
        <w:t>. If procured at economical prices, these resources can supply valuable renewable energy.</w:t>
      </w:r>
      <w:r w:rsidDel="00A408FD">
        <w:t xml:space="preserve"> </w:t>
      </w:r>
      <w:r>
        <w:t>Moreover, the addition of co-located BESS systems can provide capacity and flexibility to support customers’ growing energy needs.</w:t>
      </w:r>
    </w:p>
    <w:p w14:paraId="11494AEF" w14:textId="77777777" w:rsidR="00EA3E55" w:rsidRDefault="00EA3E55" w:rsidP="00EA3E55">
      <w:pPr>
        <w:widowControl w:val="0"/>
        <w:spacing w:before="240" w:after="120" w:line="278" w:lineRule="auto"/>
        <w:jc w:val="both"/>
      </w:pPr>
      <w:r>
        <w:t xml:space="preserve">The Company currently has four programs that facilitate customer-sited solar generation, three of which allow Georgia Power to purchase the excess energy produced by customer-sited resources. </w:t>
      </w:r>
    </w:p>
    <w:p w14:paraId="43CC628E" w14:textId="41A512EF" w:rsidR="00EA3E55" w:rsidRDefault="00EA3E55" w:rsidP="00EA3E55">
      <w:pPr>
        <w:pStyle w:val="ListParagraph"/>
        <w:widowControl w:val="0"/>
        <w:numPr>
          <w:ilvl w:val="0"/>
          <w:numId w:val="41"/>
        </w:numPr>
        <w:spacing w:after="120" w:line="278" w:lineRule="auto"/>
        <w:contextualSpacing w:val="0"/>
        <w:jc w:val="both"/>
      </w:pPr>
      <w:r w:rsidRPr="0094382C">
        <w:rPr>
          <w:b/>
          <w:bCs/>
        </w:rPr>
        <w:t>RNR</w:t>
      </w:r>
      <w:r>
        <w:t xml:space="preserve">. The Renewable and Non-Renewable (“RNR”) Tariff is available for residential customer generators with resources up to 10 kW, and commercial customer generators with resources up to 250 KW. The energy produced from these generators </w:t>
      </w:r>
      <w:r w:rsidR="0034682A">
        <w:t xml:space="preserve">is primarily consumed onsite and </w:t>
      </w:r>
      <w:r>
        <w:t>offsets the purchase of electricity at retail rates for</w:t>
      </w:r>
      <w:r w:rsidDel="00107F7C">
        <w:t xml:space="preserve"> </w:t>
      </w:r>
      <w:r>
        <w:t xml:space="preserve">participating customers. These offsets </w:t>
      </w:r>
      <w:r w:rsidR="00041199">
        <w:t xml:space="preserve">create a loss in revenue greater than </w:t>
      </w:r>
      <w:r w:rsidR="00CE4D19">
        <w:t xml:space="preserve">the resulting </w:t>
      </w:r>
      <w:r w:rsidR="00041199">
        <w:t>system cost savin</w:t>
      </w:r>
      <w:r w:rsidR="00784278">
        <w:t xml:space="preserve">gs, </w:t>
      </w:r>
      <w:r>
        <w:t>result</w:t>
      </w:r>
      <w:r w:rsidR="00784278">
        <w:t>ing</w:t>
      </w:r>
      <w:r>
        <w:t xml:space="preserve"> in a shortfall in the recovery of </w:t>
      </w:r>
      <w:r w:rsidR="007F7822">
        <w:t xml:space="preserve">fixed </w:t>
      </w:r>
      <w:r>
        <w:t>costs from RNR customers on energy-only rates, thereby shifting these costs to other customers. As ordered in the 2022 Rate Case, excess generation from RNR customers is purchased at the Company’s</w:t>
      </w:r>
      <w:r w:rsidDel="00383A3A">
        <w:t xml:space="preserve"> </w:t>
      </w:r>
      <w:r>
        <w:t>solar avoided cost rate plus a four-cent per kilowatt-hour adder</w:t>
      </w:r>
      <w:r w:rsidDel="00F90F1B">
        <w:t xml:space="preserve">, </w:t>
      </w:r>
      <w:r>
        <w:t xml:space="preserve">which further increases costs for non-participating customers. </w:t>
      </w:r>
    </w:p>
    <w:p w14:paraId="12EDB01D" w14:textId="5BDF0E64" w:rsidR="00EA3E55" w:rsidRDefault="00EA3E55" w:rsidP="00EA3E55">
      <w:pPr>
        <w:pStyle w:val="ListParagraph"/>
        <w:widowControl w:val="0"/>
        <w:numPr>
          <w:ilvl w:val="0"/>
          <w:numId w:val="41"/>
        </w:numPr>
        <w:spacing w:after="120" w:line="278" w:lineRule="auto"/>
        <w:contextualSpacing w:val="0"/>
        <w:jc w:val="both"/>
      </w:pPr>
      <w:r w:rsidRPr="0094382C">
        <w:rPr>
          <w:b/>
          <w:bCs/>
        </w:rPr>
        <w:t>Energy Offset Only</w:t>
      </w:r>
      <w:r>
        <w:t>. Customers who do not qualify for the RNR Tariff, or who choose not to participate, can enroll in the Energy Offset Program. Like with RNR, the energy produced by these customer generators is used to offset their purchase of electricity at retail rates. Again, this shifts costs to other customers if the customer generator is billed for retail electric service on an energy-only rate</w:t>
      </w:r>
      <w:r w:rsidR="0030239C">
        <w:t xml:space="preserve"> like the R rate</w:t>
      </w:r>
      <w:r>
        <w:t xml:space="preserve">. However, unlike with RNR, these customer generators are not compensated for any excess energy they export to the electric grid. </w:t>
      </w:r>
    </w:p>
    <w:p w14:paraId="438A09CC" w14:textId="6C9D5178" w:rsidR="00EA3E55" w:rsidRDefault="00EA3E55" w:rsidP="5330674C">
      <w:pPr>
        <w:pStyle w:val="ListParagraph"/>
        <w:widowControl w:val="0"/>
        <w:numPr>
          <w:ilvl w:val="0"/>
          <w:numId w:val="41"/>
        </w:numPr>
        <w:spacing w:after="120" w:line="278" w:lineRule="auto"/>
        <w:jc w:val="both"/>
      </w:pPr>
      <w:r w:rsidRPr="0094382C">
        <w:rPr>
          <w:b/>
          <w:bCs/>
        </w:rPr>
        <w:t>Qualifying Facilities</w:t>
      </w:r>
      <w:r>
        <w:t xml:space="preserve">. Larger customer generators above </w:t>
      </w:r>
      <w:r w:rsidR="0A587DA2">
        <w:t xml:space="preserve">the </w:t>
      </w:r>
      <w:r>
        <w:t xml:space="preserve">250 </w:t>
      </w:r>
      <w:r w:rsidR="77C69F5E">
        <w:t>k</w:t>
      </w:r>
      <w:r w:rsidR="3436E0B5">
        <w:t xml:space="preserve">W </w:t>
      </w:r>
      <w:r w:rsidR="00755C7F">
        <w:t xml:space="preserve">RNR threshold </w:t>
      </w:r>
      <w:r>
        <w:t xml:space="preserve">may produce energy </w:t>
      </w:r>
      <w:r w:rsidR="0030239C">
        <w:t xml:space="preserve">and be compensated </w:t>
      </w:r>
      <w:r>
        <w:t>as a Qualifying Facility (“QF”)</w:t>
      </w:r>
      <w:r w:rsidR="006A7BEB">
        <w:t>.</w:t>
      </w:r>
      <w:r>
        <w:t xml:space="preserve"> In practice, these customers consume most of the energy they produce</w:t>
      </w:r>
      <w:r w:rsidR="0030239C">
        <w:t xml:space="preserve"> onsite</w:t>
      </w:r>
      <w:r>
        <w:t xml:space="preserve">. </w:t>
      </w:r>
      <w:r w:rsidR="006A7BEB">
        <w:t>These customer generators</w:t>
      </w:r>
      <w:r>
        <w:t xml:space="preserve"> are compensated for energy they export to the electric grid at the Company’s hourly avoided cost rate. </w:t>
      </w:r>
    </w:p>
    <w:p w14:paraId="21A6B8F8" w14:textId="1B256A4D" w:rsidR="00EA3E55" w:rsidRDefault="00EA3E55" w:rsidP="00A32467">
      <w:pPr>
        <w:pStyle w:val="ListParagraph"/>
        <w:keepNext/>
        <w:keepLines/>
        <w:numPr>
          <w:ilvl w:val="0"/>
          <w:numId w:val="41"/>
        </w:numPr>
        <w:spacing w:before="120" w:after="120" w:line="278" w:lineRule="auto"/>
        <w:contextualSpacing w:val="0"/>
        <w:jc w:val="both"/>
      </w:pPr>
      <w:r w:rsidRPr="00E02A55">
        <w:rPr>
          <w:b/>
          <w:bCs/>
        </w:rPr>
        <w:lastRenderedPageBreak/>
        <w:t>Customer Connected Solar Program</w:t>
      </w:r>
      <w:r>
        <w:t xml:space="preserve">. Customer </w:t>
      </w:r>
      <w:r w:rsidR="00695C6C">
        <w:t xml:space="preserve">solar </w:t>
      </w:r>
      <w:r>
        <w:t>generators</w:t>
      </w:r>
      <w:r w:rsidR="006A7BEB">
        <w:t xml:space="preserve"> </w:t>
      </w:r>
      <w:r>
        <w:t>under 3 MW can participate in the CCSP, which is a FTM</w:t>
      </w:r>
      <w:r w:rsidDel="009F0AC1">
        <w:t xml:space="preserve"> </w:t>
      </w:r>
      <w:r>
        <w:t xml:space="preserve">program that compensates customers at a fixed price over a term of up to </w:t>
      </w:r>
      <w:r w:rsidRPr="00116304">
        <w:t>20</w:t>
      </w:r>
      <w:r>
        <w:t xml:space="preserve"> years for all the renewable energy generate</w:t>
      </w:r>
      <w:r w:rsidR="00695C6C">
        <w:t>d</w:t>
      </w:r>
      <w:r>
        <w:t xml:space="preserve">. </w:t>
      </w:r>
    </w:p>
    <w:p w14:paraId="1412BE1D" w14:textId="0859117D" w:rsidR="00EA3E55" w:rsidRDefault="00EA3E55" w:rsidP="00EA3E55">
      <w:pPr>
        <w:spacing w:before="120" w:after="120" w:line="278" w:lineRule="auto"/>
        <w:jc w:val="both"/>
      </w:pPr>
      <w:r>
        <w:t xml:space="preserve">Georgia Power continues to evaluate the costs and benefits of procuring the energy produced by customer generators, including the impacts to </w:t>
      </w:r>
      <w:r w:rsidR="003C36D4">
        <w:t>S</w:t>
      </w:r>
      <w:r>
        <w:t xml:space="preserve">ystem reliability and operations, interconnection costs and recovery of the costs to serve. Although </w:t>
      </w:r>
      <w:r w:rsidR="006F7E0E">
        <w:t>solar</w:t>
      </w:r>
      <w:r>
        <w:t xml:space="preserve"> resources provide valuable energy, the intermittency of </w:t>
      </w:r>
      <w:r w:rsidR="006F7E0E">
        <w:t>these</w:t>
      </w:r>
      <w:r>
        <w:t xml:space="preserve"> resources </w:t>
      </w:r>
      <w:r w:rsidR="00FC0017">
        <w:t>limits</w:t>
      </w:r>
      <w:r>
        <w:t xml:space="preserve"> their capacity value. The largest procurement of energy from customer-sited resources comes from residential solar installations, which are compensated </w:t>
      </w:r>
      <w:r w:rsidR="006F7E0E">
        <w:t xml:space="preserve">at prices </w:t>
      </w:r>
      <w:r>
        <w:t>above the value these resources deliver. To continue responsibly growing the portfolio of customer-sited</w:t>
      </w:r>
      <w:r w:rsidDel="002D6443">
        <w:t xml:space="preserve"> </w:t>
      </w:r>
      <w:r>
        <w:t xml:space="preserve">solar generation the Company must compensate customer generators based on the actual value of their generation. The Company must also </w:t>
      </w:r>
      <w:r w:rsidR="2E867B5E">
        <w:t>con</w:t>
      </w:r>
      <w:r>
        <w:t>t</w:t>
      </w:r>
      <w:r w:rsidR="2E867B5E">
        <w:t>inue</w:t>
      </w:r>
      <w:r>
        <w:t xml:space="preserve"> to monitor these resources and maintain optimal levels of operational control and reliability for the electric system. Notably, when coupled with dispatchable BESS, customer-sited renewable generation can provide additional capacity benefits to the electric system.</w:t>
      </w:r>
      <w:r w:rsidDel="00C75A6B">
        <w:t xml:space="preserve"> </w:t>
      </w:r>
      <w:r>
        <w:t>Enhanced operational oversight and control of customer-sited generators with BESS will allow Georgia Power to better quantify the costs and benefits of these resources to the electric system.</w:t>
      </w:r>
    </w:p>
    <w:p w14:paraId="2E1424F8" w14:textId="5DA65713" w:rsidR="00EA3E55" w:rsidRDefault="00EA3E55" w:rsidP="00EA3E55">
      <w:pPr>
        <w:spacing w:before="120" w:after="120" w:line="278" w:lineRule="auto"/>
        <w:jc w:val="both"/>
      </w:pPr>
      <w:r>
        <w:t>As discussed in Section 10</w:t>
      </w:r>
      <w:r w:rsidRPr="003B5FA1">
        <w:t>.3</w:t>
      </w:r>
      <w:r>
        <w:t xml:space="preserve">, the integration of DERMS will help maximize the benefits of customer-sited solar generation by enhancing the Company’s operational </w:t>
      </w:r>
      <w:r w:rsidR="001C04D5">
        <w:t>oversight, and s</w:t>
      </w:r>
      <w:r>
        <w:t xml:space="preserve">ystems paired with BESS deliver the most value. Notably, only approximately </w:t>
      </w:r>
      <w:r w:rsidRPr="00283518">
        <w:t>1</w:t>
      </w:r>
      <w:r w:rsidR="623B012E" w:rsidRPr="00283518">
        <w:t>7</w:t>
      </w:r>
      <w:r w:rsidRPr="00283518">
        <w:t>%</w:t>
      </w:r>
      <w:r>
        <w:t xml:space="preserve"> of customer-sited solar generation participating in a Georgia Power program include a BESS. Although customer adoption of solar plus storage is increasing, particularly in the residential market, the majority of customer generators remain solar-only resources. In this IRP, the Company proposes to offer a new portfolio of solar plus storage options for customer generators. These options are designed to encourage BESS-coupled systems, to minimize cost shifts associated to customer generation to non-participating customers, and to appropriately compensate customer generators for the value they deliver to the electric system.</w:t>
      </w:r>
    </w:p>
    <w:p w14:paraId="4FB68E91" w14:textId="24912430" w:rsidR="00EA3E55" w:rsidRPr="00E0250B" w:rsidRDefault="00EA3E55" w:rsidP="00EA3E55">
      <w:pPr>
        <w:keepNext/>
        <w:keepLines/>
        <w:spacing w:before="240" w:after="240" w:line="278" w:lineRule="auto"/>
        <w:jc w:val="both"/>
        <w:rPr>
          <w:rStyle w:val="Heading4Char"/>
          <w:i w:val="0"/>
        </w:rPr>
      </w:pPr>
      <w:r w:rsidRPr="1652B3AE">
        <w:rPr>
          <w:i/>
          <w:color w:val="0F4761" w:themeColor="accent1" w:themeShade="BF"/>
          <w:sz w:val="24"/>
          <w:szCs w:val="24"/>
        </w:rPr>
        <w:t xml:space="preserve">Proposed Customer-Sited </w:t>
      </w:r>
      <w:r w:rsidR="00915F4B" w:rsidRPr="1652B3AE">
        <w:rPr>
          <w:i/>
          <w:color w:val="0F4761" w:themeColor="accent1" w:themeShade="BF"/>
          <w:sz w:val="24"/>
          <w:szCs w:val="24"/>
        </w:rPr>
        <w:t xml:space="preserve">Solar + Storage Pilot </w:t>
      </w:r>
      <w:r w:rsidRPr="1652B3AE">
        <w:rPr>
          <w:i/>
          <w:iCs/>
          <w:color w:val="0F4761" w:themeColor="accent1" w:themeShade="BF"/>
          <w:sz w:val="24"/>
          <w:szCs w:val="24"/>
        </w:rPr>
        <w:t>Pro</w:t>
      </w:r>
      <w:r w:rsidR="00992201" w:rsidRPr="1652B3AE">
        <w:rPr>
          <w:i/>
          <w:iCs/>
          <w:color w:val="0F4761" w:themeColor="accent1" w:themeShade="BF"/>
          <w:sz w:val="24"/>
          <w:szCs w:val="24"/>
        </w:rPr>
        <w:t>gram</w:t>
      </w:r>
      <w:r w:rsidRPr="1652B3AE">
        <w:rPr>
          <w:i/>
          <w:color w:val="0F4761" w:themeColor="accent1" w:themeShade="BF"/>
          <w:sz w:val="24"/>
          <w:szCs w:val="24"/>
        </w:rPr>
        <w:t xml:space="preserve"> </w:t>
      </w:r>
    </w:p>
    <w:p w14:paraId="298830F6" w14:textId="53C892BD" w:rsidR="00EA3E55" w:rsidRDefault="00EA3E55" w:rsidP="00EA3E55">
      <w:pPr>
        <w:spacing w:before="120" w:after="120" w:line="278" w:lineRule="auto"/>
        <w:jc w:val="both"/>
      </w:pPr>
      <w:r>
        <w:t xml:space="preserve">Pursuant to the 2023 IRP Update Order, the Company is proposing a Customer-Sited Solar Plus Storage Pilot </w:t>
      </w:r>
      <w:r w:rsidR="00992201">
        <w:t xml:space="preserve">Program </w:t>
      </w:r>
      <w:r>
        <w:t>for Residential and Small Commercial customers, which</w:t>
      </w:r>
      <w:r w:rsidDel="00065A98">
        <w:t xml:space="preserve"> </w:t>
      </w:r>
      <w:r>
        <w:t xml:space="preserve">is designed to encourage additional customer-sited renewable generation resources pairing dispatchable BESS with BTM solar. </w:t>
      </w:r>
      <w:r w:rsidR="00992201">
        <w:t xml:space="preserve">These customer generators will be </w:t>
      </w:r>
      <w:r>
        <w:t>dispatch</w:t>
      </w:r>
      <w:r w:rsidR="00992201">
        <w:t>ed</w:t>
      </w:r>
      <w:r>
        <w:t xml:space="preserve"> to meet </w:t>
      </w:r>
      <w:r w:rsidR="00872E71">
        <w:t>S</w:t>
      </w:r>
      <w:r>
        <w:t xml:space="preserve">ystem needs, thereby providing reliability and capacity benefits to all customers. The pilot will have two participation options: (1) a “Customer Directed” model in which the Company will identify discrete events and pay participating customers based on their performance during </w:t>
      </w:r>
      <w:r w:rsidR="01939B30">
        <w:t xml:space="preserve">those </w:t>
      </w:r>
      <w:r>
        <w:t>event</w:t>
      </w:r>
      <w:r w:rsidR="0D99F93E">
        <w:t>s</w:t>
      </w:r>
      <w:r>
        <w:t>; and (2) a “Company Directed” option in which participating customers</w:t>
      </w:r>
      <w:r w:rsidDel="00FD2449">
        <w:t xml:space="preserve"> </w:t>
      </w:r>
      <w:r>
        <w:t>will make BESS available to the Company for continuous operation in exchange for a</w:t>
      </w:r>
      <w:r w:rsidR="160B96B3">
        <w:t xml:space="preserve"> larger</w:t>
      </w:r>
      <w:r>
        <w:t xml:space="preserve"> upfront incentive that is calculated based on the value their facility provides to the electric system. Participation will be open to residential customer</w:t>
      </w:r>
      <w:r w:rsidR="3913753D">
        <w:t>s with</w:t>
      </w:r>
      <w:r>
        <w:t xml:space="preserve"> </w:t>
      </w:r>
      <w:r w:rsidR="06C1B967">
        <w:t xml:space="preserve">systems </w:t>
      </w:r>
      <w:r w:rsidR="27963D8C">
        <w:t>up to</w:t>
      </w:r>
      <w:r>
        <w:t xml:space="preserve"> 20 kW and small commercial </w:t>
      </w:r>
      <w:r w:rsidR="007F1DEE">
        <w:t xml:space="preserve">customers </w:t>
      </w:r>
      <w:r w:rsidR="0D5FE398">
        <w:t>(peak load</w:t>
      </w:r>
      <w:r w:rsidR="007F1DEE">
        <w:t xml:space="preserve"> </w:t>
      </w:r>
      <w:r w:rsidR="2053B99B">
        <w:t>less than or equal</w:t>
      </w:r>
      <w:r w:rsidR="0B0CDA22">
        <w:t xml:space="preserve"> to</w:t>
      </w:r>
      <w:r w:rsidR="007F1DEE">
        <w:t xml:space="preserve"> 250 kW</w:t>
      </w:r>
      <w:r w:rsidR="021B8A97">
        <w:t>)</w:t>
      </w:r>
      <w:r w:rsidR="007F1DEE">
        <w:t xml:space="preserve"> </w:t>
      </w:r>
      <w:r w:rsidR="0097634E">
        <w:t>with systems</w:t>
      </w:r>
      <w:r>
        <w:t xml:space="preserve"> </w:t>
      </w:r>
      <w:r w:rsidR="512870A0">
        <w:t>up to</w:t>
      </w:r>
      <w:r>
        <w:t xml:space="preserve"> 250 kW. </w:t>
      </w:r>
      <w:r w:rsidR="4908CE78">
        <w:t>Section 10.2.</w:t>
      </w:r>
      <w:r w:rsidR="00440547">
        <w:t>2</w:t>
      </w:r>
      <w:r>
        <w:t xml:space="preserve"> contains additional program details. </w:t>
      </w:r>
    </w:p>
    <w:p w14:paraId="68CB1080" w14:textId="351F42A3" w:rsidR="00EA3E55" w:rsidRDefault="00EA3E55" w:rsidP="00EA3E55">
      <w:pPr>
        <w:spacing w:before="120" w:after="120" w:line="278" w:lineRule="auto"/>
        <w:jc w:val="both"/>
      </w:pPr>
      <w:r>
        <w:lastRenderedPageBreak/>
        <w:t xml:space="preserve">Through this pilot, the Company is initially seeking </w:t>
      </w:r>
      <w:r w:rsidRPr="00130CA0">
        <w:t>50 MW</w:t>
      </w:r>
      <w:r>
        <w:t xml:space="preserve"> of capacity, with </w:t>
      </w:r>
      <w:r w:rsidRPr="00130CA0">
        <w:t>25 MW</w:t>
      </w:r>
      <w:r>
        <w:t xml:space="preserve"> provided through the Customer Directed option and </w:t>
      </w:r>
      <w:r w:rsidRPr="00130CA0">
        <w:t>25 MW</w:t>
      </w:r>
      <w:r>
        <w:t xml:space="preserve"> through the Company Directed option. If the pilot capacity reaches these initial targets before the next IRP, Georgia Power will assess the pilot and may request an increase </w:t>
      </w:r>
      <w:r w:rsidR="64CBE4EB">
        <w:t>of</w:t>
      </w:r>
      <w:r>
        <w:t xml:space="preserve"> the MW </w:t>
      </w:r>
      <w:r w:rsidR="276F940E">
        <w:t xml:space="preserve">target </w:t>
      </w:r>
      <w:r>
        <w:t xml:space="preserve">from the Commission. As proposed, this pilot offers additional options to customer generators while helping meet the growing demand for electric energy. In addition, the pilot will provide the Company with valuable information regarding the technical capabilities, value, and market acceptance of customer-sited solar plus storage. </w:t>
      </w:r>
    </w:p>
    <w:p w14:paraId="5144F51C" w14:textId="77777777" w:rsidR="00EA3E55" w:rsidRPr="00277D8F" w:rsidRDefault="00EA3E55" w:rsidP="00EA3E55">
      <w:pPr>
        <w:keepNext/>
        <w:keepLines/>
        <w:spacing w:before="240" w:after="240" w:line="278" w:lineRule="auto"/>
        <w:jc w:val="both"/>
        <w:rPr>
          <w:i/>
          <w:color w:val="0F4761"/>
          <w:sz w:val="24"/>
          <w:szCs w:val="24"/>
        </w:rPr>
      </w:pPr>
      <w:r w:rsidRPr="12B649B4">
        <w:rPr>
          <w:i/>
          <w:color w:val="0F4761" w:themeColor="accent1" w:themeShade="BF"/>
          <w:sz w:val="24"/>
          <w:szCs w:val="24"/>
        </w:rPr>
        <w:t>Customer-</w:t>
      </w:r>
      <w:r w:rsidRPr="12B649B4">
        <w:rPr>
          <w:i/>
          <w:iCs/>
          <w:color w:val="0F4761" w:themeColor="accent1" w:themeShade="BF"/>
          <w:sz w:val="24"/>
          <w:szCs w:val="24"/>
        </w:rPr>
        <w:t>Connected Solar Program</w:t>
      </w:r>
      <w:r w:rsidRPr="12B649B4">
        <w:rPr>
          <w:i/>
          <w:color w:val="0F4761" w:themeColor="accent1" w:themeShade="BF"/>
          <w:sz w:val="24"/>
          <w:szCs w:val="24"/>
        </w:rPr>
        <w:t xml:space="preserve"> Strategy</w:t>
      </w:r>
    </w:p>
    <w:p w14:paraId="5D7C219D" w14:textId="44DACBA8" w:rsidR="00EA3E55" w:rsidRPr="00986CCA" w:rsidRDefault="00EA3E55" w:rsidP="00EA3E55">
      <w:pPr>
        <w:jc w:val="both"/>
        <w:rPr>
          <w:rFonts w:ascii="Aptos" w:eastAsia="Aptos" w:hAnsi="Aptos" w:cs="Aptos"/>
          <w:color w:val="000000" w:themeColor="text1"/>
        </w:rPr>
      </w:pPr>
      <w:r>
        <w:rPr>
          <w:rFonts w:ascii="Aptos" w:eastAsia="Aptos" w:hAnsi="Aptos" w:cs="Aptos"/>
          <w:color w:val="000000" w:themeColor="text1"/>
        </w:rPr>
        <w:t>Following the 2019 IRP</w:t>
      </w:r>
      <w:r w:rsidRPr="00986CCA">
        <w:rPr>
          <w:rFonts w:ascii="Aptos" w:eastAsia="Aptos" w:hAnsi="Aptos" w:cs="Aptos"/>
          <w:color w:val="000000" w:themeColor="text1"/>
        </w:rPr>
        <w:t xml:space="preserve">, the Company </w:t>
      </w:r>
      <w:r>
        <w:rPr>
          <w:rFonts w:ascii="Aptos" w:eastAsia="Aptos" w:hAnsi="Aptos" w:cs="Aptos"/>
          <w:color w:val="000000" w:themeColor="text1"/>
        </w:rPr>
        <w:t xml:space="preserve">was authorized </w:t>
      </w:r>
      <w:r w:rsidRPr="00986CCA">
        <w:rPr>
          <w:rFonts w:ascii="Aptos" w:eastAsia="Aptos" w:hAnsi="Aptos" w:cs="Aptos"/>
          <w:color w:val="000000" w:themeColor="text1"/>
        </w:rPr>
        <w:t xml:space="preserve">to procure </w:t>
      </w:r>
      <w:r>
        <w:rPr>
          <w:rFonts w:ascii="Aptos" w:eastAsia="Aptos" w:hAnsi="Aptos" w:cs="Aptos"/>
          <w:color w:val="000000" w:themeColor="text1"/>
        </w:rPr>
        <w:t>up to</w:t>
      </w:r>
      <w:r w:rsidRPr="00986CCA">
        <w:rPr>
          <w:rFonts w:ascii="Aptos" w:eastAsia="Aptos" w:hAnsi="Aptos" w:cs="Aptos"/>
          <w:color w:val="000000" w:themeColor="text1"/>
        </w:rPr>
        <w:t xml:space="preserve"> </w:t>
      </w:r>
      <w:r>
        <w:rPr>
          <w:rFonts w:ascii="Aptos" w:eastAsia="Aptos" w:hAnsi="Aptos" w:cs="Aptos"/>
          <w:color w:val="000000" w:themeColor="text1"/>
        </w:rPr>
        <w:t>25</w:t>
      </w:r>
      <w:r w:rsidRPr="00986CCA">
        <w:rPr>
          <w:rFonts w:ascii="Aptos" w:eastAsia="Aptos" w:hAnsi="Aptos" w:cs="Aptos"/>
          <w:color w:val="000000" w:themeColor="text1"/>
        </w:rPr>
        <w:t xml:space="preserve"> MW of customer-sited solar </w:t>
      </w:r>
      <w:r>
        <w:rPr>
          <w:rFonts w:ascii="Aptos" w:eastAsia="Aptos" w:hAnsi="Aptos" w:cs="Aptos"/>
          <w:color w:val="000000" w:themeColor="text1"/>
        </w:rPr>
        <w:t xml:space="preserve">generation </w:t>
      </w:r>
      <w:r w:rsidRPr="00986CCA">
        <w:rPr>
          <w:rFonts w:ascii="Aptos" w:eastAsia="Aptos" w:hAnsi="Aptos" w:cs="Aptos"/>
          <w:color w:val="000000" w:themeColor="text1"/>
        </w:rPr>
        <w:t>through the CCSP</w:t>
      </w:r>
      <w:r w:rsidRPr="799F2A04">
        <w:rPr>
          <w:rFonts w:ascii="Aptos" w:eastAsia="Aptos" w:hAnsi="Aptos" w:cs="Aptos"/>
          <w:color w:val="000000" w:themeColor="text1"/>
        </w:rPr>
        <w:t>.</w:t>
      </w:r>
      <w:r>
        <w:rPr>
          <w:rFonts w:ascii="Aptos" w:eastAsia="Aptos" w:hAnsi="Aptos" w:cs="Aptos"/>
          <w:color w:val="000000" w:themeColor="text1"/>
        </w:rPr>
        <w:t xml:space="preserve"> To date</w:t>
      </w:r>
      <w:r w:rsidRPr="00986CCA">
        <w:rPr>
          <w:rFonts w:ascii="Aptos" w:eastAsia="Aptos" w:hAnsi="Aptos" w:cs="Aptos"/>
          <w:color w:val="000000" w:themeColor="text1"/>
        </w:rPr>
        <w:t>, there is</w:t>
      </w:r>
      <w:r>
        <w:rPr>
          <w:rFonts w:ascii="Aptos" w:eastAsia="Aptos" w:hAnsi="Aptos" w:cs="Aptos"/>
          <w:color w:val="000000" w:themeColor="text1"/>
        </w:rPr>
        <w:t xml:space="preserve"> only</w:t>
      </w:r>
      <w:r w:rsidRPr="00986CCA">
        <w:rPr>
          <w:rFonts w:ascii="Aptos" w:eastAsia="Aptos" w:hAnsi="Aptos" w:cs="Aptos"/>
          <w:color w:val="000000" w:themeColor="text1"/>
        </w:rPr>
        <w:t xml:space="preserve"> one participant </w:t>
      </w:r>
      <w:r>
        <w:rPr>
          <w:rFonts w:ascii="Aptos" w:eastAsia="Aptos" w:hAnsi="Aptos" w:cs="Aptos"/>
          <w:color w:val="000000" w:themeColor="text1"/>
        </w:rPr>
        <w:t xml:space="preserve">in the program </w:t>
      </w:r>
      <w:r w:rsidRPr="00986CCA">
        <w:rPr>
          <w:rFonts w:ascii="Aptos" w:eastAsia="Aptos" w:hAnsi="Aptos" w:cs="Aptos"/>
          <w:color w:val="000000" w:themeColor="text1"/>
        </w:rPr>
        <w:t xml:space="preserve">with a </w:t>
      </w:r>
      <w:r w:rsidRPr="00BF0450">
        <w:rPr>
          <w:rFonts w:ascii="Aptos" w:eastAsia="Aptos" w:hAnsi="Aptos" w:cs="Aptos"/>
          <w:color w:val="000000" w:themeColor="text1"/>
        </w:rPr>
        <w:t>1.5 MW facility. To realize the value of this program and offer customer generators an attractive FT</w:t>
      </w:r>
      <w:r>
        <w:rPr>
          <w:rFonts w:ascii="Aptos" w:eastAsia="Aptos" w:hAnsi="Aptos" w:cs="Aptos"/>
          <w:color w:val="000000" w:themeColor="text1"/>
        </w:rPr>
        <w:t>M option</w:t>
      </w:r>
      <w:r w:rsidRPr="00986CCA">
        <w:rPr>
          <w:rFonts w:ascii="Aptos" w:eastAsia="Aptos" w:hAnsi="Aptos" w:cs="Aptos"/>
          <w:color w:val="000000" w:themeColor="text1"/>
        </w:rPr>
        <w:t xml:space="preserve"> to meet their renewable and sustainability goals</w:t>
      </w:r>
      <w:r>
        <w:rPr>
          <w:rFonts w:ascii="Aptos" w:eastAsia="Aptos" w:hAnsi="Aptos" w:cs="Aptos"/>
          <w:color w:val="000000" w:themeColor="text1"/>
        </w:rPr>
        <w:t>, the Company proposes several enhancements designed to increase customer participation and provide more value to both the customer generator and all other customers</w:t>
      </w:r>
      <w:r w:rsidRPr="00986CCA">
        <w:rPr>
          <w:rFonts w:ascii="Aptos" w:eastAsia="Aptos" w:hAnsi="Aptos" w:cs="Aptos"/>
          <w:color w:val="000000" w:themeColor="text1"/>
        </w:rPr>
        <w:t xml:space="preserve">. </w:t>
      </w:r>
    </w:p>
    <w:p w14:paraId="7E227A32" w14:textId="77777777" w:rsidR="00EA3E55" w:rsidRPr="00986CCA" w:rsidRDefault="00EA3E55" w:rsidP="00EA3E55">
      <w:pPr>
        <w:jc w:val="both"/>
        <w:rPr>
          <w:rFonts w:ascii="Aptos" w:eastAsia="Aptos" w:hAnsi="Aptos" w:cs="Aptos"/>
          <w:color w:val="000000" w:themeColor="text1"/>
        </w:rPr>
      </w:pPr>
      <w:r w:rsidRPr="00986CCA">
        <w:rPr>
          <w:rFonts w:ascii="Aptos" w:eastAsia="Aptos" w:hAnsi="Aptos" w:cs="Aptos"/>
          <w:color w:val="000000" w:themeColor="text1"/>
        </w:rPr>
        <w:t xml:space="preserve">These </w:t>
      </w:r>
      <w:r>
        <w:rPr>
          <w:rFonts w:ascii="Aptos" w:eastAsia="Aptos" w:hAnsi="Aptos" w:cs="Aptos"/>
          <w:color w:val="000000" w:themeColor="text1"/>
        </w:rPr>
        <w:t>enhancements</w:t>
      </w:r>
      <w:r w:rsidRPr="00986CCA">
        <w:rPr>
          <w:rFonts w:ascii="Aptos" w:eastAsia="Aptos" w:hAnsi="Aptos" w:cs="Aptos"/>
          <w:color w:val="000000" w:themeColor="text1"/>
        </w:rPr>
        <w:t xml:space="preserve"> include the following:</w:t>
      </w:r>
    </w:p>
    <w:p w14:paraId="0BB6BB2A" w14:textId="2CA4F202" w:rsidR="00EA3E55" w:rsidRPr="00986CCA" w:rsidRDefault="00EA3E55" w:rsidP="00EA3E55">
      <w:pPr>
        <w:pStyle w:val="ListParagraph"/>
        <w:numPr>
          <w:ilvl w:val="0"/>
          <w:numId w:val="34"/>
        </w:numPr>
        <w:jc w:val="both"/>
        <w:rPr>
          <w:rFonts w:ascii="Aptos" w:eastAsia="Aptos" w:hAnsi="Aptos" w:cs="Aptos"/>
          <w:color w:val="000000" w:themeColor="text1"/>
        </w:rPr>
      </w:pPr>
      <w:r w:rsidRPr="3106E8B6">
        <w:rPr>
          <w:rFonts w:ascii="Aptos" w:eastAsia="Aptos" w:hAnsi="Aptos" w:cs="Aptos"/>
          <w:color w:val="000000" w:themeColor="text1"/>
        </w:rPr>
        <w:t>Increase</w:t>
      </w:r>
      <w:r w:rsidRPr="00986CCA">
        <w:rPr>
          <w:rFonts w:ascii="Aptos" w:eastAsia="Aptos" w:hAnsi="Aptos" w:cs="Aptos"/>
          <w:color w:val="000000" w:themeColor="text1"/>
        </w:rPr>
        <w:t xml:space="preserve"> the minimum and maximum facility size criteria to 250 kW and 6 MW</w:t>
      </w:r>
      <w:r>
        <w:rPr>
          <w:rFonts w:ascii="Aptos" w:eastAsia="Aptos" w:hAnsi="Aptos" w:cs="Aptos"/>
          <w:color w:val="000000" w:themeColor="text1"/>
        </w:rPr>
        <w:t>,</w:t>
      </w:r>
      <w:r w:rsidRPr="00986CCA">
        <w:rPr>
          <w:rFonts w:ascii="Aptos" w:eastAsia="Aptos" w:hAnsi="Aptos" w:cs="Aptos"/>
          <w:color w:val="000000" w:themeColor="text1"/>
        </w:rPr>
        <w:t xml:space="preserve"> respectively</w:t>
      </w:r>
    </w:p>
    <w:p w14:paraId="6968B249" w14:textId="77777777" w:rsidR="00461263" w:rsidRDefault="0007366E">
      <w:pPr>
        <w:pStyle w:val="ListParagraph"/>
        <w:numPr>
          <w:ilvl w:val="0"/>
          <w:numId w:val="34"/>
        </w:numPr>
        <w:jc w:val="both"/>
        <w:rPr>
          <w:rFonts w:ascii="Aptos" w:eastAsia="Aptos" w:hAnsi="Aptos" w:cs="Aptos"/>
          <w:color w:val="000000" w:themeColor="text1"/>
        </w:rPr>
      </w:pPr>
      <w:r w:rsidRPr="00461263">
        <w:rPr>
          <w:rFonts w:ascii="Aptos" w:eastAsia="Aptos" w:hAnsi="Aptos" w:cs="Aptos"/>
          <w:color w:val="000000" w:themeColor="text1"/>
        </w:rPr>
        <w:t>Expand the resource type to include BESS paired with the solar</w:t>
      </w:r>
    </w:p>
    <w:p w14:paraId="647E7D9E" w14:textId="487FC9AC" w:rsidR="00EA3E55" w:rsidRPr="00461263" w:rsidRDefault="00EA3E55">
      <w:pPr>
        <w:pStyle w:val="ListParagraph"/>
        <w:numPr>
          <w:ilvl w:val="0"/>
          <w:numId w:val="34"/>
        </w:numPr>
        <w:jc w:val="both"/>
        <w:rPr>
          <w:rFonts w:ascii="Aptos" w:eastAsia="Aptos" w:hAnsi="Aptos" w:cs="Aptos"/>
          <w:color w:val="000000" w:themeColor="text1"/>
        </w:rPr>
      </w:pPr>
      <w:r w:rsidRPr="00461263">
        <w:rPr>
          <w:rFonts w:ascii="Aptos" w:eastAsia="Aptos" w:hAnsi="Aptos" w:cs="Aptos"/>
          <w:color w:val="000000" w:themeColor="text1"/>
        </w:rPr>
        <w:t>Allow new customers to participate (as opposed to existing only)</w:t>
      </w:r>
    </w:p>
    <w:p w14:paraId="7561E7C1" w14:textId="323E0C39" w:rsidR="00EA3E55" w:rsidRDefault="00EA3E55" w:rsidP="00EA3E55">
      <w:pPr>
        <w:spacing w:before="240"/>
        <w:jc w:val="both"/>
      </w:pPr>
      <w:r>
        <w:t xml:space="preserve">The customer-sited solar plus storage program options introduced in the 2025 IRP will offer </w:t>
      </w:r>
      <w:r w:rsidRPr="00B35DFA">
        <w:t xml:space="preserve">appropriate </w:t>
      </w:r>
      <w:r w:rsidRPr="00E93017">
        <w:t>opportunities</w:t>
      </w:r>
      <w:r>
        <w:t xml:space="preserve"> for a wide range of customers to add solar and storage resources to the </w:t>
      </w:r>
      <w:r w:rsidR="00872E71">
        <w:t>S</w:t>
      </w:r>
      <w:r>
        <w:t xml:space="preserve">ystem. These programs can add valuable renewable generation and dispatchable capacity resources that benefit the electric system, while compensating customer generators for the benefits provided and protecting non-participants from cost shifts. To this end, it is important that customer generators contribute </w:t>
      </w:r>
      <w:r w:rsidR="00486E14">
        <w:t xml:space="preserve">to </w:t>
      </w:r>
      <w:r>
        <w:t xml:space="preserve">their share of retail electric service costs, with BTM customer generators receiving electric service on </w:t>
      </w:r>
      <w:r w:rsidR="00542B65">
        <w:t>rates other than energy only rates like R and GS</w:t>
      </w:r>
      <w:r>
        <w:t xml:space="preserve">. </w:t>
      </w:r>
      <w:r w:rsidR="706C823A">
        <w:t>Section 10.2.</w:t>
      </w:r>
      <w:r w:rsidR="00440547">
        <w:t>2</w:t>
      </w:r>
      <w:r>
        <w:t xml:space="preserve"> sets forth additional information regarding the proposed details of these new and enhanced customer-sited programs.</w:t>
      </w:r>
    </w:p>
    <w:p w14:paraId="725C0495" w14:textId="1AAFCA33" w:rsidR="00EC16E1" w:rsidRDefault="00EE2823" w:rsidP="008826D4">
      <w:pPr>
        <w:pStyle w:val="Heading3"/>
        <w:rPr>
          <w:rStyle w:val="Heading4Char"/>
          <w:i/>
          <w:iCs w:val="0"/>
        </w:rPr>
      </w:pPr>
      <w:r>
        <w:rPr>
          <w:rStyle w:val="Heading4Char"/>
          <w:i/>
        </w:rPr>
        <w:t>10</w:t>
      </w:r>
      <w:r w:rsidR="004B6B57">
        <w:rPr>
          <w:rStyle w:val="Heading4Char"/>
          <w:i/>
        </w:rPr>
        <w:t>.</w:t>
      </w:r>
      <w:r w:rsidR="0081683E" w:rsidRPr="6E8835D5">
        <w:rPr>
          <w:rStyle w:val="Heading4Char"/>
          <w:i/>
        </w:rPr>
        <w:t>2</w:t>
      </w:r>
      <w:r w:rsidR="004B6B57">
        <w:rPr>
          <w:rStyle w:val="Heading4Char"/>
          <w:i/>
        </w:rPr>
        <w:t>.</w:t>
      </w:r>
      <w:r w:rsidR="007F6C9D">
        <w:rPr>
          <w:rStyle w:val="Heading4Char"/>
          <w:i/>
        </w:rPr>
        <w:t>2</w:t>
      </w:r>
      <w:r w:rsidR="004B6B57">
        <w:rPr>
          <w:rStyle w:val="Heading4Char"/>
          <w:i/>
        </w:rPr>
        <w:t xml:space="preserve"> - </w:t>
      </w:r>
      <w:r w:rsidR="00EC16E1">
        <w:rPr>
          <w:rStyle w:val="Heading4Char"/>
          <w:i/>
        </w:rPr>
        <w:t>Customer</w:t>
      </w:r>
      <w:r w:rsidR="0093674F">
        <w:rPr>
          <w:rStyle w:val="Heading4Char"/>
          <w:i/>
        </w:rPr>
        <w:t>-</w:t>
      </w:r>
      <w:r w:rsidR="00EC16E1">
        <w:rPr>
          <w:rStyle w:val="Heading4Char"/>
          <w:i/>
        </w:rPr>
        <w:t>Sited Renewable Programs</w:t>
      </w:r>
    </w:p>
    <w:p w14:paraId="38F43917" w14:textId="63B0F8D3" w:rsidR="00167196" w:rsidRDefault="00167196" w:rsidP="00167196">
      <w:pPr>
        <w:spacing w:before="240" w:after="240" w:line="278" w:lineRule="auto"/>
        <w:jc w:val="both"/>
      </w:pPr>
      <w:r>
        <w:rPr>
          <w:i/>
          <w:color w:val="0F4761"/>
        </w:rPr>
        <w:t xml:space="preserve">Residential and Commercial Solar </w:t>
      </w:r>
      <w:r w:rsidR="002E582A">
        <w:rPr>
          <w:i/>
          <w:color w:val="0F4761"/>
        </w:rPr>
        <w:t>Plus</w:t>
      </w:r>
      <w:r>
        <w:rPr>
          <w:i/>
          <w:color w:val="0F4761"/>
        </w:rPr>
        <w:t xml:space="preserve"> Storage Pilot Program</w:t>
      </w:r>
    </w:p>
    <w:p w14:paraId="7CA4FD7D" w14:textId="629BCEEE" w:rsidR="00E92D1D" w:rsidRDefault="001F27F8" w:rsidP="00AB08C2">
      <w:pPr>
        <w:jc w:val="both"/>
      </w:pPr>
      <w:r>
        <w:t xml:space="preserve">As introduced in Section </w:t>
      </w:r>
      <w:r w:rsidR="1A1BAC24">
        <w:t>10</w:t>
      </w:r>
      <w:r w:rsidR="39E50175">
        <w:t>.2.</w:t>
      </w:r>
      <w:r w:rsidR="007611EC">
        <w:t>1</w:t>
      </w:r>
      <w:r w:rsidR="00982A7E">
        <w:t>,</w:t>
      </w:r>
      <w:r>
        <w:t xml:space="preserve"> the </w:t>
      </w:r>
      <w:r w:rsidR="00982A7E">
        <w:t>C</w:t>
      </w:r>
      <w:r>
        <w:t>ompany is se</w:t>
      </w:r>
      <w:r w:rsidR="00FD54D1">
        <w:t xml:space="preserve">eking approval for a </w:t>
      </w:r>
      <w:r w:rsidR="002C0868">
        <w:t>S</w:t>
      </w:r>
      <w:r w:rsidR="00FD54D1">
        <w:t xml:space="preserve">olar </w:t>
      </w:r>
      <w:r w:rsidR="002E582A">
        <w:t>Plus</w:t>
      </w:r>
      <w:r w:rsidR="00FD54D1">
        <w:t xml:space="preserve"> </w:t>
      </w:r>
      <w:r w:rsidR="002C0868">
        <w:t>S</w:t>
      </w:r>
      <w:r w:rsidR="00FD54D1">
        <w:t xml:space="preserve">torage </w:t>
      </w:r>
      <w:r w:rsidR="002C0868">
        <w:t>P</w:t>
      </w:r>
      <w:r w:rsidR="00FD54D1">
        <w:t xml:space="preserve">ilot </w:t>
      </w:r>
      <w:r w:rsidR="00BE50EA">
        <w:t>P</w:t>
      </w:r>
      <w:r w:rsidR="002C0868">
        <w:t>rogram</w:t>
      </w:r>
      <w:r w:rsidR="00FD54D1">
        <w:t xml:space="preserve"> for residential and small commercial customers. </w:t>
      </w:r>
      <w:r w:rsidR="005061C9">
        <w:t xml:space="preserve">Pairing </w:t>
      </w:r>
      <w:r w:rsidR="009A0A6C">
        <w:t xml:space="preserve">storage </w:t>
      </w:r>
      <w:r w:rsidR="005061C9">
        <w:t xml:space="preserve">with new or existing solar </w:t>
      </w:r>
      <w:r w:rsidR="009606E8">
        <w:t xml:space="preserve">will provide </w:t>
      </w:r>
      <w:r w:rsidR="007D6E67">
        <w:t xml:space="preserve">valuable capacity resources to the </w:t>
      </w:r>
      <w:r w:rsidR="00872E71">
        <w:t>S</w:t>
      </w:r>
      <w:r w:rsidR="007D6E67">
        <w:t>ystem and</w:t>
      </w:r>
      <w:r w:rsidR="009606E8">
        <w:t xml:space="preserve"> additional resiliency for participating customers</w:t>
      </w:r>
      <w:r w:rsidR="00A817D7">
        <w:t xml:space="preserve">. </w:t>
      </w:r>
      <w:r w:rsidR="00DB3566">
        <w:t>As proposed,</w:t>
      </w:r>
      <w:r w:rsidR="009606E8">
        <w:t xml:space="preserve"> the</w:t>
      </w:r>
      <w:r w:rsidR="00352C92">
        <w:t xml:space="preserve"> </w:t>
      </w:r>
      <w:r w:rsidR="00BE50EA">
        <w:t xml:space="preserve">Solar </w:t>
      </w:r>
      <w:r w:rsidR="002E582A">
        <w:t>Plus</w:t>
      </w:r>
      <w:r w:rsidR="00BE50EA">
        <w:t xml:space="preserve"> Storage P</w:t>
      </w:r>
      <w:r w:rsidR="0015188F">
        <w:t>ilot</w:t>
      </w:r>
      <w:r w:rsidR="00BE50EA">
        <w:t xml:space="preserve"> Program</w:t>
      </w:r>
      <w:r w:rsidR="00796C56">
        <w:t xml:space="preserve"> </w:t>
      </w:r>
      <w:r w:rsidR="00FD2068">
        <w:t>will</w:t>
      </w:r>
      <w:r w:rsidR="00E90A20">
        <w:t xml:space="preserve"> target </w:t>
      </w:r>
      <w:r w:rsidR="55B47067">
        <w:t xml:space="preserve">the </w:t>
      </w:r>
      <w:r w:rsidR="00F73544">
        <w:t>addition</w:t>
      </w:r>
      <w:r w:rsidR="00FD2068">
        <w:t xml:space="preserve"> </w:t>
      </w:r>
      <w:r w:rsidR="00E90A20">
        <w:t>of up to 50 MW</w:t>
      </w:r>
      <w:r w:rsidR="00826212">
        <w:t xml:space="preserve"> of dispatchable storage resources, split evenly between the Customer</w:t>
      </w:r>
      <w:r w:rsidR="00746CCE">
        <w:t>-</w:t>
      </w:r>
      <w:r w:rsidR="00826212">
        <w:t xml:space="preserve">Directed and </w:t>
      </w:r>
      <w:r w:rsidR="00CB371B">
        <w:t>Company</w:t>
      </w:r>
      <w:r w:rsidR="00746CCE">
        <w:t>-</w:t>
      </w:r>
      <w:r w:rsidR="00826212">
        <w:t>Directed program options</w:t>
      </w:r>
      <w:r w:rsidR="00B76632">
        <w:t>.</w:t>
      </w:r>
      <w:r w:rsidR="00E90A20">
        <w:t xml:space="preserve"> </w:t>
      </w:r>
      <w:r w:rsidR="00590913">
        <w:t>Systems</w:t>
      </w:r>
      <w:r w:rsidR="007D6E67">
        <w:t xml:space="preserve"> </w:t>
      </w:r>
      <w:r w:rsidR="00F73544">
        <w:t>may be sized up to 20</w:t>
      </w:r>
      <w:r w:rsidR="004B6B57">
        <w:t xml:space="preserve"> </w:t>
      </w:r>
      <w:r w:rsidR="00F73544">
        <w:t xml:space="preserve">kW for </w:t>
      </w:r>
      <w:r w:rsidR="19A79AB3">
        <w:t>r</w:t>
      </w:r>
      <w:r w:rsidR="00F73544">
        <w:t xml:space="preserve">esidential applications </w:t>
      </w:r>
      <w:r w:rsidR="00746CCE">
        <w:t>and</w:t>
      </w:r>
      <w:r w:rsidR="00F73544">
        <w:t xml:space="preserve"> 250 </w:t>
      </w:r>
      <w:r w:rsidR="009A3425">
        <w:t>k</w:t>
      </w:r>
      <w:r w:rsidR="00F73544">
        <w:t xml:space="preserve">W for </w:t>
      </w:r>
      <w:r w:rsidR="3C21AFB8">
        <w:t>c</w:t>
      </w:r>
      <w:r w:rsidR="00F73544">
        <w:t>ommercial applications (no more than 125% of metered demand)</w:t>
      </w:r>
      <w:r w:rsidR="00746CCE">
        <w:t xml:space="preserve"> and</w:t>
      </w:r>
      <w:r w:rsidR="00F73544">
        <w:t xml:space="preserve"> </w:t>
      </w:r>
      <w:r w:rsidR="00826212">
        <w:t>will</w:t>
      </w:r>
      <w:r w:rsidR="00D061BD">
        <w:t xml:space="preserve"> </w:t>
      </w:r>
      <w:r w:rsidR="00826212">
        <w:t>be subject</w:t>
      </w:r>
      <w:r w:rsidR="000B2764">
        <w:t xml:space="preserve"> to </w:t>
      </w:r>
      <w:r w:rsidR="00F73544">
        <w:t>appropriate</w:t>
      </w:r>
      <w:r w:rsidR="000B2764">
        <w:t xml:space="preserve"> </w:t>
      </w:r>
      <w:r w:rsidR="009008A5">
        <w:t xml:space="preserve">application and interconnection </w:t>
      </w:r>
      <w:r w:rsidR="00826212">
        <w:t>requirement</w:t>
      </w:r>
      <w:r w:rsidR="00F73544">
        <w:t>s</w:t>
      </w:r>
      <w:r w:rsidR="00D061BD">
        <w:t>. Customer generators</w:t>
      </w:r>
      <w:r w:rsidR="00826212">
        <w:t xml:space="preserve"> </w:t>
      </w:r>
      <w:r w:rsidR="6E305FE5">
        <w:t>mus</w:t>
      </w:r>
      <w:r w:rsidR="00826212">
        <w:t xml:space="preserve">t take service </w:t>
      </w:r>
      <w:r w:rsidR="00826212">
        <w:lastRenderedPageBreak/>
        <w:t xml:space="preserve">on </w:t>
      </w:r>
      <w:r w:rsidR="4E3DAAC9">
        <w:t xml:space="preserve">a </w:t>
      </w:r>
      <w:r w:rsidR="00BE50EA">
        <w:t>C</w:t>
      </w:r>
      <w:r w:rsidR="4E3DAAC9">
        <w:t>ompany</w:t>
      </w:r>
      <w:r w:rsidR="00BE50EA">
        <w:t>-</w:t>
      </w:r>
      <w:r w:rsidR="4E3DAAC9">
        <w:t xml:space="preserve">approved </w:t>
      </w:r>
      <w:r w:rsidR="003170A2">
        <w:t xml:space="preserve">rate other than </w:t>
      </w:r>
      <w:r w:rsidR="50048F17">
        <w:t>“</w:t>
      </w:r>
      <w:r w:rsidR="003170A2">
        <w:t>R</w:t>
      </w:r>
      <w:r w:rsidR="4E188EE7">
        <w:t>”</w:t>
      </w:r>
      <w:r w:rsidR="009008A5">
        <w:t xml:space="preserve"> </w:t>
      </w:r>
      <w:r w:rsidR="00180FA3">
        <w:t>(</w:t>
      </w:r>
      <w:r w:rsidR="00AA17CF">
        <w:t>R</w:t>
      </w:r>
      <w:r w:rsidR="00180FA3">
        <w:t xml:space="preserve">esidential) or </w:t>
      </w:r>
      <w:r w:rsidR="2FB70953">
        <w:t>“</w:t>
      </w:r>
      <w:r w:rsidR="00180FA3">
        <w:t>GS</w:t>
      </w:r>
      <w:r w:rsidR="0BA88F3E">
        <w:t>”</w:t>
      </w:r>
      <w:r w:rsidR="00180FA3">
        <w:t xml:space="preserve"> (</w:t>
      </w:r>
      <w:r w:rsidR="00AA17CF">
        <w:t>C</w:t>
      </w:r>
      <w:r w:rsidR="00E270E5">
        <w:t xml:space="preserve">ommercial). </w:t>
      </w:r>
      <w:r w:rsidR="003170A2">
        <w:t xml:space="preserve">The </w:t>
      </w:r>
      <w:r w:rsidR="002E582A">
        <w:t>solar plus storage</w:t>
      </w:r>
      <w:r w:rsidR="003170A2">
        <w:t xml:space="preserve"> systems may be owned by the customer or another party, and customers can choose to participate in either </w:t>
      </w:r>
      <w:r w:rsidR="000818C0">
        <w:t xml:space="preserve">the </w:t>
      </w:r>
      <w:r w:rsidR="00333A0B">
        <w:t>C</w:t>
      </w:r>
      <w:r w:rsidR="000818C0">
        <w:t>ustomer</w:t>
      </w:r>
      <w:r w:rsidR="00333A0B">
        <w:t>-D</w:t>
      </w:r>
      <w:r w:rsidR="000818C0">
        <w:t xml:space="preserve">irected or </w:t>
      </w:r>
      <w:r w:rsidR="00333A0B">
        <w:t>Company-D</w:t>
      </w:r>
      <w:r w:rsidR="000818C0">
        <w:t xml:space="preserve">irected </w:t>
      </w:r>
      <w:r w:rsidR="00E92D1D">
        <w:t xml:space="preserve">participation </w:t>
      </w:r>
      <w:r w:rsidR="34548E49">
        <w:t>option</w:t>
      </w:r>
      <w:r w:rsidR="00E92D1D">
        <w:t xml:space="preserve">. </w:t>
      </w:r>
    </w:p>
    <w:p w14:paraId="57743454" w14:textId="51A47F48" w:rsidR="00B81B4E" w:rsidRPr="004B6B57" w:rsidRDefault="00B81B4E" w:rsidP="009A12F5">
      <w:pPr>
        <w:pStyle w:val="ListParagraph"/>
        <w:numPr>
          <w:ilvl w:val="0"/>
          <w:numId w:val="42"/>
        </w:numPr>
        <w:tabs>
          <w:tab w:val="left" w:pos="720"/>
        </w:tabs>
        <w:spacing w:line="278" w:lineRule="auto"/>
        <w:jc w:val="both"/>
        <w:rPr>
          <w:i/>
          <w:color w:val="0F4761"/>
        </w:rPr>
      </w:pPr>
      <w:r w:rsidRPr="1007029A">
        <w:rPr>
          <w:i/>
          <w:color w:val="0F4761" w:themeColor="accent1" w:themeShade="BF"/>
        </w:rPr>
        <w:t>Customer</w:t>
      </w:r>
      <w:r w:rsidR="2D6B2589" w:rsidRPr="1007029A">
        <w:rPr>
          <w:i/>
          <w:iCs/>
          <w:color w:val="0F4761" w:themeColor="accent1" w:themeShade="BF"/>
        </w:rPr>
        <w:t>-</w:t>
      </w:r>
      <w:r w:rsidRPr="1007029A">
        <w:rPr>
          <w:i/>
          <w:color w:val="0F4761" w:themeColor="accent1" w:themeShade="BF"/>
        </w:rPr>
        <w:t>Directed</w:t>
      </w:r>
    </w:p>
    <w:p w14:paraId="280026C9" w14:textId="600A8D94" w:rsidR="00CB5B61" w:rsidRDefault="00CB5B61" w:rsidP="006A2D20">
      <w:pPr>
        <w:ind w:left="720"/>
        <w:jc w:val="both"/>
      </w:pPr>
      <w:r>
        <w:t xml:space="preserve">The </w:t>
      </w:r>
      <w:r w:rsidR="00AA17CF">
        <w:t>C</w:t>
      </w:r>
      <w:r>
        <w:t>ustomer</w:t>
      </w:r>
      <w:r w:rsidR="00AA17CF">
        <w:t>-D</w:t>
      </w:r>
      <w:r>
        <w:t xml:space="preserve">irected </w:t>
      </w:r>
      <w:r w:rsidR="00AA17CF">
        <w:t>option</w:t>
      </w:r>
      <w:r>
        <w:t xml:space="preserve"> </w:t>
      </w:r>
      <w:r w:rsidR="002D3295">
        <w:t>will be</w:t>
      </w:r>
      <w:r>
        <w:t xml:space="preserve"> open for participation </w:t>
      </w:r>
      <w:r w:rsidR="7CAD35A8">
        <w:t>from</w:t>
      </w:r>
      <w:r>
        <w:t xml:space="preserve"> both new and existing solar </w:t>
      </w:r>
      <w:r w:rsidR="00BE50EA">
        <w:t>plus</w:t>
      </w:r>
      <w:r>
        <w:t xml:space="preserve"> storage </w:t>
      </w:r>
      <w:r w:rsidR="00031530">
        <w:t xml:space="preserve">and </w:t>
      </w:r>
      <w:r w:rsidR="79A7FF30">
        <w:t xml:space="preserve">standalone </w:t>
      </w:r>
      <w:r w:rsidR="00031530">
        <w:t xml:space="preserve">BESS </w:t>
      </w:r>
      <w:r>
        <w:t>resources.</w:t>
      </w:r>
      <w:r w:rsidR="00A43F2C">
        <w:rPr>
          <w:rStyle w:val="FootnoteReference"/>
        </w:rPr>
        <w:footnoteReference w:id="41"/>
      </w:r>
      <w:r>
        <w:t xml:space="preserve"> In </w:t>
      </w:r>
      <w:r w:rsidR="00363C97">
        <w:t>this</w:t>
      </w:r>
      <w:r>
        <w:t xml:space="preserve"> </w:t>
      </w:r>
      <w:r w:rsidR="00584BA2">
        <w:t xml:space="preserve">participation </w:t>
      </w:r>
      <w:r w:rsidR="67E1AC7A">
        <w:t>option</w:t>
      </w:r>
      <w:r w:rsidR="007A2860">
        <w:t>,</w:t>
      </w:r>
      <w:r>
        <w:t xml:space="preserve"> </w:t>
      </w:r>
      <w:r w:rsidR="00F73544">
        <w:t>Georgia Power</w:t>
      </w:r>
      <w:r>
        <w:t xml:space="preserve"> will </w:t>
      </w:r>
      <w:r w:rsidR="00F73544">
        <w:t xml:space="preserve">offer </w:t>
      </w:r>
      <w:r>
        <w:t>a</w:t>
      </w:r>
      <w:r w:rsidR="00AF62AA">
        <w:t xml:space="preserve"> small</w:t>
      </w:r>
      <w:r>
        <w:t xml:space="preserve"> annual enrollment incentive</w:t>
      </w:r>
      <w:r w:rsidR="00584BA2">
        <w:t xml:space="preserve"> </w:t>
      </w:r>
      <w:r w:rsidR="00F73544">
        <w:t>in exchange for</w:t>
      </w:r>
      <w:r w:rsidR="00584BA2">
        <w:t xml:space="preserve"> the ability to call </w:t>
      </w:r>
      <w:r w:rsidR="00D817DC">
        <w:t>up</w:t>
      </w:r>
      <w:r w:rsidR="00422BD6">
        <w:t xml:space="preserve">on </w:t>
      </w:r>
      <w:r w:rsidR="000B0F57">
        <w:t xml:space="preserve">the </w:t>
      </w:r>
      <w:r w:rsidR="00D817DC">
        <w:t>BESS</w:t>
      </w:r>
      <w:r w:rsidR="00F73544">
        <w:t xml:space="preserve"> </w:t>
      </w:r>
      <w:r w:rsidR="00422BD6">
        <w:t xml:space="preserve">during </w:t>
      </w:r>
      <w:r w:rsidR="00201E98">
        <w:t xml:space="preserve">discrete </w:t>
      </w:r>
      <w:r w:rsidR="0012226A">
        <w:t>utility</w:t>
      </w:r>
      <w:r w:rsidR="00201E98">
        <w:t xml:space="preserve"> events</w:t>
      </w:r>
      <w:r w:rsidR="00363C97">
        <w:t xml:space="preserve">. </w:t>
      </w:r>
      <w:r w:rsidR="0013389B">
        <w:t>The</w:t>
      </w:r>
      <w:r w:rsidR="004C3409">
        <w:t xml:space="preserve"> </w:t>
      </w:r>
      <w:r w:rsidR="00B12905">
        <w:t>customer generator will be eligible for</w:t>
      </w:r>
      <w:r w:rsidR="004C3409">
        <w:t xml:space="preserve"> an additional </w:t>
      </w:r>
      <w:r w:rsidR="00963120">
        <w:t xml:space="preserve">payment </w:t>
      </w:r>
      <w:r w:rsidR="00BD4418">
        <w:t>on an annual schedule</w:t>
      </w:r>
      <w:r w:rsidR="0013389B">
        <w:t xml:space="preserve"> based on the </w:t>
      </w:r>
      <w:r w:rsidR="00CB3690">
        <w:t xml:space="preserve">performance of the </w:t>
      </w:r>
      <w:r w:rsidR="00B12905">
        <w:t xml:space="preserve">BESS </w:t>
      </w:r>
      <w:r w:rsidR="00FA50E9">
        <w:t xml:space="preserve">during </w:t>
      </w:r>
      <w:r w:rsidR="004A2DC8">
        <w:t>event calls</w:t>
      </w:r>
      <w:r w:rsidR="00BD4418">
        <w:t xml:space="preserve"> that </w:t>
      </w:r>
      <w:r w:rsidR="5A57356D">
        <w:t xml:space="preserve">calendar </w:t>
      </w:r>
      <w:r w:rsidR="00BD4418">
        <w:t>year</w:t>
      </w:r>
      <w:r w:rsidR="00963120">
        <w:t>.</w:t>
      </w:r>
      <w:r w:rsidR="00726123">
        <w:t xml:space="preserve"> </w:t>
      </w:r>
      <w:r w:rsidR="00963120">
        <w:t>In the Customer-</w:t>
      </w:r>
      <w:r w:rsidR="00E06572">
        <w:t>D</w:t>
      </w:r>
      <w:r w:rsidR="00963120">
        <w:t>irected option</w:t>
      </w:r>
      <w:r w:rsidR="00726123">
        <w:t xml:space="preserve"> the BESS can be charged by the grid or the co-located solar resource</w:t>
      </w:r>
      <w:r w:rsidR="004A2DC8">
        <w:t xml:space="preserve">. </w:t>
      </w:r>
      <w:r w:rsidR="00B12905">
        <w:t xml:space="preserve">The minimum number of hours called in each annual period is 50, </w:t>
      </w:r>
      <w:r w:rsidR="002D77F8">
        <w:t xml:space="preserve">with a maximum event duration of </w:t>
      </w:r>
      <w:r w:rsidR="000B0F57">
        <w:t>four</w:t>
      </w:r>
      <w:r w:rsidR="002D77F8">
        <w:t xml:space="preserve"> </w:t>
      </w:r>
      <w:r w:rsidR="00B3738C">
        <w:t>hours</w:t>
      </w:r>
      <w:r w:rsidR="00B12905">
        <w:t xml:space="preserve">. </w:t>
      </w:r>
      <w:r w:rsidR="007514D4">
        <w:t xml:space="preserve">If </w:t>
      </w:r>
      <w:r w:rsidR="008D5814">
        <w:t>a</w:t>
      </w:r>
      <w:r w:rsidR="007514D4">
        <w:t xml:space="preserve"> </w:t>
      </w:r>
      <w:r w:rsidR="00240D73">
        <w:t>customer opts out of an event</w:t>
      </w:r>
      <w:r w:rsidR="004F4B23">
        <w:t xml:space="preserve"> and does not discharge their BESS</w:t>
      </w:r>
      <w:r w:rsidR="00BD4418">
        <w:t>,</w:t>
      </w:r>
      <w:r w:rsidR="00F92A73">
        <w:t xml:space="preserve"> the</w:t>
      </w:r>
      <w:r w:rsidR="005B532E">
        <w:t xml:space="preserve"> customer</w:t>
      </w:r>
      <w:r w:rsidR="00F92A73">
        <w:t xml:space="preserve"> will not receive any </w:t>
      </w:r>
      <w:r w:rsidR="00107957">
        <w:t>payment</w:t>
      </w:r>
      <w:r w:rsidR="00F92A73">
        <w:t xml:space="preserve"> for that </w:t>
      </w:r>
      <w:r w:rsidR="00107957">
        <w:t>event</w:t>
      </w:r>
      <w:r w:rsidR="00240D73">
        <w:t>.</w:t>
      </w:r>
      <w:r w:rsidR="00155095">
        <w:t xml:space="preserve"> </w:t>
      </w:r>
      <w:r w:rsidR="000C15FF">
        <w:t xml:space="preserve">Outside </w:t>
      </w:r>
      <w:r w:rsidR="00477B82">
        <w:t xml:space="preserve">of </w:t>
      </w:r>
      <w:r w:rsidR="00D672DA">
        <w:t xml:space="preserve">utility </w:t>
      </w:r>
      <w:r w:rsidR="007C6483">
        <w:t>events</w:t>
      </w:r>
      <w:r w:rsidR="00F92A73">
        <w:t>,</w:t>
      </w:r>
      <w:r w:rsidR="007C6483">
        <w:t xml:space="preserve"> participating customers are </w:t>
      </w:r>
      <w:r w:rsidR="003622F5">
        <w:t xml:space="preserve">able to use the </w:t>
      </w:r>
      <w:r w:rsidR="000E38A5">
        <w:t>BESS</w:t>
      </w:r>
      <w:r w:rsidR="00663E62">
        <w:t xml:space="preserve"> according to their needs and preferences</w:t>
      </w:r>
      <w:r w:rsidR="004F4B23">
        <w:t>, including resiliency</w:t>
      </w:r>
      <w:r w:rsidR="00663E62">
        <w:t>.</w:t>
      </w:r>
      <w:r w:rsidR="004F4B23">
        <w:t xml:space="preserve"> </w:t>
      </w:r>
      <w:r w:rsidR="007514D4">
        <w:t xml:space="preserve">The </w:t>
      </w:r>
      <w:r w:rsidR="005B532E">
        <w:t>C</w:t>
      </w:r>
      <w:r w:rsidR="007514D4">
        <w:t xml:space="preserve">ompany intends to use a third-party aggregator to </w:t>
      </w:r>
      <w:r w:rsidR="00726523">
        <w:t>administer the program and</w:t>
      </w:r>
      <w:r w:rsidR="007514D4">
        <w:t xml:space="preserve"> </w:t>
      </w:r>
      <w:r w:rsidR="00726523">
        <w:t xml:space="preserve">facilitate </w:t>
      </w:r>
      <w:r w:rsidR="007514D4">
        <w:t xml:space="preserve">participation from </w:t>
      </w:r>
      <w:r w:rsidR="005B532E">
        <w:t>multiple</w:t>
      </w:r>
      <w:r w:rsidR="00726523">
        <w:t xml:space="preserve"> brands and configurations of </w:t>
      </w:r>
      <w:r w:rsidR="00FC0F7A">
        <w:t>BESS</w:t>
      </w:r>
      <w:r w:rsidR="00726523">
        <w:t xml:space="preserve"> assets</w:t>
      </w:r>
      <w:r w:rsidR="007514D4">
        <w:t>.</w:t>
      </w:r>
      <w:r w:rsidR="00B45C54">
        <w:t xml:space="preserve"> </w:t>
      </w:r>
    </w:p>
    <w:p w14:paraId="008032F8" w14:textId="570C9C06" w:rsidR="00DD3E3D" w:rsidRDefault="00DD3E3D" w:rsidP="006A2D20">
      <w:pPr>
        <w:ind w:left="720"/>
        <w:jc w:val="both"/>
      </w:pPr>
      <w:r>
        <w:t xml:space="preserve">The upfront incentive payment </w:t>
      </w:r>
      <w:r w:rsidR="00910E6A">
        <w:t>is</w:t>
      </w:r>
      <w:r>
        <w:t xml:space="preserve"> </w:t>
      </w:r>
      <w:r w:rsidR="4A16AB21">
        <w:t>15</w:t>
      </w:r>
      <w:r>
        <w:t xml:space="preserve"> $/kW</w:t>
      </w:r>
      <w:r w:rsidR="00910E6A">
        <w:t xml:space="preserve"> </w:t>
      </w:r>
      <w:r w:rsidR="00965076">
        <w:t xml:space="preserve">of BESS </w:t>
      </w:r>
      <w:r w:rsidR="4DEDC584">
        <w:t xml:space="preserve">capacity </w:t>
      </w:r>
      <w:r w:rsidR="00910E6A">
        <w:t xml:space="preserve">and </w:t>
      </w:r>
      <w:r w:rsidR="00FA6123">
        <w:t xml:space="preserve">is intended to encourage </w:t>
      </w:r>
      <w:r w:rsidR="4BA2DAC7">
        <w:t>initial enrollment</w:t>
      </w:r>
      <w:r w:rsidR="00FA6123">
        <w:t>.</w:t>
      </w:r>
      <w:r w:rsidR="25B781A5">
        <w:t xml:space="preserve"> An ongoing performance</w:t>
      </w:r>
      <w:r w:rsidR="3A146BF8">
        <w:t>-</w:t>
      </w:r>
      <w:r w:rsidR="25B781A5">
        <w:t>based incentive of 1.50</w:t>
      </w:r>
      <w:r w:rsidR="5AB44595">
        <w:t xml:space="preserve"> </w:t>
      </w:r>
      <w:r w:rsidR="25B781A5">
        <w:t xml:space="preserve">$/kWh </w:t>
      </w:r>
      <w:r w:rsidR="2B8A9C23">
        <w:t xml:space="preserve">will be paid annually based on the energy discharged </w:t>
      </w:r>
      <w:r w:rsidR="7D522FE1">
        <w:t xml:space="preserve">from the battery </w:t>
      </w:r>
      <w:r w:rsidR="2B8A9C23">
        <w:t xml:space="preserve">during </w:t>
      </w:r>
      <w:r w:rsidR="00BA37BB">
        <w:t>C</w:t>
      </w:r>
      <w:r w:rsidR="2B8A9C23">
        <w:t>ompany called events.</w:t>
      </w:r>
      <w:r w:rsidR="00965076">
        <w:t xml:space="preserve"> </w:t>
      </w:r>
      <w:r w:rsidR="00FA6123">
        <w:t xml:space="preserve">The </w:t>
      </w:r>
      <w:r w:rsidR="0036745E">
        <w:t xml:space="preserve">total incentive value including the </w:t>
      </w:r>
      <w:r w:rsidR="001B27FD">
        <w:t>potential</w:t>
      </w:r>
      <w:r w:rsidR="00FA6123">
        <w:t xml:space="preserve"> per</w:t>
      </w:r>
      <w:r w:rsidR="00144311">
        <w:t xml:space="preserve"> event incentive is </w:t>
      </w:r>
      <w:r w:rsidR="00910E6A">
        <w:t>calculated based on the current system value of capacity</w:t>
      </w:r>
      <w:r>
        <w:t xml:space="preserve">. </w:t>
      </w:r>
      <w:r w:rsidR="00FA65C7">
        <w:t xml:space="preserve">The capacity value reflected </w:t>
      </w:r>
      <w:r w:rsidR="00781C32">
        <w:t xml:space="preserve">for </w:t>
      </w:r>
      <w:r w:rsidR="00FA65C7">
        <w:t xml:space="preserve">the incentive payment is discounted </w:t>
      </w:r>
      <w:r w:rsidR="00804271">
        <w:t xml:space="preserve">to </w:t>
      </w:r>
      <w:r w:rsidR="001B27FD">
        <w:t>75</w:t>
      </w:r>
      <w:r w:rsidR="00FA65C7">
        <w:t xml:space="preserve">% to ensure value for non-participating </w:t>
      </w:r>
      <w:r w:rsidR="00A43F2C">
        <w:t>customers</w:t>
      </w:r>
      <w:r w:rsidR="00FA65C7">
        <w:t xml:space="preserve">. </w:t>
      </w:r>
      <w:r w:rsidR="25CEF624">
        <w:t>I</w:t>
      </w:r>
      <w:r w:rsidR="002C6A6D">
        <w:t xml:space="preserve">n recognition of the </w:t>
      </w:r>
      <w:r w:rsidR="00552BF8">
        <w:t xml:space="preserve">unique needs </w:t>
      </w:r>
      <w:r w:rsidR="00CA5F7E">
        <w:t xml:space="preserve">of </w:t>
      </w:r>
      <w:r w:rsidR="4958E11B">
        <w:t>l</w:t>
      </w:r>
      <w:r w:rsidR="78560500">
        <w:t xml:space="preserve">ow to </w:t>
      </w:r>
      <w:r w:rsidR="600A7019">
        <w:t>m</w:t>
      </w:r>
      <w:r w:rsidR="78560500">
        <w:t xml:space="preserve">oderate </w:t>
      </w:r>
      <w:r w:rsidR="26968767">
        <w:t>i</w:t>
      </w:r>
      <w:r w:rsidR="78560500">
        <w:t xml:space="preserve">ncome </w:t>
      </w:r>
      <w:r w:rsidR="009936C8">
        <w:t xml:space="preserve">customers and </w:t>
      </w:r>
      <w:r w:rsidR="00280862">
        <w:t>benefits provide</w:t>
      </w:r>
      <w:r w:rsidR="00630AA1">
        <w:t>d</w:t>
      </w:r>
      <w:r w:rsidR="00280862">
        <w:t xml:space="preserve"> by </w:t>
      </w:r>
      <w:r w:rsidR="00FF1F82">
        <w:t>commercial business</w:t>
      </w:r>
      <w:r w:rsidR="001702A6">
        <w:t>es</w:t>
      </w:r>
      <w:r w:rsidR="00FF1F82">
        <w:t xml:space="preserve"> in </w:t>
      </w:r>
      <w:r w:rsidR="001702A6">
        <w:t>m</w:t>
      </w:r>
      <w:r w:rsidR="001702A6" w:rsidRPr="001702A6">
        <w:t>unicipalities, universities, schools, and hospitals</w:t>
      </w:r>
      <w:r w:rsidR="00FF1F82">
        <w:t xml:space="preserve"> </w:t>
      </w:r>
      <w:r w:rsidR="001702A6">
        <w:t>(“</w:t>
      </w:r>
      <w:r w:rsidR="00FF1F82">
        <w:t>MUSH</w:t>
      </w:r>
      <w:r w:rsidR="001702A6">
        <w:t>”)</w:t>
      </w:r>
      <w:r w:rsidR="00FF1F82">
        <w:t xml:space="preserve"> segments</w:t>
      </w:r>
      <w:r w:rsidR="00CA5F7E">
        <w:t>, a</w:t>
      </w:r>
      <w:r w:rsidR="087FCF4F">
        <w:t>n upfront incentive payment of</w:t>
      </w:r>
      <w:r w:rsidR="10433960">
        <w:t xml:space="preserve"> </w:t>
      </w:r>
      <w:r w:rsidR="13D1BF4C">
        <w:t>45</w:t>
      </w:r>
      <w:r w:rsidR="00CA5F7E">
        <w:t xml:space="preserve"> $/kW will be made available for eligible customers in those segments</w:t>
      </w:r>
      <w:r w:rsidR="00FF1F82">
        <w:t xml:space="preserve">. </w:t>
      </w:r>
      <w:r>
        <w:t xml:space="preserve">The kW basis for the incentive payment will be based on the lower of </w:t>
      </w:r>
      <w:r w:rsidR="009E2B69">
        <w:t>(</w:t>
      </w:r>
      <w:r>
        <w:t xml:space="preserve">1) the maximum continuous discharge rate of the battery or </w:t>
      </w:r>
      <w:r w:rsidR="009E2B69">
        <w:t>(</w:t>
      </w:r>
      <w:r>
        <w:t xml:space="preserve">2) the energy storage capacity (kWh) divided by </w:t>
      </w:r>
      <w:r w:rsidR="73DF6935">
        <w:t>four</w:t>
      </w:r>
      <w:r>
        <w:t>.</w:t>
      </w:r>
    </w:p>
    <w:p w14:paraId="59890161" w14:textId="223FB172" w:rsidR="00E92D1D" w:rsidRPr="004B6B57" w:rsidRDefault="00D7681D" w:rsidP="009A12F5">
      <w:pPr>
        <w:pStyle w:val="ListParagraph"/>
        <w:numPr>
          <w:ilvl w:val="0"/>
          <w:numId w:val="42"/>
        </w:numPr>
        <w:tabs>
          <w:tab w:val="left" w:pos="720"/>
        </w:tabs>
        <w:spacing w:line="278" w:lineRule="auto"/>
        <w:jc w:val="both"/>
        <w:rPr>
          <w:i/>
          <w:color w:val="0F4761"/>
        </w:rPr>
      </w:pPr>
      <w:r w:rsidRPr="004B6B57">
        <w:rPr>
          <w:i/>
          <w:color w:val="0F4761"/>
        </w:rPr>
        <w:t>Company</w:t>
      </w:r>
      <w:r w:rsidR="00AD004B">
        <w:rPr>
          <w:i/>
          <w:color w:val="0F4761"/>
        </w:rPr>
        <w:t>-</w:t>
      </w:r>
      <w:r w:rsidR="00E92D1D" w:rsidRPr="004B6B57">
        <w:rPr>
          <w:i/>
          <w:color w:val="0F4761"/>
        </w:rPr>
        <w:t xml:space="preserve">Directed </w:t>
      </w:r>
    </w:p>
    <w:p w14:paraId="6E2BCE6A" w14:textId="2A0697B2" w:rsidR="004F2BBC" w:rsidRDefault="00E92D1D" w:rsidP="004A6603">
      <w:pPr>
        <w:ind w:left="720"/>
        <w:jc w:val="both"/>
      </w:pPr>
      <w:r>
        <w:t>I</w:t>
      </w:r>
      <w:r w:rsidR="004E4698">
        <w:t>n</w:t>
      </w:r>
      <w:r>
        <w:t xml:space="preserve"> the </w:t>
      </w:r>
      <w:r w:rsidR="008E1FEC">
        <w:t>Company-Directed</w:t>
      </w:r>
      <w:r w:rsidR="0061330E">
        <w:t xml:space="preserve"> </w:t>
      </w:r>
      <w:r w:rsidR="00FC110F">
        <w:t>option</w:t>
      </w:r>
      <w:r w:rsidR="008E1FEC">
        <w:t>,</w:t>
      </w:r>
      <w:r w:rsidR="0061330E">
        <w:t xml:space="preserve"> customer</w:t>
      </w:r>
      <w:r w:rsidR="00483956">
        <w:t>s</w:t>
      </w:r>
      <w:r w:rsidR="008E1FEC">
        <w:t xml:space="preserve"> </w:t>
      </w:r>
      <w:r w:rsidR="004B6625">
        <w:t>with</w:t>
      </w:r>
      <w:r w:rsidR="0061330E">
        <w:t xml:space="preserve"> new </w:t>
      </w:r>
      <w:r w:rsidR="008E1FEC">
        <w:t>BESS assets</w:t>
      </w:r>
      <w:r w:rsidR="0061330E">
        <w:t xml:space="preserve"> </w:t>
      </w:r>
      <w:r w:rsidR="0031282D">
        <w:t xml:space="preserve">that meet technical and performance requirements </w:t>
      </w:r>
      <w:r w:rsidR="00A10873">
        <w:t>and are paired</w:t>
      </w:r>
      <w:r w:rsidR="004B6625">
        <w:t xml:space="preserve"> with</w:t>
      </w:r>
      <w:r w:rsidR="004E4698">
        <w:t xml:space="preserve"> new or existing </w:t>
      </w:r>
      <w:r w:rsidR="008E1FEC">
        <w:t>BTM</w:t>
      </w:r>
      <w:r w:rsidR="004E4698">
        <w:t xml:space="preserve"> solar</w:t>
      </w:r>
      <w:r w:rsidR="004B6625">
        <w:t xml:space="preserve"> will be eli</w:t>
      </w:r>
      <w:r w:rsidR="00483956">
        <w:t>gible to participate</w:t>
      </w:r>
      <w:r w:rsidR="004E4698">
        <w:t xml:space="preserve">. </w:t>
      </w:r>
      <w:r w:rsidR="00880237">
        <w:t xml:space="preserve">As in the </w:t>
      </w:r>
      <w:r w:rsidR="008346EC">
        <w:t>C</w:t>
      </w:r>
      <w:r w:rsidR="00880237">
        <w:t>ustomer</w:t>
      </w:r>
      <w:r w:rsidR="00131342">
        <w:t>-</w:t>
      </w:r>
      <w:r w:rsidR="008346EC">
        <w:t>D</w:t>
      </w:r>
      <w:r w:rsidR="00880237">
        <w:t>irected option, the Company intends to use a third-party aggregator to administer the program</w:t>
      </w:r>
      <w:r w:rsidR="008346EC">
        <w:t>,</w:t>
      </w:r>
      <w:r w:rsidR="00880237">
        <w:t xml:space="preserve"> </w:t>
      </w:r>
      <w:r w:rsidR="00880237" w:rsidDel="004961AB">
        <w:t xml:space="preserve">but </w:t>
      </w:r>
      <w:r w:rsidR="00880237">
        <w:t>requirements may restrict</w:t>
      </w:r>
      <w:r w:rsidR="004E4698">
        <w:t xml:space="preserve"> </w:t>
      </w:r>
      <w:r w:rsidR="00C50E24">
        <w:t>eligible</w:t>
      </w:r>
      <w:r w:rsidR="004E4698">
        <w:t xml:space="preserve"> </w:t>
      </w:r>
      <w:r w:rsidR="00880237">
        <w:t>technologies</w:t>
      </w:r>
      <w:r w:rsidR="00897BBE">
        <w:t xml:space="preserve"> or configurations</w:t>
      </w:r>
      <w:r w:rsidR="00880237">
        <w:t xml:space="preserve">. </w:t>
      </w:r>
      <w:r w:rsidR="00897BBE">
        <w:t>E</w:t>
      </w:r>
      <w:r w:rsidR="00C50E24">
        <w:t xml:space="preserve">ligible </w:t>
      </w:r>
      <w:r w:rsidR="004E4698">
        <w:t>customer</w:t>
      </w:r>
      <w:r w:rsidR="00483956">
        <w:t xml:space="preserve"> generators</w:t>
      </w:r>
      <w:r w:rsidR="004E4698">
        <w:t xml:space="preserve"> </w:t>
      </w:r>
      <w:r w:rsidR="00495D71">
        <w:t xml:space="preserve">will </w:t>
      </w:r>
      <w:r w:rsidR="000940AF">
        <w:t>enter</w:t>
      </w:r>
      <w:r w:rsidR="00495D71">
        <w:t xml:space="preserve"> a </w:t>
      </w:r>
      <w:r w:rsidR="00C50E24">
        <w:t>ten</w:t>
      </w:r>
      <w:r w:rsidR="000940AF">
        <w:t>-year</w:t>
      </w:r>
      <w:r w:rsidR="00495D71">
        <w:t xml:space="preserve"> contract </w:t>
      </w:r>
      <w:r w:rsidR="00483956">
        <w:t>t</w:t>
      </w:r>
      <w:r w:rsidR="00746FA1">
        <w:t>o</w:t>
      </w:r>
      <w:r w:rsidR="00495D71">
        <w:t xml:space="preserve"> </w:t>
      </w:r>
      <w:r w:rsidR="00B81B4E">
        <w:t>allow</w:t>
      </w:r>
      <w:r w:rsidR="008E1FEC">
        <w:t xml:space="preserve"> </w:t>
      </w:r>
      <w:r w:rsidR="00746FA1">
        <w:t>the BESS</w:t>
      </w:r>
      <w:r w:rsidR="003A6E96">
        <w:t xml:space="preserve"> to be </w:t>
      </w:r>
      <w:r w:rsidR="00746FA1">
        <w:t>dispatched</w:t>
      </w:r>
      <w:r w:rsidR="00B81B4E">
        <w:t xml:space="preserve"> by Georgia Power</w:t>
      </w:r>
      <w:r w:rsidR="003A6E96">
        <w:t>.</w:t>
      </w:r>
      <w:r w:rsidR="007A21A3">
        <w:t xml:space="preserve"> This contract will be </w:t>
      </w:r>
      <w:r w:rsidR="00F22619">
        <w:t xml:space="preserve">tied to the </w:t>
      </w:r>
      <w:r w:rsidR="19BADD54">
        <w:t>premise</w:t>
      </w:r>
      <w:r w:rsidR="394DA318">
        <w:t>s</w:t>
      </w:r>
      <w:r w:rsidR="00A8406F">
        <w:t xml:space="preserve"> and </w:t>
      </w:r>
      <w:r w:rsidR="00671E24">
        <w:t xml:space="preserve">is intended to </w:t>
      </w:r>
      <w:r w:rsidR="00456C9E">
        <w:t xml:space="preserve">be </w:t>
      </w:r>
      <w:r w:rsidR="00AC7526">
        <w:t xml:space="preserve">conveyed to </w:t>
      </w:r>
      <w:r w:rsidR="005E05D4">
        <w:t xml:space="preserve">future </w:t>
      </w:r>
      <w:r w:rsidR="005045AA">
        <w:t xml:space="preserve">customers in the same location in order to </w:t>
      </w:r>
      <w:r w:rsidR="008421FC">
        <w:t>support the long</w:t>
      </w:r>
      <w:r w:rsidR="009A3425">
        <w:t>-</w:t>
      </w:r>
      <w:r w:rsidR="008421FC">
        <w:t>term nature of the agreement term.</w:t>
      </w:r>
      <w:r w:rsidR="003A6E96">
        <w:t xml:space="preserve"> </w:t>
      </w:r>
      <w:r w:rsidR="00B81B4E">
        <w:t xml:space="preserve">In return, the </w:t>
      </w:r>
      <w:r w:rsidR="008E1FEC">
        <w:t>C</w:t>
      </w:r>
      <w:r w:rsidR="00B81B4E">
        <w:t>ompany will provide a</w:t>
      </w:r>
      <w:r w:rsidR="008421FC">
        <w:t>n</w:t>
      </w:r>
      <w:r w:rsidR="00B81B4E">
        <w:t xml:space="preserve"> upfront </w:t>
      </w:r>
      <w:r w:rsidR="00CB5B61">
        <w:t>incentive</w:t>
      </w:r>
      <w:r w:rsidR="00BF0FCF">
        <w:t xml:space="preserve"> payment </w:t>
      </w:r>
      <w:r w:rsidR="008421FC">
        <w:t xml:space="preserve">based on the current </w:t>
      </w:r>
      <w:r w:rsidR="00A345BC">
        <w:t xml:space="preserve">forecasted </w:t>
      </w:r>
      <w:r w:rsidR="008421FC">
        <w:t xml:space="preserve">value of capacity to the </w:t>
      </w:r>
      <w:r w:rsidR="008539DA">
        <w:t>S</w:t>
      </w:r>
      <w:r w:rsidR="008421FC">
        <w:t>ystem</w:t>
      </w:r>
      <w:r w:rsidR="00481F65">
        <w:t xml:space="preserve"> </w:t>
      </w:r>
      <w:r w:rsidR="00EA085F">
        <w:t xml:space="preserve">over the contract </w:t>
      </w:r>
      <w:r w:rsidR="00EA085F">
        <w:lastRenderedPageBreak/>
        <w:t>term</w:t>
      </w:r>
      <w:r w:rsidR="008421FC">
        <w:t xml:space="preserve"> and is calculated</w:t>
      </w:r>
      <w:r w:rsidR="00F5142D">
        <w:t xml:space="preserve"> consistent</w:t>
      </w:r>
      <w:r w:rsidR="00A562BB">
        <w:t xml:space="preserve"> to </w:t>
      </w:r>
      <w:r w:rsidR="00794FDF">
        <w:t>other</w:t>
      </w:r>
      <w:r w:rsidR="00963579">
        <w:t xml:space="preserve"> Company DER programs. </w:t>
      </w:r>
      <w:r w:rsidR="58C1D475">
        <w:t>The</w:t>
      </w:r>
      <w:r w:rsidR="00963579">
        <w:t xml:space="preserve"> incentive value is</w:t>
      </w:r>
      <w:r w:rsidR="00CF2C6F">
        <w:t xml:space="preserve"> </w:t>
      </w:r>
      <w:r w:rsidR="4413EC67">
        <w:t>750</w:t>
      </w:r>
      <w:r w:rsidR="36DB4DA3">
        <w:t xml:space="preserve"> </w:t>
      </w:r>
      <w:r w:rsidR="00CF2C6F">
        <w:t>$</w:t>
      </w:r>
      <w:r w:rsidR="00605635">
        <w:t>/kW</w:t>
      </w:r>
      <w:r w:rsidR="00E11A40">
        <w:t>, which represents 75% of the associated system value of the storage capacity</w:t>
      </w:r>
      <w:r w:rsidR="000C3677">
        <w:t xml:space="preserve">. </w:t>
      </w:r>
      <w:r w:rsidR="008215B5">
        <w:t xml:space="preserve">Georgia </w:t>
      </w:r>
      <w:r w:rsidR="009E3C03">
        <w:t>P</w:t>
      </w:r>
      <w:r w:rsidR="008215B5">
        <w:t xml:space="preserve">ower will </w:t>
      </w:r>
      <w:r w:rsidR="00FE7CD6">
        <w:t xml:space="preserve">operate the </w:t>
      </w:r>
      <w:r w:rsidR="009E3C03">
        <w:t>BESS</w:t>
      </w:r>
      <w:r w:rsidR="00FE7CD6">
        <w:t xml:space="preserve"> within</w:t>
      </w:r>
      <w:r w:rsidR="00D150CF">
        <w:t xml:space="preserve"> manufacturer guidelines and will </w:t>
      </w:r>
      <w:r w:rsidR="008215B5">
        <w:t>not discharge the battery below a 20% state of charge</w:t>
      </w:r>
      <w:r w:rsidR="00EC2939">
        <w:t>,</w:t>
      </w:r>
      <w:r w:rsidR="008215B5">
        <w:t xml:space="preserve"> preserving</w:t>
      </w:r>
      <w:r w:rsidR="00853F9A">
        <w:t xml:space="preserve"> a minimum level of capacity </w:t>
      </w:r>
      <w:r w:rsidR="00963579">
        <w:t xml:space="preserve">to support </w:t>
      </w:r>
      <w:r w:rsidR="00853F9A">
        <w:t xml:space="preserve">customer resiliency. </w:t>
      </w:r>
      <w:r w:rsidR="00EC2939">
        <w:t>BESS</w:t>
      </w:r>
      <w:r w:rsidR="00853F9A">
        <w:t xml:space="preserve"> in the </w:t>
      </w:r>
      <w:r w:rsidR="00EC2939">
        <w:t>Company-Directed</w:t>
      </w:r>
      <w:r w:rsidR="00853F9A">
        <w:t xml:space="preserve"> model will </w:t>
      </w:r>
      <w:r w:rsidR="0080514F">
        <w:t xml:space="preserve">be charged via </w:t>
      </w:r>
      <w:r w:rsidR="00EC2939">
        <w:t xml:space="preserve">the </w:t>
      </w:r>
      <w:r w:rsidR="000D2755">
        <w:t xml:space="preserve">co-located </w:t>
      </w:r>
      <w:r w:rsidR="0080514F">
        <w:t>solar</w:t>
      </w:r>
      <w:r w:rsidR="00EC2939">
        <w:t xml:space="preserve"> and</w:t>
      </w:r>
      <w:r w:rsidR="0080514F">
        <w:t xml:space="preserve"> not </w:t>
      </w:r>
      <w:r w:rsidR="000D2755">
        <w:t xml:space="preserve">from </w:t>
      </w:r>
      <w:r w:rsidR="0080514F">
        <w:t xml:space="preserve">the electric grid. </w:t>
      </w:r>
    </w:p>
    <w:p w14:paraId="2330BF90" w14:textId="3A87F735" w:rsidR="00F2491F" w:rsidRPr="001F0B53" w:rsidRDefault="00B22C18" w:rsidP="004A6603">
      <w:pPr>
        <w:ind w:left="720"/>
        <w:jc w:val="both"/>
      </w:pPr>
      <w:r>
        <w:t xml:space="preserve">In recognition of the </w:t>
      </w:r>
      <w:r w:rsidR="00FC7804">
        <w:t>unique</w:t>
      </w:r>
      <w:r>
        <w:t xml:space="preserve"> needs of </w:t>
      </w:r>
      <w:r w:rsidR="00015846">
        <w:t>low to moderate income</w:t>
      </w:r>
      <w:r>
        <w:t xml:space="preserve"> </w:t>
      </w:r>
      <w:r w:rsidR="57A039AB">
        <w:t>r</w:t>
      </w:r>
      <w:r w:rsidR="00FC7804">
        <w:t xml:space="preserve">esidential and MUSH </w:t>
      </w:r>
      <w:r w:rsidR="70A0FDEE">
        <w:t>c</w:t>
      </w:r>
      <w:r w:rsidR="00FC7804">
        <w:t xml:space="preserve">ommercial </w:t>
      </w:r>
      <w:r>
        <w:t xml:space="preserve">customers, </w:t>
      </w:r>
      <w:r w:rsidR="320FCABE">
        <w:t>a</w:t>
      </w:r>
      <w:r w:rsidR="689D1E51">
        <w:t>n incentive of</w:t>
      </w:r>
      <w:r w:rsidDel="320FCABE">
        <w:t xml:space="preserve"> </w:t>
      </w:r>
      <w:r w:rsidR="27D16029">
        <w:t>1</w:t>
      </w:r>
      <w:r w:rsidR="1E1BB068">
        <w:t>,000</w:t>
      </w:r>
      <w:r w:rsidR="00B20873">
        <w:t xml:space="preserve"> $/kW </w:t>
      </w:r>
      <w:r w:rsidR="00D30377">
        <w:t>will be offered</w:t>
      </w:r>
      <w:r w:rsidR="00B20873">
        <w:t xml:space="preserve"> </w:t>
      </w:r>
      <w:r w:rsidR="0059765C">
        <w:t xml:space="preserve">for eligible customers in those </w:t>
      </w:r>
      <w:r w:rsidR="000B7506">
        <w:t>segments</w:t>
      </w:r>
      <w:r w:rsidR="0059765C">
        <w:t>.</w:t>
      </w:r>
      <w:r w:rsidR="00B20873">
        <w:t xml:space="preserve"> </w:t>
      </w:r>
      <w:r w:rsidR="71A51548">
        <w:t>T</w:t>
      </w:r>
      <w:r w:rsidR="27BAFA79">
        <w:t>he</w:t>
      </w:r>
      <w:r w:rsidR="007A1E0E">
        <w:t xml:space="preserve"> kW basis for the incentive payment will be based on the lower of </w:t>
      </w:r>
      <w:r w:rsidR="00CA5F7E">
        <w:t>(</w:t>
      </w:r>
      <w:r w:rsidR="007A1E0E">
        <w:t xml:space="preserve">1) the maximum continuous discharge rate of the battery or </w:t>
      </w:r>
      <w:r w:rsidR="00CA5F7E">
        <w:t>(</w:t>
      </w:r>
      <w:r w:rsidR="007A1E0E">
        <w:t xml:space="preserve">2) </w:t>
      </w:r>
      <w:r w:rsidR="0066493A">
        <w:t xml:space="preserve">80% of the </w:t>
      </w:r>
      <w:r w:rsidR="00246504">
        <w:t xml:space="preserve">energy storage capacity (kWh) divided by </w:t>
      </w:r>
      <w:r w:rsidR="00CA5F7E">
        <w:t>two</w:t>
      </w:r>
      <w:r w:rsidR="00246504">
        <w:t>.</w:t>
      </w:r>
    </w:p>
    <w:p w14:paraId="48568795" w14:textId="3911C5C5" w:rsidR="00373DCC" w:rsidRPr="001F0B53" w:rsidRDefault="00482788" w:rsidP="004A6603">
      <w:pPr>
        <w:jc w:val="both"/>
      </w:pPr>
      <w:r>
        <w:t xml:space="preserve">As proposed, </w:t>
      </w:r>
      <w:r w:rsidR="005C1E81">
        <w:t>t</w:t>
      </w:r>
      <w:r w:rsidR="008B085A">
        <w:t>he</w:t>
      </w:r>
      <w:r w:rsidR="00C54472">
        <w:t xml:space="preserve"> </w:t>
      </w:r>
      <w:r w:rsidR="001A47E1">
        <w:t xml:space="preserve">Solar </w:t>
      </w:r>
      <w:r w:rsidR="007065AB">
        <w:t>Plus</w:t>
      </w:r>
      <w:r w:rsidR="0059765C">
        <w:t xml:space="preserve"> S</w:t>
      </w:r>
      <w:r w:rsidR="001A47E1">
        <w:t xml:space="preserve">torage </w:t>
      </w:r>
      <w:r w:rsidR="0059765C">
        <w:t>P</w:t>
      </w:r>
      <w:r w:rsidR="00C54472">
        <w:t xml:space="preserve">ilot </w:t>
      </w:r>
      <w:r w:rsidR="00CA5F7E">
        <w:t>P</w:t>
      </w:r>
      <w:r w:rsidR="005C1E81">
        <w:t>rogram</w:t>
      </w:r>
      <w:r w:rsidR="00C54472">
        <w:t xml:space="preserve"> </w:t>
      </w:r>
      <w:r w:rsidR="18CE6E83">
        <w:t>is intended to</w:t>
      </w:r>
      <w:r w:rsidR="001A47E1">
        <w:t xml:space="preserve"> </w:t>
      </w:r>
      <w:r w:rsidR="00C54472">
        <w:t xml:space="preserve">support customer clean energy </w:t>
      </w:r>
      <w:r w:rsidR="00AF23AB">
        <w:t>and resiliency</w:t>
      </w:r>
      <w:r w:rsidR="00C54472">
        <w:t xml:space="preserve"> goals </w:t>
      </w:r>
      <w:r w:rsidR="1F0BF457">
        <w:t>while</w:t>
      </w:r>
      <w:r w:rsidR="00C54472">
        <w:t xml:space="preserve"> </w:t>
      </w:r>
      <w:r w:rsidR="70754616">
        <w:t>providing</w:t>
      </w:r>
      <w:r w:rsidR="006B2F28">
        <w:t xml:space="preserve"> capacity resources to the </w:t>
      </w:r>
      <w:r w:rsidR="00CA5F7E">
        <w:t>S</w:t>
      </w:r>
      <w:r w:rsidR="006B2F28">
        <w:t>ystem</w:t>
      </w:r>
      <w:r w:rsidR="005C1E81">
        <w:t xml:space="preserve"> in an economic manner</w:t>
      </w:r>
      <w:r w:rsidR="006B2F28">
        <w:t xml:space="preserve">. </w:t>
      </w:r>
      <w:r w:rsidR="003B4E04">
        <w:t xml:space="preserve">The </w:t>
      </w:r>
      <w:r w:rsidR="00AF23AB">
        <w:t xml:space="preserve">program design </w:t>
      </w:r>
      <w:r w:rsidR="00CA5F7E">
        <w:t>is structured to</w:t>
      </w:r>
      <w:r w:rsidR="00AF23AB">
        <w:t xml:space="preserve"> </w:t>
      </w:r>
      <w:r w:rsidR="00C54472">
        <w:t>encourage additional market growth for flexible customer</w:t>
      </w:r>
      <w:r w:rsidR="78A29313">
        <w:t>-</w:t>
      </w:r>
      <w:r w:rsidR="00C54472">
        <w:t>sited generation</w:t>
      </w:r>
      <w:r w:rsidR="00AF23AB">
        <w:t xml:space="preserve">, and allow for </w:t>
      </w:r>
      <w:r w:rsidR="001D6330">
        <w:t xml:space="preserve">collaboration between the Company, </w:t>
      </w:r>
      <w:r w:rsidR="00AE5536">
        <w:t>Commission S</w:t>
      </w:r>
      <w:r w:rsidR="001D6330">
        <w:t xml:space="preserve">taff, stakeholders, and customer generators </w:t>
      </w:r>
      <w:r w:rsidR="00C864E4">
        <w:t xml:space="preserve">with a goal </w:t>
      </w:r>
      <w:r w:rsidR="399D52D6">
        <w:t>of producing</w:t>
      </w:r>
      <w:r w:rsidR="00C864E4">
        <w:t xml:space="preserve"> a program that offers benefits to all customers</w:t>
      </w:r>
      <w:r w:rsidR="00C54472">
        <w:t xml:space="preserve">. </w:t>
      </w:r>
      <w:r w:rsidR="00AE5536">
        <w:t xml:space="preserve">As proposed, the Solar </w:t>
      </w:r>
      <w:r w:rsidR="007065AB">
        <w:t>Plus</w:t>
      </w:r>
      <w:r w:rsidR="00AE5536">
        <w:t xml:space="preserve"> Storage Pilot</w:t>
      </w:r>
      <w:r w:rsidR="00C54472">
        <w:t xml:space="preserve"> </w:t>
      </w:r>
      <w:r w:rsidR="00CA5F7E">
        <w:t xml:space="preserve">Program </w:t>
      </w:r>
      <w:r w:rsidR="00C54472">
        <w:t xml:space="preserve">enables participation </w:t>
      </w:r>
      <w:r w:rsidR="00044AB3">
        <w:t xml:space="preserve">from </w:t>
      </w:r>
      <w:r w:rsidR="5EEBCC01">
        <w:t>a variety of</w:t>
      </w:r>
      <w:r w:rsidR="00044AB3">
        <w:t xml:space="preserve"> customer types and sizes and creates</w:t>
      </w:r>
      <w:r w:rsidR="00C54472">
        <w:t xml:space="preserve"> opportunities </w:t>
      </w:r>
      <w:r w:rsidR="00044AB3">
        <w:t>to leverage</w:t>
      </w:r>
      <w:r w:rsidR="00995088">
        <w:t xml:space="preserve"> </w:t>
      </w:r>
      <w:r w:rsidR="7C97B2E4">
        <w:t xml:space="preserve">additional </w:t>
      </w:r>
      <w:r w:rsidR="00FF3A5E">
        <w:t xml:space="preserve">funding </w:t>
      </w:r>
      <w:r w:rsidR="0E5C48F9">
        <w:t xml:space="preserve">sources </w:t>
      </w:r>
      <w:r w:rsidR="00533508">
        <w:t xml:space="preserve">to reduce the net costs to customers and the </w:t>
      </w:r>
      <w:r w:rsidR="000B1115">
        <w:t>S</w:t>
      </w:r>
      <w:r w:rsidR="00533508">
        <w:t>ystem</w:t>
      </w:r>
      <w:r w:rsidR="00995088">
        <w:t>. Participating customer</w:t>
      </w:r>
      <w:r w:rsidR="00533508">
        <w:t xml:space="preserve"> generators</w:t>
      </w:r>
      <w:r w:rsidR="00995088">
        <w:t xml:space="preserve"> will </w:t>
      </w:r>
      <w:r w:rsidR="00533508">
        <w:t xml:space="preserve">benefit from </w:t>
      </w:r>
      <w:r w:rsidR="00995088">
        <w:t xml:space="preserve">enhanced resiliency and optionality to participate according to their preferences, </w:t>
      </w:r>
      <w:r w:rsidR="00533508">
        <w:t xml:space="preserve">and </w:t>
      </w:r>
      <w:r w:rsidR="00995088">
        <w:t>non-participating customer</w:t>
      </w:r>
      <w:r w:rsidR="61D341A2">
        <w:t>s</w:t>
      </w:r>
      <w:r w:rsidR="00995088">
        <w:t xml:space="preserve"> will benefit from additional clean</w:t>
      </w:r>
      <w:r w:rsidR="00FF3A5E">
        <w:t xml:space="preserve"> </w:t>
      </w:r>
      <w:r w:rsidR="00DA5011">
        <w:t>resources and dispatchable capacity</w:t>
      </w:r>
      <w:r w:rsidR="00533508">
        <w:t xml:space="preserve"> added to the </w:t>
      </w:r>
      <w:r w:rsidR="000B1115">
        <w:t>S</w:t>
      </w:r>
      <w:r w:rsidR="00533508">
        <w:t>ystem. Georgia Power will</w:t>
      </w:r>
      <w:r w:rsidR="00100588">
        <w:t xml:space="preserve"> continue to</w:t>
      </w:r>
      <w:r w:rsidR="00533508">
        <w:t xml:space="preserve"> work with Staff and stakeholders to ensure a robust feedback process </w:t>
      </w:r>
      <w:r w:rsidR="00AE5536">
        <w:t xml:space="preserve">through the </w:t>
      </w:r>
      <w:r w:rsidR="5BC22128">
        <w:t>P</w:t>
      </w:r>
      <w:r w:rsidR="00AE5536">
        <w:t xml:space="preserve">ilot </w:t>
      </w:r>
      <w:r w:rsidR="00533508">
        <w:t xml:space="preserve">as </w:t>
      </w:r>
      <w:r w:rsidR="00AE5536">
        <w:t>the Company</w:t>
      </w:r>
      <w:r w:rsidR="00DA5011">
        <w:t xml:space="preserve"> gain</w:t>
      </w:r>
      <w:r w:rsidR="00AE5536">
        <w:t>s</w:t>
      </w:r>
      <w:r w:rsidR="00DA5011">
        <w:t xml:space="preserve"> </w:t>
      </w:r>
      <w:r w:rsidR="00533508">
        <w:t xml:space="preserve">knowledge and experience </w:t>
      </w:r>
      <w:r w:rsidR="155D4DF9">
        <w:t>related</w:t>
      </w:r>
      <w:r w:rsidR="0048153C">
        <w:t xml:space="preserve"> to </w:t>
      </w:r>
      <w:r w:rsidR="00A24F49">
        <w:t>maximiz</w:t>
      </w:r>
      <w:r w:rsidR="1BBBDE2F">
        <w:t>ing</w:t>
      </w:r>
      <w:r w:rsidR="00A24F49">
        <w:t xml:space="preserve"> the value these </w:t>
      </w:r>
      <w:r w:rsidR="0048153C">
        <w:t xml:space="preserve">distributed resources </w:t>
      </w:r>
      <w:r w:rsidR="00A24F49">
        <w:t xml:space="preserve">can deliver to the </w:t>
      </w:r>
      <w:r w:rsidR="000B1115">
        <w:t>S</w:t>
      </w:r>
      <w:r w:rsidR="00A24F49">
        <w:t>ystem</w:t>
      </w:r>
      <w:r w:rsidR="0048153C">
        <w:t xml:space="preserve">. </w:t>
      </w:r>
    </w:p>
    <w:p w14:paraId="6FF39DAF" w14:textId="263B9136" w:rsidR="00167196" w:rsidRDefault="00167196" w:rsidP="004B6B57">
      <w:pPr>
        <w:pStyle w:val="ListParagraph"/>
        <w:spacing w:before="120" w:after="120" w:line="278" w:lineRule="auto"/>
        <w:ind w:left="0"/>
        <w:contextualSpacing w:val="0"/>
        <w:jc w:val="both"/>
      </w:pPr>
      <w:r>
        <w:rPr>
          <w:i/>
          <w:color w:val="0F4761"/>
        </w:rPr>
        <w:t xml:space="preserve">Customer </w:t>
      </w:r>
      <w:r w:rsidR="00A97F5E">
        <w:rPr>
          <w:i/>
          <w:color w:val="0F4761"/>
        </w:rPr>
        <w:t>Connected</w:t>
      </w:r>
      <w:r>
        <w:rPr>
          <w:i/>
          <w:color w:val="0F4761"/>
        </w:rPr>
        <w:t xml:space="preserve"> Solar Program Enhancements</w:t>
      </w:r>
    </w:p>
    <w:p w14:paraId="27C8DA12" w14:textId="5A6D4B30" w:rsidR="003238A2" w:rsidRDefault="3431AD6B" w:rsidP="004A6603">
      <w:pPr>
        <w:jc w:val="both"/>
      </w:pPr>
      <w:r w:rsidRPr="007229F3">
        <w:t xml:space="preserve">The Company </w:t>
      </w:r>
      <w:r w:rsidR="009554AB">
        <w:t>proposes</w:t>
      </w:r>
      <w:r w:rsidRPr="007229F3">
        <w:t xml:space="preserve"> to modify the existing CCSP guidelines to increase customer participation</w:t>
      </w:r>
      <w:r w:rsidR="3E2DFB7C" w:rsidRPr="67252B1F">
        <w:t xml:space="preserve"> and</w:t>
      </w:r>
      <w:r w:rsidR="3E2DFB7C">
        <w:t xml:space="preserve"> </w:t>
      </w:r>
      <w:r w:rsidR="001A7E5F">
        <w:t>include the addition of storage with these systems</w:t>
      </w:r>
      <w:r w:rsidRPr="00743F1E">
        <w:t xml:space="preserve">. </w:t>
      </w:r>
      <w:r w:rsidR="006B69A3">
        <w:t>By adding the option to include storage, the CCSP</w:t>
      </w:r>
      <w:r w:rsidR="00126F77">
        <w:t xml:space="preserve"> will provide a FTM</w:t>
      </w:r>
      <w:r w:rsidR="00E7337E">
        <w:t xml:space="preserve"> option</w:t>
      </w:r>
      <w:r w:rsidR="00126F77">
        <w:t xml:space="preserve"> that </w:t>
      </w:r>
      <w:r w:rsidR="00293431">
        <w:t xml:space="preserve">offers </w:t>
      </w:r>
      <w:r w:rsidR="003238A2">
        <w:t>similar renewable energy and resiliency benefits for the customer generator</w:t>
      </w:r>
      <w:r w:rsidR="00B74A27">
        <w:t xml:space="preserve"> as a BTM system,</w:t>
      </w:r>
      <w:r w:rsidR="003238A2">
        <w:t xml:space="preserve"> while providing valuable energy and dispatchable capacity to the </w:t>
      </w:r>
      <w:r w:rsidR="00051D28">
        <w:t>S</w:t>
      </w:r>
      <w:r w:rsidR="003238A2">
        <w:t xml:space="preserve">ystem. </w:t>
      </w:r>
      <w:r w:rsidR="000956A2">
        <w:t>This program is designed to meet the unique needs of larger customers</w:t>
      </w:r>
      <w:r w:rsidR="00EB1591">
        <w:t xml:space="preserve"> with </w:t>
      </w:r>
      <w:r w:rsidR="00C41C7F">
        <w:t>an appropriate sharing of benefits between the customer generator and non-participants.</w:t>
      </w:r>
      <w:r w:rsidR="00EB1591">
        <w:t xml:space="preserve"> </w:t>
      </w:r>
    </w:p>
    <w:p w14:paraId="540DEBF4" w14:textId="1FA83559" w:rsidR="0001561A" w:rsidRDefault="0081577C" w:rsidP="004A6603">
      <w:pPr>
        <w:jc w:val="both"/>
      </w:pPr>
      <w:r>
        <w:t xml:space="preserve">New and existing customers can participate in the </w:t>
      </w:r>
      <w:r w:rsidR="00E7337E">
        <w:t>enhanced</w:t>
      </w:r>
      <w:r w:rsidR="002A3EC4">
        <w:t xml:space="preserve"> CCSP </w:t>
      </w:r>
      <w:r>
        <w:t xml:space="preserve">with the addition of </w:t>
      </w:r>
      <w:r w:rsidR="002A3EC4">
        <w:t xml:space="preserve">new solar </w:t>
      </w:r>
      <w:r w:rsidR="00100588">
        <w:t>and</w:t>
      </w:r>
      <w:r w:rsidR="002A3EC4">
        <w:t xml:space="preserve"> storage systems</w:t>
      </w:r>
      <w:r>
        <w:t xml:space="preserve">. </w:t>
      </w:r>
      <w:r w:rsidR="00465E48">
        <w:t xml:space="preserve">The program </w:t>
      </w:r>
      <w:r w:rsidR="0094217F">
        <w:t xml:space="preserve">will </w:t>
      </w:r>
      <w:r w:rsidR="00465E48">
        <w:t>aim to fill</w:t>
      </w:r>
      <w:r w:rsidR="0094217F">
        <w:t xml:space="preserve"> the remaining </w:t>
      </w:r>
      <w:r w:rsidR="0094217F" w:rsidRPr="00B74A27">
        <w:t>23+ MW</w:t>
      </w:r>
      <w:r w:rsidR="0094217F">
        <w:t xml:space="preserve"> </w:t>
      </w:r>
      <w:r w:rsidR="00465E48">
        <w:t>original</w:t>
      </w:r>
      <w:r w:rsidR="00A27518">
        <w:t>ly</w:t>
      </w:r>
      <w:r w:rsidR="00465E48">
        <w:t xml:space="preserve"> </w:t>
      </w:r>
      <w:r w:rsidR="00EF3A98">
        <w:t xml:space="preserve">approved for </w:t>
      </w:r>
      <w:r w:rsidR="0094217F">
        <w:t>CCSP</w:t>
      </w:r>
      <w:r w:rsidR="00753BAA">
        <w:t>.</w:t>
      </w:r>
      <w:r w:rsidR="00132060">
        <w:t xml:space="preserve"> RECs will be retired on behalf of </w:t>
      </w:r>
      <w:r w:rsidR="3EC93FD8" w:rsidRPr="7DE4D118">
        <w:t xml:space="preserve">participating </w:t>
      </w:r>
      <w:r w:rsidR="00132060">
        <w:t>customers</w:t>
      </w:r>
      <w:r w:rsidR="00753BAA">
        <w:t xml:space="preserve"> from</w:t>
      </w:r>
      <w:r w:rsidR="00AD25A1">
        <w:t xml:space="preserve"> </w:t>
      </w:r>
      <w:r w:rsidR="00753BAA">
        <w:t xml:space="preserve">systems connected to the distribution system </w:t>
      </w:r>
      <w:r w:rsidR="4E216FB4" w:rsidRPr="7DE4D118">
        <w:t>between</w:t>
      </w:r>
      <w:r w:rsidR="0001561A">
        <w:t xml:space="preserve"> 250 KW </w:t>
      </w:r>
      <w:r w:rsidR="3D9FDA52" w:rsidRPr="7DE4D118">
        <w:t>and</w:t>
      </w:r>
      <w:r w:rsidR="00753BAA">
        <w:t xml:space="preserve"> 6 MW in size</w:t>
      </w:r>
      <w:r w:rsidR="000155AE">
        <w:t xml:space="preserve">. </w:t>
      </w:r>
      <w:r w:rsidR="00753BAA">
        <w:t xml:space="preserve">Terms of </w:t>
      </w:r>
      <w:r w:rsidR="6237982F">
        <w:t xml:space="preserve">10, </w:t>
      </w:r>
      <w:r w:rsidR="00753BAA">
        <w:t xml:space="preserve">15, 20, 25, </w:t>
      </w:r>
      <w:r w:rsidR="00863899">
        <w:t xml:space="preserve">30, </w:t>
      </w:r>
      <w:r w:rsidR="00753BAA">
        <w:t>and 3</w:t>
      </w:r>
      <w:r w:rsidR="00863899">
        <w:t>5</w:t>
      </w:r>
      <w:r w:rsidR="00753BAA">
        <w:t xml:space="preserve"> years will be offered, and customers or third parties can own the </w:t>
      </w:r>
      <w:r>
        <w:t>system</w:t>
      </w:r>
      <w:r w:rsidR="00753BAA">
        <w:t xml:space="preserve">. </w:t>
      </w:r>
      <w:r w:rsidR="00465E48">
        <w:t>C</w:t>
      </w:r>
      <w:r w:rsidR="00696D70">
        <w:t xml:space="preserve">ompensation </w:t>
      </w:r>
      <w:r w:rsidR="00465E48">
        <w:t xml:space="preserve">for participating customers </w:t>
      </w:r>
      <w:r w:rsidR="00696D70">
        <w:t xml:space="preserve">will be based on the energy and capacity value </w:t>
      </w:r>
      <w:r w:rsidR="00E50931">
        <w:t>the systems are projected to deliver</w:t>
      </w:r>
      <w:r w:rsidR="5BB55C44">
        <w:t xml:space="preserve">. </w:t>
      </w:r>
    </w:p>
    <w:p w14:paraId="2C0AE504" w14:textId="15680A8E" w:rsidR="002431FD" w:rsidRDefault="0001561A" w:rsidP="004A6603">
      <w:pPr>
        <w:jc w:val="both"/>
      </w:pPr>
      <w:r>
        <w:t>These proposed changes to the CCSP</w:t>
      </w:r>
      <w:r w:rsidR="00465E48">
        <w:t xml:space="preserve">, including the </w:t>
      </w:r>
      <w:r w:rsidR="00BD0E89">
        <w:t>add</w:t>
      </w:r>
      <w:r w:rsidR="00465E48">
        <w:t>ition of</w:t>
      </w:r>
      <w:r w:rsidR="00BD0E89">
        <w:t xml:space="preserve"> BESS, allow</w:t>
      </w:r>
      <w:r w:rsidR="00465E48">
        <w:t>ance</w:t>
      </w:r>
      <w:r w:rsidR="00BD0E89">
        <w:t xml:space="preserve"> for larger projects, and </w:t>
      </w:r>
      <w:r w:rsidR="00C21CA8">
        <w:t>availability</w:t>
      </w:r>
      <w:r w:rsidR="00BD0E89">
        <w:t xml:space="preserve"> for </w:t>
      </w:r>
      <w:r w:rsidR="00742627">
        <w:t xml:space="preserve">participation by </w:t>
      </w:r>
      <w:r w:rsidR="00BD0E89">
        <w:t>new customers</w:t>
      </w:r>
      <w:r w:rsidR="006F3BC8">
        <w:t>,</w:t>
      </w:r>
      <w:r w:rsidR="00BD0E89">
        <w:t xml:space="preserve"> are based on feedback received from stakeholders </w:t>
      </w:r>
      <w:r w:rsidR="00A73524">
        <w:t>combined with</w:t>
      </w:r>
      <w:r w:rsidR="00BD0E89">
        <w:t xml:space="preserve"> the </w:t>
      </w:r>
      <w:r w:rsidR="002752E0">
        <w:t xml:space="preserve">Company’s </w:t>
      </w:r>
      <w:r w:rsidR="00BD0E89">
        <w:t>desire to create a vibrant</w:t>
      </w:r>
      <w:r w:rsidR="009507E1">
        <w:t xml:space="preserve"> FTM</w:t>
      </w:r>
      <w:r w:rsidR="00BD0E89">
        <w:t xml:space="preserve"> option for customers</w:t>
      </w:r>
      <w:r w:rsidR="009507E1">
        <w:t xml:space="preserve"> with resiliency needs. </w:t>
      </w:r>
      <w:r w:rsidR="00C21CA8">
        <w:t>T</w:t>
      </w:r>
      <w:r w:rsidR="009507E1">
        <w:t xml:space="preserve">he capacity value created by the dispatchable storage systems will benefit all </w:t>
      </w:r>
      <w:r w:rsidR="009507E1">
        <w:lastRenderedPageBreak/>
        <w:t>Georgia Power customers</w:t>
      </w:r>
      <w:r w:rsidR="00AD1812">
        <w:t>,</w:t>
      </w:r>
      <w:r w:rsidR="009507E1">
        <w:t xml:space="preserve"> support the </w:t>
      </w:r>
      <w:r w:rsidR="002431FD">
        <w:t>reliability</w:t>
      </w:r>
      <w:r w:rsidR="009507E1">
        <w:t xml:space="preserve"> and affordability of the </w:t>
      </w:r>
      <w:r w:rsidR="00B4337E">
        <w:t>S</w:t>
      </w:r>
      <w:r w:rsidR="009507E1">
        <w:t>ystem</w:t>
      </w:r>
      <w:r w:rsidR="00CC443A">
        <w:t xml:space="preserve">, and support </w:t>
      </w:r>
      <w:r w:rsidR="002B3AFA">
        <w:t>the growth of a sustainable customer</w:t>
      </w:r>
      <w:r w:rsidR="00AD1812">
        <w:t>-</w:t>
      </w:r>
      <w:r w:rsidR="002B3AFA">
        <w:t>sited DG market in Georgia</w:t>
      </w:r>
      <w:r w:rsidR="009507E1">
        <w:t>.</w:t>
      </w:r>
      <w:r w:rsidR="00BD0E89">
        <w:t xml:space="preserve"> </w:t>
      </w:r>
    </w:p>
    <w:p w14:paraId="59A3D87C" w14:textId="7CA77443" w:rsidR="00F84A96" w:rsidRPr="007E7142" w:rsidRDefault="00BD314B" w:rsidP="004A6603">
      <w:pPr>
        <w:jc w:val="both"/>
      </w:pPr>
      <w:r>
        <w:t>This portfolio of new and enhanced</w:t>
      </w:r>
      <w:r w:rsidR="009B74C1">
        <w:t xml:space="preserve"> </w:t>
      </w:r>
      <w:r w:rsidR="009A6770">
        <w:t xml:space="preserve">renewable energy programs, including options for subscriptions to </w:t>
      </w:r>
      <w:r w:rsidR="00CB49AE">
        <w:t xml:space="preserve">grid connected </w:t>
      </w:r>
      <w:r w:rsidR="1CC5E2EB" w:rsidRPr="599C43A6">
        <w:t>u</w:t>
      </w:r>
      <w:r w:rsidR="00CB49AE" w:rsidRPr="599C43A6">
        <w:t xml:space="preserve">tility </w:t>
      </w:r>
      <w:r w:rsidR="4D14C38D" w:rsidRPr="599C43A6">
        <w:t>s</w:t>
      </w:r>
      <w:r w:rsidR="121EEB14" w:rsidRPr="599C43A6">
        <w:t>cale</w:t>
      </w:r>
      <w:r w:rsidR="00CB49AE">
        <w:t xml:space="preserve"> and </w:t>
      </w:r>
      <w:r w:rsidR="009B74C1">
        <w:t>DG</w:t>
      </w:r>
      <w:r w:rsidR="00CB49AE">
        <w:t xml:space="preserve"> resources, as well as customer</w:t>
      </w:r>
      <w:r w:rsidR="3E21E374" w:rsidRPr="599C43A6">
        <w:t>-</w:t>
      </w:r>
      <w:r w:rsidR="00CB49AE">
        <w:t xml:space="preserve">sited renewable options, is </w:t>
      </w:r>
      <w:r w:rsidR="003D17D2">
        <w:t xml:space="preserve">designed to offer </w:t>
      </w:r>
      <w:r w:rsidR="009B74C1">
        <w:t xml:space="preserve">expanded </w:t>
      </w:r>
      <w:r w:rsidR="003D17D2">
        <w:t>options to interested customers to help them meet their carbon free goals, whi</w:t>
      </w:r>
      <w:r w:rsidR="00A3594E">
        <w:t xml:space="preserve">le </w:t>
      </w:r>
      <w:r w:rsidR="00D77924">
        <w:t>also ensuring benefits to non</w:t>
      </w:r>
      <w:r w:rsidR="00DA254D">
        <w:t>-</w:t>
      </w:r>
      <w:r w:rsidR="00D77924">
        <w:t>participating customers. These flexible options wi</w:t>
      </w:r>
      <w:r w:rsidR="00891729">
        <w:t xml:space="preserve">ll increase the </w:t>
      </w:r>
      <w:r w:rsidR="00CB65CD">
        <w:t xml:space="preserve">likelihood of securing resources at </w:t>
      </w:r>
      <w:r w:rsidR="00DA254D">
        <w:t>prices</w:t>
      </w:r>
      <w:r w:rsidR="00CB65CD">
        <w:t xml:space="preserve"> and terms that </w:t>
      </w:r>
      <w:r w:rsidR="00786CFD">
        <w:t>maximize</w:t>
      </w:r>
      <w:r w:rsidR="00CB65CD">
        <w:t xml:space="preserve"> </w:t>
      </w:r>
      <w:r w:rsidR="007B0C7F">
        <w:t>S</w:t>
      </w:r>
      <w:r w:rsidR="00CB65CD">
        <w:t xml:space="preserve">ystem benefits </w:t>
      </w:r>
      <w:r w:rsidR="00193D52">
        <w:t>th</w:t>
      </w:r>
      <w:r w:rsidR="009B74C1">
        <w:t>r</w:t>
      </w:r>
      <w:r w:rsidR="00193D52">
        <w:t>ough programs that fairly allocate the costs and benefits of renewable resources.</w:t>
      </w:r>
      <w:r w:rsidR="002F1FB4">
        <w:t xml:space="preserve"> These proposed program</w:t>
      </w:r>
      <w:r w:rsidR="007B20E5">
        <w:t xml:space="preserve"> designs are the direct result of </w:t>
      </w:r>
      <w:r w:rsidR="00AC1784">
        <w:t xml:space="preserve">the experience Georgia Power has gained through offering customer focused renewable programs, direct feedback from stakeholders, and a commitment to </w:t>
      </w:r>
      <w:r w:rsidR="00E00C5B">
        <w:t xml:space="preserve">accurate resource valuation and </w:t>
      </w:r>
      <w:r w:rsidR="00DA254D">
        <w:t>principles</w:t>
      </w:r>
      <w:r w:rsidR="00AC1784">
        <w:t xml:space="preserve"> that ensure fairness for all customers. </w:t>
      </w:r>
    </w:p>
    <w:p w14:paraId="219A2A12" w14:textId="3FA74065" w:rsidR="006777E9" w:rsidRDefault="00EE2823" w:rsidP="007B038B">
      <w:pPr>
        <w:pStyle w:val="Heading2"/>
        <w:spacing w:before="240" w:after="240"/>
        <w:jc w:val="both"/>
      </w:pPr>
      <w:bookmarkStart w:id="67" w:name="_Toc189122786"/>
      <w:r>
        <w:t>10</w:t>
      </w:r>
      <w:r w:rsidR="004E56A5">
        <w:t>.</w:t>
      </w:r>
      <w:r w:rsidR="006B55CA">
        <w:t xml:space="preserve">3 </w:t>
      </w:r>
      <w:r w:rsidR="004E56A5">
        <w:t xml:space="preserve">– </w:t>
      </w:r>
      <w:r w:rsidR="00053A4D">
        <w:t>D</w:t>
      </w:r>
      <w:r w:rsidR="00497A79">
        <w:t>istributed Energy Resources</w:t>
      </w:r>
      <w:r w:rsidR="00053A4D">
        <w:t xml:space="preserve"> and </w:t>
      </w:r>
      <w:r w:rsidR="00750154">
        <w:t>Resilience</w:t>
      </w:r>
      <w:bookmarkEnd w:id="67"/>
    </w:p>
    <w:p w14:paraId="01500CE3" w14:textId="1417BEDB" w:rsidR="00BD083F" w:rsidRPr="00EE0315" w:rsidRDefault="00F97352" w:rsidP="22F4D5C5">
      <w:pPr>
        <w:jc w:val="both"/>
      </w:pPr>
      <w:r>
        <w:t xml:space="preserve">As </w:t>
      </w:r>
      <w:r w:rsidR="009B7899" w:rsidRPr="00EE0315">
        <w:t>both</w:t>
      </w:r>
      <w:r w:rsidRPr="00EE0315">
        <w:t xml:space="preserve"> the electric system and customer needs evolve</w:t>
      </w:r>
      <w:r w:rsidR="00FD447D" w:rsidRPr="00EE0315">
        <w:t>,</w:t>
      </w:r>
      <w:r w:rsidRPr="00EE0315">
        <w:t xml:space="preserve"> customer </w:t>
      </w:r>
      <w:r w:rsidR="00D535BF" w:rsidRPr="00EE0315">
        <w:t>interest in resiliency solutions continues to increase. C</w:t>
      </w:r>
      <w:r w:rsidRPr="00EE0315">
        <w:t>ustomer</w:t>
      </w:r>
      <w:r w:rsidR="00921576">
        <w:t>-</w:t>
      </w:r>
      <w:r w:rsidRPr="00EE0315">
        <w:t xml:space="preserve">sited resiliency assets </w:t>
      </w:r>
      <w:r w:rsidR="000D3738" w:rsidRPr="00EE0315">
        <w:t>have the potential to</w:t>
      </w:r>
      <w:r w:rsidR="00FD447D" w:rsidRPr="00EE0315">
        <w:t xml:space="preserve"> </w:t>
      </w:r>
      <w:r w:rsidR="00210AD9" w:rsidRPr="00EE0315">
        <w:t>provide benefits</w:t>
      </w:r>
      <w:r w:rsidRPr="00EE0315">
        <w:t xml:space="preserve"> to </w:t>
      </w:r>
      <w:r w:rsidR="00B375CA" w:rsidRPr="00EE0315">
        <w:t>all customer</w:t>
      </w:r>
      <w:r w:rsidR="00D535BF" w:rsidRPr="00EE0315">
        <w:t xml:space="preserve">s if </w:t>
      </w:r>
      <w:r w:rsidR="000D3738" w:rsidRPr="00EE0315">
        <w:t xml:space="preserve">appropriate technologies are utilized and </w:t>
      </w:r>
      <w:r w:rsidR="00D535BF" w:rsidRPr="00EE0315">
        <w:t xml:space="preserve">enrolled in programs that allow them to be dispatched for </w:t>
      </w:r>
      <w:r w:rsidR="00446DC2">
        <w:t>S</w:t>
      </w:r>
      <w:r w:rsidR="00D535BF" w:rsidRPr="00EE0315">
        <w:t xml:space="preserve">ystem needs. </w:t>
      </w:r>
      <w:r w:rsidR="006C348B" w:rsidRPr="00EE0315">
        <w:t xml:space="preserve">Recognizing this potential benefit, </w:t>
      </w:r>
      <w:r w:rsidR="00C64EE2" w:rsidRPr="00EE0315">
        <w:t xml:space="preserve">Georgia Power has increased its DER and Demand </w:t>
      </w:r>
      <w:r w:rsidR="00D535BF" w:rsidRPr="00EE0315">
        <w:t>R</w:t>
      </w:r>
      <w:r w:rsidR="00C64EE2" w:rsidRPr="00EE0315">
        <w:t>esponse offerings</w:t>
      </w:r>
      <w:r w:rsidR="006C348B" w:rsidRPr="00EE0315">
        <w:t xml:space="preserve">. </w:t>
      </w:r>
      <w:r w:rsidR="00735443" w:rsidRPr="00EE0315">
        <w:t>Georgia Power is continuing</w:t>
      </w:r>
      <w:r w:rsidR="007732B3" w:rsidRPr="00EE0315">
        <w:t xml:space="preserve"> to work with customers </w:t>
      </w:r>
      <w:r w:rsidR="007732B3" w:rsidRPr="00EE0315" w:rsidDel="00896757">
        <w:t xml:space="preserve">to </w:t>
      </w:r>
      <w:r w:rsidR="003919AF">
        <w:t xml:space="preserve">leverage </w:t>
      </w:r>
      <w:r w:rsidR="00D535BF" w:rsidRPr="00EE0315">
        <w:t>investments</w:t>
      </w:r>
      <w:r w:rsidR="003919AF">
        <w:t xml:space="preserve"> that customers are </w:t>
      </w:r>
      <w:r w:rsidR="00D535BF" w:rsidRPr="00EE0315">
        <w:t>making</w:t>
      </w:r>
      <w:r w:rsidR="00735443" w:rsidRPr="00EE0315">
        <w:t xml:space="preserve"> to benefit the electric </w:t>
      </w:r>
      <w:r w:rsidR="00812282">
        <w:t>system</w:t>
      </w:r>
      <w:r w:rsidR="00761392" w:rsidRPr="00EE0315">
        <w:t>.</w:t>
      </w:r>
      <w:r w:rsidR="007F56BC" w:rsidRPr="00EE0315">
        <w:t xml:space="preserve"> </w:t>
      </w:r>
      <w:r w:rsidR="00761392" w:rsidRPr="00EE0315">
        <w:t xml:space="preserve">This section of the IRP provides a summary of existing programs, requested modifications, and the </w:t>
      </w:r>
      <w:r w:rsidR="00E23514" w:rsidRPr="00EE0315">
        <w:t>introduction of</w:t>
      </w:r>
      <w:r w:rsidR="00761392" w:rsidRPr="00EE0315">
        <w:t xml:space="preserve"> a new </w:t>
      </w:r>
      <w:r w:rsidR="00AF73BF" w:rsidRPr="00EE0315">
        <w:t>large Customer Owned</w:t>
      </w:r>
      <w:r w:rsidR="006E195B" w:rsidRPr="00EE0315">
        <w:t xml:space="preserve"> Resiliency</w:t>
      </w:r>
      <w:r w:rsidR="00761392" w:rsidRPr="00EE0315">
        <w:t xml:space="preserve"> program</w:t>
      </w:r>
      <w:r w:rsidR="00E23514" w:rsidRPr="00EE0315">
        <w:t xml:space="preserve"> to provide additional optionality in the portfolio</w:t>
      </w:r>
      <w:r w:rsidR="00761392" w:rsidRPr="00EE0315">
        <w:t xml:space="preserve">. </w:t>
      </w:r>
    </w:p>
    <w:p w14:paraId="5CA7278B" w14:textId="107FC6DA" w:rsidR="00750154" w:rsidRDefault="00EE2823" w:rsidP="007B038B">
      <w:pPr>
        <w:pStyle w:val="Heading3"/>
        <w:spacing w:before="240" w:after="240"/>
        <w:jc w:val="both"/>
      </w:pPr>
      <w:r>
        <w:t>10</w:t>
      </w:r>
      <w:r w:rsidR="004E56A5">
        <w:t>.</w:t>
      </w:r>
      <w:r w:rsidR="006B55CA">
        <w:t>3</w:t>
      </w:r>
      <w:r w:rsidR="004E56A5">
        <w:t xml:space="preserve">.1 – </w:t>
      </w:r>
      <w:r w:rsidR="00940514">
        <w:t>DER Customer Program</w:t>
      </w:r>
      <w:r w:rsidR="00AC016B">
        <w:t xml:space="preserve"> Pilot</w:t>
      </w:r>
    </w:p>
    <w:p w14:paraId="4E06C42C" w14:textId="028479DB" w:rsidR="00940514" w:rsidRDefault="00ED4C1D" w:rsidP="007B038B">
      <w:pPr>
        <w:jc w:val="both"/>
      </w:pPr>
      <w:r w:rsidRPr="00ED4C1D">
        <w:t>Following the 2022 IRP, the Company worked with Commission Staff and intervenors to develop and finalize the Resiliency Asset Service (RAS-1) and Demand Response Credit (DRC-1) tariffs that underpin the DER Customer Program Pilot. These tariffs were approved in January 2023</w:t>
      </w:r>
      <w:r w:rsidR="00C726D6">
        <w:t xml:space="preserve"> and remain available for customers </w:t>
      </w:r>
      <w:r w:rsidR="00EC28BD">
        <w:t>who are interested in this resiliency</w:t>
      </w:r>
      <w:r w:rsidR="00C726D6">
        <w:t xml:space="preserve"> program </w:t>
      </w:r>
      <w:r w:rsidR="00EC28BD">
        <w:t>solution</w:t>
      </w:r>
      <w:r w:rsidR="00C726D6">
        <w:t>.</w:t>
      </w:r>
      <w:r w:rsidRPr="00ED4C1D">
        <w:t xml:space="preserve"> After working with interested customers and obtaining their feedback on the program, the Company developed and requested the Commission</w:t>
      </w:r>
      <w:r w:rsidR="00EE6B70">
        <w:t>’</w:t>
      </w:r>
      <w:r w:rsidRPr="00ED4C1D">
        <w:t>s approval o</w:t>
      </w:r>
      <w:r w:rsidR="00EE6B70">
        <w:t>f</w:t>
      </w:r>
      <w:r w:rsidRPr="00ED4C1D">
        <w:t xml:space="preserve"> two </w:t>
      </w:r>
      <w:r w:rsidR="003B762E">
        <w:t>additional</w:t>
      </w:r>
      <w:r w:rsidRPr="00ED4C1D">
        <w:t xml:space="preserve"> supply-side DER programs in the 2023 IRP Update to offer more benefits to all customers and allow for a customer-owned option.</w:t>
      </w:r>
      <w:r w:rsidR="00C8627D">
        <w:t xml:space="preserve"> </w:t>
      </w:r>
    </w:p>
    <w:p w14:paraId="0F7BCF27" w14:textId="30D4CB30" w:rsidR="002B7CCD" w:rsidRDefault="00EE2823" w:rsidP="007B038B">
      <w:pPr>
        <w:pStyle w:val="Heading3"/>
        <w:spacing w:before="240" w:after="240"/>
        <w:jc w:val="both"/>
      </w:pPr>
      <w:r>
        <w:t>10</w:t>
      </w:r>
      <w:r w:rsidR="004E56A5">
        <w:t>.</w:t>
      </w:r>
      <w:r w:rsidR="006B55CA">
        <w:t>3</w:t>
      </w:r>
      <w:r w:rsidR="004E56A5">
        <w:t xml:space="preserve">.2 – </w:t>
      </w:r>
      <w:r w:rsidR="002B7CCD">
        <w:t>DER Colocation Program</w:t>
      </w:r>
    </w:p>
    <w:p w14:paraId="76ADCA10" w14:textId="0B8E2FA3" w:rsidR="008D25BA" w:rsidRDefault="008D25BA" w:rsidP="007B038B">
      <w:pPr>
        <w:jc w:val="both"/>
      </w:pPr>
      <w:r>
        <w:t xml:space="preserve">The DER Colocation program, as </w:t>
      </w:r>
      <w:r w:rsidR="00ED20E1">
        <w:t xml:space="preserve">approved in the </w:t>
      </w:r>
      <w:r w:rsidR="00D90070">
        <w:t xml:space="preserve">2023 IRP Update Order </w:t>
      </w:r>
      <w:r w:rsidR="00E76D4F">
        <w:t>and</w:t>
      </w:r>
      <w:r>
        <w:t xml:space="preserve"> implemented through the DCL-1 tariff, is an optional tariff available to qualifying </w:t>
      </w:r>
      <w:r w:rsidR="00EE6B70">
        <w:t>C&amp;I</w:t>
      </w:r>
      <w:r>
        <w:t xml:space="preserve"> customers. Through DCL-1, Georgia Power will own, operate, maintain, and control dispatchable DER at customer premises, and economically dispatch the resources to provide energy and capacity benefits to all customers. The DER will be connected to the electric system, thus allowing the Company to transmit the energy produce</w:t>
      </w:r>
      <w:r w:rsidR="00192CF1">
        <w:t>d</w:t>
      </w:r>
      <w:r>
        <w:t xml:space="preserve"> to the electric grid. During times of electric service outage, the DER will be used to provide participating customers with electric energy to support their operations. The DER generation will not impact the participating customer’s billed retail electric service while participating in DCL-1. In exchange for the resiliency benefits provided by the DER, participating customers will make </w:t>
      </w:r>
      <w:r>
        <w:lastRenderedPageBreak/>
        <w:t xml:space="preserve">payments such that the resulting rate base value of the DER is below the system value realized over its asset life, thus benefiting all customers. DER technology that may be utilized under DCL-1 includes, but is not limited to, natural gas generators, diesel generators, and other technologies with firm fuel supply. Customers participating under the DCL-1 tariff will also be required to enter into a program agreement with Georgia Power </w:t>
      </w:r>
      <w:r w:rsidR="00823F90">
        <w:t>to</w:t>
      </w:r>
      <w:r>
        <w:t xml:space="preserve"> further establish the terms and conditions of participation. </w:t>
      </w:r>
    </w:p>
    <w:p w14:paraId="53DAEC3E" w14:textId="54C9696A" w:rsidR="00940514" w:rsidRDefault="00EE2823" w:rsidP="007B038B">
      <w:pPr>
        <w:pStyle w:val="Heading3"/>
        <w:spacing w:before="240" w:after="240"/>
        <w:jc w:val="both"/>
      </w:pPr>
      <w:r>
        <w:t>10</w:t>
      </w:r>
      <w:r w:rsidR="004E56A5">
        <w:t>.</w:t>
      </w:r>
      <w:r w:rsidR="469E6A4B">
        <w:t>3</w:t>
      </w:r>
      <w:r w:rsidR="004E56A5">
        <w:t xml:space="preserve">.3 – </w:t>
      </w:r>
      <w:r w:rsidR="002B7CCD">
        <w:t xml:space="preserve">DER </w:t>
      </w:r>
      <w:r w:rsidR="00940514">
        <w:t>Customer</w:t>
      </w:r>
      <w:r w:rsidR="009D5586">
        <w:t>-</w:t>
      </w:r>
      <w:r w:rsidR="00940514">
        <w:t>Owned Program</w:t>
      </w:r>
    </w:p>
    <w:p w14:paraId="6BDD1C1B" w14:textId="7524C01D" w:rsidR="003E1671" w:rsidRPr="003E1671" w:rsidRDefault="003E1671" w:rsidP="007B038B">
      <w:pPr>
        <w:spacing w:before="120" w:after="120"/>
        <w:jc w:val="both"/>
      </w:pPr>
      <w:r w:rsidRPr="003E1671">
        <w:t xml:space="preserve">The DER Customer Owned Program, as implemented through the DCO-1 tariff, is an optional program available to qualifying commercial and industrial customers and operates much like the DER Colocation program, but with a few key differences. Through DCO-1, Georgia Power will operate and control customer-owned, new dispatchable DER located at customer premises and economically dispatch the resources to provide energy and capacity benefits to all customers. Like with DCL-1, interconnection of the DER with the Company’s electric system will allow the energy produced by the DER to be transmitted to the electric grid. During times of electric service outage, the DER will provide participating customers with electric energy to support their operations. The DER generation will not impact the participating customer’s billed retail electric service while participating in DCO-1. Under this program, Georgia Power will provide participating customers with a credit on their electric bills in exchange for the Company’s use of the customer’s DER for economic dispatch. The DCO-1 credit will be based on the capacity and energy value of the participating customer’s DER over the period during which they subscribe to the DCO-1 program. As a condition of participation, customers will be required to enter a program agreement with Georgia Power that will further establish the terms and conditions of participation. </w:t>
      </w:r>
      <w:r w:rsidR="00445636">
        <w:t>To reflect the Company’s ongoing capacity needs</w:t>
      </w:r>
      <w:r w:rsidR="00246EB2">
        <w:t xml:space="preserve"> and provide additional value to both participating and non-participating customers</w:t>
      </w:r>
      <w:r w:rsidR="00445636">
        <w:t>, Georgia Power is requesting a program modification to DCO</w:t>
      </w:r>
      <w:r w:rsidR="00246EB2">
        <w:t>-1</w:t>
      </w:r>
      <w:r w:rsidR="00445636">
        <w:t xml:space="preserve"> </w:t>
      </w:r>
      <w:r w:rsidR="00246EB2">
        <w:t xml:space="preserve">to </w:t>
      </w:r>
      <w:r w:rsidR="00445636">
        <w:t xml:space="preserve">allow </w:t>
      </w:r>
      <w:r w:rsidR="00246EB2">
        <w:t xml:space="preserve">for </w:t>
      </w:r>
      <w:r w:rsidR="00445636">
        <w:t xml:space="preserve">contract terms up to 15 years, based on mutual agreement by the Company and participating customer. </w:t>
      </w:r>
    </w:p>
    <w:p w14:paraId="63192D7C" w14:textId="3127B6F7" w:rsidR="0367A990" w:rsidRDefault="00EE2823" w:rsidP="00143906">
      <w:pPr>
        <w:pStyle w:val="Heading3"/>
        <w:spacing w:before="240" w:after="240"/>
        <w:jc w:val="both"/>
      </w:pPr>
      <w:r>
        <w:t>10</w:t>
      </w:r>
      <w:r w:rsidR="0367A990">
        <w:t>.</w:t>
      </w:r>
      <w:r w:rsidR="006B55CA">
        <w:t>3</w:t>
      </w:r>
      <w:r w:rsidR="0367A990">
        <w:t>.4</w:t>
      </w:r>
      <w:r w:rsidR="00C46A4C">
        <w:t xml:space="preserve"> </w:t>
      </w:r>
      <w:r w:rsidR="00AE2C46">
        <w:t>–</w:t>
      </w:r>
      <w:r w:rsidR="00C46A4C">
        <w:t xml:space="preserve"> </w:t>
      </w:r>
      <w:r w:rsidR="00735C5B">
        <w:t xml:space="preserve">Large Customer Owned </w:t>
      </w:r>
      <w:r w:rsidR="006E195B">
        <w:t>Resiliency Program</w:t>
      </w:r>
      <w:r w:rsidR="004758C9">
        <w:t xml:space="preserve"> </w:t>
      </w:r>
    </w:p>
    <w:p w14:paraId="53885EE7" w14:textId="2F0D67C2" w:rsidR="0367A990" w:rsidRDefault="00FA7782" w:rsidP="71834EB8">
      <w:pPr>
        <w:spacing w:before="120" w:after="120"/>
        <w:jc w:val="both"/>
      </w:pPr>
      <w:r>
        <w:t xml:space="preserve">The </w:t>
      </w:r>
      <w:r w:rsidR="004758C9">
        <w:t>C</w:t>
      </w:r>
      <w:r>
        <w:t xml:space="preserve">ompany is proposing </w:t>
      </w:r>
      <w:r w:rsidR="0006163E">
        <w:t>a</w:t>
      </w:r>
      <w:r>
        <w:t xml:space="preserve"> </w:t>
      </w:r>
      <w:r w:rsidR="00997EC4">
        <w:t>new</w:t>
      </w:r>
      <w:r w:rsidDel="006136EC">
        <w:t xml:space="preserve"> </w:t>
      </w:r>
      <w:r w:rsidR="0044292D">
        <w:t xml:space="preserve">resiliency </w:t>
      </w:r>
      <w:r w:rsidR="007E4836">
        <w:t>program</w:t>
      </w:r>
      <w:r>
        <w:t xml:space="preserve"> for </w:t>
      </w:r>
      <w:r w:rsidR="00A837B7">
        <w:t xml:space="preserve">large </w:t>
      </w:r>
      <w:r w:rsidR="004758C9">
        <w:t>C&amp;I</w:t>
      </w:r>
      <w:r w:rsidR="00A837B7">
        <w:t xml:space="preserve"> customers</w:t>
      </w:r>
      <w:r w:rsidR="006C32D3">
        <w:t xml:space="preserve">. </w:t>
      </w:r>
      <w:r w:rsidR="00397919">
        <w:t xml:space="preserve">This program offering will allow customers to maintain ownership </w:t>
      </w:r>
      <w:r w:rsidR="00AE4C59">
        <w:t xml:space="preserve">of their DER while providing </w:t>
      </w:r>
      <w:r w:rsidR="000C7487">
        <w:t xml:space="preserve">the Company with </w:t>
      </w:r>
      <w:r w:rsidR="00AE4C59">
        <w:t>operatio</w:t>
      </w:r>
      <w:r w:rsidR="0000186E">
        <w:t xml:space="preserve">nal certainty that demand response will materialize when called upon. </w:t>
      </w:r>
      <w:r w:rsidR="008A0177">
        <w:t xml:space="preserve">The benefit to participating customers </w:t>
      </w:r>
      <w:r w:rsidR="008B27D9">
        <w:t xml:space="preserve">of </w:t>
      </w:r>
      <w:r w:rsidR="00997EC4">
        <w:t xml:space="preserve">the Large Customer Owned Resiliency </w:t>
      </w:r>
      <w:r w:rsidR="008B27D9">
        <w:t>program</w:t>
      </w:r>
      <w:r w:rsidR="008A0177">
        <w:t xml:space="preserve"> is the ability to receive economic value for firm load reductions</w:t>
      </w:r>
      <w:r w:rsidR="006003EC">
        <w:t xml:space="preserve"> on the </w:t>
      </w:r>
      <w:r w:rsidR="00446DC2">
        <w:t>S</w:t>
      </w:r>
      <w:r w:rsidR="006003EC">
        <w:t>ystem</w:t>
      </w:r>
      <w:r w:rsidR="008A0177">
        <w:t xml:space="preserve">, </w:t>
      </w:r>
      <w:r w:rsidR="00712D5C">
        <w:t xml:space="preserve">while also accelerating the </w:t>
      </w:r>
      <w:r w:rsidR="006B6E70">
        <w:t xml:space="preserve">timeframe in which capacity can be recognized. </w:t>
      </w:r>
      <w:r w:rsidR="006F676F">
        <w:t>Like all</w:t>
      </w:r>
      <w:r w:rsidR="006F676F" w:rsidDel="00D061EE">
        <w:t xml:space="preserve"> </w:t>
      </w:r>
      <w:r w:rsidR="006F676F">
        <w:t>the Company’s DER programs, non-participating</w:t>
      </w:r>
      <w:r w:rsidR="006B6E70">
        <w:t xml:space="preserve"> customers benefit </w:t>
      </w:r>
      <w:r w:rsidR="008B27D9">
        <w:t>through</w:t>
      </w:r>
      <w:r w:rsidR="006B6E70">
        <w:t xml:space="preserve"> the shared savings model </w:t>
      </w:r>
      <w:r w:rsidR="006F676F">
        <w:t xml:space="preserve">where capacity is being procured at a discount relative to generic capacity costs. </w:t>
      </w:r>
      <w:r w:rsidR="00C624EE">
        <w:t xml:space="preserve">By </w:t>
      </w:r>
      <w:r w:rsidR="00687E26">
        <w:t>continuing to expand its DER offerings,</w:t>
      </w:r>
      <w:r w:rsidR="00C624EE">
        <w:t xml:space="preserve"> the Company </w:t>
      </w:r>
      <w:r w:rsidR="008E12AB">
        <w:t>is seeking to provide flexible options to</w:t>
      </w:r>
      <w:r w:rsidR="00687E26">
        <w:t xml:space="preserve"> meet the needs of a diverse set of customer</w:t>
      </w:r>
      <w:r w:rsidR="00115267">
        <w:t xml:space="preserve">s </w:t>
      </w:r>
      <w:r w:rsidR="00167830">
        <w:t xml:space="preserve">across the state </w:t>
      </w:r>
      <w:r w:rsidR="00115267">
        <w:t>with varying</w:t>
      </w:r>
      <w:r w:rsidR="00687E26">
        <w:t xml:space="preserve"> preferences</w:t>
      </w:r>
      <w:r w:rsidR="00115267">
        <w:t xml:space="preserve"> and requirements</w:t>
      </w:r>
      <w:r w:rsidR="00687E26">
        <w:t xml:space="preserve">. </w:t>
      </w:r>
    </w:p>
    <w:p w14:paraId="7174EFC1" w14:textId="54EE07A2" w:rsidR="00686290" w:rsidRDefault="00DD7342" w:rsidP="00686290">
      <w:pPr>
        <w:pStyle w:val="Heading3"/>
        <w:spacing w:before="120" w:after="120"/>
      </w:pPr>
      <w:r>
        <w:t>10.</w:t>
      </w:r>
      <w:r w:rsidR="006B55CA">
        <w:t>3</w:t>
      </w:r>
      <w:r>
        <w:t>.5</w:t>
      </w:r>
      <w:r w:rsidR="00686290">
        <w:t xml:space="preserve"> – Demand Response and Dynamic Pricing Tariffs</w:t>
      </w:r>
    </w:p>
    <w:p w14:paraId="2E1EA7F0" w14:textId="77777777" w:rsidR="00686290" w:rsidRDefault="00686290" w:rsidP="00686290">
      <w:pPr>
        <w:jc w:val="both"/>
      </w:pPr>
      <w:r>
        <w:t>The Company continues to offer its customers the following menu of additional demand response programs and dynamic pricing tariffs:</w:t>
      </w:r>
    </w:p>
    <w:p w14:paraId="691D8085" w14:textId="77777777" w:rsidR="00686290" w:rsidRDefault="00686290" w:rsidP="00686290">
      <w:pPr>
        <w:pStyle w:val="ListParagraph"/>
        <w:numPr>
          <w:ilvl w:val="0"/>
          <w:numId w:val="10"/>
        </w:numPr>
        <w:contextualSpacing w:val="0"/>
        <w:jc w:val="both"/>
      </w:pPr>
      <w:r w:rsidRPr="00923ABF">
        <w:rPr>
          <w:u w:val="single"/>
        </w:rPr>
        <w:lastRenderedPageBreak/>
        <w:t>Real Time Pricing</w:t>
      </w:r>
      <w:r>
        <w:t>, which offers customers marginal pricing for incremental load; as prices increase, customers can respond by reducing their demand.</w:t>
      </w:r>
    </w:p>
    <w:p w14:paraId="2BD86275" w14:textId="77777777" w:rsidR="00686290" w:rsidRDefault="00686290" w:rsidP="00686290">
      <w:pPr>
        <w:pStyle w:val="ListParagraph"/>
        <w:numPr>
          <w:ilvl w:val="0"/>
          <w:numId w:val="10"/>
        </w:numPr>
        <w:contextualSpacing w:val="0"/>
        <w:jc w:val="both"/>
      </w:pPr>
      <w:r w:rsidRPr="00923ABF">
        <w:rPr>
          <w:u w:val="single"/>
        </w:rPr>
        <w:t>Demand Plus Energy Credit (“DPEC”)</w:t>
      </w:r>
      <w:r>
        <w:t>, which is an interruptible service tariff that provides commercial and industrial customers with a demand credit for the potential of demand reduction, plus an energy credit when DPEC is called on.</w:t>
      </w:r>
    </w:p>
    <w:p w14:paraId="2745EAD0" w14:textId="1CCE4197" w:rsidR="00686290" w:rsidRDefault="00686290" w:rsidP="396C9B70">
      <w:pPr>
        <w:pStyle w:val="ListParagraph"/>
        <w:numPr>
          <w:ilvl w:val="0"/>
          <w:numId w:val="10"/>
        </w:numPr>
        <w:jc w:val="both"/>
      </w:pPr>
      <w:r w:rsidRPr="00A44ADD">
        <w:rPr>
          <w:u w:val="single"/>
        </w:rPr>
        <w:t>Curtailable Load</w:t>
      </w:r>
      <w:r>
        <w:t xml:space="preserve">, an interruptible tariff similar to DPEC that provides customers </w:t>
      </w:r>
      <w:r w:rsidR="3492BAF2">
        <w:t xml:space="preserve">with </w:t>
      </w:r>
      <w:r>
        <w:t xml:space="preserve">a demand credit for event-based demand reductions over a longer-term contract. </w:t>
      </w:r>
    </w:p>
    <w:p w14:paraId="404DEBE7" w14:textId="77777777" w:rsidR="00686290" w:rsidRDefault="00686290" w:rsidP="00686290">
      <w:pPr>
        <w:pStyle w:val="ListParagraph"/>
        <w:numPr>
          <w:ilvl w:val="0"/>
          <w:numId w:val="10"/>
        </w:numPr>
        <w:contextualSpacing w:val="0"/>
        <w:jc w:val="both"/>
      </w:pPr>
      <w:r w:rsidRPr="00A44ADD">
        <w:rPr>
          <w:u w:val="single"/>
        </w:rPr>
        <w:t>Demand tariffs</w:t>
      </w:r>
      <w:r>
        <w:t>, which align with the Company’s cost of service and encourage peak demand management.</w:t>
      </w:r>
    </w:p>
    <w:p w14:paraId="085FDB8E" w14:textId="7D41BCE5" w:rsidR="00686290" w:rsidRDefault="00686290" w:rsidP="79595648">
      <w:pPr>
        <w:pStyle w:val="ListParagraph"/>
        <w:numPr>
          <w:ilvl w:val="0"/>
          <w:numId w:val="10"/>
        </w:numPr>
        <w:jc w:val="both"/>
      </w:pPr>
      <w:r w:rsidRPr="00A44ADD">
        <w:rPr>
          <w:u w:val="single"/>
        </w:rPr>
        <w:t>Time of Use tariffs</w:t>
      </w:r>
      <w:r>
        <w:t>, which provide customers with pricing signals during different periods of the day that reflect the varying cost of energy across seasons and time period</w:t>
      </w:r>
      <w:r w:rsidR="473737ED">
        <w:t>s</w:t>
      </w:r>
      <w:r>
        <w:t xml:space="preserve"> (peak and off-peak) and encourage customers to modify their usage accordingly.</w:t>
      </w:r>
    </w:p>
    <w:p w14:paraId="66163B3B" w14:textId="07931122" w:rsidR="00473721" w:rsidRDefault="00EE2823" w:rsidP="00384F04">
      <w:pPr>
        <w:pStyle w:val="Heading3"/>
      </w:pPr>
      <w:r>
        <w:t>10</w:t>
      </w:r>
      <w:r w:rsidR="00473721">
        <w:t>.</w:t>
      </w:r>
      <w:r w:rsidR="003C4507">
        <w:t>3</w:t>
      </w:r>
      <w:r w:rsidR="00473721">
        <w:t>.</w:t>
      </w:r>
      <w:r w:rsidR="00DD7342">
        <w:t>6</w:t>
      </w:r>
      <w:r w:rsidR="00473721">
        <w:t xml:space="preserve"> </w:t>
      </w:r>
      <w:r w:rsidR="002D7C24">
        <w:t xml:space="preserve">– </w:t>
      </w:r>
      <w:r w:rsidR="00AB1AE3">
        <w:t>E</w:t>
      </w:r>
      <w:r w:rsidR="0093674F">
        <w:t xml:space="preserve">lectric </w:t>
      </w:r>
      <w:r w:rsidR="00AB1AE3">
        <w:t>T</w:t>
      </w:r>
      <w:r w:rsidR="0093674F">
        <w:t>ransportation</w:t>
      </w:r>
      <w:r w:rsidR="00473721">
        <w:t xml:space="preserve"> Technology Advancements and Pilots</w:t>
      </w:r>
    </w:p>
    <w:p w14:paraId="71BA79AB" w14:textId="17A57BB0" w:rsidR="00473721" w:rsidRPr="009B79ED" w:rsidRDefault="00473721" w:rsidP="00384F04">
      <w:pPr>
        <w:spacing w:after="0" w:line="240" w:lineRule="auto"/>
        <w:jc w:val="both"/>
        <w:rPr>
          <w:rFonts w:cs="Calibri"/>
        </w:rPr>
      </w:pPr>
      <w:r w:rsidRPr="009B79ED">
        <w:rPr>
          <w:rFonts w:cs="Calibri"/>
        </w:rPr>
        <w:t xml:space="preserve">As the energy landscape continues to evolve, new and emerging technologies have the potential to fundamentally alter the way energy is created, transported, and ultimately consumed. As a core component of the planning process, the Company monitors technology advancements to ensure it is prepared and ready to adopt new technologies that benefit customers and the grid. The Company has identified two areas related to the </w:t>
      </w:r>
      <w:r w:rsidR="0008252D">
        <w:rPr>
          <w:rFonts w:cs="Calibri"/>
        </w:rPr>
        <w:t>EV</w:t>
      </w:r>
      <w:r w:rsidRPr="009B79ED">
        <w:rPr>
          <w:rFonts w:cs="Calibri"/>
        </w:rPr>
        <w:t xml:space="preserve"> market for further study: managed charging and vehicle-to-everything (</w:t>
      </w:r>
      <w:r w:rsidR="009B79ED">
        <w:rPr>
          <w:rFonts w:cs="Calibri"/>
        </w:rPr>
        <w:t>“</w:t>
      </w:r>
      <w:r w:rsidRPr="009B79ED">
        <w:rPr>
          <w:rFonts w:cs="Calibri"/>
        </w:rPr>
        <w:t>V2X</w:t>
      </w:r>
      <w:r w:rsidR="009B79ED">
        <w:rPr>
          <w:rFonts w:cs="Calibri"/>
        </w:rPr>
        <w:t>”</w:t>
      </w:r>
      <w:r w:rsidRPr="009B79ED">
        <w:rPr>
          <w:rFonts w:cs="Calibri"/>
        </w:rPr>
        <w:t xml:space="preserve">). </w:t>
      </w:r>
    </w:p>
    <w:p w14:paraId="70747059" w14:textId="77777777" w:rsidR="00473721" w:rsidRPr="000A7721" w:rsidRDefault="00473721" w:rsidP="009A3425">
      <w:pPr>
        <w:pStyle w:val="Heading4"/>
        <w:spacing w:before="120" w:after="120"/>
        <w:rPr>
          <w:sz w:val="24"/>
          <w:szCs w:val="24"/>
        </w:rPr>
      </w:pPr>
      <w:r w:rsidRPr="000A7721">
        <w:rPr>
          <w:sz w:val="24"/>
          <w:szCs w:val="24"/>
        </w:rPr>
        <w:t>Managed Charging</w:t>
      </w:r>
    </w:p>
    <w:p w14:paraId="3E06ED49" w14:textId="5FB6C20D" w:rsidR="00473721" w:rsidRPr="009B79ED" w:rsidRDefault="00473721" w:rsidP="009A3425">
      <w:pPr>
        <w:spacing w:line="240" w:lineRule="auto"/>
        <w:jc w:val="both"/>
        <w:rPr>
          <w:rFonts w:cs="Calibri"/>
        </w:rPr>
      </w:pPr>
      <w:r w:rsidRPr="009B79ED">
        <w:rPr>
          <w:rFonts w:cs="Calibri"/>
        </w:rPr>
        <w:t xml:space="preserve">Charging technology has advanced such that </w:t>
      </w:r>
      <w:r w:rsidR="00D2575C">
        <w:rPr>
          <w:rFonts w:cs="Calibri"/>
        </w:rPr>
        <w:t>EVs</w:t>
      </w:r>
      <w:r w:rsidRPr="009B79ED">
        <w:rPr>
          <w:rFonts w:cs="Calibri"/>
        </w:rPr>
        <w:t xml:space="preserve"> can be charged using pre-determined or dynamic scheduling that can benefit both the driver and the utility. Managed charging is categorized as either passive or active. Passive managed charging attempts to influence customer behavior by simply incenting customers to charge during off peak times through rate structures. Active managed charging allows utilities to directly control the charging schedule and shift charging to off peak hours as needed. The Company is currently administering a residential pilot with both passive and active managed charging participation options for customers. The Company seeks to understand driver behavior and charging patterns, implement and gauge customer response to managed charging, and study how managed charging techniques can be used to mitigate the potential impacts of future EV adoption on the </w:t>
      </w:r>
      <w:r w:rsidR="00446DC2">
        <w:rPr>
          <w:rFonts w:cs="Calibri"/>
        </w:rPr>
        <w:t>S</w:t>
      </w:r>
      <w:r w:rsidRPr="009B79ED">
        <w:rPr>
          <w:rFonts w:cs="Calibri"/>
        </w:rPr>
        <w:t xml:space="preserve">ystem. </w:t>
      </w:r>
    </w:p>
    <w:p w14:paraId="1BB72E08" w14:textId="300FF0B4" w:rsidR="00473721" w:rsidRPr="009B79ED" w:rsidRDefault="00871300" w:rsidP="00384F04">
      <w:pPr>
        <w:spacing w:after="0" w:line="240" w:lineRule="auto"/>
        <w:jc w:val="both"/>
        <w:rPr>
          <w:rFonts w:cs="Calibri"/>
        </w:rPr>
      </w:pPr>
      <w:r>
        <w:rPr>
          <w:rFonts w:cs="Calibri"/>
        </w:rPr>
        <w:t xml:space="preserve">In addition, </w:t>
      </w:r>
      <w:r w:rsidR="00473721" w:rsidRPr="009B79ED">
        <w:rPr>
          <w:rFonts w:cs="Calibri"/>
        </w:rPr>
        <w:t xml:space="preserve">Southern Company is currently partnering with Ford Pro on a fleet managed charging pilot. The </w:t>
      </w:r>
      <w:r w:rsidR="000A1CF8">
        <w:rPr>
          <w:rFonts w:cs="Calibri"/>
        </w:rPr>
        <w:t>six</w:t>
      </w:r>
      <w:r w:rsidR="00473721" w:rsidRPr="009B79ED">
        <w:rPr>
          <w:rFonts w:cs="Calibri"/>
        </w:rPr>
        <w:t xml:space="preserve">-month pilot with Ford Pro involves more than 200 F-150 Lighting trucks </w:t>
      </w:r>
      <w:r w:rsidR="00873AC4">
        <w:rPr>
          <w:rFonts w:cs="Calibri"/>
        </w:rPr>
        <w:t xml:space="preserve">across Southern Company’s </w:t>
      </w:r>
      <w:r w:rsidR="00473721" w:rsidRPr="009B79ED">
        <w:rPr>
          <w:rFonts w:cs="Calibri"/>
        </w:rPr>
        <w:t xml:space="preserve">fleet of company vehicles. Utilizing established charging depots and </w:t>
      </w:r>
      <w:r w:rsidR="000A1CF8">
        <w:rPr>
          <w:rFonts w:cs="Calibri"/>
        </w:rPr>
        <w:t>over</w:t>
      </w:r>
      <w:r w:rsidR="00473721" w:rsidRPr="009B79ED">
        <w:rPr>
          <w:rFonts w:cs="Calibri"/>
        </w:rPr>
        <w:t xml:space="preserve"> 150 chargers </w:t>
      </w:r>
      <w:r w:rsidR="005A2870">
        <w:rPr>
          <w:rFonts w:cs="Calibri"/>
        </w:rPr>
        <w:t xml:space="preserve">equipped </w:t>
      </w:r>
      <w:r w:rsidR="00473721" w:rsidRPr="009B79ED">
        <w:rPr>
          <w:rFonts w:cs="Calibri"/>
        </w:rPr>
        <w:t xml:space="preserve">with Ford Pro charging software, the pilot will explore both dynamic pricing optimization and demand response. The goal of the pilot is to understand how EV managed charging programs can be maximized to benefit both fleet operations and grid efficiency, to inform customers transitioning to EV fleets, and to provide guidance for future Company EV program design. </w:t>
      </w:r>
    </w:p>
    <w:p w14:paraId="522EE099" w14:textId="57BE0699" w:rsidR="00473721" w:rsidRPr="000A7721" w:rsidRDefault="00473721" w:rsidP="009A3425">
      <w:pPr>
        <w:pStyle w:val="Heading4"/>
        <w:spacing w:before="120" w:after="120"/>
        <w:rPr>
          <w:sz w:val="24"/>
          <w:szCs w:val="24"/>
        </w:rPr>
      </w:pPr>
      <w:r w:rsidRPr="000A7721">
        <w:rPr>
          <w:sz w:val="24"/>
          <w:szCs w:val="24"/>
        </w:rPr>
        <w:t>Vehicle-to-Everything</w:t>
      </w:r>
      <w:r w:rsidR="005858DC" w:rsidRPr="000A7721">
        <w:rPr>
          <w:sz w:val="24"/>
          <w:szCs w:val="24"/>
        </w:rPr>
        <w:t xml:space="preserve"> (</w:t>
      </w:r>
      <w:r w:rsidR="005D3964">
        <w:rPr>
          <w:sz w:val="24"/>
          <w:szCs w:val="24"/>
        </w:rPr>
        <w:t>“</w:t>
      </w:r>
      <w:r w:rsidR="005858DC" w:rsidRPr="000A7721">
        <w:rPr>
          <w:sz w:val="24"/>
          <w:szCs w:val="24"/>
        </w:rPr>
        <w:t>V2X</w:t>
      </w:r>
      <w:r w:rsidR="005D3964">
        <w:rPr>
          <w:sz w:val="24"/>
          <w:szCs w:val="24"/>
        </w:rPr>
        <w:t>”</w:t>
      </w:r>
      <w:r w:rsidR="005858DC" w:rsidRPr="000A7721">
        <w:rPr>
          <w:sz w:val="24"/>
          <w:szCs w:val="24"/>
        </w:rPr>
        <w:t>)</w:t>
      </w:r>
    </w:p>
    <w:p w14:paraId="60F5FE79" w14:textId="7CB3AC46" w:rsidR="003B6BBC" w:rsidRPr="00720935" w:rsidRDefault="00473721" w:rsidP="00720935">
      <w:pPr>
        <w:spacing w:before="120" w:after="120" w:line="240" w:lineRule="auto"/>
        <w:jc w:val="both"/>
        <w:rPr>
          <w:rFonts w:cs="Calibri"/>
        </w:rPr>
      </w:pPr>
      <w:r w:rsidRPr="009B79ED">
        <w:rPr>
          <w:rFonts w:cs="Calibri"/>
        </w:rPr>
        <w:t xml:space="preserve">The Company is studying V2X technology and its potential impacts to customers and to the </w:t>
      </w:r>
      <w:r w:rsidR="00275583">
        <w:rPr>
          <w:rFonts w:cs="Calibri"/>
        </w:rPr>
        <w:t>S</w:t>
      </w:r>
      <w:r w:rsidRPr="009B79ED">
        <w:rPr>
          <w:rFonts w:cs="Calibri"/>
        </w:rPr>
        <w:t xml:space="preserve">ystem. EV deployment means a significant number of underutilized batteries will be in the market and that energy could be of benefit. V2X enables vehicles to transfer energy stored in batteries to buildings, </w:t>
      </w:r>
      <w:r w:rsidRPr="009B79ED">
        <w:rPr>
          <w:rFonts w:cs="Calibri"/>
        </w:rPr>
        <w:lastRenderedPageBreak/>
        <w:t xml:space="preserve">houses, and the grid. By leveraging V2X, the Company could enhance </w:t>
      </w:r>
      <w:r w:rsidR="00275583">
        <w:rPr>
          <w:rFonts w:cs="Calibri"/>
        </w:rPr>
        <w:t>S</w:t>
      </w:r>
      <w:r w:rsidRPr="009B79ED">
        <w:rPr>
          <w:rFonts w:cs="Calibri"/>
        </w:rPr>
        <w:t xml:space="preserve">ystem flexibility, resiliency, and economics. By understanding the different layers of V2X and their level of complexity, </w:t>
      </w:r>
      <w:r w:rsidR="008911BF">
        <w:rPr>
          <w:rFonts w:cs="Calibri"/>
        </w:rPr>
        <w:t>it</w:t>
      </w:r>
      <w:r w:rsidRPr="009B79ED">
        <w:rPr>
          <w:rFonts w:cs="Calibri"/>
        </w:rPr>
        <w:t xml:space="preserve"> can create a smarter, more connected energy ecosystem while delivering more sustainable transportation solutions. The Company plans to evaluate the V2X technology through a pilot, starting with public school systems, to install up to 10 chargers.</w:t>
      </w:r>
    </w:p>
    <w:p w14:paraId="214EAB1F" w14:textId="0893BE5B" w:rsidR="002A32DC" w:rsidRDefault="00EE2823" w:rsidP="007B038B">
      <w:pPr>
        <w:pStyle w:val="Heading2"/>
        <w:spacing w:before="240" w:after="240"/>
        <w:jc w:val="both"/>
      </w:pPr>
      <w:bookmarkStart w:id="68" w:name="_Toc189122787"/>
      <w:r>
        <w:t>10</w:t>
      </w:r>
      <w:r w:rsidR="002A32DC">
        <w:t>.</w:t>
      </w:r>
      <w:r w:rsidR="003C4507">
        <w:t xml:space="preserve">4 </w:t>
      </w:r>
      <w:r w:rsidR="002A32DC">
        <w:t>– Integration with DERMS</w:t>
      </w:r>
      <w:bookmarkEnd w:id="68"/>
    </w:p>
    <w:p w14:paraId="715068F5" w14:textId="77789A58" w:rsidR="002A32DC" w:rsidRDefault="002A32DC" w:rsidP="007B038B">
      <w:pPr>
        <w:spacing w:before="120" w:after="120"/>
        <w:jc w:val="both"/>
      </w:pPr>
      <w:r>
        <w:t xml:space="preserve">Georgia Power’s strategy to meet customer needs through programs while leveraging the value of those programs to the electric grid includes the ability to integrate with a DERMS. The Company’s DERMS acts as an enabling </w:t>
      </w:r>
      <w:r w:rsidR="001D3342">
        <w:t xml:space="preserve">hardware and </w:t>
      </w:r>
      <w:r>
        <w:t xml:space="preserve">software system that allows </w:t>
      </w:r>
      <w:r w:rsidR="001D3342">
        <w:t>customer</w:t>
      </w:r>
      <w:r>
        <w:t xml:space="preserve"> programs focused on demand side reduction and other customer participation models to be leveraged more fully as reasonable and allowed based on the technology and customer preference. Enhanced operational capabilities through DERMS can allow for dispatch and optimization of </w:t>
      </w:r>
      <w:r w:rsidR="00473A3D">
        <w:t>DER</w:t>
      </w:r>
      <w:r>
        <w:t xml:space="preserve"> assets that will benefit future grid planning and operations if the Company is allowed to control DER devices in addition to having visibility and forecasting capabilities as approved in the 2022 Rate Case Order.</w:t>
      </w:r>
    </w:p>
    <w:p w14:paraId="48213E0E" w14:textId="7DE273D4" w:rsidR="002A32DC" w:rsidRDefault="002A32DC" w:rsidP="007B038B">
      <w:pPr>
        <w:spacing w:before="120" w:after="120"/>
        <w:jc w:val="both"/>
      </w:pPr>
      <w:r>
        <w:t xml:space="preserve">Georgia Power has invested in a DERMS to meet the requirements specified in the </w:t>
      </w:r>
      <w:r w:rsidR="00F92EA4">
        <w:t xml:space="preserve">2022 Rate Case </w:t>
      </w:r>
      <w:r>
        <w:t>Order. Georgia Power selected a DERMS vendor following a</w:t>
      </w:r>
      <w:r w:rsidR="001F1986">
        <w:t xml:space="preserve">n </w:t>
      </w:r>
      <w:r>
        <w:t xml:space="preserve">RFP and is currently executing a plan that was developed jointly with subject matter experts throughout the Company and the DERMS vendor. This execution includes integration with existing and upcoming operating systems such as </w:t>
      </w:r>
      <w:r w:rsidR="002F1F71" w:rsidRPr="002F1F71">
        <w:t>Advanced Distribution Management System</w:t>
      </w:r>
      <w:r w:rsidR="002F1F71">
        <w:t xml:space="preserve"> (“</w:t>
      </w:r>
      <w:r>
        <w:t>ADMS</w:t>
      </w:r>
      <w:r w:rsidR="002F1F71">
        <w:t>”)</w:t>
      </w:r>
      <w:r>
        <w:t xml:space="preserve"> and </w:t>
      </w:r>
      <w:r w:rsidR="002F1F71">
        <w:t>Energy Management System (“</w:t>
      </w:r>
      <w:r>
        <w:t>EMS</w:t>
      </w:r>
      <w:r w:rsidR="002F1F71">
        <w:t>”)</w:t>
      </w:r>
      <w:r>
        <w:t xml:space="preserve"> to allow for DER visibility and forecasting through DERMS. </w:t>
      </w:r>
      <w:r w:rsidR="00322767">
        <w:t>To</w:t>
      </w:r>
      <w:r w:rsidR="00521AA2">
        <w:t xml:space="preserve"> utilize DER </w:t>
      </w:r>
      <w:r w:rsidR="00DC1B11">
        <w:t>for grid optimization via DERMS</w:t>
      </w:r>
      <w:r w:rsidR="004A732B">
        <w:t xml:space="preserve">, </w:t>
      </w:r>
      <w:r w:rsidR="00B7748D">
        <w:t>t</w:t>
      </w:r>
      <w:r w:rsidR="004A732B">
        <w:t>he Company</w:t>
      </w:r>
      <w:r w:rsidR="00B7748D">
        <w:t xml:space="preserve"> is </w:t>
      </w:r>
      <w:r w:rsidR="00C83F2D">
        <w:t xml:space="preserve">also developing </w:t>
      </w:r>
      <w:r w:rsidR="00924804">
        <w:t>p</w:t>
      </w:r>
      <w:r w:rsidR="009A3EC3">
        <w:t xml:space="preserve">ower </w:t>
      </w:r>
      <w:r w:rsidR="00924804">
        <w:t>p</w:t>
      </w:r>
      <w:r w:rsidR="009A3EC3">
        <w:t xml:space="preserve">lant </w:t>
      </w:r>
      <w:r w:rsidR="00924804">
        <w:t>c</w:t>
      </w:r>
      <w:r w:rsidR="009A3EC3">
        <w:t>ontroller (</w:t>
      </w:r>
      <w:r w:rsidR="00190500">
        <w:t>“</w:t>
      </w:r>
      <w:r w:rsidR="009A3EC3">
        <w:t>PPC</w:t>
      </w:r>
      <w:r w:rsidR="00190500">
        <w:t>”</w:t>
      </w:r>
      <w:r w:rsidR="009A3EC3">
        <w:t xml:space="preserve">) and </w:t>
      </w:r>
      <w:r w:rsidR="008E4CF4">
        <w:t>DER gateway requirements</w:t>
      </w:r>
      <w:r w:rsidR="007B425D">
        <w:t xml:space="preserve"> </w:t>
      </w:r>
      <w:r w:rsidR="00002BD9">
        <w:t xml:space="preserve">that </w:t>
      </w:r>
      <w:r w:rsidR="003C2F7D">
        <w:t>will be</w:t>
      </w:r>
      <w:r w:rsidR="00002BD9">
        <w:t xml:space="preserve"> necessary to</w:t>
      </w:r>
      <w:r w:rsidR="00F76D6C">
        <w:t xml:space="preserve"> </w:t>
      </w:r>
      <w:r w:rsidR="00F43082">
        <w:t>facilitate</w:t>
      </w:r>
      <w:r w:rsidR="00981968">
        <w:t xml:space="preserve"> </w:t>
      </w:r>
      <w:r w:rsidR="00910FD0">
        <w:t>these enhanced operational capabilities</w:t>
      </w:r>
      <w:r w:rsidR="00F30570">
        <w:t>.</w:t>
      </w:r>
      <w:r>
        <w:t xml:space="preserve"> The Company expects the execution of this project scope to be complete by the end of 2025.</w:t>
      </w:r>
    </w:p>
    <w:p w14:paraId="410C0110" w14:textId="4DEEE43D" w:rsidR="00555E94" w:rsidRDefault="002A32DC" w:rsidP="007B038B">
      <w:pPr>
        <w:spacing w:before="120" w:after="120"/>
        <w:jc w:val="both"/>
      </w:pPr>
      <w:r>
        <w:t xml:space="preserve">To </w:t>
      </w:r>
      <w:r w:rsidR="000F7FAF">
        <w:t xml:space="preserve">ensure reliable operation </w:t>
      </w:r>
      <w:r w:rsidR="002C1822">
        <w:t>of the grid and</w:t>
      </w:r>
      <w:r>
        <w:t xml:space="preserve"> more fully realize the value of the growing number of DERs in Georgia, DERMS </w:t>
      </w:r>
      <w:r w:rsidR="008A565F">
        <w:t xml:space="preserve">must </w:t>
      </w:r>
      <w:r w:rsidR="00B80C18">
        <w:t xml:space="preserve">have enhanced </w:t>
      </w:r>
      <w:r>
        <w:t xml:space="preserve">control the DER devices in addition to the existing operational capabilities of visibility and forecasting. Having </w:t>
      </w:r>
      <w:r w:rsidR="002A2D7B">
        <w:t>enhanced</w:t>
      </w:r>
      <w:r>
        <w:t xml:space="preserve"> control</w:t>
      </w:r>
      <w:r w:rsidR="002A2D7B">
        <w:t xml:space="preserve"> of</w:t>
      </w:r>
      <w:r>
        <w:t xml:space="preserve"> DERs will allow for these devices to be dispatched to ensure optimal grid operation</w:t>
      </w:r>
      <w:r w:rsidR="0D8C49C3">
        <w:t xml:space="preserve"> across different resource types and </w:t>
      </w:r>
      <w:r w:rsidR="14748C75">
        <w:t xml:space="preserve">within </w:t>
      </w:r>
      <w:r w:rsidR="0D8C49C3">
        <w:t>program parameters</w:t>
      </w:r>
      <w:r w:rsidR="0B81DD9F">
        <w:t>.</w:t>
      </w:r>
      <w:r w:rsidR="6B7F93B6">
        <w:t xml:space="preserve"> </w:t>
      </w:r>
      <w:r w:rsidR="0F610C60">
        <w:t>T</w:t>
      </w:r>
      <w:r w:rsidR="6B7F93B6">
        <w:t>he</w:t>
      </w:r>
      <w:r>
        <w:t xml:space="preserve"> enhanced operational capability to control DERs</w:t>
      </w:r>
      <w:r w:rsidR="6B7F93B6">
        <w:t xml:space="preserve"> </w:t>
      </w:r>
      <w:r w:rsidR="65367CE4">
        <w:t>can</w:t>
      </w:r>
      <w:r w:rsidR="40AAC469">
        <w:t xml:space="preserve"> expand potential use cases</w:t>
      </w:r>
      <w:r>
        <w:t xml:space="preserve"> and </w:t>
      </w:r>
      <w:r w:rsidR="40AAC469">
        <w:t>value to the grid</w:t>
      </w:r>
      <w:r w:rsidR="5EB68839">
        <w:t>,</w:t>
      </w:r>
      <w:r w:rsidR="40AAC469">
        <w:t xml:space="preserve"> including the ability to recognize capacity value for </w:t>
      </w:r>
      <w:r w:rsidR="7D5D54A1">
        <w:t xml:space="preserve">aggregated </w:t>
      </w:r>
      <w:r w:rsidR="40AAC469">
        <w:t>assets</w:t>
      </w:r>
      <w:r w:rsidR="7858CD34">
        <w:t>.</w:t>
      </w:r>
      <w:r w:rsidR="6B7F93B6">
        <w:t xml:space="preserve"> </w:t>
      </w:r>
      <w:r w:rsidR="646051A8">
        <w:t>T</w:t>
      </w:r>
      <w:r>
        <w:t xml:space="preserve">his grid value can be </w:t>
      </w:r>
      <w:r w:rsidR="00674139">
        <w:t>reflected in</w:t>
      </w:r>
      <w:r>
        <w:t xml:space="preserve"> program incentive valuations.</w:t>
      </w:r>
    </w:p>
    <w:p w14:paraId="63A52850" w14:textId="79B02364" w:rsidR="0085148F" w:rsidRPr="0085148F" w:rsidRDefault="0085148F" w:rsidP="0085148F">
      <w:pPr>
        <w:spacing w:before="120" w:after="120"/>
        <w:jc w:val="both"/>
      </w:pPr>
      <w:r>
        <w:t xml:space="preserve">While </w:t>
      </w:r>
      <w:r w:rsidR="00797AAE">
        <w:t>an</w:t>
      </w:r>
      <w:r>
        <w:t xml:space="preserve"> initial DERMS investment was approved in the 2022 Rate Case Order, the Company continues to pursue alternate funding opportunities for DERMS </w:t>
      </w:r>
      <w:r w:rsidR="00C7178F">
        <w:t xml:space="preserve">investments. </w:t>
      </w:r>
      <w:r w:rsidR="00971206">
        <w:t>As such,</w:t>
      </w:r>
      <w:r w:rsidR="003161DB">
        <w:t xml:space="preserve"> </w:t>
      </w:r>
      <w:r>
        <w:t xml:space="preserve">Georgia </w:t>
      </w:r>
      <w:r w:rsidR="00971206">
        <w:t xml:space="preserve">Power has included funding for DERMS </w:t>
      </w:r>
      <w:r w:rsidR="00FA68BB">
        <w:t xml:space="preserve">in its application for funding </w:t>
      </w:r>
      <w:r w:rsidR="00971206">
        <w:t xml:space="preserve">through </w:t>
      </w:r>
      <w:r w:rsidR="006645EC">
        <w:t>the</w:t>
      </w:r>
      <w:r>
        <w:t xml:space="preserve"> </w:t>
      </w:r>
      <w:r w:rsidRPr="0085148F">
        <w:t>DOE</w:t>
      </w:r>
      <w:r w:rsidR="006645EC">
        <w:t>’s</w:t>
      </w:r>
      <w:r>
        <w:t xml:space="preserve"> Title 17 loan opportunities that support Energy Infrastructure Reinvestment. The Company assumes these projects will qualify for the DOE Title 17 Loan Program that affords additional financial savings.</w:t>
      </w:r>
      <w:r w:rsidRPr="0085148F">
        <w:rPr>
          <w:vertAlign w:val="superscript"/>
        </w:rPr>
        <w:footnoteReference w:id="42"/>
      </w:r>
      <w:r>
        <w:t xml:space="preserve"> The development of this application and eligibility of </w:t>
      </w:r>
      <w:r w:rsidR="00C04598">
        <w:t>DERMS</w:t>
      </w:r>
      <w:r>
        <w:t xml:space="preserve"> to be included is ongoing with the DOE. </w:t>
      </w:r>
    </w:p>
    <w:p w14:paraId="1434B262" w14:textId="03384C15" w:rsidR="002B196E" w:rsidRDefault="002B196E" w:rsidP="007B038B">
      <w:pPr>
        <w:spacing w:before="120" w:after="120"/>
        <w:jc w:val="both"/>
      </w:pPr>
    </w:p>
    <w:p w14:paraId="3A270E9C" w14:textId="7A2A2943" w:rsidR="00E569A9" w:rsidRDefault="1789ABBD" w:rsidP="007E0237">
      <w:pPr>
        <w:pStyle w:val="Heading2"/>
      </w:pPr>
      <w:bookmarkStart w:id="69" w:name="_Toc189122788"/>
      <w:r w:rsidRPr="7F6098D6">
        <w:rPr>
          <w:rStyle w:val="Heading2Char"/>
        </w:rPr>
        <w:lastRenderedPageBreak/>
        <w:t>10</w:t>
      </w:r>
      <w:r w:rsidRPr="007D5954">
        <w:rPr>
          <w:rStyle w:val="Heading2Char"/>
        </w:rPr>
        <w:t xml:space="preserve">.5 </w:t>
      </w:r>
      <w:r w:rsidR="007E0237">
        <w:rPr>
          <w:rStyle w:val="Heading2Char"/>
        </w:rPr>
        <w:t xml:space="preserve">– </w:t>
      </w:r>
      <w:r w:rsidR="00E569A9" w:rsidRPr="007D5954">
        <w:rPr>
          <w:rStyle w:val="Heading2Char"/>
        </w:rPr>
        <w:t xml:space="preserve">Additional </w:t>
      </w:r>
      <w:r w:rsidR="6F780371" w:rsidRPr="54CE73C2">
        <w:rPr>
          <w:rStyle w:val="Heading2Char"/>
        </w:rPr>
        <w:t>C</w:t>
      </w:r>
      <w:r w:rsidR="61DC2929" w:rsidRPr="007F7C82">
        <w:rPr>
          <w:rStyle w:val="Heading2Char"/>
        </w:rPr>
        <w:t xml:space="preserve">ustomer </w:t>
      </w:r>
      <w:r w:rsidR="23267F96" w:rsidRPr="54CE73C2">
        <w:rPr>
          <w:rStyle w:val="Heading2Char"/>
        </w:rPr>
        <w:t>N</w:t>
      </w:r>
      <w:r w:rsidR="61DC2929" w:rsidRPr="007F7C82">
        <w:rPr>
          <w:rStyle w:val="Heading2Char"/>
        </w:rPr>
        <w:t>eed</w:t>
      </w:r>
      <w:r w:rsidR="00E569A9" w:rsidRPr="007F7C82">
        <w:rPr>
          <w:rStyle w:val="Heading2Char"/>
        </w:rPr>
        <w:t xml:space="preserve"> </w:t>
      </w:r>
      <w:r w:rsidR="45F56BAA" w:rsidRPr="5C018DE8">
        <w:rPr>
          <w:rStyle w:val="Heading2Char"/>
        </w:rPr>
        <w:t>D</w:t>
      </w:r>
      <w:r w:rsidR="61DC2929" w:rsidRPr="007F7C82">
        <w:rPr>
          <w:rStyle w:val="Heading2Char"/>
        </w:rPr>
        <w:t xml:space="preserve">riven </w:t>
      </w:r>
      <w:r w:rsidR="31A03341" w:rsidRPr="5C018DE8">
        <w:rPr>
          <w:rStyle w:val="Heading2Char"/>
        </w:rPr>
        <w:t>O</w:t>
      </w:r>
      <w:r w:rsidR="61DC2929" w:rsidRPr="007F7C82">
        <w:rPr>
          <w:rStyle w:val="Heading2Char"/>
        </w:rPr>
        <w:t>ptions</w:t>
      </w:r>
      <w:bookmarkEnd w:id="69"/>
    </w:p>
    <w:p w14:paraId="584EF8D9" w14:textId="5C0E981D" w:rsidR="00E569A9" w:rsidRPr="00CA64CC" w:rsidRDefault="00E569A9" w:rsidP="007E6336">
      <w:pPr>
        <w:keepNext/>
        <w:keepLines/>
        <w:spacing w:line="278" w:lineRule="auto"/>
        <w:jc w:val="both"/>
      </w:pPr>
      <w:r>
        <w:t xml:space="preserve">In addition to the new programs and program enhancements described above, </w:t>
      </w:r>
      <w:r w:rsidR="007D5954">
        <w:t>t</w:t>
      </w:r>
      <w:r w:rsidRPr="00CA64CC">
        <w:t xml:space="preserve">he </w:t>
      </w:r>
      <w:r>
        <w:t>C</w:t>
      </w:r>
      <w:r w:rsidRPr="00CA64CC">
        <w:t>ompany is exploring</w:t>
      </w:r>
      <w:r w:rsidR="00695BC7">
        <w:t xml:space="preserve"> </w:t>
      </w:r>
      <w:r w:rsidRPr="00CA64CC">
        <w:t xml:space="preserve">solutions such as </w:t>
      </w:r>
      <w:r w:rsidR="00C14E47">
        <w:t xml:space="preserve">technologies to ensure grid reliability with </w:t>
      </w:r>
      <w:r w:rsidR="00E761F7">
        <w:t>changing generation dynamics</w:t>
      </w:r>
      <w:r w:rsidR="61DC2929">
        <w:t>,</w:t>
      </w:r>
      <w:r w:rsidRPr="00CA64CC">
        <w:t xml:space="preserve"> carbon-free capacity resources</w:t>
      </w:r>
      <w:r w:rsidR="00695BC7">
        <w:t xml:space="preserve"> </w:t>
      </w:r>
      <w:r w:rsidRPr="00CA64CC">
        <w:t xml:space="preserve">like advanced nuclear and </w:t>
      </w:r>
      <w:r>
        <w:t>long-duration energy storage</w:t>
      </w:r>
      <w:r w:rsidR="00695BC7">
        <w:t>, and other innovative solutions</w:t>
      </w:r>
      <w:r>
        <w:t xml:space="preserve"> </w:t>
      </w:r>
      <w:r w:rsidRPr="00CA64CC">
        <w:t xml:space="preserve">to accommodate </w:t>
      </w:r>
      <w:r w:rsidR="00695BC7">
        <w:t xml:space="preserve">more </w:t>
      </w:r>
      <w:r w:rsidRPr="00CA64CC">
        <w:t>renewable</w:t>
      </w:r>
      <w:r w:rsidR="00695BC7">
        <w:t xml:space="preserve"> and carbon-free</w:t>
      </w:r>
      <w:r w:rsidRPr="00CA64CC">
        <w:t xml:space="preserve"> resources</w:t>
      </w:r>
      <w:r w:rsidR="00EB3643">
        <w:t>.</w:t>
      </w:r>
      <w:r w:rsidRPr="00CA64CC">
        <w:t xml:space="preserve"> Additionally, Georgia Power is actively engaging with stakeholders to identify the most impactful decarbonization strategies and is committed to transparency in its efforts to foster a collaborative approach. The Company will continue to evaluate and refine these opportunities, presenting specific proposals to the Commission for approval as </w:t>
      </w:r>
      <w:r w:rsidR="00197710">
        <w:t>appropriate</w:t>
      </w:r>
      <w:r w:rsidRPr="00CA64CC">
        <w:t xml:space="preserve">, ensuring that all initiatives deliver both </w:t>
      </w:r>
      <w:r>
        <w:t>S</w:t>
      </w:r>
      <w:r w:rsidRPr="00CA64CC">
        <w:t>ystem reliability and economic benefits for all customers.</w:t>
      </w:r>
      <w:r w:rsidR="00197710">
        <w:t xml:space="preserve"> The</w:t>
      </w:r>
      <w:r w:rsidR="00693060">
        <w:t xml:space="preserve">se opportunities may require </w:t>
      </w:r>
      <w:r w:rsidR="00C90B59">
        <w:t xml:space="preserve">Commission-approved </w:t>
      </w:r>
      <w:r w:rsidR="00693060">
        <w:t>program</w:t>
      </w:r>
      <w:r w:rsidR="007F7C82">
        <w:t>s</w:t>
      </w:r>
      <w:r w:rsidR="00693060">
        <w:t xml:space="preserve"> to facilit</w:t>
      </w:r>
      <w:r w:rsidR="003D2721">
        <w:t>ate</w:t>
      </w:r>
      <w:r w:rsidR="00693060">
        <w:t xml:space="preserve"> participation </w:t>
      </w:r>
      <w:r w:rsidR="007E3A63">
        <w:t>by</w:t>
      </w:r>
      <w:r w:rsidR="00197710" w:rsidRPr="00CA64CC">
        <w:t xml:space="preserve"> large load customers</w:t>
      </w:r>
      <w:r w:rsidR="007E3A63">
        <w:t xml:space="preserve"> willing</w:t>
      </w:r>
      <w:r w:rsidR="00197710" w:rsidRPr="00CA64CC">
        <w:t xml:space="preserve"> to </w:t>
      </w:r>
      <w:r w:rsidR="007E3A63">
        <w:t xml:space="preserve">fund these </w:t>
      </w:r>
      <w:r w:rsidR="00197710" w:rsidRPr="00CA64CC">
        <w:t>decarbonization enabl</w:t>
      </w:r>
      <w:r w:rsidR="007E3A63">
        <w:t xml:space="preserve">ing </w:t>
      </w:r>
      <w:r w:rsidR="00433CE5">
        <w:t xml:space="preserve">technologies. The Company will </w:t>
      </w:r>
      <w:r w:rsidR="003D2721">
        <w:t>submit to the Commission</w:t>
      </w:r>
      <w:r w:rsidR="004C6244">
        <w:t xml:space="preserve"> for approval</w:t>
      </w:r>
      <w:r w:rsidR="00433CE5">
        <w:t xml:space="preserve"> </w:t>
      </w:r>
      <w:r w:rsidR="006E47F1">
        <w:t>these customized</w:t>
      </w:r>
      <w:r w:rsidR="00197710" w:rsidRPr="00CA64CC">
        <w:t xml:space="preserve"> solutions that </w:t>
      </w:r>
      <w:r w:rsidR="004C6244">
        <w:t>facilitate</w:t>
      </w:r>
      <w:r w:rsidR="00197710" w:rsidRPr="00CA64CC">
        <w:t xml:space="preserve"> </w:t>
      </w:r>
      <w:r w:rsidR="006E47F1">
        <w:t>large customer</w:t>
      </w:r>
      <w:r w:rsidR="00197710" w:rsidRPr="00CA64CC">
        <w:t xml:space="preserve"> sustainability goals.</w:t>
      </w:r>
    </w:p>
    <w:p w14:paraId="1C43A038" w14:textId="77777777" w:rsidR="00E569A9" w:rsidRDefault="00E569A9" w:rsidP="007B038B">
      <w:pPr>
        <w:spacing w:before="120" w:after="120"/>
        <w:jc w:val="both"/>
      </w:pPr>
    </w:p>
    <w:p w14:paraId="4D7BF87F" w14:textId="7F3480DF" w:rsidR="004A4AE4" w:rsidRDefault="004A4AE4" w:rsidP="007B038B">
      <w:pPr>
        <w:pStyle w:val="Heading2"/>
        <w:spacing w:before="120" w:after="120"/>
        <w:jc w:val="both"/>
      </w:pPr>
      <w:r>
        <w:br w:type="page"/>
      </w:r>
    </w:p>
    <w:p w14:paraId="1441CD04" w14:textId="50F4070E" w:rsidR="004A4AE4" w:rsidRDefault="004E56A5" w:rsidP="004A4AE4">
      <w:pPr>
        <w:pStyle w:val="Heading1"/>
      </w:pPr>
      <w:bookmarkStart w:id="70" w:name="_Toc189122789"/>
      <w:r>
        <w:lastRenderedPageBreak/>
        <w:t xml:space="preserve">Chapter </w:t>
      </w:r>
      <w:r w:rsidR="00B700DC">
        <w:t>1</w:t>
      </w:r>
      <w:r w:rsidR="00EE2823">
        <w:t>1</w:t>
      </w:r>
      <w:r>
        <w:t xml:space="preserve">. </w:t>
      </w:r>
      <w:r w:rsidR="00905272">
        <w:t>Transmission</w:t>
      </w:r>
      <w:bookmarkEnd w:id="70"/>
    </w:p>
    <w:p w14:paraId="0D08D206" w14:textId="68889409" w:rsidR="00646BAC" w:rsidRDefault="00512D97" w:rsidP="00646BAC">
      <w:pPr>
        <w:jc w:val="both"/>
      </w:pPr>
      <w:r>
        <w:t>Georgia Power’</w:t>
      </w:r>
      <w:r w:rsidR="00646BAC">
        <w:t xml:space="preserve">s </w:t>
      </w:r>
      <w:r w:rsidR="004846B7">
        <w:t>T</w:t>
      </w:r>
      <w:r w:rsidR="00646BAC">
        <w:t>en-</w:t>
      </w:r>
      <w:r w:rsidR="004846B7">
        <w:t>Y</w:t>
      </w:r>
      <w:r w:rsidR="00646BAC">
        <w:t xml:space="preserve">ear </w:t>
      </w:r>
      <w:r w:rsidR="004846B7">
        <w:t>P</w:t>
      </w:r>
      <w:r w:rsidR="00646BAC">
        <w:t xml:space="preserve">lan, </w:t>
      </w:r>
      <w:r>
        <w:t>included in this IRP</w:t>
      </w:r>
      <w:r w:rsidR="00646BAC">
        <w:t xml:space="preserve">, </w:t>
      </w:r>
      <w:r w:rsidR="00C86042">
        <w:t>is based upon current planning assumptions and</w:t>
      </w:r>
      <w:r w:rsidR="00646BAC">
        <w:t xml:space="preserve"> identifies the transmission improvements needed to maintain a strong and reliable transmission system. </w:t>
      </w:r>
      <w:r w:rsidR="007A090D">
        <w:t>As a compliment to</w:t>
      </w:r>
      <w:r w:rsidR="000F2259">
        <w:t xml:space="preserve"> </w:t>
      </w:r>
      <w:r w:rsidR="00C26045">
        <w:t>its</w:t>
      </w:r>
      <w:r w:rsidR="00646BAC">
        <w:t xml:space="preserve"> </w:t>
      </w:r>
      <w:r w:rsidR="00793B12">
        <w:t>Ten</w:t>
      </w:r>
      <w:r w:rsidR="00646BAC">
        <w:t>-</w:t>
      </w:r>
      <w:r w:rsidR="00793B12">
        <w:t>Year P</w:t>
      </w:r>
      <w:r w:rsidR="00646BAC">
        <w:t>lan, Georgia Power has included a comprehensive bulk transmission plan of the Georgia ITS summarizing studies, project lists, processes, data files, and other information required by the amended Rules adopted by the Commission in Docket No. 25981.</w:t>
      </w:r>
    </w:p>
    <w:p w14:paraId="266DF4AB" w14:textId="344B48B2" w:rsidR="00646BAC" w:rsidRDefault="00646BAC" w:rsidP="00646BAC">
      <w:pPr>
        <w:pStyle w:val="Heading2"/>
      </w:pPr>
      <w:bookmarkStart w:id="71" w:name="_Toc189122790"/>
      <w:r>
        <w:t>1</w:t>
      </w:r>
      <w:r w:rsidR="00EE2823">
        <w:t>1</w:t>
      </w:r>
      <w:r>
        <w:t>.1 – Transmission Planning Principles</w:t>
      </w:r>
      <w:bookmarkEnd w:id="71"/>
    </w:p>
    <w:p w14:paraId="634FF858" w14:textId="78C88B9B" w:rsidR="00646BAC" w:rsidRDefault="00646BAC" w:rsidP="00646BAC">
      <w:pPr>
        <w:jc w:val="both"/>
      </w:pPr>
      <w:r>
        <w:t>The transmission planning principles provide an overview of the standards and criteria used for transmission expansion and upgrade proposals. These principles are designed to help ensure the coordinated development of a reliable, economical</w:t>
      </w:r>
      <w:r w:rsidR="00950F60">
        <w:t>, and efficient</w:t>
      </w:r>
      <w:r>
        <w:t xml:space="preserve"> electric system </w:t>
      </w:r>
      <w:r w:rsidR="00DE1323">
        <w:t>and</w:t>
      </w:r>
      <w:r w:rsidR="00F73FD6">
        <w:t xml:space="preserve"> </w:t>
      </w:r>
      <w:r>
        <w:t xml:space="preserve">the long-term benefit of transmission users. These principles </w:t>
      </w:r>
      <w:r w:rsidR="00974F09">
        <w:t>emphasi</w:t>
      </w:r>
      <w:r w:rsidR="004F2AE8">
        <w:t>ze</w:t>
      </w:r>
      <w:r>
        <w:t xml:space="preserve"> proactive </w:t>
      </w:r>
      <w:r w:rsidR="004F2AE8">
        <w:t xml:space="preserve">planning </w:t>
      </w:r>
      <w:r>
        <w:t xml:space="preserve">to ensure timely </w:t>
      </w:r>
      <w:r w:rsidR="00737EE3">
        <w:t>S</w:t>
      </w:r>
      <w:r>
        <w:t xml:space="preserve">ystem adjustments, upgrades, and expansions. Georgia Power’s transmission planning </w:t>
      </w:r>
      <w:r w:rsidR="00A863DA">
        <w:t xml:space="preserve">principles </w:t>
      </w:r>
      <w:r>
        <w:t>are:</w:t>
      </w:r>
    </w:p>
    <w:p w14:paraId="0DF738F7" w14:textId="0ABEF8E4" w:rsidR="00646BAC" w:rsidRDefault="00646BAC" w:rsidP="009A12F5">
      <w:pPr>
        <w:pStyle w:val="ListParagraph"/>
        <w:numPr>
          <w:ilvl w:val="0"/>
          <w:numId w:val="16"/>
        </w:numPr>
        <w:jc w:val="both"/>
      </w:pPr>
      <w:r>
        <w:t>Identify and recommend projects that are consistent with the Guidelines for Planning the ITS and the Guidelines for Planning the Southern Company Electric Transmission System.</w:t>
      </w:r>
    </w:p>
    <w:p w14:paraId="60510BE8" w14:textId="38098F58" w:rsidR="00646BAC" w:rsidRDefault="00646BAC" w:rsidP="009A12F5">
      <w:pPr>
        <w:pStyle w:val="ListParagraph"/>
        <w:numPr>
          <w:ilvl w:val="0"/>
          <w:numId w:val="16"/>
        </w:numPr>
        <w:jc w:val="both"/>
      </w:pPr>
      <w:r>
        <w:t>Identify and recommend projects that are consistent with the NERC Reliability Standards.</w:t>
      </w:r>
    </w:p>
    <w:p w14:paraId="2042BB9E" w14:textId="3CC1C464" w:rsidR="00646BAC" w:rsidRDefault="00646BAC" w:rsidP="009A12F5">
      <w:pPr>
        <w:pStyle w:val="ListParagraph"/>
        <w:numPr>
          <w:ilvl w:val="0"/>
          <w:numId w:val="16"/>
        </w:numPr>
        <w:jc w:val="both"/>
      </w:pPr>
      <w:r>
        <w:t xml:space="preserve">Minimize costs associated with the transmission system expansion, considering the impact on </w:t>
      </w:r>
      <w:r w:rsidR="008E06A4">
        <w:t>S</w:t>
      </w:r>
      <w:r>
        <w:t>ystem reliability and operations.</w:t>
      </w:r>
    </w:p>
    <w:p w14:paraId="3B246B4C" w14:textId="437F7BFB" w:rsidR="00646BAC" w:rsidRDefault="00646BAC" w:rsidP="009A12F5">
      <w:pPr>
        <w:pStyle w:val="ListParagraph"/>
        <w:numPr>
          <w:ilvl w:val="0"/>
          <w:numId w:val="16"/>
        </w:numPr>
        <w:jc w:val="both"/>
      </w:pPr>
      <w:r>
        <w:t>Identify projects with sufficient lead-time to provide for the timely construction of new transmission facilities.</w:t>
      </w:r>
    </w:p>
    <w:p w14:paraId="7F3526B6" w14:textId="03415170" w:rsidR="00646BAC" w:rsidRDefault="00646BAC" w:rsidP="009A12F5">
      <w:pPr>
        <w:pStyle w:val="ListParagraph"/>
        <w:numPr>
          <w:ilvl w:val="0"/>
          <w:numId w:val="16"/>
        </w:numPr>
        <w:jc w:val="both"/>
      </w:pPr>
      <w:r>
        <w:t xml:space="preserve">Coordinate transmission system plans with the plans developed by Georgia Power’s </w:t>
      </w:r>
      <w:r w:rsidR="000075BD">
        <w:t xml:space="preserve">Planning </w:t>
      </w:r>
      <w:r w:rsidR="00CD30AF">
        <w:t xml:space="preserve">&amp; </w:t>
      </w:r>
      <w:r w:rsidR="006909BF">
        <w:t>Policy</w:t>
      </w:r>
      <w:r>
        <w:t xml:space="preserve"> group.</w:t>
      </w:r>
    </w:p>
    <w:p w14:paraId="351B07BC" w14:textId="395F7935" w:rsidR="00646BAC" w:rsidRDefault="00646BAC" w:rsidP="009A12F5">
      <w:pPr>
        <w:pStyle w:val="ListParagraph"/>
        <w:numPr>
          <w:ilvl w:val="0"/>
          <w:numId w:val="16"/>
        </w:numPr>
        <w:jc w:val="both"/>
      </w:pPr>
      <w:r>
        <w:t>Coordinate transmission system plans with all ITS Participants and other transmission owners to enhance reliability and minimize associated costs.</w:t>
      </w:r>
    </w:p>
    <w:p w14:paraId="69047543" w14:textId="342CCB46" w:rsidR="00646BAC" w:rsidRDefault="00646BAC" w:rsidP="009A12F5">
      <w:pPr>
        <w:pStyle w:val="ListParagraph"/>
        <w:numPr>
          <w:ilvl w:val="0"/>
          <w:numId w:val="16"/>
        </w:numPr>
        <w:jc w:val="both"/>
      </w:pPr>
      <w:r>
        <w:t>Coordinate future transmission plans with other Georgia Power departments, other ITS Participants, other SCS departments and the regions surrounding the Southeast in the project development and planning processes.</w:t>
      </w:r>
    </w:p>
    <w:p w14:paraId="6B136D7E" w14:textId="5F104830" w:rsidR="00646BAC" w:rsidRDefault="00646BAC" w:rsidP="009A12F5">
      <w:pPr>
        <w:pStyle w:val="ListParagraph"/>
        <w:numPr>
          <w:ilvl w:val="0"/>
          <w:numId w:val="16"/>
        </w:numPr>
        <w:jc w:val="both"/>
      </w:pPr>
      <w:r>
        <w:t>Maintain adequate interconnections with neighboring utilities.</w:t>
      </w:r>
    </w:p>
    <w:p w14:paraId="635C7907" w14:textId="2A2DE913" w:rsidR="00646BAC" w:rsidRDefault="003925A4" w:rsidP="009A12F5">
      <w:pPr>
        <w:pStyle w:val="ListParagraph"/>
        <w:numPr>
          <w:ilvl w:val="0"/>
          <w:numId w:val="16"/>
        </w:numPr>
        <w:jc w:val="both"/>
      </w:pPr>
      <w:r>
        <w:t>E</w:t>
      </w:r>
      <w:r w:rsidR="00646BAC">
        <w:t xml:space="preserve">nsure proper awareness </w:t>
      </w:r>
      <w:r w:rsidR="00BF2A1C">
        <w:t xml:space="preserve">throughout the </w:t>
      </w:r>
      <w:r w:rsidR="00296D06">
        <w:t xml:space="preserve">integrated planning process </w:t>
      </w:r>
      <w:r w:rsidR="00646BAC">
        <w:t xml:space="preserve">of the importance of adequate transmission improvements and </w:t>
      </w:r>
      <w:r w:rsidR="00D06984">
        <w:t>S</w:t>
      </w:r>
      <w:r w:rsidR="00646BAC">
        <w:t>ystem expansion.</w:t>
      </w:r>
    </w:p>
    <w:p w14:paraId="6D9BDDED" w14:textId="073D6668" w:rsidR="00646BAC" w:rsidRDefault="00646BAC" w:rsidP="009A12F5">
      <w:pPr>
        <w:pStyle w:val="ListParagraph"/>
        <w:numPr>
          <w:ilvl w:val="0"/>
          <w:numId w:val="16"/>
        </w:numPr>
        <w:jc w:val="both"/>
      </w:pPr>
      <w:r>
        <w:t>Utilize existing resources (</w:t>
      </w:r>
      <w:r w:rsidR="00E803DF">
        <w:t>e.g.</w:t>
      </w:r>
      <w:r>
        <w:t xml:space="preserve">, reusing rights of way, increasing the capacity of existing facilities, implementing voltage conversions, and constructing double-circuit lines) and favoring substation projects and </w:t>
      </w:r>
      <w:r w:rsidR="005A0D88">
        <w:t xml:space="preserve">innovative </w:t>
      </w:r>
      <w:r w:rsidR="00095138">
        <w:t>solutions</w:t>
      </w:r>
      <w:r>
        <w:t xml:space="preserve"> over new line construction where feasible.</w:t>
      </w:r>
    </w:p>
    <w:p w14:paraId="0F9DCBE1" w14:textId="68BD4732" w:rsidR="00646BAC" w:rsidRDefault="00646BAC" w:rsidP="009A12F5">
      <w:pPr>
        <w:pStyle w:val="ListParagraph"/>
        <w:numPr>
          <w:ilvl w:val="0"/>
          <w:numId w:val="16"/>
        </w:numPr>
        <w:jc w:val="both"/>
      </w:pPr>
      <w:r>
        <w:t>Minimize transmission losses when cost effective.</w:t>
      </w:r>
    </w:p>
    <w:p w14:paraId="33A3371A" w14:textId="78C9E35B" w:rsidR="00646BAC" w:rsidRDefault="00646BAC" w:rsidP="009A12F5">
      <w:pPr>
        <w:pStyle w:val="ListParagraph"/>
        <w:numPr>
          <w:ilvl w:val="0"/>
          <w:numId w:val="16"/>
        </w:numPr>
        <w:jc w:val="both"/>
      </w:pPr>
      <w:r>
        <w:t>Avoid the loss of life to transmission equipment from forced operation at higher loading levels.</w:t>
      </w:r>
    </w:p>
    <w:p w14:paraId="1785BB69" w14:textId="4107D8A0" w:rsidR="00646BAC" w:rsidRDefault="00646BAC" w:rsidP="00646BAC">
      <w:pPr>
        <w:jc w:val="both"/>
      </w:pPr>
      <w:r>
        <w:t>These principles provide guidance to transmission planners and/or planning authorities that are called upon to explore existing issues and any future problems encountered in the transmission planning process.</w:t>
      </w:r>
    </w:p>
    <w:p w14:paraId="00737241" w14:textId="710C068A" w:rsidR="00646BAC" w:rsidRDefault="00AC07E1" w:rsidP="00AC07E1">
      <w:pPr>
        <w:pStyle w:val="Heading2"/>
      </w:pPr>
      <w:bookmarkStart w:id="72" w:name="_Toc189122791"/>
      <w:r>
        <w:lastRenderedPageBreak/>
        <w:t>1</w:t>
      </w:r>
      <w:r w:rsidR="00EE2823">
        <w:t>1</w:t>
      </w:r>
      <w:r>
        <w:t>.2 – Ten-Year Transmission Plan</w:t>
      </w:r>
      <w:bookmarkEnd w:id="72"/>
    </w:p>
    <w:p w14:paraId="67F2E98C" w14:textId="711F124B" w:rsidR="00646BAC" w:rsidRDefault="00646BAC" w:rsidP="00646BAC">
      <w:pPr>
        <w:jc w:val="both"/>
      </w:pPr>
      <w:r>
        <w:t>Georgia Power is a</w:t>
      </w:r>
      <w:r w:rsidDel="007A7A31">
        <w:t xml:space="preserve"> </w:t>
      </w:r>
      <w:r>
        <w:t xml:space="preserve">participant in the ITS, which consists of the physical equipment necessary to transmit power from the generating plants and interconnection points to the local area distribution load centers. </w:t>
      </w:r>
      <w:r w:rsidR="00BC501D">
        <w:t>E</w:t>
      </w:r>
      <w:r>
        <w:t xml:space="preserve">lectric transmission facilities </w:t>
      </w:r>
      <w:r w:rsidR="00BC501D">
        <w:t xml:space="preserve">in the ITS </w:t>
      </w:r>
      <w:r>
        <w:t xml:space="preserve">are individually owned and maintained by ITS Participants. Transmission Planning identifies investments required to maintain sufficient capacity in the ITS to reliably meet the </w:t>
      </w:r>
      <w:r w:rsidR="000F489D">
        <w:t xml:space="preserve">electricity </w:t>
      </w:r>
      <w:r>
        <w:t xml:space="preserve">needs of the public. </w:t>
      </w:r>
      <w:r w:rsidR="00B8280E">
        <w:t>T</w:t>
      </w:r>
      <w:r>
        <w:t xml:space="preserve">hese decisions are based on technical and economic evaluations of options that </w:t>
      </w:r>
      <w:r w:rsidR="007C2104">
        <w:t xml:space="preserve">can </w:t>
      </w:r>
      <w:r>
        <w:t>meet these needs. ITS Participants are responsible for meeting their full load requirements, including generation, a</w:t>
      </w:r>
      <w:r w:rsidR="000575BA">
        <w:t xml:space="preserve">s well as </w:t>
      </w:r>
      <w:r>
        <w:t xml:space="preserve">for making necessary improvements to their </w:t>
      </w:r>
      <w:r w:rsidR="000575BA">
        <w:t xml:space="preserve">transmission </w:t>
      </w:r>
      <w:r>
        <w:t xml:space="preserve">facilities </w:t>
      </w:r>
      <w:r w:rsidR="000575BA">
        <w:t>and</w:t>
      </w:r>
      <w:r>
        <w:t xml:space="preserve"> building new facilities to accommodate load growth, changes in network flows, </w:t>
      </w:r>
      <w:r w:rsidR="00931E85">
        <w:t>S</w:t>
      </w:r>
      <w:r>
        <w:t xml:space="preserve">ystem reliability, or </w:t>
      </w:r>
      <w:r w:rsidR="00931E85">
        <w:t>S</w:t>
      </w:r>
      <w:r>
        <w:t>ystem operations.</w:t>
      </w:r>
    </w:p>
    <w:p w14:paraId="6CF69A11" w14:textId="487C8C17" w:rsidR="00646BAC" w:rsidRDefault="00B42332" w:rsidP="00646BAC">
      <w:pPr>
        <w:jc w:val="both"/>
      </w:pPr>
      <w:r>
        <w:t>The Company</w:t>
      </w:r>
      <w:r w:rsidR="00646BAC">
        <w:t xml:space="preserve"> develops a </w:t>
      </w:r>
      <w:r w:rsidR="00D57134">
        <w:t xml:space="preserve">transmission </w:t>
      </w:r>
      <w:r w:rsidR="00646BAC">
        <w:t xml:space="preserve">planning model of the transmission system for each year </w:t>
      </w:r>
      <w:r w:rsidR="00D57134">
        <w:t xml:space="preserve">of the </w:t>
      </w:r>
      <w:r w:rsidR="00A003C3">
        <w:t xml:space="preserve">next </w:t>
      </w:r>
      <w:r w:rsidR="00646BAC">
        <w:t>ten years. Th</w:t>
      </w:r>
      <w:r w:rsidR="001D6C32">
        <w:t>e Company used th</w:t>
      </w:r>
      <w:r w:rsidR="00646BAC">
        <w:t>is planning model to identif</w:t>
      </w:r>
      <w:r w:rsidR="00740F98">
        <w:t>y</w:t>
      </w:r>
      <w:r w:rsidR="00646BAC">
        <w:t xml:space="preserve"> transmission constraints and to evaluate alternative solutions t</w:t>
      </w:r>
      <w:r w:rsidR="001D6C32">
        <w:t xml:space="preserve">hat </w:t>
      </w:r>
      <w:r w:rsidR="00646BAC">
        <w:t>address those constraints.</w:t>
      </w:r>
      <w:r w:rsidR="00CD1101">
        <w:t xml:space="preserve"> </w:t>
      </w:r>
      <w:r w:rsidR="00A25D7A">
        <w:t>T</w:t>
      </w:r>
      <w:r w:rsidR="00BA3978">
        <w:t xml:space="preserve">he planning model </w:t>
      </w:r>
      <w:r w:rsidR="00A25D7A">
        <w:t>also</w:t>
      </w:r>
      <w:r w:rsidR="00BA3978">
        <w:t xml:space="preserve"> serves as the basis for t</w:t>
      </w:r>
      <w:r w:rsidR="00CD1101">
        <w:t xml:space="preserve">he </w:t>
      </w:r>
      <w:r w:rsidR="00EC66EC">
        <w:t>2024 Georgia ITS Ten-Year Plan</w:t>
      </w:r>
      <w:r w:rsidR="00BA3978">
        <w:t>, which</w:t>
      </w:r>
      <w:r w:rsidR="00EC66EC">
        <w:t xml:space="preserve"> incorporates </w:t>
      </w:r>
      <w:r w:rsidR="00881A7B">
        <w:t xml:space="preserve">updates to generation and </w:t>
      </w:r>
      <w:r w:rsidR="00C7592F">
        <w:t xml:space="preserve">load </w:t>
      </w:r>
      <w:r w:rsidR="002E375F">
        <w:t xml:space="preserve">growth </w:t>
      </w:r>
      <w:r w:rsidR="00E163FF">
        <w:t xml:space="preserve">for all ITS Participants, including </w:t>
      </w:r>
      <w:r w:rsidR="002E375F">
        <w:t>changes</w:t>
      </w:r>
      <w:r w:rsidR="00E163FF">
        <w:t xml:space="preserve"> </w:t>
      </w:r>
      <w:r w:rsidR="00C7592F">
        <w:t>since the 2022 IRP and 2023 IRP Update.</w:t>
      </w:r>
      <w:r w:rsidR="00C60ABC">
        <w:t xml:space="preserve"> </w:t>
      </w:r>
    </w:p>
    <w:p w14:paraId="4B816D4B" w14:textId="438420A3" w:rsidR="00646BAC" w:rsidRDefault="00646BAC" w:rsidP="00646BAC">
      <w:pPr>
        <w:jc w:val="both"/>
      </w:pPr>
      <w:r>
        <w:t>All Transmission Planning information required by the Commission in Docket Nos. 25981 and 31081 is provided in Technical Appendix Volume 3.</w:t>
      </w:r>
    </w:p>
    <w:p w14:paraId="3F4ABE79" w14:textId="1A628FC5" w:rsidR="00646BAC" w:rsidRDefault="00AC07E1" w:rsidP="00AC07E1">
      <w:pPr>
        <w:pStyle w:val="Heading2"/>
      </w:pPr>
      <w:bookmarkStart w:id="73" w:name="_Toc189122792"/>
      <w:r>
        <w:t>1</w:t>
      </w:r>
      <w:r w:rsidR="00EE2823">
        <w:t>1</w:t>
      </w:r>
      <w:r>
        <w:t xml:space="preserve">.3 – </w:t>
      </w:r>
      <w:r w:rsidR="00066DAC">
        <w:t>Strategic Transmission</w:t>
      </w:r>
      <w:bookmarkEnd w:id="73"/>
    </w:p>
    <w:p w14:paraId="491E51AE" w14:textId="353BD2CC" w:rsidR="00BA1D6A" w:rsidRDefault="00646BAC" w:rsidP="00646BAC">
      <w:pPr>
        <w:jc w:val="both"/>
      </w:pPr>
      <w:r>
        <w:t xml:space="preserve">A key </w:t>
      </w:r>
      <w:r w:rsidR="009F03DD" w:rsidRPr="009F03DD">
        <w:t>component</w:t>
      </w:r>
      <w:r>
        <w:t xml:space="preserve"> of </w:t>
      </w:r>
      <w:r w:rsidR="00662A99">
        <w:t>an</w:t>
      </w:r>
      <w:r>
        <w:t xml:space="preserve"> IRP is the ability to consider impacts to the transmission system when making generating resource decisions. The Company routinely takes these considerations into account by completing evaluations separate from the standard ten-year transmission planning </w:t>
      </w:r>
      <w:r w:rsidR="00666536">
        <w:t>processes</w:t>
      </w:r>
      <w:r w:rsidR="009F03DD" w:rsidRPr="009F03DD">
        <w:t>.</w:t>
      </w:r>
      <w:r w:rsidR="009F03DD">
        <w:t xml:space="preserve"> </w:t>
      </w:r>
      <w:r w:rsidR="00066DAC">
        <w:t xml:space="preserve">Since the </w:t>
      </w:r>
      <w:r w:rsidR="003A389F">
        <w:t xml:space="preserve">2022 IRP, </w:t>
      </w:r>
      <w:r w:rsidR="00662A99">
        <w:t>Georgia Power</w:t>
      </w:r>
      <w:r w:rsidR="00EE2E16">
        <w:t>,</w:t>
      </w:r>
      <w:r w:rsidR="003A389F">
        <w:t xml:space="preserve"> </w:t>
      </w:r>
      <w:r w:rsidR="00BA1D6A">
        <w:t>in conjunction</w:t>
      </w:r>
      <w:r w:rsidR="003A389F">
        <w:t xml:space="preserve"> with the ITS Participants</w:t>
      </w:r>
      <w:r w:rsidR="00EE2E16">
        <w:t>,</w:t>
      </w:r>
      <w:r w:rsidR="003A389F">
        <w:t xml:space="preserve"> developed and initiated the projects in </w:t>
      </w:r>
      <w:r w:rsidR="00024EED">
        <w:t>T</w:t>
      </w:r>
      <w:r w:rsidR="003A389F">
        <w:t>able</w:t>
      </w:r>
      <w:r w:rsidR="00024EED">
        <w:t xml:space="preserve"> 1</w:t>
      </w:r>
      <w:r w:rsidR="009D7D85">
        <w:t>1</w:t>
      </w:r>
      <w:r w:rsidR="00127114">
        <w:t>.</w:t>
      </w:r>
      <w:r w:rsidR="00EE2330">
        <w:t>3</w:t>
      </w:r>
      <w:r w:rsidR="003A389F">
        <w:t xml:space="preserve"> below</w:t>
      </w:r>
      <w:r w:rsidR="00BA1D6A">
        <w:t xml:space="preserve"> to improve power transfer from </w:t>
      </w:r>
      <w:r w:rsidR="00C7590E">
        <w:t>South</w:t>
      </w:r>
      <w:r w:rsidR="00BA1D6A">
        <w:t xml:space="preserve"> Georgia to </w:t>
      </w:r>
      <w:r w:rsidR="00C7590E">
        <w:t>N</w:t>
      </w:r>
      <w:r w:rsidR="00BA1D6A">
        <w:t xml:space="preserve">orth Georgia </w:t>
      </w:r>
      <w:r w:rsidR="00656589">
        <w:t>(</w:t>
      </w:r>
      <w:r w:rsidR="0078273F">
        <w:t>formerly known as the</w:t>
      </w:r>
      <w:r w:rsidR="00656589">
        <w:t xml:space="preserve"> </w:t>
      </w:r>
      <w:r w:rsidR="003E70B7">
        <w:t xml:space="preserve">North Georgia Reliability &amp; Resiliency Action </w:t>
      </w:r>
      <w:r w:rsidR="00246648">
        <w:t>Plan</w:t>
      </w:r>
      <w:r w:rsidR="00B464FF">
        <w:t>)</w:t>
      </w:r>
      <w:r w:rsidR="0002189A">
        <w:t>,</w:t>
      </w:r>
      <w:r w:rsidR="00B464FF">
        <w:t xml:space="preserve"> </w:t>
      </w:r>
      <w:r w:rsidR="00BA1D6A">
        <w:t>prepar</w:t>
      </w:r>
      <w:r w:rsidR="38A9EEE5">
        <w:t>e</w:t>
      </w:r>
      <w:r w:rsidR="00BA1D6A">
        <w:t xml:space="preserve"> the transmission system for generation fleet transitions</w:t>
      </w:r>
      <w:r w:rsidR="0002189A">
        <w:t>,</w:t>
      </w:r>
      <w:r w:rsidR="00E83B25">
        <w:t xml:space="preserve"> </w:t>
      </w:r>
      <w:r w:rsidR="1EBB70EA">
        <w:t xml:space="preserve">and </w:t>
      </w:r>
      <w:r w:rsidR="00E83B25">
        <w:t xml:space="preserve">maintain </w:t>
      </w:r>
      <w:r w:rsidR="00CA09A7">
        <w:t>S</w:t>
      </w:r>
      <w:r w:rsidR="00E83B25">
        <w:t>ystem reliability</w:t>
      </w:r>
      <w:r w:rsidR="00BA1D6A">
        <w:t>.</w:t>
      </w:r>
    </w:p>
    <w:p w14:paraId="6AF31E97" w14:textId="03089689" w:rsidR="00B54FF3" w:rsidRDefault="00EE2330" w:rsidP="0036294C">
      <w:pPr>
        <w:keepNext/>
        <w:keepLines/>
        <w:spacing w:after="0" w:line="278" w:lineRule="auto"/>
        <w:jc w:val="center"/>
        <w:rPr>
          <w:i/>
          <w:iCs/>
        </w:rPr>
      </w:pPr>
      <w:r w:rsidRPr="00986CCA">
        <w:rPr>
          <w:i/>
          <w:iCs/>
        </w:rPr>
        <w:lastRenderedPageBreak/>
        <w:t xml:space="preserve">Table </w:t>
      </w:r>
      <w:r>
        <w:rPr>
          <w:i/>
          <w:iCs/>
        </w:rPr>
        <w:t>1</w:t>
      </w:r>
      <w:r w:rsidR="00EE2823">
        <w:rPr>
          <w:i/>
          <w:iCs/>
        </w:rPr>
        <w:t>1</w:t>
      </w:r>
      <w:r>
        <w:rPr>
          <w:i/>
          <w:iCs/>
        </w:rPr>
        <w:t>.3</w:t>
      </w:r>
      <w:r w:rsidRPr="00986CCA">
        <w:rPr>
          <w:i/>
          <w:iCs/>
        </w:rPr>
        <w:t xml:space="preserve">: </w:t>
      </w:r>
      <w:r w:rsidR="003A0025">
        <w:rPr>
          <w:i/>
          <w:iCs/>
        </w:rPr>
        <w:t>Strategic Transmission Projects</w:t>
      </w:r>
    </w:p>
    <w:p w14:paraId="5F829591" w14:textId="77777777" w:rsidR="003A0025" w:rsidRDefault="003A0025" w:rsidP="0036294C">
      <w:pPr>
        <w:keepNext/>
        <w:keepLines/>
        <w:spacing w:after="0" w:line="278" w:lineRule="auto"/>
        <w:jc w:val="center"/>
      </w:pPr>
    </w:p>
    <w:tbl>
      <w:tblPr>
        <w:tblW w:w="10420" w:type="dxa"/>
        <w:jc w:val="center"/>
        <w:tblLook w:val="04A0" w:firstRow="1" w:lastRow="0" w:firstColumn="1" w:lastColumn="0" w:noHBand="0" w:noVBand="1"/>
      </w:tblPr>
      <w:tblGrid>
        <w:gridCol w:w="886"/>
        <w:gridCol w:w="5319"/>
        <w:gridCol w:w="1620"/>
        <w:gridCol w:w="1295"/>
        <w:gridCol w:w="1300"/>
      </w:tblGrid>
      <w:tr w:rsidR="004814A0" w:rsidRPr="00B54FF3" w14:paraId="313905B8" w14:textId="77777777" w:rsidTr="00161D0C">
        <w:trPr>
          <w:trHeight w:val="600"/>
          <w:jc w:val="center"/>
        </w:trPr>
        <w:tc>
          <w:tcPr>
            <w:tcW w:w="8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91BF5A" w14:textId="77777777" w:rsidR="00B54FF3" w:rsidRPr="002018D2" w:rsidRDefault="00B54FF3" w:rsidP="0036294C">
            <w:pPr>
              <w:keepNext/>
              <w:keepLines/>
              <w:spacing w:after="0" w:line="240" w:lineRule="auto"/>
              <w:jc w:val="center"/>
              <w:rPr>
                <w:rFonts w:ascii="Aptos Narrow" w:eastAsia="Times New Roman" w:hAnsi="Aptos Narrow" w:cs="Times New Roman"/>
                <w:b/>
                <w:bCs/>
                <w:color w:val="000000"/>
                <w:kern w:val="0"/>
                <w:sz w:val="20"/>
                <w:szCs w:val="20"/>
                <w14:ligatures w14:val="none"/>
              </w:rPr>
            </w:pPr>
            <w:r w:rsidRPr="38BBE1B9">
              <w:rPr>
                <w:rFonts w:ascii="Aptos Narrow" w:eastAsia="Times New Roman" w:hAnsi="Aptos Narrow" w:cs="Times New Roman"/>
                <w:b/>
                <w:bCs/>
                <w:color w:val="000000" w:themeColor="text1"/>
                <w:sz w:val="20"/>
                <w:szCs w:val="20"/>
              </w:rPr>
              <w:t>Project Number</w:t>
            </w:r>
          </w:p>
        </w:tc>
        <w:tc>
          <w:tcPr>
            <w:tcW w:w="5319" w:type="dxa"/>
            <w:tcBorders>
              <w:top w:val="single" w:sz="4" w:space="0" w:color="auto"/>
              <w:left w:val="nil"/>
              <w:bottom w:val="single" w:sz="4" w:space="0" w:color="auto"/>
              <w:right w:val="single" w:sz="4" w:space="0" w:color="auto"/>
            </w:tcBorders>
            <w:shd w:val="clear" w:color="auto" w:fill="auto"/>
            <w:vAlign w:val="center"/>
            <w:hideMark/>
          </w:tcPr>
          <w:p w14:paraId="3F669FFC" w14:textId="77777777" w:rsidR="00B54FF3" w:rsidRPr="002018D2" w:rsidRDefault="00B54FF3" w:rsidP="0036294C">
            <w:pPr>
              <w:keepNext/>
              <w:keepLines/>
              <w:spacing w:after="0" w:line="240" w:lineRule="auto"/>
              <w:jc w:val="center"/>
              <w:rPr>
                <w:rFonts w:ascii="Aptos Narrow" w:eastAsia="Times New Roman" w:hAnsi="Aptos Narrow" w:cs="Times New Roman"/>
                <w:b/>
                <w:bCs/>
                <w:color w:val="000000"/>
                <w:kern w:val="0"/>
                <w:sz w:val="20"/>
                <w:szCs w:val="20"/>
                <w14:ligatures w14:val="none"/>
              </w:rPr>
            </w:pPr>
            <w:r w:rsidRPr="002018D2">
              <w:rPr>
                <w:rFonts w:ascii="Aptos Narrow" w:eastAsia="Times New Roman" w:hAnsi="Aptos Narrow" w:cs="Times New Roman"/>
                <w:b/>
                <w:bCs/>
                <w:color w:val="000000"/>
                <w:kern w:val="0"/>
                <w:sz w:val="20"/>
                <w:szCs w:val="20"/>
                <w14:ligatures w14:val="none"/>
              </w:rPr>
              <w:t>Project Name</w:t>
            </w: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5F145A8A" w14:textId="77777777" w:rsidR="00B54FF3" w:rsidRPr="002018D2" w:rsidRDefault="00B54FF3" w:rsidP="0036294C">
            <w:pPr>
              <w:keepNext/>
              <w:keepLines/>
              <w:spacing w:after="0" w:line="240" w:lineRule="auto"/>
              <w:jc w:val="center"/>
              <w:rPr>
                <w:rFonts w:ascii="Aptos Narrow" w:eastAsia="Times New Roman" w:hAnsi="Aptos Narrow" w:cs="Times New Roman"/>
                <w:b/>
                <w:bCs/>
                <w:color w:val="000000"/>
                <w:kern w:val="0"/>
                <w:sz w:val="20"/>
                <w:szCs w:val="20"/>
                <w14:ligatures w14:val="none"/>
              </w:rPr>
            </w:pPr>
            <w:r w:rsidRPr="002018D2">
              <w:rPr>
                <w:rFonts w:ascii="Aptos Narrow" w:eastAsia="Times New Roman" w:hAnsi="Aptos Narrow" w:cs="Times New Roman"/>
                <w:b/>
                <w:bCs/>
                <w:color w:val="000000"/>
                <w:kern w:val="0"/>
                <w:sz w:val="20"/>
                <w:szCs w:val="20"/>
                <w14:ligatures w14:val="none"/>
              </w:rPr>
              <w:t>Need Date</w:t>
            </w:r>
          </w:p>
        </w:tc>
        <w:tc>
          <w:tcPr>
            <w:tcW w:w="1295" w:type="dxa"/>
            <w:tcBorders>
              <w:top w:val="single" w:sz="4" w:space="0" w:color="auto"/>
              <w:left w:val="nil"/>
              <w:bottom w:val="single" w:sz="4" w:space="0" w:color="auto"/>
              <w:right w:val="single" w:sz="4" w:space="0" w:color="auto"/>
            </w:tcBorders>
            <w:shd w:val="clear" w:color="auto" w:fill="auto"/>
            <w:vAlign w:val="center"/>
            <w:hideMark/>
          </w:tcPr>
          <w:p w14:paraId="2AE251BA" w14:textId="77777777" w:rsidR="00B54FF3" w:rsidRPr="002018D2" w:rsidRDefault="00B54FF3" w:rsidP="0036294C">
            <w:pPr>
              <w:keepNext/>
              <w:keepLines/>
              <w:spacing w:after="0" w:line="240" w:lineRule="auto"/>
              <w:jc w:val="center"/>
              <w:rPr>
                <w:rFonts w:ascii="Aptos Narrow" w:eastAsia="Times New Roman" w:hAnsi="Aptos Narrow" w:cs="Times New Roman"/>
                <w:b/>
                <w:bCs/>
                <w:color w:val="000000"/>
                <w:kern w:val="0"/>
                <w:sz w:val="20"/>
                <w:szCs w:val="20"/>
                <w14:ligatures w14:val="none"/>
              </w:rPr>
            </w:pPr>
            <w:r w:rsidRPr="002018D2">
              <w:rPr>
                <w:rFonts w:ascii="Aptos Narrow" w:eastAsia="Times New Roman" w:hAnsi="Aptos Narrow" w:cs="Times New Roman"/>
                <w:b/>
                <w:bCs/>
                <w:color w:val="000000"/>
                <w:kern w:val="0"/>
                <w:sz w:val="20"/>
                <w:szCs w:val="20"/>
                <w14:ligatures w14:val="none"/>
              </w:rPr>
              <w:t>GA ITS Ten Year Plan</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47660E22" w14:textId="77777777" w:rsidR="00B54FF3" w:rsidRPr="002018D2" w:rsidRDefault="00B54FF3" w:rsidP="0036294C">
            <w:pPr>
              <w:keepNext/>
              <w:keepLines/>
              <w:spacing w:after="0" w:line="240" w:lineRule="auto"/>
              <w:jc w:val="center"/>
              <w:rPr>
                <w:rFonts w:ascii="Aptos Narrow" w:eastAsia="Times New Roman" w:hAnsi="Aptos Narrow" w:cs="Times New Roman"/>
                <w:b/>
                <w:bCs/>
                <w:color w:val="000000"/>
                <w:kern w:val="0"/>
                <w:sz w:val="20"/>
                <w:szCs w:val="20"/>
                <w14:ligatures w14:val="none"/>
              </w:rPr>
            </w:pPr>
            <w:r w:rsidRPr="002018D2">
              <w:rPr>
                <w:rFonts w:ascii="Aptos Narrow" w:eastAsia="Times New Roman" w:hAnsi="Aptos Narrow" w:cs="Times New Roman"/>
                <w:b/>
                <w:bCs/>
                <w:color w:val="000000"/>
                <w:kern w:val="0"/>
                <w:sz w:val="20"/>
                <w:szCs w:val="20"/>
                <w14:ligatures w14:val="none"/>
              </w:rPr>
              <w:t>Project Status</w:t>
            </w:r>
          </w:p>
        </w:tc>
      </w:tr>
      <w:tr w:rsidR="004814A0" w:rsidRPr="00B54FF3" w14:paraId="2F1E29B2" w14:textId="77777777" w:rsidTr="00161D0C">
        <w:trPr>
          <w:trHeight w:val="12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739D35BD"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18774</w:t>
            </w:r>
          </w:p>
        </w:tc>
        <w:tc>
          <w:tcPr>
            <w:tcW w:w="5319" w:type="dxa"/>
            <w:tcBorders>
              <w:top w:val="nil"/>
              <w:left w:val="nil"/>
              <w:bottom w:val="single" w:sz="4" w:space="0" w:color="auto"/>
              <w:right w:val="single" w:sz="4" w:space="0" w:color="auto"/>
            </w:tcBorders>
            <w:shd w:val="clear" w:color="auto" w:fill="auto"/>
            <w:vAlign w:val="center"/>
            <w:hideMark/>
          </w:tcPr>
          <w:p w14:paraId="712381F4"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GTC: Heard County - Tenaska 500kV (Second Line)</w:t>
            </w:r>
          </w:p>
        </w:tc>
        <w:tc>
          <w:tcPr>
            <w:tcW w:w="1620" w:type="dxa"/>
            <w:tcBorders>
              <w:top w:val="nil"/>
              <w:left w:val="nil"/>
              <w:bottom w:val="single" w:sz="4" w:space="0" w:color="auto"/>
              <w:right w:val="single" w:sz="4" w:space="0" w:color="auto"/>
            </w:tcBorders>
            <w:shd w:val="clear" w:color="auto" w:fill="auto"/>
            <w:noWrap/>
            <w:vAlign w:val="center"/>
            <w:hideMark/>
          </w:tcPr>
          <w:p w14:paraId="7A3D55DD" w14:textId="08F261F9"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12/1/2025</w:t>
            </w:r>
          </w:p>
        </w:tc>
        <w:tc>
          <w:tcPr>
            <w:tcW w:w="1295" w:type="dxa"/>
            <w:tcBorders>
              <w:top w:val="nil"/>
              <w:left w:val="nil"/>
              <w:bottom w:val="single" w:sz="4" w:space="0" w:color="auto"/>
              <w:right w:val="single" w:sz="4" w:space="0" w:color="auto"/>
            </w:tcBorders>
            <w:shd w:val="clear" w:color="auto" w:fill="auto"/>
            <w:vAlign w:val="center"/>
            <w:hideMark/>
          </w:tcPr>
          <w:p w14:paraId="1E13F29A"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2021</w:t>
            </w:r>
            <w:r w:rsidRPr="002018D2">
              <w:rPr>
                <w:rFonts w:ascii="Aptos Narrow" w:eastAsia="Times New Roman" w:hAnsi="Aptos Narrow" w:cs="Times New Roman"/>
                <w:color w:val="000000"/>
                <w:kern w:val="0"/>
                <w:sz w:val="20"/>
                <w:szCs w:val="20"/>
                <w14:ligatures w14:val="none"/>
              </w:rPr>
              <w:br/>
              <w:t>2022</w:t>
            </w:r>
            <w:r w:rsidRPr="002018D2">
              <w:rPr>
                <w:rFonts w:ascii="Aptos Narrow" w:eastAsia="Times New Roman" w:hAnsi="Aptos Narrow" w:cs="Times New Roman"/>
                <w:color w:val="000000"/>
                <w:kern w:val="0"/>
                <w:sz w:val="20"/>
                <w:szCs w:val="20"/>
                <w14:ligatures w14:val="none"/>
              </w:rPr>
              <w:br/>
              <w:t>2023</w:t>
            </w:r>
            <w:r w:rsidRPr="002018D2">
              <w:rPr>
                <w:rFonts w:ascii="Aptos Narrow" w:eastAsia="Times New Roman" w:hAnsi="Aptos Narrow" w:cs="Times New Roman"/>
                <w:color w:val="000000"/>
                <w:kern w:val="0"/>
                <w:sz w:val="20"/>
                <w:szCs w:val="20"/>
                <w14:ligatures w14:val="none"/>
              </w:rPr>
              <w:br/>
              <w:t>2024</w:t>
            </w:r>
          </w:p>
        </w:tc>
        <w:tc>
          <w:tcPr>
            <w:tcW w:w="1300" w:type="dxa"/>
            <w:tcBorders>
              <w:top w:val="nil"/>
              <w:left w:val="nil"/>
              <w:bottom w:val="single" w:sz="4" w:space="0" w:color="auto"/>
              <w:right w:val="single" w:sz="4" w:space="0" w:color="auto"/>
            </w:tcBorders>
            <w:shd w:val="clear" w:color="auto" w:fill="auto"/>
            <w:noWrap/>
            <w:vAlign w:val="center"/>
            <w:hideMark/>
          </w:tcPr>
          <w:p w14:paraId="7E4EC666"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Construction</w:t>
            </w:r>
          </w:p>
        </w:tc>
      </w:tr>
      <w:tr w:rsidR="004814A0" w:rsidRPr="00B54FF3" w14:paraId="2B16B78C" w14:textId="77777777" w:rsidTr="00161D0C">
        <w:trPr>
          <w:trHeight w:val="12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33326835"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19334</w:t>
            </w:r>
          </w:p>
        </w:tc>
        <w:tc>
          <w:tcPr>
            <w:tcW w:w="5319" w:type="dxa"/>
            <w:tcBorders>
              <w:top w:val="nil"/>
              <w:left w:val="nil"/>
              <w:bottom w:val="single" w:sz="4" w:space="0" w:color="auto"/>
              <w:right w:val="single" w:sz="4" w:space="0" w:color="auto"/>
            </w:tcBorders>
            <w:shd w:val="clear" w:color="auto" w:fill="auto"/>
            <w:vAlign w:val="center"/>
            <w:hideMark/>
          </w:tcPr>
          <w:p w14:paraId="2FD48B3A" w14:textId="396D4204"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GTC: Lagrange Primary - North Opelika 230kV Line</w:t>
            </w:r>
          </w:p>
        </w:tc>
        <w:tc>
          <w:tcPr>
            <w:tcW w:w="1620" w:type="dxa"/>
            <w:tcBorders>
              <w:top w:val="nil"/>
              <w:left w:val="nil"/>
              <w:bottom w:val="single" w:sz="4" w:space="0" w:color="auto"/>
              <w:right w:val="single" w:sz="4" w:space="0" w:color="auto"/>
            </w:tcBorders>
            <w:shd w:val="clear" w:color="auto" w:fill="auto"/>
            <w:noWrap/>
            <w:vAlign w:val="center"/>
            <w:hideMark/>
          </w:tcPr>
          <w:p w14:paraId="07EDFEF9"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6/1/2026</w:t>
            </w:r>
          </w:p>
        </w:tc>
        <w:tc>
          <w:tcPr>
            <w:tcW w:w="1295" w:type="dxa"/>
            <w:tcBorders>
              <w:top w:val="nil"/>
              <w:left w:val="nil"/>
              <w:bottom w:val="single" w:sz="4" w:space="0" w:color="auto"/>
              <w:right w:val="single" w:sz="4" w:space="0" w:color="auto"/>
            </w:tcBorders>
            <w:shd w:val="clear" w:color="auto" w:fill="auto"/>
            <w:vAlign w:val="center"/>
            <w:hideMark/>
          </w:tcPr>
          <w:p w14:paraId="505B5433"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2021</w:t>
            </w:r>
            <w:r w:rsidRPr="002018D2">
              <w:rPr>
                <w:rFonts w:ascii="Aptos Narrow" w:eastAsia="Times New Roman" w:hAnsi="Aptos Narrow" w:cs="Times New Roman"/>
                <w:color w:val="000000"/>
                <w:kern w:val="0"/>
                <w:sz w:val="20"/>
                <w:szCs w:val="20"/>
                <w14:ligatures w14:val="none"/>
              </w:rPr>
              <w:br/>
              <w:t>2022</w:t>
            </w:r>
            <w:r w:rsidRPr="002018D2">
              <w:rPr>
                <w:rFonts w:ascii="Aptos Narrow" w:eastAsia="Times New Roman" w:hAnsi="Aptos Narrow" w:cs="Times New Roman"/>
                <w:color w:val="000000"/>
                <w:kern w:val="0"/>
                <w:sz w:val="20"/>
                <w:szCs w:val="20"/>
                <w14:ligatures w14:val="none"/>
              </w:rPr>
              <w:br/>
              <w:t>2023</w:t>
            </w:r>
            <w:r w:rsidRPr="002018D2">
              <w:rPr>
                <w:rFonts w:ascii="Aptos Narrow" w:eastAsia="Times New Roman" w:hAnsi="Aptos Narrow" w:cs="Times New Roman"/>
                <w:color w:val="000000"/>
                <w:kern w:val="0"/>
                <w:sz w:val="20"/>
                <w:szCs w:val="20"/>
                <w14:ligatures w14:val="none"/>
              </w:rPr>
              <w:br/>
              <w:t>2024</w:t>
            </w:r>
          </w:p>
        </w:tc>
        <w:tc>
          <w:tcPr>
            <w:tcW w:w="1300" w:type="dxa"/>
            <w:tcBorders>
              <w:top w:val="nil"/>
              <w:left w:val="nil"/>
              <w:bottom w:val="single" w:sz="4" w:space="0" w:color="auto"/>
              <w:right w:val="single" w:sz="4" w:space="0" w:color="auto"/>
            </w:tcBorders>
            <w:shd w:val="clear" w:color="auto" w:fill="auto"/>
            <w:noWrap/>
            <w:vAlign w:val="center"/>
            <w:hideMark/>
          </w:tcPr>
          <w:p w14:paraId="5AB9F5C7"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Engineering</w:t>
            </w:r>
          </w:p>
        </w:tc>
      </w:tr>
      <w:tr w:rsidR="004814A0" w:rsidRPr="00B54FF3" w14:paraId="2CA9A5DA" w14:textId="77777777" w:rsidTr="00161D0C">
        <w:trPr>
          <w:trHeight w:val="9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218C510D"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09662</w:t>
            </w:r>
          </w:p>
        </w:tc>
        <w:tc>
          <w:tcPr>
            <w:tcW w:w="5319" w:type="dxa"/>
            <w:tcBorders>
              <w:top w:val="nil"/>
              <w:left w:val="nil"/>
              <w:bottom w:val="single" w:sz="4" w:space="0" w:color="auto"/>
              <w:right w:val="single" w:sz="4" w:space="0" w:color="auto"/>
            </w:tcBorders>
            <w:shd w:val="clear" w:color="auto" w:fill="auto"/>
            <w:vAlign w:val="center"/>
            <w:hideMark/>
          </w:tcPr>
          <w:p w14:paraId="1F0E1560"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GTC: East Walton 500/230kV Area Project</w:t>
            </w:r>
          </w:p>
        </w:tc>
        <w:tc>
          <w:tcPr>
            <w:tcW w:w="1620" w:type="dxa"/>
            <w:tcBorders>
              <w:top w:val="nil"/>
              <w:left w:val="nil"/>
              <w:bottom w:val="single" w:sz="4" w:space="0" w:color="auto"/>
              <w:right w:val="single" w:sz="4" w:space="0" w:color="auto"/>
            </w:tcBorders>
            <w:shd w:val="clear" w:color="auto" w:fill="auto"/>
            <w:noWrap/>
            <w:vAlign w:val="center"/>
            <w:hideMark/>
          </w:tcPr>
          <w:p w14:paraId="7A56B972"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6/1/2027</w:t>
            </w:r>
          </w:p>
        </w:tc>
        <w:tc>
          <w:tcPr>
            <w:tcW w:w="1295" w:type="dxa"/>
            <w:tcBorders>
              <w:top w:val="nil"/>
              <w:left w:val="nil"/>
              <w:bottom w:val="single" w:sz="4" w:space="0" w:color="auto"/>
              <w:right w:val="single" w:sz="4" w:space="0" w:color="auto"/>
            </w:tcBorders>
            <w:shd w:val="clear" w:color="auto" w:fill="auto"/>
            <w:vAlign w:val="center"/>
            <w:hideMark/>
          </w:tcPr>
          <w:p w14:paraId="6C1545BE"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2022</w:t>
            </w:r>
            <w:r w:rsidRPr="002018D2">
              <w:rPr>
                <w:rFonts w:ascii="Aptos Narrow" w:eastAsia="Times New Roman" w:hAnsi="Aptos Narrow" w:cs="Times New Roman"/>
                <w:color w:val="000000"/>
                <w:kern w:val="0"/>
                <w:sz w:val="20"/>
                <w:szCs w:val="20"/>
                <w14:ligatures w14:val="none"/>
              </w:rPr>
              <w:br/>
              <w:t>2023</w:t>
            </w:r>
            <w:r w:rsidRPr="002018D2">
              <w:rPr>
                <w:rFonts w:ascii="Aptos Narrow" w:eastAsia="Times New Roman" w:hAnsi="Aptos Narrow" w:cs="Times New Roman"/>
                <w:color w:val="000000"/>
                <w:kern w:val="0"/>
                <w:sz w:val="20"/>
                <w:szCs w:val="20"/>
                <w14:ligatures w14:val="none"/>
              </w:rPr>
              <w:br/>
              <w:t>2024</w:t>
            </w:r>
          </w:p>
        </w:tc>
        <w:tc>
          <w:tcPr>
            <w:tcW w:w="1300" w:type="dxa"/>
            <w:tcBorders>
              <w:top w:val="nil"/>
              <w:left w:val="nil"/>
              <w:bottom w:val="single" w:sz="4" w:space="0" w:color="auto"/>
              <w:right w:val="single" w:sz="4" w:space="0" w:color="auto"/>
            </w:tcBorders>
            <w:shd w:val="clear" w:color="auto" w:fill="auto"/>
            <w:noWrap/>
            <w:vAlign w:val="center"/>
            <w:hideMark/>
          </w:tcPr>
          <w:p w14:paraId="072189A1"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Engineering</w:t>
            </w:r>
          </w:p>
        </w:tc>
      </w:tr>
      <w:tr w:rsidR="004814A0" w:rsidRPr="00B54FF3" w14:paraId="1160BF5F" w14:textId="77777777" w:rsidTr="00161D0C">
        <w:trPr>
          <w:trHeight w:val="3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034C772A"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16887</w:t>
            </w:r>
          </w:p>
        </w:tc>
        <w:tc>
          <w:tcPr>
            <w:tcW w:w="5319" w:type="dxa"/>
            <w:tcBorders>
              <w:top w:val="nil"/>
              <w:left w:val="nil"/>
              <w:bottom w:val="single" w:sz="4" w:space="0" w:color="auto"/>
              <w:right w:val="single" w:sz="4" w:space="0" w:color="auto"/>
            </w:tcBorders>
            <w:shd w:val="clear" w:color="auto" w:fill="auto"/>
            <w:vAlign w:val="center"/>
            <w:hideMark/>
          </w:tcPr>
          <w:p w14:paraId="27842701"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Butler - Thomaston 230kV Line Conversion</w:t>
            </w:r>
          </w:p>
        </w:tc>
        <w:tc>
          <w:tcPr>
            <w:tcW w:w="1620" w:type="dxa"/>
            <w:tcBorders>
              <w:top w:val="nil"/>
              <w:left w:val="nil"/>
              <w:bottom w:val="single" w:sz="4" w:space="0" w:color="auto"/>
              <w:right w:val="single" w:sz="4" w:space="0" w:color="auto"/>
            </w:tcBorders>
            <w:shd w:val="clear" w:color="auto" w:fill="auto"/>
            <w:noWrap/>
            <w:vAlign w:val="center"/>
            <w:hideMark/>
          </w:tcPr>
          <w:p w14:paraId="13D9134E"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6/1/2029</w:t>
            </w:r>
          </w:p>
        </w:tc>
        <w:tc>
          <w:tcPr>
            <w:tcW w:w="1295" w:type="dxa"/>
            <w:tcBorders>
              <w:top w:val="nil"/>
              <w:left w:val="nil"/>
              <w:bottom w:val="single" w:sz="4" w:space="0" w:color="auto"/>
              <w:right w:val="single" w:sz="4" w:space="0" w:color="auto"/>
            </w:tcBorders>
            <w:shd w:val="clear" w:color="auto" w:fill="auto"/>
            <w:noWrap/>
            <w:vAlign w:val="center"/>
            <w:hideMark/>
          </w:tcPr>
          <w:p w14:paraId="09C65BD3"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2024</w:t>
            </w:r>
          </w:p>
        </w:tc>
        <w:tc>
          <w:tcPr>
            <w:tcW w:w="1300" w:type="dxa"/>
            <w:tcBorders>
              <w:top w:val="nil"/>
              <w:left w:val="nil"/>
              <w:bottom w:val="single" w:sz="4" w:space="0" w:color="auto"/>
              <w:right w:val="single" w:sz="4" w:space="0" w:color="auto"/>
            </w:tcBorders>
            <w:shd w:val="clear" w:color="auto" w:fill="auto"/>
            <w:noWrap/>
            <w:vAlign w:val="center"/>
            <w:hideMark/>
          </w:tcPr>
          <w:p w14:paraId="19BD61E1"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Planning</w:t>
            </w:r>
          </w:p>
        </w:tc>
      </w:tr>
      <w:tr w:rsidR="004814A0" w:rsidRPr="00B54FF3" w14:paraId="2F8F156C" w14:textId="77777777" w:rsidTr="00161D0C">
        <w:trPr>
          <w:trHeight w:val="9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479A4FB1"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19950</w:t>
            </w:r>
          </w:p>
        </w:tc>
        <w:tc>
          <w:tcPr>
            <w:tcW w:w="5319" w:type="dxa"/>
            <w:tcBorders>
              <w:top w:val="nil"/>
              <w:left w:val="nil"/>
              <w:bottom w:val="single" w:sz="4" w:space="0" w:color="auto"/>
              <w:right w:val="single" w:sz="4" w:space="0" w:color="auto"/>
            </w:tcBorders>
            <w:shd w:val="clear" w:color="auto" w:fill="auto"/>
            <w:vAlign w:val="center"/>
            <w:hideMark/>
          </w:tcPr>
          <w:p w14:paraId="05F00B47"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GTC: Dresden - Talbot 500kV Line</w:t>
            </w:r>
          </w:p>
        </w:tc>
        <w:tc>
          <w:tcPr>
            <w:tcW w:w="1620" w:type="dxa"/>
            <w:tcBorders>
              <w:top w:val="nil"/>
              <w:left w:val="nil"/>
              <w:bottom w:val="single" w:sz="4" w:space="0" w:color="auto"/>
              <w:right w:val="single" w:sz="4" w:space="0" w:color="auto"/>
            </w:tcBorders>
            <w:shd w:val="clear" w:color="auto" w:fill="auto"/>
            <w:noWrap/>
            <w:vAlign w:val="center"/>
            <w:hideMark/>
          </w:tcPr>
          <w:p w14:paraId="64ED4B54"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6/1/2029</w:t>
            </w:r>
          </w:p>
        </w:tc>
        <w:tc>
          <w:tcPr>
            <w:tcW w:w="1295" w:type="dxa"/>
            <w:tcBorders>
              <w:top w:val="nil"/>
              <w:left w:val="nil"/>
              <w:bottom w:val="single" w:sz="4" w:space="0" w:color="auto"/>
              <w:right w:val="single" w:sz="4" w:space="0" w:color="auto"/>
            </w:tcBorders>
            <w:shd w:val="clear" w:color="auto" w:fill="auto"/>
            <w:vAlign w:val="center"/>
            <w:hideMark/>
          </w:tcPr>
          <w:p w14:paraId="7E6FB99E"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2022</w:t>
            </w:r>
            <w:r w:rsidRPr="00161D0C">
              <w:rPr>
                <w:rFonts w:ascii="Aptos Narrow" w:eastAsia="Times New Roman" w:hAnsi="Aptos Narrow" w:cs="Times New Roman"/>
                <w:color w:val="000000"/>
                <w:kern w:val="0"/>
                <w:sz w:val="20"/>
                <w:szCs w:val="20"/>
                <w14:ligatures w14:val="none"/>
              </w:rPr>
              <w:br/>
              <w:t>2023</w:t>
            </w:r>
            <w:r w:rsidRPr="00161D0C">
              <w:rPr>
                <w:rFonts w:ascii="Aptos Narrow" w:eastAsia="Times New Roman" w:hAnsi="Aptos Narrow" w:cs="Times New Roman"/>
                <w:color w:val="000000"/>
                <w:kern w:val="0"/>
                <w:sz w:val="20"/>
                <w:szCs w:val="20"/>
                <w14:ligatures w14:val="none"/>
              </w:rPr>
              <w:br/>
              <w:t>2024</w:t>
            </w:r>
          </w:p>
        </w:tc>
        <w:tc>
          <w:tcPr>
            <w:tcW w:w="1300" w:type="dxa"/>
            <w:tcBorders>
              <w:top w:val="nil"/>
              <w:left w:val="nil"/>
              <w:bottom w:val="single" w:sz="4" w:space="0" w:color="auto"/>
              <w:right w:val="single" w:sz="4" w:space="0" w:color="auto"/>
            </w:tcBorders>
            <w:shd w:val="clear" w:color="auto" w:fill="auto"/>
            <w:noWrap/>
            <w:vAlign w:val="center"/>
            <w:hideMark/>
          </w:tcPr>
          <w:p w14:paraId="1F30D604"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Engineering</w:t>
            </w:r>
          </w:p>
        </w:tc>
      </w:tr>
      <w:tr w:rsidR="004814A0" w:rsidRPr="00B54FF3" w14:paraId="2EAE6EFC" w14:textId="77777777" w:rsidTr="00161D0C">
        <w:trPr>
          <w:trHeight w:val="3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1F358C08"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21062</w:t>
            </w:r>
          </w:p>
        </w:tc>
        <w:tc>
          <w:tcPr>
            <w:tcW w:w="5319" w:type="dxa"/>
            <w:tcBorders>
              <w:top w:val="nil"/>
              <w:left w:val="nil"/>
              <w:bottom w:val="single" w:sz="4" w:space="0" w:color="auto"/>
              <w:right w:val="single" w:sz="4" w:space="0" w:color="auto"/>
            </w:tcBorders>
            <w:shd w:val="clear" w:color="auto" w:fill="auto"/>
            <w:vAlign w:val="center"/>
            <w:hideMark/>
          </w:tcPr>
          <w:p w14:paraId="6449C06F"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Ashley Park - Wansley 500kV Line</w:t>
            </w:r>
          </w:p>
        </w:tc>
        <w:tc>
          <w:tcPr>
            <w:tcW w:w="1620" w:type="dxa"/>
            <w:tcBorders>
              <w:top w:val="nil"/>
              <w:left w:val="nil"/>
              <w:bottom w:val="single" w:sz="4" w:space="0" w:color="auto"/>
              <w:right w:val="single" w:sz="4" w:space="0" w:color="auto"/>
            </w:tcBorders>
            <w:shd w:val="clear" w:color="auto" w:fill="auto"/>
            <w:noWrap/>
            <w:vAlign w:val="center"/>
            <w:hideMark/>
          </w:tcPr>
          <w:p w14:paraId="7C683EA2"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6/1/2029</w:t>
            </w:r>
          </w:p>
        </w:tc>
        <w:tc>
          <w:tcPr>
            <w:tcW w:w="1295" w:type="dxa"/>
            <w:tcBorders>
              <w:top w:val="nil"/>
              <w:left w:val="nil"/>
              <w:bottom w:val="single" w:sz="4" w:space="0" w:color="auto"/>
              <w:right w:val="single" w:sz="4" w:space="0" w:color="auto"/>
            </w:tcBorders>
            <w:shd w:val="clear" w:color="auto" w:fill="auto"/>
            <w:noWrap/>
            <w:vAlign w:val="center"/>
            <w:hideMark/>
          </w:tcPr>
          <w:p w14:paraId="4637C4A9"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2024</w:t>
            </w:r>
          </w:p>
        </w:tc>
        <w:tc>
          <w:tcPr>
            <w:tcW w:w="1300" w:type="dxa"/>
            <w:tcBorders>
              <w:top w:val="nil"/>
              <w:left w:val="nil"/>
              <w:bottom w:val="single" w:sz="4" w:space="0" w:color="auto"/>
              <w:right w:val="single" w:sz="4" w:space="0" w:color="auto"/>
            </w:tcBorders>
            <w:shd w:val="clear" w:color="auto" w:fill="auto"/>
            <w:noWrap/>
            <w:vAlign w:val="center"/>
            <w:hideMark/>
          </w:tcPr>
          <w:p w14:paraId="64807251"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Planning</w:t>
            </w:r>
          </w:p>
        </w:tc>
      </w:tr>
      <w:tr w:rsidR="004814A0" w:rsidRPr="00B54FF3" w14:paraId="38B617D6" w14:textId="77777777" w:rsidTr="00161D0C">
        <w:trPr>
          <w:trHeight w:val="3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74E4800D"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21123</w:t>
            </w:r>
          </w:p>
        </w:tc>
        <w:tc>
          <w:tcPr>
            <w:tcW w:w="5319" w:type="dxa"/>
            <w:tcBorders>
              <w:top w:val="nil"/>
              <w:left w:val="nil"/>
              <w:bottom w:val="single" w:sz="4" w:space="0" w:color="auto"/>
              <w:right w:val="single" w:sz="4" w:space="0" w:color="auto"/>
            </w:tcBorders>
            <w:shd w:val="clear" w:color="auto" w:fill="auto"/>
            <w:vAlign w:val="center"/>
            <w:hideMark/>
          </w:tcPr>
          <w:p w14:paraId="7D117000"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GTC: Tenaska - Wansley 500kV Line</w:t>
            </w:r>
          </w:p>
        </w:tc>
        <w:tc>
          <w:tcPr>
            <w:tcW w:w="1620" w:type="dxa"/>
            <w:tcBorders>
              <w:top w:val="nil"/>
              <w:left w:val="nil"/>
              <w:bottom w:val="single" w:sz="4" w:space="0" w:color="auto"/>
              <w:right w:val="single" w:sz="4" w:space="0" w:color="auto"/>
            </w:tcBorders>
            <w:shd w:val="clear" w:color="auto" w:fill="auto"/>
            <w:noWrap/>
            <w:vAlign w:val="center"/>
            <w:hideMark/>
          </w:tcPr>
          <w:p w14:paraId="2102A4D1"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6/1/2029</w:t>
            </w:r>
          </w:p>
        </w:tc>
        <w:tc>
          <w:tcPr>
            <w:tcW w:w="1295" w:type="dxa"/>
            <w:tcBorders>
              <w:top w:val="nil"/>
              <w:left w:val="nil"/>
              <w:bottom w:val="single" w:sz="4" w:space="0" w:color="auto"/>
              <w:right w:val="single" w:sz="4" w:space="0" w:color="auto"/>
            </w:tcBorders>
            <w:shd w:val="clear" w:color="auto" w:fill="auto"/>
            <w:noWrap/>
            <w:vAlign w:val="center"/>
            <w:hideMark/>
          </w:tcPr>
          <w:p w14:paraId="7D79A04B"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2024</w:t>
            </w:r>
          </w:p>
        </w:tc>
        <w:tc>
          <w:tcPr>
            <w:tcW w:w="1300" w:type="dxa"/>
            <w:tcBorders>
              <w:top w:val="nil"/>
              <w:left w:val="nil"/>
              <w:bottom w:val="single" w:sz="4" w:space="0" w:color="auto"/>
              <w:right w:val="single" w:sz="4" w:space="0" w:color="auto"/>
            </w:tcBorders>
            <w:shd w:val="clear" w:color="auto" w:fill="auto"/>
            <w:noWrap/>
            <w:vAlign w:val="center"/>
            <w:hideMark/>
          </w:tcPr>
          <w:p w14:paraId="3E074A31"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Planning</w:t>
            </w:r>
          </w:p>
        </w:tc>
      </w:tr>
      <w:tr w:rsidR="004814A0" w:rsidRPr="00B54FF3" w14:paraId="764E3BE8" w14:textId="77777777" w:rsidTr="00161D0C">
        <w:trPr>
          <w:trHeight w:val="3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3CBD4502"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20857</w:t>
            </w:r>
          </w:p>
        </w:tc>
        <w:tc>
          <w:tcPr>
            <w:tcW w:w="5319" w:type="dxa"/>
            <w:tcBorders>
              <w:top w:val="nil"/>
              <w:left w:val="nil"/>
              <w:bottom w:val="single" w:sz="4" w:space="0" w:color="auto"/>
              <w:right w:val="single" w:sz="4" w:space="0" w:color="auto"/>
            </w:tcBorders>
            <w:shd w:val="clear" w:color="auto" w:fill="auto"/>
            <w:vAlign w:val="center"/>
            <w:hideMark/>
          </w:tcPr>
          <w:p w14:paraId="440D3684"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Cavender Drive - Tributary 230kV Line</w:t>
            </w:r>
          </w:p>
        </w:tc>
        <w:tc>
          <w:tcPr>
            <w:tcW w:w="1620" w:type="dxa"/>
            <w:tcBorders>
              <w:top w:val="nil"/>
              <w:left w:val="nil"/>
              <w:bottom w:val="single" w:sz="4" w:space="0" w:color="auto"/>
              <w:right w:val="single" w:sz="4" w:space="0" w:color="auto"/>
            </w:tcBorders>
            <w:shd w:val="clear" w:color="auto" w:fill="auto"/>
            <w:noWrap/>
            <w:vAlign w:val="center"/>
            <w:hideMark/>
          </w:tcPr>
          <w:p w14:paraId="49F14928"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6/1/2030</w:t>
            </w:r>
          </w:p>
        </w:tc>
        <w:tc>
          <w:tcPr>
            <w:tcW w:w="1295" w:type="dxa"/>
            <w:tcBorders>
              <w:top w:val="nil"/>
              <w:left w:val="nil"/>
              <w:bottom w:val="single" w:sz="4" w:space="0" w:color="auto"/>
              <w:right w:val="single" w:sz="4" w:space="0" w:color="auto"/>
            </w:tcBorders>
            <w:shd w:val="clear" w:color="auto" w:fill="auto"/>
            <w:noWrap/>
            <w:vAlign w:val="center"/>
            <w:hideMark/>
          </w:tcPr>
          <w:p w14:paraId="48907041"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2024</w:t>
            </w:r>
          </w:p>
        </w:tc>
        <w:tc>
          <w:tcPr>
            <w:tcW w:w="1300" w:type="dxa"/>
            <w:tcBorders>
              <w:top w:val="nil"/>
              <w:left w:val="nil"/>
              <w:bottom w:val="single" w:sz="4" w:space="0" w:color="auto"/>
              <w:right w:val="single" w:sz="4" w:space="0" w:color="auto"/>
            </w:tcBorders>
            <w:shd w:val="clear" w:color="auto" w:fill="auto"/>
            <w:noWrap/>
            <w:vAlign w:val="center"/>
            <w:hideMark/>
          </w:tcPr>
          <w:p w14:paraId="682F3697"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Planning</w:t>
            </w:r>
          </w:p>
        </w:tc>
      </w:tr>
      <w:tr w:rsidR="004814A0" w:rsidRPr="00B54FF3" w14:paraId="5216DA39" w14:textId="77777777" w:rsidTr="00161D0C">
        <w:trPr>
          <w:trHeight w:val="3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325D398E"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21013</w:t>
            </w:r>
          </w:p>
        </w:tc>
        <w:tc>
          <w:tcPr>
            <w:tcW w:w="5319" w:type="dxa"/>
            <w:tcBorders>
              <w:top w:val="nil"/>
              <w:left w:val="nil"/>
              <w:bottom w:val="single" w:sz="4" w:space="0" w:color="auto"/>
              <w:right w:val="single" w:sz="4" w:space="0" w:color="auto"/>
            </w:tcBorders>
            <w:shd w:val="clear" w:color="auto" w:fill="auto"/>
            <w:vAlign w:val="center"/>
            <w:hideMark/>
          </w:tcPr>
          <w:p w14:paraId="3D75C33E"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GTC: Cavender Drive 500/230kV Area Project</w:t>
            </w:r>
          </w:p>
        </w:tc>
        <w:tc>
          <w:tcPr>
            <w:tcW w:w="1620" w:type="dxa"/>
            <w:tcBorders>
              <w:top w:val="nil"/>
              <w:left w:val="nil"/>
              <w:bottom w:val="single" w:sz="4" w:space="0" w:color="auto"/>
              <w:right w:val="single" w:sz="4" w:space="0" w:color="auto"/>
            </w:tcBorders>
            <w:shd w:val="clear" w:color="auto" w:fill="auto"/>
            <w:noWrap/>
            <w:vAlign w:val="center"/>
            <w:hideMark/>
          </w:tcPr>
          <w:p w14:paraId="69D00660"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6/1/2030</w:t>
            </w:r>
          </w:p>
        </w:tc>
        <w:tc>
          <w:tcPr>
            <w:tcW w:w="1295" w:type="dxa"/>
            <w:tcBorders>
              <w:top w:val="nil"/>
              <w:left w:val="nil"/>
              <w:bottom w:val="single" w:sz="4" w:space="0" w:color="auto"/>
              <w:right w:val="single" w:sz="4" w:space="0" w:color="auto"/>
            </w:tcBorders>
            <w:shd w:val="clear" w:color="auto" w:fill="auto"/>
            <w:noWrap/>
            <w:vAlign w:val="center"/>
            <w:hideMark/>
          </w:tcPr>
          <w:p w14:paraId="6C917D72"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2024</w:t>
            </w:r>
          </w:p>
        </w:tc>
        <w:tc>
          <w:tcPr>
            <w:tcW w:w="1300" w:type="dxa"/>
            <w:tcBorders>
              <w:top w:val="nil"/>
              <w:left w:val="nil"/>
              <w:bottom w:val="single" w:sz="4" w:space="0" w:color="auto"/>
              <w:right w:val="single" w:sz="4" w:space="0" w:color="auto"/>
            </w:tcBorders>
            <w:shd w:val="clear" w:color="auto" w:fill="auto"/>
            <w:noWrap/>
            <w:vAlign w:val="center"/>
            <w:hideMark/>
          </w:tcPr>
          <w:p w14:paraId="24865FD3"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Planning</w:t>
            </w:r>
          </w:p>
        </w:tc>
      </w:tr>
      <w:tr w:rsidR="004814A0" w:rsidRPr="00B54FF3" w14:paraId="74E0B2F8" w14:textId="77777777" w:rsidTr="00161D0C">
        <w:trPr>
          <w:trHeight w:val="3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51BE9BDD"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21014</w:t>
            </w:r>
          </w:p>
        </w:tc>
        <w:tc>
          <w:tcPr>
            <w:tcW w:w="5319" w:type="dxa"/>
            <w:tcBorders>
              <w:top w:val="nil"/>
              <w:left w:val="nil"/>
              <w:bottom w:val="single" w:sz="4" w:space="0" w:color="auto"/>
              <w:right w:val="single" w:sz="4" w:space="0" w:color="auto"/>
            </w:tcBorders>
            <w:shd w:val="clear" w:color="auto" w:fill="auto"/>
            <w:vAlign w:val="center"/>
            <w:hideMark/>
          </w:tcPr>
          <w:p w14:paraId="186E615A"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GTC: Cavender Drive - Buzzard Roost 230kV Line</w:t>
            </w:r>
          </w:p>
        </w:tc>
        <w:tc>
          <w:tcPr>
            <w:tcW w:w="1620" w:type="dxa"/>
            <w:tcBorders>
              <w:top w:val="nil"/>
              <w:left w:val="nil"/>
              <w:bottom w:val="single" w:sz="4" w:space="0" w:color="auto"/>
              <w:right w:val="single" w:sz="4" w:space="0" w:color="auto"/>
            </w:tcBorders>
            <w:shd w:val="clear" w:color="auto" w:fill="auto"/>
            <w:noWrap/>
            <w:vAlign w:val="center"/>
            <w:hideMark/>
          </w:tcPr>
          <w:p w14:paraId="5D997B08"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6/1/2030</w:t>
            </w:r>
          </w:p>
        </w:tc>
        <w:tc>
          <w:tcPr>
            <w:tcW w:w="1295" w:type="dxa"/>
            <w:tcBorders>
              <w:top w:val="nil"/>
              <w:left w:val="nil"/>
              <w:bottom w:val="single" w:sz="4" w:space="0" w:color="auto"/>
              <w:right w:val="single" w:sz="4" w:space="0" w:color="auto"/>
            </w:tcBorders>
            <w:shd w:val="clear" w:color="auto" w:fill="auto"/>
            <w:noWrap/>
            <w:vAlign w:val="center"/>
            <w:hideMark/>
          </w:tcPr>
          <w:p w14:paraId="6411CABB"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2024</w:t>
            </w:r>
          </w:p>
        </w:tc>
        <w:tc>
          <w:tcPr>
            <w:tcW w:w="1300" w:type="dxa"/>
            <w:tcBorders>
              <w:top w:val="nil"/>
              <w:left w:val="nil"/>
              <w:bottom w:val="single" w:sz="4" w:space="0" w:color="auto"/>
              <w:right w:val="single" w:sz="4" w:space="0" w:color="auto"/>
            </w:tcBorders>
            <w:shd w:val="clear" w:color="auto" w:fill="auto"/>
            <w:noWrap/>
            <w:vAlign w:val="center"/>
            <w:hideMark/>
          </w:tcPr>
          <w:p w14:paraId="199B4632"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Planning</w:t>
            </w:r>
          </w:p>
        </w:tc>
      </w:tr>
      <w:tr w:rsidR="004814A0" w:rsidRPr="00B54FF3" w14:paraId="45E1D750" w14:textId="77777777" w:rsidTr="00161D0C">
        <w:trPr>
          <w:trHeight w:val="3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6B3EC6E2"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21063</w:t>
            </w:r>
          </w:p>
        </w:tc>
        <w:tc>
          <w:tcPr>
            <w:tcW w:w="5319" w:type="dxa"/>
            <w:tcBorders>
              <w:top w:val="nil"/>
              <w:left w:val="nil"/>
              <w:bottom w:val="single" w:sz="4" w:space="0" w:color="auto"/>
              <w:right w:val="single" w:sz="4" w:space="0" w:color="auto"/>
            </w:tcBorders>
            <w:shd w:val="clear" w:color="auto" w:fill="auto"/>
            <w:vAlign w:val="center"/>
            <w:hideMark/>
          </w:tcPr>
          <w:p w14:paraId="6260B06E"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Farley (APC) - Tazewell 500kV Line</w:t>
            </w:r>
          </w:p>
        </w:tc>
        <w:tc>
          <w:tcPr>
            <w:tcW w:w="1620" w:type="dxa"/>
            <w:tcBorders>
              <w:top w:val="nil"/>
              <w:left w:val="nil"/>
              <w:bottom w:val="single" w:sz="4" w:space="0" w:color="auto"/>
              <w:right w:val="single" w:sz="4" w:space="0" w:color="auto"/>
            </w:tcBorders>
            <w:shd w:val="clear" w:color="auto" w:fill="auto"/>
            <w:noWrap/>
            <w:vAlign w:val="center"/>
            <w:hideMark/>
          </w:tcPr>
          <w:p w14:paraId="325D4E31"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6/1/2030</w:t>
            </w:r>
          </w:p>
        </w:tc>
        <w:tc>
          <w:tcPr>
            <w:tcW w:w="1295" w:type="dxa"/>
            <w:tcBorders>
              <w:top w:val="nil"/>
              <w:left w:val="nil"/>
              <w:bottom w:val="single" w:sz="4" w:space="0" w:color="auto"/>
              <w:right w:val="single" w:sz="4" w:space="0" w:color="auto"/>
            </w:tcBorders>
            <w:shd w:val="clear" w:color="auto" w:fill="auto"/>
            <w:noWrap/>
            <w:vAlign w:val="center"/>
            <w:hideMark/>
          </w:tcPr>
          <w:p w14:paraId="408D8CA9"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2024</w:t>
            </w:r>
          </w:p>
        </w:tc>
        <w:tc>
          <w:tcPr>
            <w:tcW w:w="1300" w:type="dxa"/>
            <w:tcBorders>
              <w:top w:val="nil"/>
              <w:left w:val="nil"/>
              <w:bottom w:val="single" w:sz="4" w:space="0" w:color="auto"/>
              <w:right w:val="single" w:sz="4" w:space="0" w:color="auto"/>
            </w:tcBorders>
            <w:shd w:val="clear" w:color="auto" w:fill="auto"/>
            <w:noWrap/>
            <w:vAlign w:val="center"/>
            <w:hideMark/>
          </w:tcPr>
          <w:p w14:paraId="115A0797"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Planning</w:t>
            </w:r>
          </w:p>
        </w:tc>
      </w:tr>
      <w:tr w:rsidR="004814A0" w:rsidRPr="00B54FF3" w14:paraId="55D39705" w14:textId="77777777" w:rsidTr="00161D0C">
        <w:trPr>
          <w:trHeight w:val="3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040DFF65"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21073</w:t>
            </w:r>
          </w:p>
        </w:tc>
        <w:tc>
          <w:tcPr>
            <w:tcW w:w="5319" w:type="dxa"/>
            <w:tcBorders>
              <w:top w:val="nil"/>
              <w:left w:val="nil"/>
              <w:bottom w:val="single" w:sz="4" w:space="0" w:color="auto"/>
              <w:right w:val="single" w:sz="4" w:space="0" w:color="auto"/>
            </w:tcBorders>
            <w:shd w:val="clear" w:color="auto" w:fill="auto"/>
            <w:vAlign w:val="center"/>
            <w:hideMark/>
          </w:tcPr>
          <w:p w14:paraId="280B6550"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GTC: Big Smarr - Tomochichi 500kV Line</w:t>
            </w:r>
          </w:p>
        </w:tc>
        <w:tc>
          <w:tcPr>
            <w:tcW w:w="1620" w:type="dxa"/>
            <w:tcBorders>
              <w:top w:val="nil"/>
              <w:left w:val="nil"/>
              <w:bottom w:val="single" w:sz="4" w:space="0" w:color="auto"/>
              <w:right w:val="single" w:sz="4" w:space="0" w:color="auto"/>
            </w:tcBorders>
            <w:shd w:val="clear" w:color="auto" w:fill="auto"/>
            <w:noWrap/>
            <w:vAlign w:val="center"/>
            <w:hideMark/>
          </w:tcPr>
          <w:p w14:paraId="583A7A90"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6/1/2030</w:t>
            </w:r>
          </w:p>
        </w:tc>
        <w:tc>
          <w:tcPr>
            <w:tcW w:w="1295" w:type="dxa"/>
            <w:tcBorders>
              <w:top w:val="nil"/>
              <w:left w:val="nil"/>
              <w:bottom w:val="single" w:sz="4" w:space="0" w:color="auto"/>
              <w:right w:val="single" w:sz="4" w:space="0" w:color="auto"/>
            </w:tcBorders>
            <w:shd w:val="clear" w:color="auto" w:fill="auto"/>
            <w:noWrap/>
            <w:vAlign w:val="center"/>
            <w:hideMark/>
          </w:tcPr>
          <w:p w14:paraId="567CD19C"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2024</w:t>
            </w:r>
          </w:p>
        </w:tc>
        <w:tc>
          <w:tcPr>
            <w:tcW w:w="1300" w:type="dxa"/>
            <w:tcBorders>
              <w:top w:val="nil"/>
              <w:left w:val="nil"/>
              <w:bottom w:val="single" w:sz="4" w:space="0" w:color="auto"/>
              <w:right w:val="single" w:sz="4" w:space="0" w:color="auto"/>
            </w:tcBorders>
            <w:shd w:val="clear" w:color="auto" w:fill="auto"/>
            <w:noWrap/>
            <w:vAlign w:val="center"/>
            <w:hideMark/>
          </w:tcPr>
          <w:p w14:paraId="0D822BB6"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Planning</w:t>
            </w:r>
          </w:p>
        </w:tc>
      </w:tr>
      <w:tr w:rsidR="004814A0" w:rsidRPr="00B54FF3" w14:paraId="47C26B96" w14:textId="77777777" w:rsidTr="00161D0C">
        <w:trPr>
          <w:trHeight w:val="3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3155739C"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21076</w:t>
            </w:r>
          </w:p>
        </w:tc>
        <w:tc>
          <w:tcPr>
            <w:tcW w:w="5319" w:type="dxa"/>
            <w:tcBorders>
              <w:top w:val="nil"/>
              <w:left w:val="nil"/>
              <w:bottom w:val="single" w:sz="4" w:space="0" w:color="auto"/>
              <w:right w:val="single" w:sz="4" w:space="0" w:color="auto"/>
            </w:tcBorders>
            <w:shd w:val="clear" w:color="auto" w:fill="auto"/>
            <w:vAlign w:val="center"/>
            <w:hideMark/>
          </w:tcPr>
          <w:p w14:paraId="3640E484"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GTC: Talbot #2 - Tazewell 500kV Line</w:t>
            </w:r>
          </w:p>
        </w:tc>
        <w:tc>
          <w:tcPr>
            <w:tcW w:w="1620" w:type="dxa"/>
            <w:tcBorders>
              <w:top w:val="nil"/>
              <w:left w:val="nil"/>
              <w:bottom w:val="single" w:sz="4" w:space="0" w:color="auto"/>
              <w:right w:val="single" w:sz="4" w:space="0" w:color="auto"/>
            </w:tcBorders>
            <w:shd w:val="clear" w:color="auto" w:fill="auto"/>
            <w:noWrap/>
            <w:vAlign w:val="center"/>
            <w:hideMark/>
          </w:tcPr>
          <w:p w14:paraId="728B624F"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6/1/2030</w:t>
            </w:r>
          </w:p>
        </w:tc>
        <w:tc>
          <w:tcPr>
            <w:tcW w:w="1295" w:type="dxa"/>
            <w:tcBorders>
              <w:top w:val="nil"/>
              <w:left w:val="nil"/>
              <w:bottom w:val="single" w:sz="4" w:space="0" w:color="auto"/>
              <w:right w:val="single" w:sz="4" w:space="0" w:color="auto"/>
            </w:tcBorders>
            <w:shd w:val="clear" w:color="auto" w:fill="auto"/>
            <w:noWrap/>
            <w:vAlign w:val="center"/>
            <w:hideMark/>
          </w:tcPr>
          <w:p w14:paraId="6847600A"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2024</w:t>
            </w:r>
          </w:p>
        </w:tc>
        <w:tc>
          <w:tcPr>
            <w:tcW w:w="1300" w:type="dxa"/>
            <w:tcBorders>
              <w:top w:val="nil"/>
              <w:left w:val="nil"/>
              <w:bottom w:val="single" w:sz="4" w:space="0" w:color="auto"/>
              <w:right w:val="single" w:sz="4" w:space="0" w:color="auto"/>
            </w:tcBorders>
            <w:shd w:val="clear" w:color="auto" w:fill="auto"/>
            <w:noWrap/>
            <w:vAlign w:val="center"/>
            <w:hideMark/>
          </w:tcPr>
          <w:p w14:paraId="153C5CD7"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Planning</w:t>
            </w:r>
          </w:p>
        </w:tc>
      </w:tr>
      <w:tr w:rsidR="004814A0" w:rsidRPr="00B54FF3" w14:paraId="1E4A78EE" w14:textId="77777777" w:rsidTr="00161D0C">
        <w:trPr>
          <w:trHeight w:val="3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08A63E46"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21077</w:t>
            </w:r>
          </w:p>
        </w:tc>
        <w:tc>
          <w:tcPr>
            <w:tcW w:w="5319" w:type="dxa"/>
            <w:tcBorders>
              <w:top w:val="nil"/>
              <w:left w:val="nil"/>
              <w:bottom w:val="single" w:sz="4" w:space="0" w:color="auto"/>
              <w:right w:val="single" w:sz="4" w:space="0" w:color="auto"/>
            </w:tcBorders>
            <w:shd w:val="clear" w:color="auto" w:fill="auto"/>
            <w:vAlign w:val="center"/>
            <w:hideMark/>
          </w:tcPr>
          <w:p w14:paraId="6CAFC2AB"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GTC: Rockville - Tiger Creek - Warthen 500kV Line</w:t>
            </w:r>
          </w:p>
        </w:tc>
        <w:tc>
          <w:tcPr>
            <w:tcW w:w="1620" w:type="dxa"/>
            <w:tcBorders>
              <w:top w:val="nil"/>
              <w:left w:val="nil"/>
              <w:bottom w:val="single" w:sz="4" w:space="0" w:color="auto"/>
              <w:right w:val="single" w:sz="4" w:space="0" w:color="auto"/>
            </w:tcBorders>
            <w:shd w:val="clear" w:color="auto" w:fill="auto"/>
            <w:noWrap/>
            <w:vAlign w:val="center"/>
            <w:hideMark/>
          </w:tcPr>
          <w:p w14:paraId="2DCBFFA6"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6/1/2030</w:t>
            </w:r>
          </w:p>
        </w:tc>
        <w:tc>
          <w:tcPr>
            <w:tcW w:w="1295" w:type="dxa"/>
            <w:tcBorders>
              <w:top w:val="nil"/>
              <w:left w:val="nil"/>
              <w:bottom w:val="single" w:sz="4" w:space="0" w:color="auto"/>
              <w:right w:val="single" w:sz="4" w:space="0" w:color="auto"/>
            </w:tcBorders>
            <w:shd w:val="clear" w:color="auto" w:fill="auto"/>
            <w:noWrap/>
            <w:vAlign w:val="center"/>
            <w:hideMark/>
          </w:tcPr>
          <w:p w14:paraId="061B61F1"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2024</w:t>
            </w:r>
          </w:p>
        </w:tc>
        <w:tc>
          <w:tcPr>
            <w:tcW w:w="1300" w:type="dxa"/>
            <w:tcBorders>
              <w:top w:val="nil"/>
              <w:left w:val="nil"/>
              <w:bottom w:val="single" w:sz="4" w:space="0" w:color="auto"/>
              <w:right w:val="single" w:sz="4" w:space="0" w:color="auto"/>
            </w:tcBorders>
            <w:shd w:val="clear" w:color="auto" w:fill="auto"/>
            <w:noWrap/>
            <w:vAlign w:val="center"/>
            <w:hideMark/>
          </w:tcPr>
          <w:p w14:paraId="63891DD6"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Planning</w:t>
            </w:r>
          </w:p>
        </w:tc>
      </w:tr>
      <w:tr w:rsidR="004814A0" w:rsidRPr="00B54FF3" w14:paraId="2C7DB769" w14:textId="77777777" w:rsidTr="00161D0C">
        <w:trPr>
          <w:trHeight w:val="3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2A0E024D"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21093</w:t>
            </w:r>
          </w:p>
        </w:tc>
        <w:tc>
          <w:tcPr>
            <w:tcW w:w="5319" w:type="dxa"/>
            <w:tcBorders>
              <w:top w:val="nil"/>
              <w:left w:val="nil"/>
              <w:bottom w:val="single" w:sz="4" w:space="0" w:color="auto"/>
              <w:right w:val="single" w:sz="4" w:space="0" w:color="auto"/>
            </w:tcBorders>
            <w:shd w:val="clear" w:color="auto" w:fill="auto"/>
            <w:vAlign w:val="center"/>
            <w:hideMark/>
          </w:tcPr>
          <w:p w14:paraId="767B1484"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North Spa 230kV Area Project</w:t>
            </w:r>
          </w:p>
        </w:tc>
        <w:tc>
          <w:tcPr>
            <w:tcW w:w="1620" w:type="dxa"/>
            <w:tcBorders>
              <w:top w:val="nil"/>
              <w:left w:val="nil"/>
              <w:bottom w:val="single" w:sz="4" w:space="0" w:color="auto"/>
              <w:right w:val="single" w:sz="4" w:space="0" w:color="auto"/>
            </w:tcBorders>
            <w:shd w:val="clear" w:color="auto" w:fill="auto"/>
            <w:noWrap/>
            <w:vAlign w:val="center"/>
            <w:hideMark/>
          </w:tcPr>
          <w:p w14:paraId="6ACF1645"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6/1/2030</w:t>
            </w:r>
          </w:p>
        </w:tc>
        <w:tc>
          <w:tcPr>
            <w:tcW w:w="1295" w:type="dxa"/>
            <w:tcBorders>
              <w:top w:val="nil"/>
              <w:left w:val="nil"/>
              <w:bottom w:val="single" w:sz="4" w:space="0" w:color="auto"/>
              <w:right w:val="single" w:sz="4" w:space="0" w:color="auto"/>
            </w:tcBorders>
            <w:shd w:val="clear" w:color="auto" w:fill="auto"/>
            <w:noWrap/>
            <w:vAlign w:val="center"/>
            <w:hideMark/>
          </w:tcPr>
          <w:p w14:paraId="25963AE5"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2024</w:t>
            </w:r>
          </w:p>
        </w:tc>
        <w:tc>
          <w:tcPr>
            <w:tcW w:w="1300" w:type="dxa"/>
            <w:tcBorders>
              <w:top w:val="nil"/>
              <w:left w:val="nil"/>
              <w:bottom w:val="single" w:sz="4" w:space="0" w:color="auto"/>
              <w:right w:val="single" w:sz="4" w:space="0" w:color="auto"/>
            </w:tcBorders>
            <w:shd w:val="clear" w:color="auto" w:fill="auto"/>
            <w:noWrap/>
            <w:vAlign w:val="center"/>
            <w:hideMark/>
          </w:tcPr>
          <w:p w14:paraId="0F5E3757"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Planning</w:t>
            </w:r>
          </w:p>
        </w:tc>
      </w:tr>
      <w:tr w:rsidR="004814A0" w:rsidRPr="00B54FF3" w14:paraId="231FBACD" w14:textId="77777777" w:rsidTr="00161D0C">
        <w:trPr>
          <w:trHeight w:val="3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6DF1F076"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21094</w:t>
            </w:r>
          </w:p>
        </w:tc>
        <w:tc>
          <w:tcPr>
            <w:tcW w:w="5319" w:type="dxa"/>
            <w:tcBorders>
              <w:top w:val="nil"/>
              <w:left w:val="nil"/>
              <w:bottom w:val="single" w:sz="4" w:space="0" w:color="auto"/>
              <w:right w:val="single" w:sz="4" w:space="0" w:color="auto"/>
            </w:tcBorders>
            <w:shd w:val="clear" w:color="auto" w:fill="auto"/>
            <w:vAlign w:val="center"/>
            <w:hideMark/>
          </w:tcPr>
          <w:p w14:paraId="75A2DD58"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GTC: Tiger Creek - Rockville - North Spa 230kV Line</w:t>
            </w:r>
          </w:p>
        </w:tc>
        <w:tc>
          <w:tcPr>
            <w:tcW w:w="1620" w:type="dxa"/>
            <w:tcBorders>
              <w:top w:val="nil"/>
              <w:left w:val="nil"/>
              <w:bottom w:val="single" w:sz="4" w:space="0" w:color="auto"/>
              <w:right w:val="single" w:sz="4" w:space="0" w:color="auto"/>
            </w:tcBorders>
            <w:shd w:val="clear" w:color="auto" w:fill="auto"/>
            <w:noWrap/>
            <w:vAlign w:val="center"/>
            <w:hideMark/>
          </w:tcPr>
          <w:p w14:paraId="04126A30"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6/1/2030</w:t>
            </w:r>
          </w:p>
        </w:tc>
        <w:tc>
          <w:tcPr>
            <w:tcW w:w="1295" w:type="dxa"/>
            <w:tcBorders>
              <w:top w:val="nil"/>
              <w:left w:val="nil"/>
              <w:bottom w:val="single" w:sz="4" w:space="0" w:color="auto"/>
              <w:right w:val="single" w:sz="4" w:space="0" w:color="auto"/>
            </w:tcBorders>
            <w:shd w:val="clear" w:color="auto" w:fill="auto"/>
            <w:noWrap/>
            <w:vAlign w:val="center"/>
            <w:hideMark/>
          </w:tcPr>
          <w:p w14:paraId="51807898"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2024</w:t>
            </w:r>
          </w:p>
        </w:tc>
        <w:tc>
          <w:tcPr>
            <w:tcW w:w="1300" w:type="dxa"/>
            <w:tcBorders>
              <w:top w:val="nil"/>
              <w:left w:val="nil"/>
              <w:bottom w:val="single" w:sz="4" w:space="0" w:color="auto"/>
              <w:right w:val="single" w:sz="4" w:space="0" w:color="auto"/>
            </w:tcBorders>
            <w:shd w:val="clear" w:color="auto" w:fill="auto"/>
            <w:noWrap/>
            <w:vAlign w:val="center"/>
            <w:hideMark/>
          </w:tcPr>
          <w:p w14:paraId="489F5229"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Planning</w:t>
            </w:r>
          </w:p>
        </w:tc>
      </w:tr>
      <w:tr w:rsidR="004814A0" w:rsidRPr="00B54FF3" w14:paraId="199EC5E1" w14:textId="77777777" w:rsidTr="00161D0C">
        <w:trPr>
          <w:trHeight w:val="3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134DFE07"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21113</w:t>
            </w:r>
          </w:p>
        </w:tc>
        <w:tc>
          <w:tcPr>
            <w:tcW w:w="5319" w:type="dxa"/>
            <w:tcBorders>
              <w:top w:val="nil"/>
              <w:left w:val="nil"/>
              <w:bottom w:val="single" w:sz="4" w:space="0" w:color="auto"/>
              <w:right w:val="single" w:sz="4" w:space="0" w:color="auto"/>
            </w:tcBorders>
            <w:shd w:val="clear" w:color="auto" w:fill="auto"/>
            <w:vAlign w:val="center"/>
            <w:hideMark/>
          </w:tcPr>
          <w:p w14:paraId="321704D2"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GTC: Hartwell Energy - Middle Fork 230kV Line</w:t>
            </w:r>
          </w:p>
        </w:tc>
        <w:tc>
          <w:tcPr>
            <w:tcW w:w="1620" w:type="dxa"/>
            <w:tcBorders>
              <w:top w:val="nil"/>
              <w:left w:val="nil"/>
              <w:bottom w:val="single" w:sz="4" w:space="0" w:color="auto"/>
              <w:right w:val="single" w:sz="4" w:space="0" w:color="auto"/>
            </w:tcBorders>
            <w:shd w:val="clear" w:color="auto" w:fill="auto"/>
            <w:noWrap/>
            <w:vAlign w:val="center"/>
            <w:hideMark/>
          </w:tcPr>
          <w:p w14:paraId="3820C18F"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6/1/2030</w:t>
            </w:r>
          </w:p>
        </w:tc>
        <w:tc>
          <w:tcPr>
            <w:tcW w:w="1295" w:type="dxa"/>
            <w:tcBorders>
              <w:top w:val="nil"/>
              <w:left w:val="nil"/>
              <w:bottom w:val="single" w:sz="4" w:space="0" w:color="auto"/>
              <w:right w:val="single" w:sz="4" w:space="0" w:color="auto"/>
            </w:tcBorders>
            <w:shd w:val="clear" w:color="auto" w:fill="auto"/>
            <w:noWrap/>
            <w:vAlign w:val="center"/>
            <w:hideMark/>
          </w:tcPr>
          <w:p w14:paraId="5BAE598C"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2024</w:t>
            </w:r>
          </w:p>
        </w:tc>
        <w:tc>
          <w:tcPr>
            <w:tcW w:w="1300" w:type="dxa"/>
            <w:tcBorders>
              <w:top w:val="nil"/>
              <w:left w:val="nil"/>
              <w:bottom w:val="single" w:sz="4" w:space="0" w:color="auto"/>
              <w:right w:val="single" w:sz="4" w:space="0" w:color="auto"/>
            </w:tcBorders>
            <w:shd w:val="clear" w:color="auto" w:fill="auto"/>
            <w:noWrap/>
            <w:vAlign w:val="center"/>
            <w:hideMark/>
          </w:tcPr>
          <w:p w14:paraId="4AAE3E74"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Planning</w:t>
            </w:r>
          </w:p>
        </w:tc>
      </w:tr>
      <w:tr w:rsidR="004814A0" w:rsidRPr="00B54FF3" w14:paraId="78DA41FD" w14:textId="77777777" w:rsidTr="00161D0C">
        <w:trPr>
          <w:trHeight w:val="3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7B1A0521"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21116</w:t>
            </w:r>
          </w:p>
        </w:tc>
        <w:tc>
          <w:tcPr>
            <w:tcW w:w="5319" w:type="dxa"/>
            <w:tcBorders>
              <w:top w:val="nil"/>
              <w:left w:val="nil"/>
              <w:bottom w:val="single" w:sz="4" w:space="0" w:color="auto"/>
              <w:right w:val="single" w:sz="4" w:space="0" w:color="auto"/>
            </w:tcBorders>
            <w:shd w:val="clear" w:color="auto" w:fill="auto"/>
            <w:vAlign w:val="center"/>
            <w:hideMark/>
          </w:tcPr>
          <w:p w14:paraId="3043AC44"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Goshen Area 230kV Area Project</w:t>
            </w:r>
          </w:p>
        </w:tc>
        <w:tc>
          <w:tcPr>
            <w:tcW w:w="1620" w:type="dxa"/>
            <w:tcBorders>
              <w:top w:val="nil"/>
              <w:left w:val="nil"/>
              <w:bottom w:val="single" w:sz="4" w:space="0" w:color="auto"/>
              <w:right w:val="single" w:sz="4" w:space="0" w:color="auto"/>
            </w:tcBorders>
            <w:shd w:val="clear" w:color="auto" w:fill="auto"/>
            <w:noWrap/>
            <w:vAlign w:val="center"/>
            <w:hideMark/>
          </w:tcPr>
          <w:p w14:paraId="2F34681F"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6/1/2030</w:t>
            </w:r>
          </w:p>
        </w:tc>
        <w:tc>
          <w:tcPr>
            <w:tcW w:w="1295" w:type="dxa"/>
            <w:tcBorders>
              <w:top w:val="nil"/>
              <w:left w:val="nil"/>
              <w:bottom w:val="single" w:sz="4" w:space="0" w:color="auto"/>
              <w:right w:val="single" w:sz="4" w:space="0" w:color="auto"/>
            </w:tcBorders>
            <w:shd w:val="clear" w:color="auto" w:fill="auto"/>
            <w:noWrap/>
            <w:vAlign w:val="center"/>
            <w:hideMark/>
          </w:tcPr>
          <w:p w14:paraId="088B48AE"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2024</w:t>
            </w:r>
          </w:p>
        </w:tc>
        <w:tc>
          <w:tcPr>
            <w:tcW w:w="1300" w:type="dxa"/>
            <w:tcBorders>
              <w:top w:val="nil"/>
              <w:left w:val="nil"/>
              <w:bottom w:val="single" w:sz="4" w:space="0" w:color="auto"/>
              <w:right w:val="single" w:sz="4" w:space="0" w:color="auto"/>
            </w:tcBorders>
            <w:shd w:val="clear" w:color="auto" w:fill="auto"/>
            <w:noWrap/>
            <w:vAlign w:val="center"/>
            <w:hideMark/>
          </w:tcPr>
          <w:p w14:paraId="626FDF66"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Planning</w:t>
            </w:r>
          </w:p>
        </w:tc>
      </w:tr>
      <w:tr w:rsidR="004814A0" w:rsidRPr="00B54FF3" w14:paraId="35ECFCC5" w14:textId="77777777" w:rsidTr="00161D0C">
        <w:trPr>
          <w:trHeight w:val="3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6822835D"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21118</w:t>
            </w:r>
          </w:p>
        </w:tc>
        <w:tc>
          <w:tcPr>
            <w:tcW w:w="5319" w:type="dxa"/>
            <w:tcBorders>
              <w:top w:val="nil"/>
              <w:left w:val="nil"/>
              <w:bottom w:val="single" w:sz="4" w:space="0" w:color="auto"/>
              <w:right w:val="single" w:sz="4" w:space="0" w:color="auto"/>
            </w:tcBorders>
            <w:shd w:val="clear" w:color="auto" w:fill="auto"/>
            <w:vAlign w:val="center"/>
            <w:hideMark/>
          </w:tcPr>
          <w:p w14:paraId="0F167BC0"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MEAG: Athena - Union Point - Warrenton 230kV Line Conversion</w:t>
            </w:r>
          </w:p>
        </w:tc>
        <w:tc>
          <w:tcPr>
            <w:tcW w:w="1620" w:type="dxa"/>
            <w:tcBorders>
              <w:top w:val="nil"/>
              <w:left w:val="nil"/>
              <w:bottom w:val="single" w:sz="4" w:space="0" w:color="auto"/>
              <w:right w:val="single" w:sz="4" w:space="0" w:color="auto"/>
            </w:tcBorders>
            <w:shd w:val="clear" w:color="auto" w:fill="auto"/>
            <w:noWrap/>
            <w:vAlign w:val="center"/>
            <w:hideMark/>
          </w:tcPr>
          <w:p w14:paraId="6C963CFA"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6/1/2030</w:t>
            </w:r>
          </w:p>
        </w:tc>
        <w:tc>
          <w:tcPr>
            <w:tcW w:w="1295" w:type="dxa"/>
            <w:tcBorders>
              <w:top w:val="nil"/>
              <w:left w:val="nil"/>
              <w:bottom w:val="single" w:sz="4" w:space="0" w:color="auto"/>
              <w:right w:val="single" w:sz="4" w:space="0" w:color="auto"/>
            </w:tcBorders>
            <w:shd w:val="clear" w:color="auto" w:fill="auto"/>
            <w:noWrap/>
            <w:vAlign w:val="center"/>
            <w:hideMark/>
          </w:tcPr>
          <w:p w14:paraId="5AAE46EB"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2024</w:t>
            </w:r>
          </w:p>
        </w:tc>
        <w:tc>
          <w:tcPr>
            <w:tcW w:w="1300" w:type="dxa"/>
            <w:tcBorders>
              <w:top w:val="nil"/>
              <w:left w:val="nil"/>
              <w:bottom w:val="single" w:sz="4" w:space="0" w:color="auto"/>
              <w:right w:val="single" w:sz="4" w:space="0" w:color="auto"/>
            </w:tcBorders>
            <w:shd w:val="clear" w:color="auto" w:fill="auto"/>
            <w:noWrap/>
            <w:vAlign w:val="center"/>
            <w:hideMark/>
          </w:tcPr>
          <w:p w14:paraId="6AE38833"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Planning</w:t>
            </w:r>
          </w:p>
        </w:tc>
      </w:tr>
      <w:tr w:rsidR="004814A0" w:rsidRPr="00B54FF3" w14:paraId="5400DB6B" w14:textId="77777777" w:rsidTr="00161D0C">
        <w:trPr>
          <w:trHeight w:val="3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5FA9EF4D"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20756</w:t>
            </w:r>
          </w:p>
        </w:tc>
        <w:tc>
          <w:tcPr>
            <w:tcW w:w="5319" w:type="dxa"/>
            <w:tcBorders>
              <w:top w:val="nil"/>
              <w:left w:val="nil"/>
              <w:bottom w:val="single" w:sz="4" w:space="0" w:color="auto"/>
              <w:right w:val="single" w:sz="4" w:space="0" w:color="auto"/>
            </w:tcBorders>
            <w:shd w:val="clear" w:color="auto" w:fill="auto"/>
            <w:vAlign w:val="center"/>
            <w:hideMark/>
          </w:tcPr>
          <w:p w14:paraId="154E3FBB"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Hatch - Wadley 500kV Line</w:t>
            </w:r>
          </w:p>
        </w:tc>
        <w:tc>
          <w:tcPr>
            <w:tcW w:w="1620" w:type="dxa"/>
            <w:tcBorders>
              <w:top w:val="nil"/>
              <w:left w:val="nil"/>
              <w:bottom w:val="single" w:sz="4" w:space="0" w:color="auto"/>
              <w:right w:val="single" w:sz="4" w:space="0" w:color="auto"/>
            </w:tcBorders>
            <w:shd w:val="clear" w:color="auto" w:fill="auto"/>
            <w:noWrap/>
            <w:vAlign w:val="center"/>
            <w:hideMark/>
          </w:tcPr>
          <w:p w14:paraId="75EFABD7"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6/1/2031</w:t>
            </w:r>
          </w:p>
        </w:tc>
        <w:tc>
          <w:tcPr>
            <w:tcW w:w="1295" w:type="dxa"/>
            <w:tcBorders>
              <w:top w:val="nil"/>
              <w:left w:val="nil"/>
              <w:bottom w:val="single" w:sz="4" w:space="0" w:color="auto"/>
              <w:right w:val="single" w:sz="4" w:space="0" w:color="auto"/>
            </w:tcBorders>
            <w:shd w:val="clear" w:color="auto" w:fill="auto"/>
            <w:noWrap/>
            <w:vAlign w:val="center"/>
            <w:hideMark/>
          </w:tcPr>
          <w:p w14:paraId="06A05F2E"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2024</w:t>
            </w:r>
          </w:p>
        </w:tc>
        <w:tc>
          <w:tcPr>
            <w:tcW w:w="1300" w:type="dxa"/>
            <w:tcBorders>
              <w:top w:val="nil"/>
              <w:left w:val="nil"/>
              <w:bottom w:val="single" w:sz="4" w:space="0" w:color="auto"/>
              <w:right w:val="single" w:sz="4" w:space="0" w:color="auto"/>
            </w:tcBorders>
            <w:shd w:val="clear" w:color="auto" w:fill="auto"/>
            <w:noWrap/>
            <w:vAlign w:val="center"/>
            <w:hideMark/>
          </w:tcPr>
          <w:p w14:paraId="517015CB" w14:textId="7777777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161D0C">
              <w:rPr>
                <w:rFonts w:ascii="Aptos Narrow" w:eastAsia="Times New Roman" w:hAnsi="Aptos Narrow" w:cs="Times New Roman"/>
                <w:color w:val="000000"/>
                <w:kern w:val="0"/>
                <w:sz w:val="20"/>
                <w:szCs w:val="20"/>
                <w14:ligatures w14:val="none"/>
              </w:rPr>
              <w:t>Planning</w:t>
            </w:r>
          </w:p>
        </w:tc>
      </w:tr>
      <w:tr w:rsidR="004814A0" w:rsidRPr="00B54FF3" w14:paraId="4C1D95E1" w14:textId="77777777" w:rsidTr="00161D0C">
        <w:trPr>
          <w:trHeight w:val="3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3FEE8D6F"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21099</w:t>
            </w:r>
          </w:p>
        </w:tc>
        <w:tc>
          <w:tcPr>
            <w:tcW w:w="5319" w:type="dxa"/>
            <w:tcBorders>
              <w:top w:val="nil"/>
              <w:left w:val="nil"/>
              <w:bottom w:val="single" w:sz="4" w:space="0" w:color="auto"/>
              <w:right w:val="single" w:sz="4" w:space="0" w:color="auto"/>
            </w:tcBorders>
            <w:shd w:val="clear" w:color="auto" w:fill="auto"/>
            <w:vAlign w:val="center"/>
            <w:hideMark/>
          </w:tcPr>
          <w:p w14:paraId="3DB4B4F0"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MEAG: Pio Nono 230/115kV Area Project</w:t>
            </w:r>
          </w:p>
        </w:tc>
        <w:tc>
          <w:tcPr>
            <w:tcW w:w="1620" w:type="dxa"/>
            <w:tcBorders>
              <w:top w:val="nil"/>
              <w:left w:val="nil"/>
              <w:bottom w:val="single" w:sz="4" w:space="0" w:color="auto"/>
              <w:right w:val="single" w:sz="4" w:space="0" w:color="auto"/>
            </w:tcBorders>
            <w:shd w:val="clear" w:color="auto" w:fill="auto"/>
            <w:noWrap/>
            <w:vAlign w:val="center"/>
            <w:hideMark/>
          </w:tcPr>
          <w:p w14:paraId="588E3E51"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6/1/2031</w:t>
            </w:r>
          </w:p>
        </w:tc>
        <w:tc>
          <w:tcPr>
            <w:tcW w:w="1295" w:type="dxa"/>
            <w:tcBorders>
              <w:top w:val="nil"/>
              <w:left w:val="nil"/>
              <w:bottom w:val="single" w:sz="4" w:space="0" w:color="auto"/>
              <w:right w:val="single" w:sz="4" w:space="0" w:color="auto"/>
            </w:tcBorders>
            <w:shd w:val="clear" w:color="auto" w:fill="auto"/>
            <w:noWrap/>
            <w:vAlign w:val="center"/>
            <w:hideMark/>
          </w:tcPr>
          <w:p w14:paraId="63F98F2D"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2024</w:t>
            </w:r>
          </w:p>
        </w:tc>
        <w:tc>
          <w:tcPr>
            <w:tcW w:w="1300" w:type="dxa"/>
            <w:tcBorders>
              <w:top w:val="nil"/>
              <w:left w:val="nil"/>
              <w:bottom w:val="single" w:sz="4" w:space="0" w:color="auto"/>
              <w:right w:val="single" w:sz="4" w:space="0" w:color="auto"/>
            </w:tcBorders>
            <w:shd w:val="clear" w:color="auto" w:fill="auto"/>
            <w:noWrap/>
            <w:vAlign w:val="center"/>
            <w:hideMark/>
          </w:tcPr>
          <w:p w14:paraId="77F6A4CF"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Planning</w:t>
            </w:r>
          </w:p>
        </w:tc>
      </w:tr>
      <w:tr w:rsidR="004814A0" w:rsidRPr="00B54FF3" w14:paraId="550E6C1E" w14:textId="77777777" w:rsidTr="00161D0C">
        <w:trPr>
          <w:trHeight w:val="3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260BBC2C"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09661</w:t>
            </w:r>
          </w:p>
        </w:tc>
        <w:tc>
          <w:tcPr>
            <w:tcW w:w="5319" w:type="dxa"/>
            <w:tcBorders>
              <w:top w:val="nil"/>
              <w:left w:val="nil"/>
              <w:bottom w:val="single" w:sz="4" w:space="0" w:color="auto"/>
              <w:right w:val="single" w:sz="4" w:space="0" w:color="auto"/>
            </w:tcBorders>
            <w:shd w:val="clear" w:color="auto" w:fill="auto"/>
            <w:vAlign w:val="center"/>
            <w:hideMark/>
          </w:tcPr>
          <w:p w14:paraId="2B3E98E3"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McGrau Ford - Middle Fork 500kV Line</w:t>
            </w:r>
          </w:p>
        </w:tc>
        <w:tc>
          <w:tcPr>
            <w:tcW w:w="1620" w:type="dxa"/>
            <w:tcBorders>
              <w:top w:val="nil"/>
              <w:left w:val="nil"/>
              <w:bottom w:val="single" w:sz="4" w:space="0" w:color="auto"/>
              <w:right w:val="single" w:sz="4" w:space="0" w:color="auto"/>
            </w:tcBorders>
            <w:shd w:val="clear" w:color="auto" w:fill="auto"/>
            <w:noWrap/>
            <w:vAlign w:val="center"/>
            <w:hideMark/>
          </w:tcPr>
          <w:p w14:paraId="1B7BF916"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6/1/2033</w:t>
            </w:r>
          </w:p>
        </w:tc>
        <w:tc>
          <w:tcPr>
            <w:tcW w:w="1295" w:type="dxa"/>
            <w:tcBorders>
              <w:top w:val="nil"/>
              <w:left w:val="nil"/>
              <w:bottom w:val="single" w:sz="4" w:space="0" w:color="auto"/>
              <w:right w:val="single" w:sz="4" w:space="0" w:color="auto"/>
            </w:tcBorders>
            <w:shd w:val="clear" w:color="auto" w:fill="auto"/>
            <w:noWrap/>
            <w:vAlign w:val="center"/>
            <w:hideMark/>
          </w:tcPr>
          <w:p w14:paraId="7E0F7271"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2024</w:t>
            </w:r>
          </w:p>
        </w:tc>
        <w:tc>
          <w:tcPr>
            <w:tcW w:w="1300" w:type="dxa"/>
            <w:tcBorders>
              <w:top w:val="nil"/>
              <w:left w:val="nil"/>
              <w:bottom w:val="single" w:sz="4" w:space="0" w:color="auto"/>
              <w:right w:val="single" w:sz="4" w:space="0" w:color="auto"/>
            </w:tcBorders>
            <w:shd w:val="clear" w:color="auto" w:fill="auto"/>
            <w:noWrap/>
            <w:vAlign w:val="center"/>
            <w:hideMark/>
          </w:tcPr>
          <w:p w14:paraId="31A654C2"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Planning</w:t>
            </w:r>
          </w:p>
        </w:tc>
      </w:tr>
      <w:tr w:rsidR="004814A0" w:rsidRPr="00B54FF3" w14:paraId="2F0BA761" w14:textId="77777777" w:rsidTr="00161D0C">
        <w:trPr>
          <w:trHeight w:val="30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2556AC58"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21075</w:t>
            </w:r>
          </w:p>
        </w:tc>
        <w:tc>
          <w:tcPr>
            <w:tcW w:w="5319" w:type="dxa"/>
            <w:tcBorders>
              <w:top w:val="nil"/>
              <w:left w:val="nil"/>
              <w:bottom w:val="single" w:sz="4" w:space="0" w:color="auto"/>
              <w:right w:val="single" w:sz="4" w:space="0" w:color="auto"/>
            </w:tcBorders>
            <w:shd w:val="clear" w:color="auto" w:fill="auto"/>
            <w:vAlign w:val="center"/>
            <w:hideMark/>
          </w:tcPr>
          <w:p w14:paraId="091E5F99"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GTC: East Walton - Middle Fork 500kV Line</w:t>
            </w:r>
          </w:p>
        </w:tc>
        <w:tc>
          <w:tcPr>
            <w:tcW w:w="1620" w:type="dxa"/>
            <w:tcBorders>
              <w:top w:val="nil"/>
              <w:left w:val="nil"/>
              <w:bottom w:val="single" w:sz="4" w:space="0" w:color="auto"/>
              <w:right w:val="single" w:sz="4" w:space="0" w:color="auto"/>
            </w:tcBorders>
            <w:shd w:val="clear" w:color="auto" w:fill="auto"/>
            <w:noWrap/>
            <w:vAlign w:val="center"/>
            <w:hideMark/>
          </w:tcPr>
          <w:p w14:paraId="6D4629D3"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6/1/2033</w:t>
            </w:r>
          </w:p>
        </w:tc>
        <w:tc>
          <w:tcPr>
            <w:tcW w:w="1295" w:type="dxa"/>
            <w:tcBorders>
              <w:top w:val="nil"/>
              <w:left w:val="nil"/>
              <w:bottom w:val="single" w:sz="4" w:space="0" w:color="auto"/>
              <w:right w:val="single" w:sz="4" w:space="0" w:color="auto"/>
            </w:tcBorders>
            <w:shd w:val="clear" w:color="auto" w:fill="auto"/>
            <w:noWrap/>
            <w:vAlign w:val="center"/>
            <w:hideMark/>
          </w:tcPr>
          <w:p w14:paraId="37BF7B2A" w14:textId="77777777" w:rsidR="00B54FF3" w:rsidRPr="002018D2"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002018D2">
              <w:rPr>
                <w:rFonts w:ascii="Aptos Narrow" w:eastAsia="Times New Roman" w:hAnsi="Aptos Narrow" w:cs="Times New Roman"/>
                <w:color w:val="000000"/>
                <w:kern w:val="0"/>
                <w:sz w:val="20"/>
                <w:szCs w:val="20"/>
                <w14:ligatures w14:val="none"/>
              </w:rPr>
              <w:t>2024</w:t>
            </w:r>
          </w:p>
        </w:tc>
        <w:tc>
          <w:tcPr>
            <w:tcW w:w="1300" w:type="dxa"/>
            <w:tcBorders>
              <w:top w:val="nil"/>
              <w:left w:val="nil"/>
              <w:bottom w:val="single" w:sz="4" w:space="0" w:color="auto"/>
              <w:right w:val="single" w:sz="4" w:space="0" w:color="auto"/>
            </w:tcBorders>
            <w:shd w:val="clear" w:color="auto" w:fill="auto"/>
            <w:noWrap/>
            <w:vAlign w:val="center"/>
            <w:hideMark/>
          </w:tcPr>
          <w:p w14:paraId="47E4C94F" w14:textId="36DA8027" w:rsidR="00B54FF3" w:rsidRPr="00161D0C" w:rsidRDefault="00B54FF3" w:rsidP="0036294C">
            <w:pPr>
              <w:keepNext/>
              <w:keepLines/>
              <w:spacing w:after="0" w:line="240" w:lineRule="auto"/>
              <w:jc w:val="center"/>
              <w:rPr>
                <w:rFonts w:ascii="Aptos Narrow" w:eastAsia="Times New Roman" w:hAnsi="Aptos Narrow" w:cs="Times New Roman"/>
                <w:color w:val="000000"/>
                <w:kern w:val="0"/>
                <w:sz w:val="20"/>
                <w:szCs w:val="20"/>
                <w14:ligatures w14:val="none"/>
              </w:rPr>
            </w:pPr>
            <w:r w:rsidRPr="38BBE1B9">
              <w:rPr>
                <w:rFonts w:ascii="Aptos Narrow" w:eastAsia="Times New Roman" w:hAnsi="Aptos Narrow" w:cs="Times New Roman"/>
                <w:color w:val="000000" w:themeColor="text1"/>
                <w:sz w:val="20"/>
                <w:szCs w:val="20"/>
              </w:rPr>
              <w:t>Planning</w:t>
            </w:r>
          </w:p>
        </w:tc>
      </w:tr>
    </w:tbl>
    <w:p w14:paraId="3C74533C" w14:textId="77777777" w:rsidR="00B54FF3" w:rsidRDefault="00B54FF3" w:rsidP="002248F7">
      <w:pPr>
        <w:spacing w:after="0"/>
        <w:jc w:val="both"/>
      </w:pPr>
    </w:p>
    <w:p w14:paraId="757EC3F1" w14:textId="511DA552" w:rsidR="00C8111A" w:rsidRDefault="006E3CBE" w:rsidP="002248F7">
      <w:pPr>
        <w:spacing w:after="120"/>
        <w:jc w:val="both"/>
      </w:pPr>
      <w:r w:rsidRPr="006E3CBE">
        <w:t xml:space="preserve">In addition to these existing strategic planning efforts, the Company will implement additional planning considerations and process enhancements to address long-lead integrated system projects, beyond traditional ten-year transmission planning and more generic generation expansion, to ensure that evolving </w:t>
      </w:r>
      <w:r w:rsidR="00CC25B0">
        <w:t>S</w:t>
      </w:r>
      <w:r w:rsidRPr="006E3CBE">
        <w:t>ystem needs can be met with the most economic</w:t>
      </w:r>
      <w:r w:rsidR="00B63D21">
        <w:t>al</w:t>
      </w:r>
      <w:r w:rsidRPr="006E3CBE">
        <w:t xml:space="preserve"> long-term options. This </w:t>
      </w:r>
      <w:r w:rsidRPr="006E3CBE">
        <w:lastRenderedPageBreak/>
        <w:t xml:space="preserve">will require longer term locational modeling trends to support </w:t>
      </w:r>
      <w:r w:rsidR="00381375">
        <w:t>S</w:t>
      </w:r>
      <w:r w:rsidRPr="006E3CBE">
        <w:t xml:space="preserve">ystem needs across a range of likely futures with significant growth </w:t>
      </w:r>
      <w:r w:rsidR="0034630A">
        <w:t xml:space="preserve">in the demand for </w:t>
      </w:r>
      <w:r w:rsidRPr="006E3CBE">
        <w:t>electricity, renewable growth</w:t>
      </w:r>
      <w:r w:rsidR="00125BE7">
        <w:t>, aging resources</w:t>
      </w:r>
      <w:r w:rsidRPr="006E3CBE">
        <w:t xml:space="preserve">, and new resource needs guided by the </w:t>
      </w:r>
      <w:r w:rsidR="00E83147">
        <w:t>IRP</w:t>
      </w:r>
      <w:r w:rsidRPr="006E3CBE">
        <w:t xml:space="preserve"> process. </w:t>
      </w:r>
    </w:p>
    <w:p w14:paraId="6170B17A" w14:textId="7008008C" w:rsidR="006E3CBE" w:rsidRPr="006E3CBE" w:rsidRDefault="00662A99" w:rsidP="006E3CBE">
      <w:pPr>
        <w:jc w:val="both"/>
      </w:pPr>
      <w:r>
        <w:t>Across the utility industry, i</w:t>
      </w:r>
      <w:r w:rsidR="006E3CBE" w:rsidRPr="006E3CBE">
        <w:t xml:space="preserve">t is becoming more common to extend the </w:t>
      </w:r>
      <w:r w:rsidR="00697A85">
        <w:t xml:space="preserve">transmission </w:t>
      </w:r>
      <w:r w:rsidR="006E3CBE" w:rsidRPr="006E3CBE">
        <w:t xml:space="preserve">planning horizon, </w:t>
      </w:r>
      <w:r w:rsidR="005B611E">
        <w:t xml:space="preserve">with </w:t>
      </w:r>
      <w:r w:rsidR="006E3CBE" w:rsidRPr="006E3CBE">
        <w:t xml:space="preserve">FERC </w:t>
      </w:r>
      <w:r w:rsidR="00861252">
        <w:t xml:space="preserve">Order </w:t>
      </w:r>
      <w:r w:rsidR="00DF2E25">
        <w:t xml:space="preserve">No. </w:t>
      </w:r>
      <w:r w:rsidR="00861252">
        <w:t>1920</w:t>
      </w:r>
      <w:r w:rsidR="006E3CBE" w:rsidRPr="006E3CBE">
        <w:t xml:space="preserve"> driving the industry towards longer planning horizons in regional planning processes. While</w:t>
      </w:r>
      <w:r w:rsidR="00861252">
        <w:t xml:space="preserve"> these FERC </w:t>
      </w:r>
      <w:r w:rsidR="00DF2E25">
        <w:t>requirements and</w:t>
      </w:r>
      <w:r w:rsidR="006E3CBE" w:rsidRPr="006E3CBE">
        <w:t xml:space="preserve"> </w:t>
      </w:r>
      <w:r w:rsidR="005225E8">
        <w:t>some</w:t>
      </w:r>
      <w:r w:rsidR="006E3CBE" w:rsidRPr="006E3CBE">
        <w:t xml:space="preserve"> industry activity may </w:t>
      </w:r>
      <w:r w:rsidR="00747724">
        <w:t xml:space="preserve">push </w:t>
      </w:r>
      <w:r w:rsidR="00E26214">
        <w:t xml:space="preserve">the boundaries on </w:t>
      </w:r>
      <w:r w:rsidR="009E2AEA">
        <w:t xml:space="preserve">what </w:t>
      </w:r>
      <w:r w:rsidR="00423916">
        <w:t xml:space="preserve">future </w:t>
      </w:r>
      <w:r w:rsidR="00AF5103">
        <w:t>assumptions</w:t>
      </w:r>
      <w:r w:rsidR="006D0D9C">
        <w:t xml:space="preserve"> are</w:t>
      </w:r>
      <w:r w:rsidR="009E2AEA">
        <w:t xml:space="preserve"> reasonable</w:t>
      </w:r>
      <w:r w:rsidR="00A211DE">
        <w:t xml:space="preserve"> </w:t>
      </w:r>
      <w:r w:rsidR="00A559E5">
        <w:t>for</w:t>
      </w:r>
      <w:r w:rsidR="00873CB9">
        <w:t xml:space="preserve"> planning</w:t>
      </w:r>
      <w:r w:rsidR="006E3CBE" w:rsidRPr="006E3CBE">
        <w:t>, strategic planning beyond ten years will be an important part of the Company</w:t>
      </w:r>
      <w:r w:rsidR="0036294C">
        <w:t>’</w:t>
      </w:r>
      <w:r w:rsidR="006E3CBE" w:rsidRPr="006E3CBE">
        <w:t>s planning process going forward</w:t>
      </w:r>
      <w:r w:rsidR="00FE3C24">
        <w:t>.</w:t>
      </w:r>
      <w:r w:rsidR="006E3CBE" w:rsidRPr="006E3CBE">
        <w:t xml:space="preserve"> </w:t>
      </w:r>
      <w:r w:rsidR="00775522">
        <w:t>Th</w:t>
      </w:r>
      <w:r w:rsidR="00393324">
        <w:t>e Company’s</w:t>
      </w:r>
      <w:r w:rsidR="0011630E">
        <w:t xml:space="preserve"> longer</w:t>
      </w:r>
      <w:r w:rsidR="00703F23">
        <w:t>-</w:t>
      </w:r>
      <w:r w:rsidR="0011630E">
        <w:t xml:space="preserve">term planning </w:t>
      </w:r>
      <w:r w:rsidR="00703F23">
        <w:t>horizon</w:t>
      </w:r>
      <w:r w:rsidR="0011630E">
        <w:t xml:space="preserve"> will </w:t>
      </w:r>
      <w:r w:rsidR="005D3C4F">
        <w:t>ensure</w:t>
      </w:r>
      <w:r w:rsidR="00745749" w:rsidRPr="00745749">
        <w:t xml:space="preserve"> projects </w:t>
      </w:r>
      <w:r w:rsidR="005D3C4F">
        <w:t xml:space="preserve">are </w:t>
      </w:r>
      <w:r w:rsidR="00775522">
        <w:t>i</w:t>
      </w:r>
      <w:r w:rsidR="00745749" w:rsidRPr="00745749">
        <w:t>dentif</w:t>
      </w:r>
      <w:r w:rsidR="005D3C4F">
        <w:t>ied</w:t>
      </w:r>
      <w:r w:rsidR="00745749" w:rsidRPr="00745749">
        <w:t xml:space="preserve"> with sufficient lead</w:t>
      </w:r>
      <w:r w:rsidR="009C33E0">
        <w:t xml:space="preserve"> </w:t>
      </w:r>
      <w:r w:rsidR="00745749" w:rsidRPr="00745749">
        <w:t xml:space="preserve">time to provide timely construction </w:t>
      </w:r>
      <w:r w:rsidR="00560592">
        <w:t xml:space="preserve">and </w:t>
      </w:r>
      <w:r w:rsidR="00547662">
        <w:t>optionality while balancing</w:t>
      </w:r>
      <w:r w:rsidR="00F753D8" w:rsidRPr="006E3CBE">
        <w:t xml:space="preserve"> the appropriate local </w:t>
      </w:r>
      <w:r w:rsidR="00D571D2">
        <w:t>customer value</w:t>
      </w:r>
      <w:r w:rsidR="00F753D8" w:rsidRPr="006E3CBE">
        <w:t xml:space="preserve"> </w:t>
      </w:r>
      <w:r w:rsidR="009F1499">
        <w:t>with</w:t>
      </w:r>
      <w:r w:rsidR="009F1499" w:rsidRPr="006E3CBE">
        <w:t xml:space="preserve"> </w:t>
      </w:r>
      <w:r w:rsidR="00F753D8" w:rsidRPr="006E3CBE">
        <w:t>regional considerations.</w:t>
      </w:r>
      <w:r w:rsidR="00743425">
        <w:t xml:space="preserve"> </w:t>
      </w:r>
      <w:r w:rsidR="00ED4D64">
        <w:t>S</w:t>
      </w:r>
      <w:r w:rsidR="00354574">
        <w:t>ystem needs</w:t>
      </w:r>
      <w:r w:rsidR="00CA24FB">
        <w:t xml:space="preserve"> and growth </w:t>
      </w:r>
      <w:r w:rsidR="006053D0">
        <w:t>continue to move</w:t>
      </w:r>
      <w:r w:rsidR="00CA24FB">
        <w:t xml:space="preserve"> at </w:t>
      </w:r>
      <w:r w:rsidR="002440CF">
        <w:t>an</w:t>
      </w:r>
      <w:r w:rsidR="00C37602" w:rsidDel="00E739EB">
        <w:t xml:space="preserve"> </w:t>
      </w:r>
      <w:r w:rsidR="00E739EB">
        <w:t>extraordinary</w:t>
      </w:r>
      <w:r w:rsidR="00C37602">
        <w:t xml:space="preserve"> pace</w:t>
      </w:r>
      <w:r w:rsidR="00532E81">
        <w:t xml:space="preserve">, </w:t>
      </w:r>
      <w:r w:rsidR="00EE2EEB">
        <w:t xml:space="preserve">and </w:t>
      </w:r>
      <w:r w:rsidR="00532E81">
        <w:t xml:space="preserve">it is prudent to </w:t>
      </w:r>
      <w:r w:rsidR="00B66032">
        <w:t xml:space="preserve">strategically plan and expand </w:t>
      </w:r>
      <w:r w:rsidR="00D25C70">
        <w:t>transmission</w:t>
      </w:r>
      <w:r w:rsidR="00B66032">
        <w:t xml:space="preserve"> capacity </w:t>
      </w:r>
      <w:r w:rsidR="005B3F1C">
        <w:t xml:space="preserve">with </w:t>
      </w:r>
      <w:r w:rsidR="0077555C">
        <w:t xml:space="preserve">local </w:t>
      </w:r>
      <w:r w:rsidR="005B3F1C">
        <w:t>future siting considerations that accommodate a range</w:t>
      </w:r>
      <w:r w:rsidR="00651FD2">
        <w:t xml:space="preserve"> of </w:t>
      </w:r>
      <w:r w:rsidR="005B4C16">
        <w:t xml:space="preserve">generation options </w:t>
      </w:r>
      <w:r w:rsidR="00B96C50">
        <w:t xml:space="preserve">and </w:t>
      </w:r>
      <w:r w:rsidR="00DA2592">
        <w:t>load growth</w:t>
      </w:r>
      <w:r w:rsidR="00917A8F">
        <w:t xml:space="preserve"> </w:t>
      </w:r>
      <w:r w:rsidR="00415B43">
        <w:t>needs</w:t>
      </w:r>
      <w:r w:rsidR="000D63FB">
        <w:t xml:space="preserve"> </w:t>
      </w:r>
      <w:r w:rsidR="00D11356">
        <w:t>a</w:t>
      </w:r>
      <w:r w:rsidR="0069481C">
        <w:t xml:space="preserve">nd </w:t>
      </w:r>
      <w:r w:rsidR="000D63FB">
        <w:t xml:space="preserve">keep </w:t>
      </w:r>
      <w:r w:rsidR="001B30E3">
        <w:t xml:space="preserve">Georgia </w:t>
      </w:r>
      <w:r w:rsidR="00733637">
        <w:t>Power</w:t>
      </w:r>
      <w:r w:rsidR="001B30E3">
        <w:t xml:space="preserve"> customer</w:t>
      </w:r>
      <w:r w:rsidR="0069481C">
        <w:t xml:space="preserve"> needs at the forefront</w:t>
      </w:r>
      <w:r w:rsidR="004050AA">
        <w:t xml:space="preserve">. </w:t>
      </w:r>
      <w:r w:rsidR="00777591">
        <w:t xml:space="preserve">Demonstrating </w:t>
      </w:r>
      <w:r w:rsidR="00751046">
        <w:t>a robust</w:t>
      </w:r>
      <w:r w:rsidR="00F90E7F">
        <w:t>,</w:t>
      </w:r>
      <w:r w:rsidR="00751046">
        <w:t xml:space="preserve"> locally developed plan </w:t>
      </w:r>
      <w:r w:rsidR="005D053D">
        <w:t xml:space="preserve">to meet these </w:t>
      </w:r>
      <w:r w:rsidR="00813600">
        <w:t xml:space="preserve">longer-term </w:t>
      </w:r>
      <w:r w:rsidR="005D053D">
        <w:t xml:space="preserve">needs will also </w:t>
      </w:r>
      <w:r w:rsidR="00FC0B56">
        <w:t>feed into future</w:t>
      </w:r>
      <w:r w:rsidR="006A73B9">
        <w:t xml:space="preserve"> </w:t>
      </w:r>
      <w:r w:rsidR="00776CAA">
        <w:t>regional</w:t>
      </w:r>
      <w:r w:rsidR="00D40AB3">
        <w:t xml:space="preserve"> </w:t>
      </w:r>
      <w:r w:rsidR="00373508">
        <w:t xml:space="preserve">planning </w:t>
      </w:r>
      <w:r w:rsidR="00705324">
        <w:t>processes</w:t>
      </w:r>
      <w:r w:rsidR="00C950A5">
        <w:t xml:space="preserve">, </w:t>
      </w:r>
      <w:r w:rsidR="005B0B04">
        <w:t xml:space="preserve">focusing on </w:t>
      </w:r>
      <w:r w:rsidR="00C950A5">
        <w:t xml:space="preserve">projects </w:t>
      </w:r>
      <w:r w:rsidR="009859FB">
        <w:t xml:space="preserve">that </w:t>
      </w:r>
      <w:r w:rsidR="005B0B04">
        <w:t xml:space="preserve">provide </w:t>
      </w:r>
      <w:r w:rsidR="00C950A5">
        <w:t xml:space="preserve">value </w:t>
      </w:r>
      <w:r w:rsidR="00870BC3">
        <w:t xml:space="preserve">and benefit </w:t>
      </w:r>
      <w:r w:rsidR="004D5AFE">
        <w:t>customers.</w:t>
      </w:r>
      <w:r w:rsidR="00E45236">
        <w:t xml:space="preserve"> </w:t>
      </w:r>
    </w:p>
    <w:p w14:paraId="5E9B70FA" w14:textId="454270D9" w:rsidR="003F38F8" w:rsidRDefault="003F38F8" w:rsidP="003F38F8">
      <w:pPr>
        <w:pStyle w:val="Heading2"/>
      </w:pPr>
      <w:bookmarkStart w:id="74" w:name="_Toc189122793"/>
      <w:r>
        <w:t>1</w:t>
      </w:r>
      <w:r w:rsidR="00EE2823">
        <w:t>1</w:t>
      </w:r>
      <w:r>
        <w:t xml:space="preserve">.4 – </w:t>
      </w:r>
      <w:r w:rsidR="001E71E8">
        <w:t>Innovative Solutions</w:t>
      </w:r>
      <w:bookmarkEnd w:id="74"/>
    </w:p>
    <w:p w14:paraId="1B70437B" w14:textId="0CC6DC68" w:rsidR="00381E04" w:rsidRDefault="00821A3C" w:rsidP="00222D3C">
      <w:pPr>
        <w:jc w:val="both"/>
      </w:pPr>
      <w:r>
        <w:t xml:space="preserve">As part of </w:t>
      </w:r>
      <w:r w:rsidR="003F38F8">
        <w:t>Georgia Power</w:t>
      </w:r>
      <w:r>
        <w:t xml:space="preserve">’s commitment </w:t>
      </w:r>
      <w:r w:rsidR="007B21AE">
        <w:t xml:space="preserve">to implementing </w:t>
      </w:r>
      <w:r w:rsidR="00870BC3">
        <w:t xml:space="preserve">a diverse portfolio of </w:t>
      </w:r>
      <w:r w:rsidR="007B21AE">
        <w:t xml:space="preserve">solutions to meet customers’ needs, </w:t>
      </w:r>
      <w:r w:rsidR="00DF74E2">
        <w:t xml:space="preserve">the Company </w:t>
      </w:r>
      <w:r w:rsidR="00BD3A1E">
        <w:t xml:space="preserve">continues to deploy </w:t>
      </w:r>
      <w:r w:rsidR="00C2330C">
        <w:t xml:space="preserve">innovative </w:t>
      </w:r>
      <w:r w:rsidR="00E960F9">
        <w:t xml:space="preserve">transmission </w:t>
      </w:r>
      <w:r w:rsidR="00C2330C">
        <w:t xml:space="preserve">solutions </w:t>
      </w:r>
      <w:r w:rsidR="004C3EE3">
        <w:t xml:space="preserve">using </w:t>
      </w:r>
      <w:r w:rsidR="00B01170">
        <w:t>GETs</w:t>
      </w:r>
      <w:r w:rsidR="00942D38">
        <w:t>,</w:t>
      </w:r>
      <w:r w:rsidR="00B01170">
        <w:t xml:space="preserve"> where</w:t>
      </w:r>
      <w:r w:rsidR="007B21AE">
        <w:t xml:space="preserve"> </w:t>
      </w:r>
      <w:r w:rsidR="001E3766">
        <w:t xml:space="preserve">these technologies </w:t>
      </w:r>
      <w:r w:rsidR="000C5A80">
        <w:t>are</w:t>
      </w:r>
      <w:r w:rsidR="007E6D21">
        <w:t xml:space="preserve"> safe, reliable, and economical</w:t>
      </w:r>
      <w:r w:rsidR="00CB1EA1">
        <w:t xml:space="preserve">. </w:t>
      </w:r>
      <w:r w:rsidR="009613E5">
        <w:t>GETs</w:t>
      </w:r>
      <w:r w:rsidR="00074D9E">
        <w:t xml:space="preserve"> refer</w:t>
      </w:r>
      <w:r w:rsidR="00EA5270">
        <w:t>s</w:t>
      </w:r>
      <w:r w:rsidR="00074D9E">
        <w:t xml:space="preserve"> to a portfolio of technologies </w:t>
      </w:r>
      <w:r w:rsidR="00A45EFD">
        <w:t xml:space="preserve">focused on increasing grid capacity and </w:t>
      </w:r>
      <w:r w:rsidR="00C6206C">
        <w:t xml:space="preserve">enabling </w:t>
      </w:r>
      <w:r w:rsidR="00E45883">
        <w:t xml:space="preserve">the </w:t>
      </w:r>
      <w:r w:rsidR="00C6206C">
        <w:t>reliable integration of</w:t>
      </w:r>
      <w:r w:rsidR="00EB7005">
        <w:t xml:space="preserve"> inverter-based </w:t>
      </w:r>
      <w:r w:rsidR="004B47F1">
        <w:t xml:space="preserve">generation resources such as </w:t>
      </w:r>
      <w:r w:rsidR="00447CEE">
        <w:t xml:space="preserve">solar and </w:t>
      </w:r>
      <w:r w:rsidR="004B47F1">
        <w:t xml:space="preserve">BESS. </w:t>
      </w:r>
      <w:r w:rsidR="00965301">
        <w:t>The Company al</w:t>
      </w:r>
      <w:r w:rsidR="008F3F97">
        <w:t>so deploys other innovative solutions</w:t>
      </w:r>
      <w:r w:rsidR="00260399">
        <w:t>,</w:t>
      </w:r>
      <w:r w:rsidR="008F3F97">
        <w:t xml:space="preserve"> including non-wires alternative (“NWA”) solutions. </w:t>
      </w:r>
      <w:r w:rsidR="00A4467E">
        <w:t xml:space="preserve">There is some overlap between </w:t>
      </w:r>
      <w:r w:rsidR="001A7AA0">
        <w:t>GETs</w:t>
      </w:r>
      <w:r w:rsidR="0076197A">
        <w:t xml:space="preserve"> and </w:t>
      </w:r>
      <w:r w:rsidR="008F3F97">
        <w:t>NWA</w:t>
      </w:r>
      <w:r w:rsidR="0076197A">
        <w:t xml:space="preserve"> solutions</w:t>
      </w:r>
      <w:r w:rsidR="00F91F72">
        <w:t xml:space="preserve">, </w:t>
      </w:r>
      <w:r w:rsidR="0078406D">
        <w:t xml:space="preserve">with </w:t>
      </w:r>
      <w:r w:rsidR="00F91F72">
        <w:t xml:space="preserve">the difference </w:t>
      </w:r>
      <w:r w:rsidR="0078406D">
        <w:t xml:space="preserve">being that </w:t>
      </w:r>
      <w:r w:rsidR="00F91F72">
        <w:t>GETs</w:t>
      </w:r>
      <w:r w:rsidR="00AA6659">
        <w:t xml:space="preserve"> can be deployed in a variety of </w:t>
      </w:r>
      <w:r w:rsidR="009D0418">
        <w:t>circumstances</w:t>
      </w:r>
      <w:r w:rsidR="0078406D">
        <w:t>,</w:t>
      </w:r>
      <w:r w:rsidR="009D0418">
        <w:t xml:space="preserve"> </w:t>
      </w:r>
      <w:r w:rsidR="00290F7B">
        <w:t>including wires-based solutions</w:t>
      </w:r>
      <w:r w:rsidR="00E16389">
        <w:t xml:space="preserve">. </w:t>
      </w:r>
    </w:p>
    <w:p w14:paraId="71C077B8" w14:textId="73C0AED0" w:rsidR="00057456" w:rsidRDefault="00381E04" w:rsidP="00222D3C">
      <w:pPr>
        <w:jc w:val="both"/>
      </w:pPr>
      <w:r>
        <w:t xml:space="preserve">The </w:t>
      </w:r>
      <w:r w:rsidR="004847BC">
        <w:t>Company</w:t>
      </w:r>
      <w:r w:rsidR="00672567">
        <w:t xml:space="preserve"> has a </w:t>
      </w:r>
      <w:r w:rsidR="005B4539">
        <w:t>vast</w:t>
      </w:r>
      <w:r w:rsidR="00672567">
        <w:t xml:space="preserve"> GETs portfolio</w:t>
      </w:r>
      <w:r w:rsidR="005B4539">
        <w:t xml:space="preserve">. Consistent with </w:t>
      </w:r>
      <w:r w:rsidR="00684009">
        <w:t>EPRI</w:t>
      </w:r>
      <w:r w:rsidR="00A313C2">
        <w:t xml:space="preserve">, the Company defines GETs </w:t>
      </w:r>
      <w:r w:rsidR="005B4539">
        <w:t xml:space="preserve">across four main categories: </w:t>
      </w:r>
      <w:r w:rsidR="00CE176A">
        <w:t>advanced conductors</w:t>
      </w:r>
      <w:r w:rsidR="005B4539">
        <w:t xml:space="preserve">, </w:t>
      </w:r>
      <w:r w:rsidR="005641D1">
        <w:t>advanced power flow control</w:t>
      </w:r>
      <w:r w:rsidR="005B4539">
        <w:t xml:space="preserve">, </w:t>
      </w:r>
      <w:r w:rsidR="00B347AC">
        <w:t xml:space="preserve">topology optimization, </w:t>
      </w:r>
      <w:r w:rsidR="005641D1">
        <w:t>and adaptive line ratings</w:t>
      </w:r>
      <w:r w:rsidR="005B4539">
        <w:t xml:space="preserve">. </w:t>
      </w:r>
      <w:r w:rsidR="009841B9">
        <w:t>A</w:t>
      </w:r>
      <w:r w:rsidR="0006374B">
        <w:t>dvanced conductors provide a</w:t>
      </w:r>
      <w:r w:rsidR="0036294C">
        <w:t xml:space="preserve"> </w:t>
      </w:r>
      <w:r w:rsidR="00A313C2">
        <w:t xml:space="preserve">wires-based solution, while </w:t>
      </w:r>
      <w:r w:rsidR="00162EAC">
        <w:t xml:space="preserve">the </w:t>
      </w:r>
      <w:r w:rsidR="0006374B">
        <w:t>remaining categories i</w:t>
      </w:r>
      <w:r w:rsidR="00CE176A">
        <w:t xml:space="preserve">nclude </w:t>
      </w:r>
      <w:r w:rsidR="00FF795F">
        <w:t xml:space="preserve">enhancements to </w:t>
      </w:r>
      <w:r w:rsidR="00CE176A">
        <w:t>technology</w:t>
      </w:r>
      <w:r w:rsidR="00B347AC">
        <w:t>,</w:t>
      </w:r>
      <w:r w:rsidR="00CE176A">
        <w:t xml:space="preserve"> data</w:t>
      </w:r>
      <w:r w:rsidR="00B347AC">
        <w:t>, or software</w:t>
      </w:r>
      <w:r w:rsidR="00CE176A">
        <w:t xml:space="preserve"> </w:t>
      </w:r>
      <w:r w:rsidR="00B347AC">
        <w:t>related</w:t>
      </w:r>
      <w:r w:rsidR="00CE176A">
        <w:t xml:space="preserve"> to existing transmission facilities. </w:t>
      </w:r>
      <w:r w:rsidR="00FF795F">
        <w:t>T</w:t>
      </w:r>
      <w:r w:rsidR="002C407D">
        <w:t xml:space="preserve">he Company </w:t>
      </w:r>
      <w:r w:rsidR="00FF795F">
        <w:t xml:space="preserve">also </w:t>
      </w:r>
      <w:r w:rsidR="009E574A">
        <w:t xml:space="preserve">includes </w:t>
      </w:r>
      <w:r w:rsidR="002C407D">
        <w:t>flexible AC transmission systems (“FACTS”)</w:t>
      </w:r>
      <w:r w:rsidR="0006374B">
        <w:t xml:space="preserve">, which can include </w:t>
      </w:r>
      <w:r w:rsidR="00ED1B4E">
        <w:t xml:space="preserve">both new transmission facilities </w:t>
      </w:r>
      <w:r w:rsidR="00FC4460">
        <w:t xml:space="preserve">and </w:t>
      </w:r>
      <w:r w:rsidR="00244738">
        <w:t>enhancements</w:t>
      </w:r>
      <w:r w:rsidR="00971BFF">
        <w:t xml:space="preserve"> to existing transmission facilities</w:t>
      </w:r>
      <w:r w:rsidR="00DC5E47">
        <w:t>.</w:t>
      </w:r>
      <w:r w:rsidR="002C407D">
        <w:t xml:space="preserve"> </w:t>
      </w:r>
      <w:r w:rsidR="00507F84">
        <w:t>GETs-</w:t>
      </w:r>
      <w:r w:rsidR="00620764">
        <w:t xml:space="preserve">based solutions are driven by different grid </w:t>
      </w:r>
      <w:r w:rsidR="008D5F22">
        <w:t>needs, and p</w:t>
      </w:r>
      <w:r w:rsidR="00E16389">
        <w:t xml:space="preserve">rojects including GETs are initiated </w:t>
      </w:r>
      <w:r w:rsidR="003D24AC">
        <w:t>from</w:t>
      </w:r>
      <w:r w:rsidR="009D0418">
        <w:t xml:space="preserve"> </w:t>
      </w:r>
      <w:r w:rsidR="00AD7840">
        <w:t>three main organizations in the transmission business unit</w:t>
      </w:r>
      <w:r w:rsidR="003D24AC">
        <w:t xml:space="preserve">: </w:t>
      </w:r>
      <w:r w:rsidR="00EE0C4F">
        <w:t>planning</w:t>
      </w:r>
      <w:r w:rsidR="00AD7840">
        <w:t>,</w:t>
      </w:r>
      <w:r w:rsidR="00EE0C4F">
        <w:t xml:space="preserve"> </w:t>
      </w:r>
      <w:r w:rsidR="00A30A2A">
        <w:t xml:space="preserve">real-time </w:t>
      </w:r>
      <w:r w:rsidR="00EE0C4F">
        <w:t>operations</w:t>
      </w:r>
      <w:r w:rsidR="00AD7840">
        <w:t>,</w:t>
      </w:r>
      <w:r w:rsidR="00EE0C4F">
        <w:t xml:space="preserve"> and </w:t>
      </w:r>
      <w:r w:rsidR="00DD3150">
        <w:t xml:space="preserve">maintenance. </w:t>
      </w:r>
    </w:p>
    <w:p w14:paraId="0EBF2FA6" w14:textId="2F1C6BE0" w:rsidR="00CD6289" w:rsidRDefault="00E34E3D" w:rsidP="00222D3C">
      <w:pPr>
        <w:jc w:val="both"/>
      </w:pPr>
      <w:r>
        <w:t xml:space="preserve">Georgia Power </w:t>
      </w:r>
      <w:r w:rsidR="00A60749">
        <w:t xml:space="preserve">has </w:t>
      </w:r>
      <w:r w:rsidR="00CD6A48">
        <w:t xml:space="preserve">a track record of deploying </w:t>
      </w:r>
      <w:r w:rsidR="00046428">
        <w:t xml:space="preserve">economical, </w:t>
      </w:r>
      <w:r w:rsidR="00CD6A48">
        <w:t>innovative solutions</w:t>
      </w:r>
      <w:r w:rsidR="000E1AB2">
        <w:t>,</w:t>
      </w:r>
      <w:r w:rsidR="00CD6A48">
        <w:t xml:space="preserve"> </w:t>
      </w:r>
      <w:r w:rsidR="004B77DA">
        <w:t xml:space="preserve">including </w:t>
      </w:r>
      <w:r w:rsidR="00CD6A48">
        <w:t>GETs</w:t>
      </w:r>
      <w:r w:rsidR="000E1AB2">
        <w:t>,</w:t>
      </w:r>
      <w:r w:rsidR="00C267D3">
        <w:t xml:space="preserve"> to</w:t>
      </w:r>
      <w:r w:rsidR="00AE1719">
        <w:t xml:space="preserve"> meet </w:t>
      </w:r>
      <w:r w:rsidR="00C02FDE">
        <w:t xml:space="preserve">the needs of its </w:t>
      </w:r>
      <w:r w:rsidR="00AE1719">
        <w:t>customer</w:t>
      </w:r>
      <w:r w:rsidR="00C02FDE">
        <w:t>s</w:t>
      </w:r>
      <w:r w:rsidR="00AE1719">
        <w:t xml:space="preserve"> </w:t>
      </w:r>
      <w:r w:rsidR="00237205">
        <w:t xml:space="preserve">and </w:t>
      </w:r>
      <w:r w:rsidR="00C02FDE">
        <w:t xml:space="preserve">the electric </w:t>
      </w:r>
      <w:r w:rsidR="00237205">
        <w:t>grid</w:t>
      </w:r>
      <w:r w:rsidR="00057456">
        <w:t>.</w:t>
      </w:r>
      <w:r w:rsidR="004B77DA">
        <w:t xml:space="preserve"> </w:t>
      </w:r>
      <w:r w:rsidR="00C02FDE">
        <w:t>For example, t</w:t>
      </w:r>
      <w:r w:rsidR="00EE5647">
        <w:t xml:space="preserve">he Company has used advanced conductors </w:t>
      </w:r>
      <w:r w:rsidR="00D26AB3">
        <w:t>for over a decade</w:t>
      </w:r>
      <w:r w:rsidR="0049537B">
        <w:t xml:space="preserve"> and continues to work with industry leaders such as EPRI to </w:t>
      </w:r>
      <w:r w:rsidR="00507C1F">
        <w:t xml:space="preserve">test new </w:t>
      </w:r>
      <w:r w:rsidR="0009060B">
        <w:t xml:space="preserve">advanced conductor products </w:t>
      </w:r>
      <w:r w:rsidR="00B2528F">
        <w:t>as they are proven safe and reliable</w:t>
      </w:r>
      <w:r w:rsidR="00980086">
        <w:t xml:space="preserve">. </w:t>
      </w:r>
      <w:r w:rsidR="00AA53CF">
        <w:t>Many of these projects</w:t>
      </w:r>
      <w:r w:rsidR="006412CA">
        <w:t xml:space="preserve"> are driven </w:t>
      </w:r>
      <w:r w:rsidR="00555CD6">
        <w:t xml:space="preserve">by the need to reconductor or upgrade </w:t>
      </w:r>
      <w:r w:rsidR="00647DE6">
        <w:t>a transmission</w:t>
      </w:r>
      <w:r w:rsidR="00555CD6">
        <w:t xml:space="preserve"> line</w:t>
      </w:r>
      <w:r w:rsidR="00480957">
        <w:t xml:space="preserve">. </w:t>
      </w:r>
      <w:r w:rsidR="000B2A3F">
        <w:t xml:space="preserve">Additionally, </w:t>
      </w:r>
      <w:r w:rsidR="00FF795F">
        <w:t>in 2024</w:t>
      </w:r>
      <w:r w:rsidR="000B2A3F">
        <w:t xml:space="preserve">, </w:t>
      </w:r>
      <w:r w:rsidR="00647DE6">
        <w:t>Georgia Power</w:t>
      </w:r>
      <w:r w:rsidR="000B2A3F">
        <w:t xml:space="preserve"> deployed </w:t>
      </w:r>
      <w:r w:rsidR="00FC10D4">
        <w:t>its first</w:t>
      </w:r>
      <w:r w:rsidR="00504719">
        <w:t xml:space="preserve"> transmission-connected</w:t>
      </w:r>
      <w:r w:rsidR="00004D6E">
        <w:t xml:space="preserve"> static synchronous compensator </w:t>
      </w:r>
      <w:r w:rsidR="00F01903">
        <w:t>(</w:t>
      </w:r>
      <w:r w:rsidR="00DB6AB0">
        <w:t>“</w:t>
      </w:r>
      <w:r w:rsidR="00F01903">
        <w:t>STATCOM</w:t>
      </w:r>
      <w:r w:rsidR="00DB6AB0">
        <w:t>”</w:t>
      </w:r>
      <w:r w:rsidR="00F01903">
        <w:t xml:space="preserve">) </w:t>
      </w:r>
      <w:r w:rsidR="00646F58">
        <w:t xml:space="preserve">and has plans </w:t>
      </w:r>
      <w:r w:rsidR="00BC3D54">
        <w:t>for additional STATCOM devices on</w:t>
      </w:r>
      <w:r w:rsidR="00646F58">
        <w:t xml:space="preserve"> the grid</w:t>
      </w:r>
      <w:r w:rsidR="00BA2DFA">
        <w:t xml:space="preserve">, which support </w:t>
      </w:r>
      <w:r w:rsidR="00646F58">
        <w:t>grid reliability through voltage support</w:t>
      </w:r>
      <w:r w:rsidR="003D57A6">
        <w:t>.</w:t>
      </w:r>
      <w:r w:rsidR="00D97A1C" w:rsidRPr="001951B1">
        <w:t xml:space="preserve"> </w:t>
      </w:r>
      <w:r w:rsidR="0060597D" w:rsidRPr="001951B1">
        <w:t xml:space="preserve">Volume </w:t>
      </w:r>
      <w:r w:rsidR="00D730B6" w:rsidRPr="001951B1">
        <w:t>3</w:t>
      </w:r>
      <w:r w:rsidR="00933122">
        <w:t xml:space="preserve"> o</w:t>
      </w:r>
      <w:r w:rsidR="00E22CDF">
        <w:t>f</w:t>
      </w:r>
      <w:r w:rsidR="0060597D" w:rsidRPr="001951B1">
        <w:t xml:space="preserve"> Section </w:t>
      </w:r>
      <w:r w:rsidR="000F041D" w:rsidRPr="001951B1">
        <w:t>A</w:t>
      </w:r>
      <w:r w:rsidR="0060597D" w:rsidRPr="001951B1">
        <w:t xml:space="preserve"> of this filing </w:t>
      </w:r>
      <w:r w:rsidR="00DC65FB" w:rsidRPr="001951B1">
        <w:t>contains more information about the Company</w:t>
      </w:r>
      <w:r w:rsidR="00DC65FB" w:rsidRPr="001951B1">
        <w:rPr>
          <w:rFonts w:hint="eastAsia"/>
        </w:rPr>
        <w:t>’</w:t>
      </w:r>
      <w:r w:rsidR="00DC65FB" w:rsidRPr="001951B1">
        <w:t xml:space="preserve">s </w:t>
      </w:r>
      <w:r w:rsidR="00DC65FB" w:rsidRPr="001951B1">
        <w:lastRenderedPageBreak/>
        <w:t>transmission planning process</w:t>
      </w:r>
      <w:r w:rsidR="00B25F1E" w:rsidRPr="001951B1">
        <w:t>,</w:t>
      </w:r>
      <w:r w:rsidR="00DC65FB" w:rsidRPr="001951B1">
        <w:t xml:space="preserve"> including</w:t>
      </w:r>
      <w:r w:rsidR="00E70377" w:rsidRPr="001951B1">
        <w:t xml:space="preserve"> </w:t>
      </w:r>
      <w:r w:rsidR="00B25F1E" w:rsidRPr="001951B1">
        <w:t>the</w:t>
      </w:r>
      <w:r w:rsidR="00E70377" w:rsidRPr="001951B1">
        <w:t xml:space="preserve"> </w:t>
      </w:r>
      <w:r w:rsidR="00BD40E8" w:rsidRPr="001951B1">
        <w:t>evaluation of</w:t>
      </w:r>
      <w:r w:rsidR="00454292" w:rsidRPr="001951B1">
        <w:t xml:space="preserve"> potential </w:t>
      </w:r>
      <w:r w:rsidR="007E3376">
        <w:t xml:space="preserve">transmission </w:t>
      </w:r>
      <w:r w:rsidR="00454292" w:rsidRPr="001951B1">
        <w:t>solutions such as</w:t>
      </w:r>
      <w:r w:rsidR="00BD40E8" w:rsidRPr="001951B1">
        <w:t xml:space="preserve"> GET</w:t>
      </w:r>
      <w:r w:rsidR="00454292" w:rsidRPr="001951B1">
        <w:t>s</w:t>
      </w:r>
      <w:r w:rsidR="00BD40E8" w:rsidRPr="001951B1">
        <w:t>.</w:t>
      </w:r>
      <w:r w:rsidR="00BD40E8">
        <w:t xml:space="preserve"> </w:t>
      </w:r>
      <w:r w:rsidR="00BC3D54">
        <w:t xml:space="preserve">Finally, </w:t>
      </w:r>
      <w:r w:rsidR="00D97A1C">
        <w:t xml:space="preserve">the Company continues to evaluate the </w:t>
      </w:r>
      <w:r w:rsidR="003B4E13">
        <w:t>potential benefits</w:t>
      </w:r>
      <w:r w:rsidR="00D97A1C">
        <w:t xml:space="preserve"> of dynamic line rating</w:t>
      </w:r>
      <w:r w:rsidR="003B4E13">
        <w:t xml:space="preserve"> (</w:t>
      </w:r>
      <w:r w:rsidR="00DD12C7">
        <w:t>“</w:t>
      </w:r>
      <w:r w:rsidR="003B4E13">
        <w:t>DLR</w:t>
      </w:r>
      <w:r w:rsidR="00DD12C7">
        <w:t>”</w:t>
      </w:r>
      <w:r w:rsidR="003B4E13">
        <w:t>) capabilities</w:t>
      </w:r>
      <w:r w:rsidR="00C26315">
        <w:t xml:space="preserve">, which </w:t>
      </w:r>
      <w:r w:rsidR="00A30A2A">
        <w:t>can</w:t>
      </w:r>
      <w:r w:rsidR="00690110">
        <w:t xml:space="preserve"> </w:t>
      </w:r>
      <w:r w:rsidR="00A30A2A">
        <w:t>provide</w:t>
      </w:r>
      <w:r w:rsidR="00DD12C7">
        <w:t xml:space="preserve"> </w:t>
      </w:r>
      <w:r w:rsidR="008E5245">
        <w:t xml:space="preserve">additional data </w:t>
      </w:r>
      <w:r w:rsidR="00634142">
        <w:t xml:space="preserve">to </w:t>
      </w:r>
      <w:r w:rsidR="00A30A2A">
        <w:t>inform</w:t>
      </w:r>
      <w:r w:rsidR="008E5245">
        <w:t xml:space="preserve"> the real-time </w:t>
      </w:r>
      <w:r w:rsidR="00E71DA2">
        <w:t>operating capacity of transmission lines</w:t>
      </w:r>
      <w:r w:rsidR="00E475B7">
        <w:t xml:space="preserve"> </w:t>
      </w:r>
      <w:r w:rsidR="007E37B9">
        <w:t xml:space="preserve">beyond </w:t>
      </w:r>
      <w:r w:rsidR="00634142">
        <w:t>the Company’s</w:t>
      </w:r>
      <w:r w:rsidR="00FA0650">
        <w:t xml:space="preserve"> </w:t>
      </w:r>
      <w:r w:rsidR="00325F55">
        <w:t>long-</w:t>
      </w:r>
      <w:r w:rsidR="00253319">
        <w:t>standing use of</w:t>
      </w:r>
      <w:r w:rsidR="00FA0650">
        <w:t xml:space="preserve"> ambient-adjusted rating (</w:t>
      </w:r>
      <w:r w:rsidR="004E4B51">
        <w:t>“</w:t>
      </w:r>
      <w:r w:rsidR="00FA0650">
        <w:t>AAR</w:t>
      </w:r>
      <w:r w:rsidR="004E4B51">
        <w:t>”</w:t>
      </w:r>
      <w:r w:rsidR="00FA0650">
        <w:t>) capabilities</w:t>
      </w:r>
      <w:r w:rsidR="00E71DA2">
        <w:t>.</w:t>
      </w:r>
      <w:r w:rsidR="00634142">
        <w:t xml:space="preserve"> Th</w:t>
      </w:r>
      <w:r w:rsidR="00524BEE">
        <w:t>e</w:t>
      </w:r>
      <w:r w:rsidR="00387A20">
        <w:t xml:space="preserve"> </w:t>
      </w:r>
      <w:r w:rsidR="00EC3E80">
        <w:t xml:space="preserve">Company’s </w:t>
      </w:r>
      <w:r w:rsidR="00A30A2A">
        <w:t>real-time</w:t>
      </w:r>
      <w:r w:rsidR="00524BEE">
        <w:t xml:space="preserve"> </w:t>
      </w:r>
      <w:r w:rsidR="00387A20">
        <w:t xml:space="preserve">operations </w:t>
      </w:r>
      <w:r w:rsidR="003F135A">
        <w:t xml:space="preserve">organization </w:t>
      </w:r>
      <w:r w:rsidR="00806F8B">
        <w:t xml:space="preserve">drives </w:t>
      </w:r>
      <w:r w:rsidR="00D379FF">
        <w:t>the</w:t>
      </w:r>
      <w:r w:rsidR="00524BEE">
        <w:t xml:space="preserve"> </w:t>
      </w:r>
      <w:r w:rsidR="00387A20">
        <w:t xml:space="preserve">integration </w:t>
      </w:r>
      <w:r w:rsidR="00D379FF">
        <w:t>and evaluation</w:t>
      </w:r>
      <w:r w:rsidR="00387A20">
        <w:t xml:space="preserve"> of</w:t>
      </w:r>
      <w:r w:rsidR="00BE58E6">
        <w:t xml:space="preserve"> this technology</w:t>
      </w:r>
      <w:r w:rsidR="00D379FF">
        <w:t xml:space="preserve">. </w:t>
      </w:r>
      <w:r w:rsidR="004B1380">
        <w:t xml:space="preserve">These examples demonstrate the range of </w:t>
      </w:r>
      <w:r w:rsidR="00731A5D">
        <w:t xml:space="preserve">technologies within the GETs </w:t>
      </w:r>
      <w:r w:rsidR="0079343C">
        <w:t>portfolio</w:t>
      </w:r>
      <w:r w:rsidR="007C5FEA">
        <w:t xml:space="preserve"> and how they </w:t>
      </w:r>
      <w:r w:rsidR="00220A1E">
        <w:t xml:space="preserve">are integrated </w:t>
      </w:r>
      <w:r w:rsidR="00786BCA">
        <w:t>into</w:t>
      </w:r>
      <w:r w:rsidR="00220A1E">
        <w:t xml:space="preserve"> </w:t>
      </w:r>
      <w:r w:rsidR="00A30A2A">
        <w:t>Georgia Power’s transmission operations</w:t>
      </w:r>
      <w:r w:rsidR="00786BCA">
        <w:t xml:space="preserve"> </w:t>
      </w:r>
      <w:r w:rsidR="00220A1E">
        <w:t>based on the</w:t>
      </w:r>
      <w:r w:rsidR="00786BCA">
        <w:t>ir respective</w:t>
      </w:r>
      <w:r w:rsidR="00220A1E">
        <w:t xml:space="preserve"> value</w:t>
      </w:r>
      <w:r w:rsidR="00786BCA">
        <w:t>s</w:t>
      </w:r>
      <w:r w:rsidR="00A30A2A">
        <w:t>.</w:t>
      </w:r>
    </w:p>
    <w:p w14:paraId="08B6F77B" w14:textId="39C43318" w:rsidR="00CD6289" w:rsidRDefault="00CD6289" w:rsidP="00CD6289">
      <w:pPr>
        <w:pStyle w:val="Heading2"/>
      </w:pPr>
      <w:bookmarkStart w:id="75" w:name="_Toc189122794"/>
      <w:r>
        <w:t xml:space="preserve">11.5 – </w:t>
      </w:r>
      <w:r w:rsidR="00AB02F6">
        <w:t xml:space="preserve">Federal </w:t>
      </w:r>
      <w:r w:rsidR="00182D55">
        <w:t xml:space="preserve">and State </w:t>
      </w:r>
      <w:r w:rsidR="00AB02F6">
        <w:t>Funding Opportunities</w:t>
      </w:r>
      <w:bookmarkEnd w:id="75"/>
    </w:p>
    <w:p w14:paraId="3772779C" w14:textId="1770CEBC" w:rsidR="005867C3" w:rsidRDefault="09B08D65" w:rsidP="00CD6289">
      <w:pPr>
        <w:jc w:val="both"/>
      </w:pPr>
      <w:r>
        <w:t>T</w:t>
      </w:r>
      <w:r w:rsidR="372A8526">
        <w:t>he</w:t>
      </w:r>
      <w:r w:rsidR="759210EE">
        <w:t xml:space="preserve"> Company</w:t>
      </w:r>
      <w:r>
        <w:t xml:space="preserve"> continues to </w:t>
      </w:r>
      <w:r w:rsidR="372A8526">
        <w:t xml:space="preserve">seek </w:t>
      </w:r>
      <w:r w:rsidR="6BC18B61">
        <w:t>alternate sources of funding where applicable</w:t>
      </w:r>
      <w:r w:rsidR="759210EE">
        <w:t xml:space="preserve"> </w:t>
      </w:r>
      <w:r w:rsidR="10A22ED3">
        <w:t xml:space="preserve">to </w:t>
      </w:r>
      <w:r w:rsidR="59284929">
        <w:t>minimize</w:t>
      </w:r>
      <w:r w:rsidR="10A22ED3">
        <w:t xml:space="preserve"> </w:t>
      </w:r>
      <w:r w:rsidR="7D846F82">
        <w:t>cost</w:t>
      </w:r>
      <w:r w:rsidR="10A22ED3">
        <w:t xml:space="preserve"> </w:t>
      </w:r>
      <w:r w:rsidR="61C85CFF">
        <w:t xml:space="preserve">impacts to </w:t>
      </w:r>
      <w:r w:rsidR="37158A23">
        <w:t>customers</w:t>
      </w:r>
      <w:r w:rsidR="00E06E1F">
        <w:t xml:space="preserve">, including </w:t>
      </w:r>
      <w:r w:rsidR="005E153D">
        <w:t xml:space="preserve">transmission system </w:t>
      </w:r>
      <w:r w:rsidR="00E06E1F">
        <w:t>investments</w:t>
      </w:r>
      <w:r w:rsidR="004B0E17">
        <w:t>.</w:t>
      </w:r>
      <w:r w:rsidR="053F03F5">
        <w:t xml:space="preserve"> </w:t>
      </w:r>
      <w:r w:rsidR="045C5F7F">
        <w:t xml:space="preserve">For example, </w:t>
      </w:r>
      <w:r w:rsidR="485C59DB">
        <w:t xml:space="preserve">Georgia Power has been selected </w:t>
      </w:r>
      <w:r w:rsidR="2C48C688">
        <w:t xml:space="preserve">to negotiate </w:t>
      </w:r>
      <w:r w:rsidR="0520D753">
        <w:t xml:space="preserve">approximately $160 million in DOE grant funding </w:t>
      </w:r>
      <w:r w:rsidR="5866DA44">
        <w:t xml:space="preserve">through the Grid </w:t>
      </w:r>
      <w:r w:rsidR="0AAE0AF9">
        <w:t xml:space="preserve">Resilience and </w:t>
      </w:r>
      <w:r w:rsidR="5866DA44">
        <w:t>In</w:t>
      </w:r>
      <w:r w:rsidR="21184D2B">
        <w:t xml:space="preserve">novation </w:t>
      </w:r>
      <w:r w:rsidR="0AAE0AF9">
        <w:t>Partnership</w:t>
      </w:r>
      <w:r w:rsidR="6ED832F9">
        <w:t>s</w:t>
      </w:r>
      <w:r w:rsidR="0AAE0AF9">
        <w:t xml:space="preserve"> (“GRIP”) program. </w:t>
      </w:r>
      <w:r w:rsidR="760DAB83">
        <w:t xml:space="preserve">This grant </w:t>
      </w:r>
      <w:r w:rsidR="076428A5">
        <w:t xml:space="preserve">focuses on </w:t>
      </w:r>
      <w:r w:rsidR="4A761131">
        <w:t>the deployment of</w:t>
      </w:r>
      <w:r w:rsidR="076428A5">
        <w:t xml:space="preserve"> </w:t>
      </w:r>
      <w:r w:rsidR="4A761131">
        <w:t xml:space="preserve">innovative solutions through </w:t>
      </w:r>
      <w:r w:rsidR="3B079C19">
        <w:t xml:space="preserve">new </w:t>
      </w:r>
      <w:r w:rsidR="076428A5">
        <w:t>GETs</w:t>
      </w:r>
      <w:r w:rsidR="468CC60B">
        <w:t xml:space="preserve"> on the </w:t>
      </w:r>
      <w:r w:rsidR="3B079C19">
        <w:t xml:space="preserve">Company’s </w:t>
      </w:r>
      <w:r w:rsidR="468CC60B">
        <w:t>transmission grid</w:t>
      </w:r>
      <w:r w:rsidR="3B079C19">
        <w:t>. N</w:t>
      </w:r>
      <w:r w:rsidR="111E5D95">
        <w:t>egotiations are ongoing with the DOE</w:t>
      </w:r>
      <w:r w:rsidR="419E9359">
        <w:t xml:space="preserve"> to establish the terms and conditions of </w:t>
      </w:r>
      <w:r w:rsidR="3B079C19">
        <w:t>this</w:t>
      </w:r>
      <w:r w:rsidR="419E9359">
        <w:t xml:space="preserve"> award</w:t>
      </w:r>
      <w:r w:rsidR="4A761131">
        <w:t xml:space="preserve">. Additionally, </w:t>
      </w:r>
      <w:r w:rsidR="4C9B601F">
        <w:t xml:space="preserve">Georgia Power is pursuing DOE </w:t>
      </w:r>
      <w:r w:rsidR="00E3288D">
        <w:t xml:space="preserve">Title 17 </w:t>
      </w:r>
      <w:r w:rsidR="4C9B601F">
        <w:t xml:space="preserve">loan opportunities that support </w:t>
      </w:r>
      <w:r w:rsidR="00E3288D">
        <w:t>E</w:t>
      </w:r>
      <w:r w:rsidR="00745502" w:rsidRPr="1F97FD5B">
        <w:t xml:space="preserve">nergy </w:t>
      </w:r>
      <w:r w:rsidR="00E3288D">
        <w:t>I</w:t>
      </w:r>
      <w:r w:rsidR="00745502" w:rsidRPr="1F97FD5B">
        <w:t xml:space="preserve">nfrastructure </w:t>
      </w:r>
      <w:r w:rsidR="00E3288D">
        <w:t>R</w:t>
      </w:r>
      <w:r w:rsidR="00745502" w:rsidRPr="1F97FD5B">
        <w:t>einvestment</w:t>
      </w:r>
      <w:r w:rsidR="00D9264E">
        <w:t>.</w:t>
      </w:r>
      <w:r w:rsidR="2453F3F9">
        <w:t xml:space="preserve"> Some of </w:t>
      </w:r>
      <w:r w:rsidR="483F027D">
        <w:t>this</w:t>
      </w:r>
      <w:r w:rsidR="013D7CD4">
        <w:t xml:space="preserve"> application</w:t>
      </w:r>
      <w:r w:rsidR="2453F3F9">
        <w:t xml:space="preserve"> </w:t>
      </w:r>
      <w:r w:rsidR="598523E7">
        <w:t xml:space="preserve">includes </w:t>
      </w:r>
      <w:r w:rsidR="2453F3F9">
        <w:t xml:space="preserve">transmission </w:t>
      </w:r>
      <w:r w:rsidR="295B26A1">
        <w:t>investments</w:t>
      </w:r>
      <w:r w:rsidR="10A69BF9">
        <w:t xml:space="preserve"> </w:t>
      </w:r>
      <w:r w:rsidR="111E5D95">
        <w:t>from</w:t>
      </w:r>
      <w:r w:rsidR="10A69BF9">
        <w:t xml:space="preserve"> the Company’s </w:t>
      </w:r>
      <w:r w:rsidR="51DC68AD">
        <w:t>portion of the Georgia ITS</w:t>
      </w:r>
      <w:r w:rsidR="10A69BF9">
        <w:t xml:space="preserve"> Ten</w:t>
      </w:r>
      <w:r w:rsidR="00215CD2">
        <w:t>-</w:t>
      </w:r>
      <w:r w:rsidR="10A69BF9">
        <w:t>Year Transmission Plan</w:t>
      </w:r>
      <w:r w:rsidR="111E5D95">
        <w:t>,</w:t>
      </w:r>
      <w:r w:rsidR="10A69BF9">
        <w:t xml:space="preserve"> </w:t>
      </w:r>
      <w:r w:rsidR="3D4E5ECF">
        <w:t>s</w:t>
      </w:r>
      <w:r w:rsidR="10A69BF9">
        <w:t xml:space="preserve">trategic </w:t>
      </w:r>
      <w:r w:rsidR="3D4E5ECF">
        <w:t>t</w:t>
      </w:r>
      <w:r w:rsidR="10A69BF9">
        <w:t>ransmission projects</w:t>
      </w:r>
      <w:r w:rsidR="111E5D95">
        <w:t xml:space="preserve">, and </w:t>
      </w:r>
      <w:r w:rsidR="1F2BA03B">
        <w:t>continued</w:t>
      </w:r>
      <w:r w:rsidR="111E5D95">
        <w:t xml:space="preserve"> deployment of innovative solutions including GETs.</w:t>
      </w:r>
      <w:r w:rsidR="38BEC2AC">
        <w:t xml:space="preserve"> </w:t>
      </w:r>
      <w:r w:rsidR="383EC2E3">
        <w:t xml:space="preserve">The Company assumes these projects will qualify for the DOE Title </w:t>
      </w:r>
      <w:r w:rsidR="00B45089">
        <w:t>17</w:t>
      </w:r>
      <w:r w:rsidR="383EC2E3">
        <w:t xml:space="preserve"> Loan Program that affords additional financial savings.</w:t>
      </w:r>
      <w:r w:rsidR="00B45089">
        <w:rPr>
          <w:rStyle w:val="FootnoteReference"/>
        </w:rPr>
        <w:footnoteReference w:id="43"/>
      </w:r>
      <w:r w:rsidR="383EC2E3">
        <w:t xml:space="preserve"> </w:t>
      </w:r>
      <w:r w:rsidR="4F1A2E6D">
        <w:t>The development of this application and eligibility of transmission projects to be included</w:t>
      </w:r>
      <w:r w:rsidR="383EC2E3">
        <w:t xml:space="preserve"> is ongoing </w:t>
      </w:r>
      <w:r w:rsidR="3FCDED41">
        <w:t>with the DOE</w:t>
      </w:r>
      <w:r w:rsidR="4F1A2E6D">
        <w:t>.</w:t>
      </w:r>
      <w:r w:rsidR="25682146">
        <w:t xml:space="preserve"> </w:t>
      </w:r>
    </w:p>
    <w:p w14:paraId="21726492" w14:textId="6B471022" w:rsidR="006524B5" w:rsidRDefault="4639642C" w:rsidP="00CD6289">
      <w:pPr>
        <w:jc w:val="both"/>
      </w:pPr>
      <w:r>
        <w:t xml:space="preserve">Georgia Power </w:t>
      </w:r>
      <w:r w:rsidR="453C7BB9">
        <w:t xml:space="preserve">is also pursuing funding opportunities administered </w:t>
      </w:r>
      <w:r w:rsidR="007603E7">
        <w:t>by</w:t>
      </w:r>
      <w:r w:rsidR="00A5083A">
        <w:t xml:space="preserve"> </w:t>
      </w:r>
      <w:r w:rsidR="67EA3861">
        <w:t>state entities and</w:t>
      </w:r>
      <w:r w:rsidR="3D4E5ECF">
        <w:t>,</w:t>
      </w:r>
      <w:r w:rsidR="67EA3861">
        <w:t xml:space="preserve"> as such</w:t>
      </w:r>
      <w:r w:rsidR="3D4E5ECF">
        <w:t>,</w:t>
      </w:r>
      <w:r w:rsidR="67EA3861">
        <w:t xml:space="preserve"> </w:t>
      </w:r>
      <w:r>
        <w:t xml:space="preserve">has </w:t>
      </w:r>
      <w:r w:rsidR="00FF0C7A">
        <w:t>applied</w:t>
      </w:r>
      <w:r>
        <w:t xml:space="preserve"> for funding through the </w:t>
      </w:r>
      <w:r w:rsidR="6111C3A0">
        <w:t xml:space="preserve">Grid Resilience grant program administered by the </w:t>
      </w:r>
      <w:r>
        <w:t>Georgia Environmental Finance Authority</w:t>
      </w:r>
      <w:r w:rsidR="6111C3A0">
        <w:t xml:space="preserve"> (“GEFA”)</w:t>
      </w:r>
      <w:r w:rsidR="67EA3861">
        <w:t>. The Company is currently</w:t>
      </w:r>
      <w:r w:rsidR="6111C3A0">
        <w:t xml:space="preserve"> awaiting the outcome of this application</w:t>
      </w:r>
      <w:r w:rsidR="00A5083A">
        <w:t>.</w:t>
      </w:r>
      <w:r w:rsidR="00D04A3D">
        <w:t xml:space="preserve"> </w:t>
      </w:r>
      <w:r w:rsidR="00A5083A">
        <w:t>I</w:t>
      </w:r>
      <w:r w:rsidR="67EA3861">
        <w:t>f</w:t>
      </w:r>
      <w:r w:rsidR="6111C3A0">
        <w:t xml:space="preserve"> selected for funding by</w:t>
      </w:r>
      <w:r w:rsidR="0973A176">
        <w:t xml:space="preserve"> GEFA, the application will be subject to further review and negotiations with the DOE</w:t>
      </w:r>
      <w:r w:rsidR="1F9612AF">
        <w:t>.</w:t>
      </w:r>
      <w:r w:rsidR="6111C3A0">
        <w:t xml:space="preserve"> </w:t>
      </w:r>
      <w:r w:rsidR="25682146">
        <w:t xml:space="preserve">The Company will </w:t>
      </w:r>
      <w:r w:rsidR="65B7C995">
        <w:t xml:space="preserve">continue to </w:t>
      </w:r>
      <w:r w:rsidR="51C61719">
        <w:t xml:space="preserve">seek </w:t>
      </w:r>
      <w:r w:rsidR="7CF9C800">
        <w:t xml:space="preserve">funding opportunities to minimize </w:t>
      </w:r>
      <w:r w:rsidR="13AE30D0">
        <w:t>costs to customers</w:t>
      </w:r>
      <w:r w:rsidR="629229FD">
        <w:t xml:space="preserve"> as part of </w:t>
      </w:r>
      <w:r w:rsidR="3B9CB087">
        <w:t>the commitment to provide clean, safe, reliable, and affordable electric service to customers</w:t>
      </w:r>
      <w:r w:rsidR="07FFF524">
        <w:t>.</w:t>
      </w:r>
    </w:p>
    <w:p w14:paraId="621023D3" w14:textId="4D7BE781" w:rsidR="00905272" w:rsidRDefault="002B7CCD" w:rsidP="00222D3C">
      <w:pPr>
        <w:jc w:val="both"/>
      </w:pPr>
      <w:r>
        <w:br w:type="page"/>
      </w:r>
    </w:p>
    <w:p w14:paraId="747D25DA" w14:textId="77777777" w:rsidR="00FB433D" w:rsidRDefault="00FB433D" w:rsidP="00FB433D">
      <w:pPr>
        <w:jc w:val="both"/>
      </w:pPr>
    </w:p>
    <w:p w14:paraId="00221343" w14:textId="77777777" w:rsidR="00FB433D" w:rsidRDefault="00FB433D" w:rsidP="00FB433D">
      <w:pPr>
        <w:jc w:val="both"/>
      </w:pPr>
    </w:p>
    <w:p w14:paraId="36499695" w14:textId="77777777" w:rsidR="00FB433D" w:rsidRDefault="00FB433D" w:rsidP="00FB433D">
      <w:pPr>
        <w:jc w:val="both"/>
      </w:pPr>
    </w:p>
    <w:p w14:paraId="4022902C" w14:textId="77777777" w:rsidR="00FB433D" w:rsidRDefault="00FB433D" w:rsidP="00FB433D">
      <w:pPr>
        <w:jc w:val="both"/>
      </w:pPr>
    </w:p>
    <w:p w14:paraId="0901B923" w14:textId="77777777" w:rsidR="00FB433D" w:rsidRDefault="00FB433D" w:rsidP="00FB433D">
      <w:pPr>
        <w:jc w:val="both"/>
      </w:pPr>
    </w:p>
    <w:p w14:paraId="22281C54" w14:textId="77777777" w:rsidR="00FB433D" w:rsidRDefault="00FB433D" w:rsidP="00FB433D">
      <w:pPr>
        <w:jc w:val="both"/>
      </w:pPr>
    </w:p>
    <w:p w14:paraId="77D38739" w14:textId="77777777" w:rsidR="00FB433D" w:rsidRDefault="00FB433D" w:rsidP="00FB433D">
      <w:pPr>
        <w:jc w:val="both"/>
      </w:pPr>
    </w:p>
    <w:p w14:paraId="08F78534" w14:textId="77777777" w:rsidR="00FB433D" w:rsidRDefault="00FB433D" w:rsidP="00FB433D">
      <w:pPr>
        <w:jc w:val="both"/>
      </w:pPr>
    </w:p>
    <w:p w14:paraId="1ABDDA29" w14:textId="77777777" w:rsidR="00FB433D" w:rsidRDefault="00FB433D" w:rsidP="00FB433D">
      <w:pPr>
        <w:jc w:val="both"/>
      </w:pPr>
    </w:p>
    <w:p w14:paraId="00670834" w14:textId="77777777" w:rsidR="00FB433D" w:rsidRDefault="00FB433D" w:rsidP="00FB433D">
      <w:pPr>
        <w:jc w:val="both"/>
      </w:pPr>
    </w:p>
    <w:p w14:paraId="0BB253F0" w14:textId="77777777" w:rsidR="00FB433D" w:rsidRDefault="00FB433D" w:rsidP="00FB433D">
      <w:pPr>
        <w:jc w:val="both"/>
      </w:pPr>
    </w:p>
    <w:p w14:paraId="5C7AF7B1" w14:textId="534AD5A3" w:rsidR="00FB433D" w:rsidRDefault="00FB433D" w:rsidP="00FB433D">
      <w:pPr>
        <w:jc w:val="center"/>
        <w:rPr>
          <w:rFonts w:asciiTheme="majorHAnsi" w:eastAsiaTheme="majorEastAsia" w:hAnsiTheme="majorHAnsi" w:cstheme="majorBidi"/>
          <w:color w:val="0F4761" w:themeColor="accent1" w:themeShade="BF"/>
          <w:sz w:val="40"/>
          <w:szCs w:val="40"/>
        </w:rPr>
      </w:pPr>
      <w:r>
        <w:t>[This page is intentionally left blank.]</w:t>
      </w:r>
      <w:r>
        <w:br w:type="page"/>
      </w:r>
    </w:p>
    <w:p w14:paraId="1BBBEDE0" w14:textId="360AEEE1" w:rsidR="00905272" w:rsidRDefault="00AB3AB3" w:rsidP="00AB3AB3">
      <w:pPr>
        <w:pStyle w:val="Heading1"/>
      </w:pPr>
      <w:bookmarkStart w:id="76" w:name="_Toc189122795"/>
      <w:r>
        <w:lastRenderedPageBreak/>
        <w:t>Conclusion &amp; Action Plan</w:t>
      </w:r>
      <w:bookmarkEnd w:id="76"/>
    </w:p>
    <w:p w14:paraId="76E8EB86" w14:textId="28997A64" w:rsidR="00610C65" w:rsidRDefault="68561EA5" w:rsidP="00F66CBA">
      <w:pPr>
        <w:spacing w:after="240"/>
        <w:jc w:val="both"/>
      </w:pPr>
      <w:r>
        <w:t>The 2025 IRP proposes a reliable, economical, and diverse resource mix that will ensure Georgia Power can continue to meet its customers’ evolving energy needs</w:t>
      </w:r>
      <w:r w:rsidR="7736DE6C">
        <w:t xml:space="preserve"> </w:t>
      </w:r>
      <w:r w:rsidR="00214EF3">
        <w:t>with</w:t>
      </w:r>
      <w:r w:rsidR="009D6061" w:rsidRPr="00F66CBA">
        <w:t xml:space="preserve"> a diverse mix of energy resources, a comprehensive environmental compliance strategy, enhanced reliability and resilience, and state-of-the art technology.</w:t>
      </w:r>
      <w:r w:rsidR="009D6061">
        <w:t xml:space="preserve"> </w:t>
      </w:r>
      <w:r w:rsidR="00D1563B">
        <w:t>As in past IRPs, the 2025</w:t>
      </w:r>
      <w:r w:rsidR="00D1563B" w:rsidRPr="000D0559">
        <w:t xml:space="preserve"> </w:t>
      </w:r>
      <w:r w:rsidR="009D6061" w:rsidRPr="000D0559">
        <w:t xml:space="preserve">IRP </w:t>
      </w:r>
      <w:r w:rsidR="005B7DFB">
        <w:t>utilizes a</w:t>
      </w:r>
      <w:r w:rsidR="008F399A">
        <w:t xml:space="preserve"> scenario-based approach that focuses on</w:t>
      </w:r>
      <w:r w:rsidR="00546215" w:rsidRPr="000D0559">
        <w:t xml:space="preserve"> seasonal planning, </w:t>
      </w:r>
      <w:r w:rsidR="00CE1EE5">
        <w:t xml:space="preserve">strategic expansion of the generation </w:t>
      </w:r>
      <w:r w:rsidR="00CE1EE5" w:rsidRPr="000D0559">
        <w:t>fleet</w:t>
      </w:r>
      <w:r w:rsidR="00CE1EE5">
        <w:t xml:space="preserve"> </w:t>
      </w:r>
      <w:r w:rsidR="00C26A75">
        <w:t>that includes</w:t>
      </w:r>
      <w:r w:rsidR="003509A8">
        <w:t xml:space="preserve"> </w:t>
      </w:r>
      <w:r w:rsidR="00E17F5B">
        <w:t xml:space="preserve">extensions and </w:t>
      </w:r>
      <w:r w:rsidR="00DA4A69">
        <w:t>up</w:t>
      </w:r>
      <w:r w:rsidR="00037868">
        <w:t>grades</w:t>
      </w:r>
      <w:r w:rsidR="003509A8">
        <w:t xml:space="preserve"> at existing </w:t>
      </w:r>
      <w:r w:rsidR="001F65BB">
        <w:t xml:space="preserve">generating </w:t>
      </w:r>
      <w:r w:rsidR="000B50B3">
        <w:t>facilities</w:t>
      </w:r>
      <w:r w:rsidR="00DA4A69">
        <w:t xml:space="preserve">, </w:t>
      </w:r>
      <w:r w:rsidR="00673311">
        <w:t xml:space="preserve">continued investment in hydro-powered resources, </w:t>
      </w:r>
      <w:r w:rsidR="00662F28">
        <w:t xml:space="preserve">regular and flexible </w:t>
      </w:r>
      <w:r w:rsidR="00ED7BF8">
        <w:t>RFPs</w:t>
      </w:r>
      <w:r w:rsidR="00662F28">
        <w:t>,</w:t>
      </w:r>
      <w:r w:rsidR="00A002D8">
        <w:t xml:space="preserve"> </w:t>
      </w:r>
      <w:r w:rsidR="000612AB">
        <w:t xml:space="preserve">and </w:t>
      </w:r>
      <w:r w:rsidR="00004FCE">
        <w:t>str</w:t>
      </w:r>
      <w:r w:rsidR="00792943">
        <w:t xml:space="preserve">ategic expansion </w:t>
      </w:r>
      <w:r w:rsidR="00C23110">
        <w:t>of the transmission system</w:t>
      </w:r>
      <w:r w:rsidR="009D6061">
        <w:t>,</w:t>
      </w:r>
      <w:r w:rsidR="009D6061" w:rsidRPr="000D0559">
        <w:t xml:space="preserve"> while</w:t>
      </w:r>
      <w:r w:rsidR="000612AB">
        <w:t xml:space="preserve"> integrating innovative solutions to </w:t>
      </w:r>
      <w:r w:rsidR="00942692">
        <w:t xml:space="preserve">manage </w:t>
      </w:r>
      <w:r w:rsidR="000612AB">
        <w:t>transmission constraints.</w:t>
      </w:r>
      <w:r w:rsidR="00A002D8">
        <w:t xml:space="preserve"> </w:t>
      </w:r>
      <w:r w:rsidR="00610C65">
        <w:t xml:space="preserve">Georgia Power’s proposals to extend operations of existing </w:t>
      </w:r>
      <w:r w:rsidR="00493402">
        <w:t>S</w:t>
      </w:r>
      <w:r w:rsidR="00610C65">
        <w:t xml:space="preserve">ystem resources is a commitment to </w:t>
      </w:r>
      <w:r w:rsidR="009008FB" w:rsidRPr="009008FB">
        <w:t>exploring</w:t>
      </w:r>
      <w:r w:rsidR="00610C65" w:rsidRPr="009008FB">
        <w:t xml:space="preserve"> all options</w:t>
      </w:r>
      <w:r w:rsidR="00610C65">
        <w:t xml:space="preserve"> to economically and reliably serve growing customer demand without diminishing the Company’s long-term commitment to an economic transition of generation fleet.</w:t>
      </w:r>
      <w:r w:rsidR="00A002D8">
        <w:t xml:space="preserve"> </w:t>
      </w:r>
    </w:p>
    <w:p w14:paraId="2916E3AF" w14:textId="2FC6A4DB" w:rsidR="003B0C20" w:rsidRDefault="00732781" w:rsidP="00F66CBA">
      <w:pPr>
        <w:spacing w:after="240"/>
        <w:jc w:val="both"/>
      </w:pPr>
      <w:r>
        <w:t>Georgia Power</w:t>
      </w:r>
      <w:r w:rsidR="009D6061" w:rsidRPr="000D0559">
        <w:t xml:space="preserve"> proposes</w:t>
      </w:r>
      <w:r w:rsidR="000612AB">
        <w:t xml:space="preserve"> to expand and modify </w:t>
      </w:r>
      <w:r w:rsidR="00D95FE2">
        <w:t>several of its renewable and DER</w:t>
      </w:r>
      <w:r w:rsidR="009D6061">
        <w:t xml:space="preserve"> customer programs</w:t>
      </w:r>
      <w:r w:rsidR="00D95FE2">
        <w:t xml:space="preserve"> through the addition of storage resources in front of the meter, behind the meter, and on site at customer locations</w:t>
      </w:r>
      <w:r w:rsidR="00D93660">
        <w:t>, and refocus</w:t>
      </w:r>
      <w:r w:rsidR="00D55A2B">
        <w:t xml:space="preserve"> </w:t>
      </w:r>
      <w:r w:rsidR="00B412DC">
        <w:t xml:space="preserve">its successful portfolio of demand-side </w:t>
      </w:r>
      <w:r w:rsidR="00D12D89">
        <w:t xml:space="preserve">programs </w:t>
      </w:r>
      <w:r w:rsidR="00700FF7">
        <w:t xml:space="preserve">to </w:t>
      </w:r>
      <w:r w:rsidR="00A002D8">
        <w:t xml:space="preserve">better target the needs of </w:t>
      </w:r>
      <w:bookmarkStart w:id="77" w:name="_Hlk187616437"/>
      <w:r w:rsidR="001D4D57">
        <w:t xml:space="preserve">low to moderate income </w:t>
      </w:r>
      <w:bookmarkEnd w:id="77"/>
      <w:r w:rsidR="00A002D8">
        <w:t xml:space="preserve">customers. </w:t>
      </w:r>
    </w:p>
    <w:p w14:paraId="53A25D96" w14:textId="7407AB39" w:rsidR="009D6061" w:rsidRDefault="00FA23C0" w:rsidP="00F66CBA">
      <w:pPr>
        <w:spacing w:after="240"/>
        <w:jc w:val="both"/>
      </w:pPr>
      <w:r>
        <w:t>Georgia Power’s</w:t>
      </w:r>
      <w:r w:rsidR="003375D2">
        <w:t xml:space="preserve"> 2025 IRP appropriately balances</w:t>
      </w:r>
      <w:r w:rsidR="00321F24">
        <w:t xml:space="preserve"> many </w:t>
      </w:r>
      <w:r w:rsidR="00464DBA">
        <w:t>diverse</w:t>
      </w:r>
      <w:r w:rsidR="00321F24">
        <w:t xml:space="preserve"> interests in </w:t>
      </w:r>
      <w:r w:rsidR="00B52BF9">
        <w:t xml:space="preserve">offering a comprehensive strategy to </w:t>
      </w:r>
      <w:r w:rsidR="006147A8">
        <w:t>supply</w:t>
      </w:r>
      <w:r w:rsidR="005741DD">
        <w:t xml:space="preserve"> growing customer </w:t>
      </w:r>
      <w:r w:rsidR="00E418DF">
        <w:t xml:space="preserve">load reliably and economically, while </w:t>
      </w:r>
      <w:r w:rsidR="008A5C75">
        <w:t xml:space="preserve">acknowledging </w:t>
      </w:r>
      <w:r w:rsidR="00831DD0">
        <w:t xml:space="preserve">the need to continue to </w:t>
      </w:r>
      <w:r w:rsidR="00C54E53">
        <w:t>provide</w:t>
      </w:r>
      <w:r w:rsidR="00831DD0">
        <w:t xml:space="preserve"> customers clean, safe, reliable, and affordable </w:t>
      </w:r>
      <w:r w:rsidR="00464DBA">
        <w:t>service at the quality the</w:t>
      </w:r>
      <w:r w:rsidR="000C565E">
        <w:t>y</w:t>
      </w:r>
      <w:r w:rsidR="00464DBA">
        <w:t xml:space="preserve"> deserve and expect. </w:t>
      </w:r>
      <w:r w:rsidR="009D6061">
        <w:t xml:space="preserve">In addition to the items specifically contained in the conclusion of </w:t>
      </w:r>
      <w:r w:rsidR="00464DBA">
        <w:t>the Executive Summary</w:t>
      </w:r>
      <w:r w:rsidR="009D6061">
        <w:t>, pending Commission approval where necessary, the Company plans to take the following actions:</w:t>
      </w:r>
    </w:p>
    <w:p w14:paraId="0C22AA23" w14:textId="77777777" w:rsidR="00E27FCE" w:rsidRDefault="00E27FCE" w:rsidP="009A12F5">
      <w:pPr>
        <w:pStyle w:val="ListParagraph"/>
        <w:numPr>
          <w:ilvl w:val="0"/>
          <w:numId w:val="45"/>
        </w:numPr>
        <w:spacing w:after="120" w:line="240" w:lineRule="auto"/>
        <w:contextualSpacing w:val="0"/>
        <w:jc w:val="both"/>
      </w:pPr>
      <w:r>
        <w:t>Build, operate, and maintain the necessary generation and power delivery infrastructure to ensure adequate reliability and serve the needs of Georgia.</w:t>
      </w:r>
    </w:p>
    <w:p w14:paraId="28E5B730" w14:textId="6F26C599" w:rsidR="00E27FCE" w:rsidRDefault="00E27FCE" w:rsidP="009A12F5">
      <w:pPr>
        <w:pStyle w:val="ListParagraph"/>
        <w:numPr>
          <w:ilvl w:val="0"/>
          <w:numId w:val="45"/>
        </w:numPr>
        <w:spacing w:after="120" w:line="240" w:lineRule="auto"/>
        <w:contextualSpacing w:val="0"/>
        <w:jc w:val="both"/>
      </w:pPr>
      <w:r>
        <w:t>Continue to work with the ITS Participants to advance the strategic portfolio of projects to address the long-term transmission planning and operational needs of the state.</w:t>
      </w:r>
    </w:p>
    <w:p w14:paraId="0FB1884E" w14:textId="5BE6AE50" w:rsidR="00E27FCE" w:rsidRDefault="00E27FCE" w:rsidP="009A12F5">
      <w:pPr>
        <w:pStyle w:val="ListParagraph"/>
        <w:numPr>
          <w:ilvl w:val="0"/>
          <w:numId w:val="45"/>
        </w:numPr>
        <w:spacing w:after="120" w:line="240" w:lineRule="auto"/>
        <w:contextualSpacing w:val="0"/>
        <w:jc w:val="both"/>
      </w:pPr>
      <w:r>
        <w:t>Execute the ECS, as approved by the Commission, to comply with government-imposed environmental requirements.</w:t>
      </w:r>
    </w:p>
    <w:p w14:paraId="28C6BFFA" w14:textId="77777777" w:rsidR="00E27FCE" w:rsidRDefault="00E27FCE" w:rsidP="009A12F5">
      <w:pPr>
        <w:pStyle w:val="ListParagraph"/>
        <w:numPr>
          <w:ilvl w:val="0"/>
          <w:numId w:val="45"/>
        </w:numPr>
        <w:spacing w:after="120" w:line="240" w:lineRule="auto"/>
        <w:contextualSpacing w:val="0"/>
        <w:jc w:val="both"/>
      </w:pPr>
      <w:r>
        <w:t>Continue to provide and assess opportunities to integrate cost-effective resources.</w:t>
      </w:r>
    </w:p>
    <w:p w14:paraId="6BBF90AA" w14:textId="30AC2C57" w:rsidR="00E27FCE" w:rsidRDefault="00596FDA" w:rsidP="009A12F5">
      <w:pPr>
        <w:pStyle w:val="ListParagraph"/>
        <w:numPr>
          <w:ilvl w:val="0"/>
          <w:numId w:val="45"/>
        </w:numPr>
        <w:spacing w:after="120" w:line="240" w:lineRule="auto"/>
        <w:contextualSpacing w:val="0"/>
        <w:jc w:val="both"/>
        <w:rPr>
          <w:rFonts w:eastAsiaTheme="minorEastAsia"/>
        </w:rPr>
      </w:pPr>
      <w:r>
        <w:rPr>
          <w:rFonts w:eastAsiaTheme="minorEastAsia"/>
        </w:rPr>
        <w:t>Implement and integrate</w:t>
      </w:r>
      <w:r w:rsidR="00E27FCE">
        <w:rPr>
          <w:rFonts w:eastAsiaTheme="minorEastAsia"/>
        </w:rPr>
        <w:t xml:space="preserve"> a DERMS system and related </w:t>
      </w:r>
      <w:r w:rsidR="00E27FCE" w:rsidRPr="3FDF6B48">
        <w:rPr>
          <w:rFonts w:eastAsiaTheme="minorEastAsia"/>
        </w:rPr>
        <w:t>technologies</w:t>
      </w:r>
      <w:r w:rsidR="00E27FCE">
        <w:rPr>
          <w:rFonts w:eastAsiaTheme="minorEastAsia"/>
        </w:rPr>
        <w:t xml:space="preserve"> that will provide enhanced System monitoring, assessment, and operational capabilities</w:t>
      </w:r>
      <w:r w:rsidR="0043036B">
        <w:rPr>
          <w:rFonts w:eastAsiaTheme="minorEastAsia"/>
        </w:rPr>
        <w:t>,</w:t>
      </w:r>
      <w:r w:rsidR="00F32774">
        <w:rPr>
          <w:rFonts w:eastAsiaTheme="minorEastAsia"/>
        </w:rPr>
        <w:t xml:space="preserve"> and control of resources</w:t>
      </w:r>
      <w:r w:rsidR="00E27FCE" w:rsidDel="00F32774">
        <w:rPr>
          <w:rFonts w:eastAsiaTheme="minorEastAsia"/>
        </w:rPr>
        <w:t>.</w:t>
      </w:r>
      <w:r w:rsidR="00F32774">
        <w:rPr>
          <w:rFonts w:eastAsiaTheme="minorEastAsia"/>
        </w:rPr>
        <w:t xml:space="preserve"> </w:t>
      </w:r>
    </w:p>
    <w:p w14:paraId="5422EF91" w14:textId="77777777" w:rsidR="00596FDA" w:rsidRDefault="00596FDA" w:rsidP="009A12F5">
      <w:pPr>
        <w:pStyle w:val="ListParagraph"/>
        <w:numPr>
          <w:ilvl w:val="0"/>
          <w:numId w:val="45"/>
        </w:numPr>
        <w:spacing w:after="120" w:line="240" w:lineRule="auto"/>
        <w:contextualSpacing w:val="0"/>
        <w:jc w:val="both"/>
      </w:pPr>
      <w:r>
        <w:t>Utilize the methodologies outlined in the RCB Framework for resource evaluations.</w:t>
      </w:r>
    </w:p>
    <w:p w14:paraId="2C95AA19" w14:textId="113230E0" w:rsidR="005B17AC" w:rsidRPr="002D68AC" w:rsidRDefault="00BB4326" w:rsidP="009A12F5">
      <w:pPr>
        <w:pStyle w:val="ListParagraph"/>
        <w:numPr>
          <w:ilvl w:val="0"/>
          <w:numId w:val="45"/>
        </w:numPr>
        <w:spacing w:after="120" w:line="240" w:lineRule="auto"/>
        <w:contextualSpacing w:val="0"/>
        <w:jc w:val="both"/>
      </w:pPr>
      <w:r>
        <w:t xml:space="preserve">Issue an </w:t>
      </w:r>
      <w:r w:rsidRPr="007F6BCC">
        <w:t>All-Source Capacity RFP in the third quarter of 2025 to meet its capacity need</w:t>
      </w:r>
      <w:r w:rsidR="00523559">
        <w:t>s for</w:t>
      </w:r>
      <w:r w:rsidRPr="007F6BCC">
        <w:t xml:space="preserve"> 2032 and 2033</w:t>
      </w:r>
      <w:r>
        <w:t>.</w:t>
      </w:r>
    </w:p>
    <w:p w14:paraId="45B0FBFD" w14:textId="303E17EE" w:rsidR="00F0049E" w:rsidRDefault="00F0049E">
      <w:r>
        <w:br w:type="page"/>
      </w:r>
    </w:p>
    <w:p w14:paraId="13CF6BFC" w14:textId="77777777" w:rsidR="00FB433D" w:rsidRDefault="00FB433D" w:rsidP="00FB433D">
      <w:pPr>
        <w:jc w:val="both"/>
      </w:pPr>
    </w:p>
    <w:p w14:paraId="176E6310" w14:textId="77777777" w:rsidR="00FB433D" w:rsidRDefault="00FB433D" w:rsidP="00FB433D">
      <w:pPr>
        <w:jc w:val="both"/>
      </w:pPr>
    </w:p>
    <w:p w14:paraId="00DB1F5A" w14:textId="77777777" w:rsidR="00FB433D" w:rsidRDefault="00FB433D" w:rsidP="00FB433D">
      <w:pPr>
        <w:jc w:val="both"/>
      </w:pPr>
    </w:p>
    <w:p w14:paraId="714E7E8F" w14:textId="77777777" w:rsidR="00FB433D" w:rsidRDefault="00FB433D" w:rsidP="00FB433D">
      <w:pPr>
        <w:jc w:val="both"/>
      </w:pPr>
    </w:p>
    <w:p w14:paraId="6B5A1CFF" w14:textId="77777777" w:rsidR="00FB433D" w:rsidRDefault="00FB433D" w:rsidP="00FB433D">
      <w:pPr>
        <w:jc w:val="both"/>
      </w:pPr>
    </w:p>
    <w:p w14:paraId="7B176156" w14:textId="77777777" w:rsidR="00FB433D" w:rsidRDefault="00FB433D" w:rsidP="00FB433D">
      <w:pPr>
        <w:jc w:val="both"/>
      </w:pPr>
    </w:p>
    <w:p w14:paraId="4AFE2670" w14:textId="77777777" w:rsidR="00FB433D" w:rsidRDefault="00FB433D" w:rsidP="00FB433D">
      <w:pPr>
        <w:jc w:val="both"/>
      </w:pPr>
    </w:p>
    <w:p w14:paraId="13157CD1" w14:textId="77777777" w:rsidR="00FB433D" w:rsidRDefault="00FB433D" w:rsidP="00FB433D">
      <w:pPr>
        <w:jc w:val="both"/>
      </w:pPr>
    </w:p>
    <w:p w14:paraId="3A622782" w14:textId="77777777" w:rsidR="00FB433D" w:rsidRDefault="00FB433D" w:rsidP="00FB433D">
      <w:pPr>
        <w:jc w:val="both"/>
      </w:pPr>
    </w:p>
    <w:p w14:paraId="629267F0" w14:textId="77777777" w:rsidR="00FB433D" w:rsidRDefault="00FB433D" w:rsidP="00FB433D">
      <w:pPr>
        <w:jc w:val="both"/>
      </w:pPr>
    </w:p>
    <w:p w14:paraId="25AA477E" w14:textId="77777777" w:rsidR="00FB433D" w:rsidRDefault="00FB433D" w:rsidP="00FB433D">
      <w:pPr>
        <w:jc w:val="both"/>
      </w:pPr>
    </w:p>
    <w:p w14:paraId="076048A4" w14:textId="1085766E" w:rsidR="00FB433D" w:rsidRDefault="00FB433D" w:rsidP="00FB433D">
      <w:pPr>
        <w:jc w:val="center"/>
        <w:rPr>
          <w:rFonts w:asciiTheme="majorHAnsi" w:eastAsiaTheme="majorEastAsia" w:hAnsiTheme="majorHAnsi" w:cstheme="majorBidi"/>
          <w:color w:val="0F4761" w:themeColor="accent1" w:themeShade="BF"/>
          <w:sz w:val="40"/>
          <w:szCs w:val="40"/>
        </w:rPr>
      </w:pPr>
      <w:r>
        <w:t>[This page is intentionally left blank.]</w:t>
      </w:r>
      <w:r>
        <w:br w:type="page"/>
      </w:r>
    </w:p>
    <w:p w14:paraId="2DDBA9E3" w14:textId="0EEF24B7" w:rsidR="00E22052" w:rsidRDefault="001B3460" w:rsidP="001B3460">
      <w:pPr>
        <w:pStyle w:val="Heading1"/>
      </w:pPr>
      <w:bookmarkStart w:id="78" w:name="_Toc189122796"/>
      <w:r>
        <w:lastRenderedPageBreak/>
        <w:t xml:space="preserve">Attachment </w:t>
      </w:r>
      <w:r w:rsidR="009157BA">
        <w:t>A</w:t>
      </w:r>
      <w:r>
        <w:t xml:space="preserve"> – Application for Certification of</w:t>
      </w:r>
      <w:r w:rsidR="00E22052">
        <w:t xml:space="preserve"> </w:t>
      </w:r>
      <w:r w:rsidR="00E22052" w:rsidRPr="00E22052">
        <w:t>Capacity from Plant Scherer Unit 3</w:t>
      </w:r>
      <w:bookmarkEnd w:id="78"/>
    </w:p>
    <w:p w14:paraId="3C8B3E4A" w14:textId="42896486" w:rsidR="00E22052" w:rsidRPr="0036294C" w:rsidRDefault="56773AAC" w:rsidP="0036294C">
      <w:pPr>
        <w:pStyle w:val="Heading3"/>
        <w:spacing w:before="0" w:after="240" w:line="276" w:lineRule="auto"/>
        <w:jc w:val="both"/>
        <w:rPr>
          <w:rFonts w:eastAsia="Arial" w:cs="Arial"/>
          <w:b/>
          <w:color w:val="auto"/>
          <w:u w:val="single"/>
        </w:rPr>
      </w:pPr>
      <w:r w:rsidRPr="0036294C">
        <w:rPr>
          <w:rFonts w:eastAsia="Arial" w:cs="Arial"/>
          <w:b/>
          <w:color w:val="auto"/>
          <w:sz w:val="22"/>
          <w:szCs w:val="22"/>
          <w:u w:val="single"/>
        </w:rPr>
        <w:t>Executive Summary</w:t>
      </w:r>
    </w:p>
    <w:p w14:paraId="2079DE5C" w14:textId="618F2B22" w:rsidR="00E22052" w:rsidRPr="0036294C" w:rsidRDefault="56773AAC" w:rsidP="0036294C">
      <w:pPr>
        <w:pStyle w:val="Heading4"/>
        <w:spacing w:before="0" w:after="240" w:line="276" w:lineRule="auto"/>
        <w:jc w:val="both"/>
        <w:rPr>
          <w:rFonts w:eastAsia="Arial" w:cs="Arial"/>
          <w:b/>
          <w:color w:val="auto"/>
        </w:rPr>
      </w:pPr>
      <w:r w:rsidRPr="0036294C">
        <w:rPr>
          <w:rFonts w:eastAsia="Arial" w:cs="Arial"/>
          <w:b/>
          <w:color w:val="auto"/>
        </w:rPr>
        <w:t>Capacity Resources</w:t>
      </w:r>
    </w:p>
    <w:p w14:paraId="4D1E145C" w14:textId="64B4E181" w:rsidR="00E22052" w:rsidRPr="0036294C" w:rsidRDefault="56773AAC" w:rsidP="0036294C">
      <w:pPr>
        <w:spacing w:after="240" w:line="276" w:lineRule="auto"/>
        <w:jc w:val="both"/>
        <w:rPr>
          <w:rFonts w:eastAsia="Arial" w:cs="Arial"/>
        </w:rPr>
      </w:pPr>
      <w:r w:rsidRPr="0036294C">
        <w:rPr>
          <w:rFonts w:eastAsia="Arial" w:cs="Arial"/>
        </w:rPr>
        <w:t xml:space="preserve">Georgia Power seeks to certify approximately </w:t>
      </w:r>
      <w:r w:rsidR="75879A26" w:rsidRPr="0036294C">
        <w:rPr>
          <w:rFonts w:eastAsia="Arial" w:cs="Arial"/>
        </w:rPr>
        <w:t>187</w:t>
      </w:r>
      <w:r w:rsidRPr="0036294C">
        <w:rPr>
          <w:rFonts w:eastAsia="Arial" w:cs="Arial"/>
        </w:rPr>
        <w:t xml:space="preserve"> MW of capacity from Plant </w:t>
      </w:r>
      <w:r w:rsidR="676C447E" w:rsidRPr="0036294C">
        <w:rPr>
          <w:rFonts w:eastAsia="Arial" w:cs="Arial"/>
        </w:rPr>
        <w:t xml:space="preserve">Scherer Unit 3 offered in four </w:t>
      </w:r>
      <w:r w:rsidR="004A0C0D">
        <w:rPr>
          <w:rFonts w:eastAsia="Arial" w:cs="Arial"/>
        </w:rPr>
        <w:t>wholesale</w:t>
      </w:r>
      <w:r w:rsidR="676C447E" w:rsidRPr="0036294C">
        <w:rPr>
          <w:rFonts w:eastAsia="Arial" w:cs="Arial"/>
        </w:rPr>
        <w:t xml:space="preserve"> blocks</w:t>
      </w:r>
      <w:r w:rsidRPr="0036294C">
        <w:rPr>
          <w:rFonts w:eastAsia="Arial" w:cs="Arial"/>
        </w:rPr>
        <w:t xml:space="preserve"> pursuant to the terms and conditions offered in this filing. This capacity is made available to the retail jurisdiction pursuant to the Wholesale Action Plan</w:t>
      </w:r>
      <w:r w:rsidR="008661A4">
        <w:rPr>
          <w:rFonts w:eastAsia="Arial" w:cs="Arial"/>
        </w:rPr>
        <w:t>, though the Company has previously met all requirements</w:t>
      </w:r>
      <w:r w:rsidRPr="0036294C">
        <w:rPr>
          <w:rFonts w:eastAsia="Arial" w:cs="Arial"/>
        </w:rPr>
        <w:t xml:space="preserve">. The Wholesale Action Plan provided that certain wholesale capacity blocks would be offered to the retail jurisdiction (1) on terms equivalent to that which the Company could obtain in the then-current markets, (2) in a manner that would not adversely affect the Company’s ability to continue to sell such resources into the wholesale markets, and (3) in a manner such that the RFP process was not adversely affected. </w:t>
      </w:r>
    </w:p>
    <w:p w14:paraId="444FA3E5" w14:textId="4A862177" w:rsidR="00E22052" w:rsidRPr="0036294C" w:rsidRDefault="56773AAC" w:rsidP="0036294C">
      <w:pPr>
        <w:spacing w:after="240" w:line="276" w:lineRule="auto"/>
        <w:jc w:val="both"/>
        <w:rPr>
          <w:rFonts w:eastAsia="Arial" w:cs="Arial"/>
        </w:rPr>
      </w:pPr>
      <w:r w:rsidRPr="0036294C">
        <w:rPr>
          <w:rFonts w:eastAsia="Arial" w:cs="Arial"/>
        </w:rPr>
        <w:t xml:space="preserve">Georgia Power’s offer of approximately </w:t>
      </w:r>
      <w:r w:rsidR="6E50B883" w:rsidRPr="0036294C">
        <w:rPr>
          <w:rFonts w:eastAsia="Arial" w:cs="Arial"/>
        </w:rPr>
        <w:t>187</w:t>
      </w:r>
      <w:r w:rsidRPr="0036294C">
        <w:rPr>
          <w:rFonts w:eastAsia="Arial" w:cs="Arial"/>
        </w:rPr>
        <w:t xml:space="preserve"> MW of wholesale capacity is consistent with the mandates of the Commission-approved Wholesale Action Plan. Additional information on the Company’s offer can be found in Technical Appendix Volume 1. </w:t>
      </w:r>
      <w:r w:rsidR="007C3068">
        <w:rPr>
          <w:rFonts w:eastAsia="Arial" w:cs="Arial"/>
        </w:rPr>
        <w:t>T</w:t>
      </w:r>
      <w:r w:rsidRPr="0036294C">
        <w:rPr>
          <w:rFonts w:eastAsia="Arial" w:cs="Arial"/>
        </w:rPr>
        <w:t>he Company now files for certification pursuant to Commission Rule 515-3-4-.04(3)(f) and O.C.G.A. § 46-3A-3</w:t>
      </w:r>
      <w:r w:rsidR="004561F7">
        <w:rPr>
          <w:rFonts w:eastAsia="Arial" w:cs="Arial"/>
        </w:rPr>
        <w:t xml:space="preserve"> and </w:t>
      </w:r>
      <w:r w:rsidRPr="0036294C">
        <w:rPr>
          <w:rFonts w:eastAsia="Arial" w:cs="Arial"/>
        </w:rPr>
        <w:t xml:space="preserve">requests that </w:t>
      </w:r>
      <w:r w:rsidR="004561F7">
        <w:rPr>
          <w:rFonts w:eastAsia="Arial" w:cs="Arial"/>
        </w:rPr>
        <w:t>a</w:t>
      </w:r>
      <w:r w:rsidRPr="0036294C">
        <w:rPr>
          <w:rFonts w:eastAsia="Arial" w:cs="Arial"/>
        </w:rPr>
        <w:t xml:space="preserve">cceptance and </w:t>
      </w:r>
      <w:r w:rsidR="004561F7">
        <w:rPr>
          <w:rFonts w:eastAsia="Arial" w:cs="Arial"/>
        </w:rPr>
        <w:t>c</w:t>
      </w:r>
      <w:r w:rsidRPr="0036294C">
        <w:rPr>
          <w:rFonts w:eastAsia="Arial" w:cs="Arial"/>
        </w:rPr>
        <w:t>ertification, or rejection, of this offer be determined in the final decision issued in this case.</w:t>
      </w:r>
    </w:p>
    <w:p w14:paraId="37D94F47" w14:textId="481B4196" w:rsidR="00E22052" w:rsidRPr="0036294C" w:rsidRDefault="56773AAC" w:rsidP="0036294C">
      <w:pPr>
        <w:pStyle w:val="Heading4"/>
        <w:spacing w:before="0" w:after="240" w:line="276" w:lineRule="auto"/>
        <w:jc w:val="both"/>
        <w:rPr>
          <w:rFonts w:eastAsia="Arial" w:cs="Arial"/>
          <w:b/>
          <w:color w:val="auto"/>
        </w:rPr>
      </w:pPr>
      <w:r w:rsidRPr="0036294C">
        <w:rPr>
          <w:rFonts w:eastAsia="Arial" w:cs="Arial"/>
          <w:b/>
          <w:color w:val="auto"/>
        </w:rPr>
        <w:t>History of the Capacity Resource Offer</w:t>
      </w:r>
    </w:p>
    <w:p w14:paraId="544151DB" w14:textId="4C7ECE9A" w:rsidR="00E22052" w:rsidRPr="0036294C" w:rsidRDefault="56773AAC" w:rsidP="0036294C">
      <w:pPr>
        <w:spacing w:after="240" w:line="276" w:lineRule="auto"/>
        <w:jc w:val="both"/>
        <w:rPr>
          <w:rFonts w:eastAsia="Arial" w:cs="Arial"/>
        </w:rPr>
      </w:pPr>
      <w:r w:rsidRPr="0036294C">
        <w:rPr>
          <w:rFonts w:eastAsia="Arial" w:cs="Arial"/>
        </w:rPr>
        <w:t xml:space="preserve">On December 20, 2007, the Commission initiated a proceeding to consider whether it has the authority to require Georgia Power to first make capacity available to retail customers through a competitive solicitation before entering into any new contracts with wholesale customers. The Company and various intervenors submitted comments on the matter. Based upon the comments received, the Commission amended its Procedural and Scheduling Order in Docket No. 26550-U to provide the Parties an opportunity to make a good faith effort to resolve the matter and develop a resource specific plan of action. The Company conferred with other Parties and developed a plan that would provide for the Company to offer certain wholesale capacity blocks to the retail jurisdiction on a one-time basis. At its Administrative Session on July 15, 2008, the Commission approved this Plan, and, subsequently, the Commission Order approving the Plan was filed on July 30, 2008. The Commission has previously certified several offers to bring resources to the retail jurisdiction under the Plan, including resources at Plant Scherer Unit 3 and resources from Wholesale Blocks 1, 2-4, and 5&amp;6. </w:t>
      </w:r>
    </w:p>
    <w:p w14:paraId="40E3A9E2" w14:textId="0027C333" w:rsidR="00E22052" w:rsidRPr="0036294C" w:rsidRDefault="56773AAC" w:rsidP="0036294C">
      <w:pPr>
        <w:spacing w:after="240" w:line="276" w:lineRule="auto"/>
        <w:jc w:val="both"/>
        <w:rPr>
          <w:rFonts w:eastAsia="Arial" w:cs="Arial"/>
        </w:rPr>
      </w:pPr>
      <w:r w:rsidRPr="0036294C">
        <w:rPr>
          <w:rFonts w:eastAsia="Arial" w:cs="Arial"/>
        </w:rPr>
        <w:t>The Company’s offer in this 202</w:t>
      </w:r>
      <w:r w:rsidR="249DABA0" w:rsidRPr="0036294C">
        <w:rPr>
          <w:rFonts w:eastAsia="Arial" w:cs="Arial"/>
        </w:rPr>
        <w:t>5</w:t>
      </w:r>
      <w:r w:rsidRPr="0036294C">
        <w:rPr>
          <w:rFonts w:eastAsia="Arial" w:cs="Arial"/>
        </w:rPr>
        <w:t xml:space="preserve"> IRP to bring additional capacity from </w:t>
      </w:r>
      <w:r w:rsidR="7E885F3F" w:rsidRPr="0036294C">
        <w:rPr>
          <w:rFonts w:eastAsia="Arial" w:cs="Arial"/>
        </w:rPr>
        <w:t>Plant Scherer Unit 3</w:t>
      </w:r>
      <w:r w:rsidRPr="0036294C">
        <w:rPr>
          <w:rFonts w:eastAsia="Arial" w:cs="Arial"/>
        </w:rPr>
        <w:t xml:space="preserve"> to the retail jurisdiction is </w:t>
      </w:r>
      <w:r w:rsidR="37CB947E" w:rsidRPr="0036294C">
        <w:rPr>
          <w:rFonts w:eastAsia="Arial" w:cs="Arial"/>
        </w:rPr>
        <w:t>occurring though the Commission</w:t>
      </w:r>
      <w:r w:rsidRPr="0036294C">
        <w:rPr>
          <w:rFonts w:eastAsia="Arial" w:cs="Arial"/>
        </w:rPr>
        <w:t xml:space="preserve"> </w:t>
      </w:r>
      <w:r w:rsidR="3C8220A1" w:rsidRPr="0036294C">
        <w:rPr>
          <w:rFonts w:eastAsia="Arial" w:cs="Arial"/>
        </w:rPr>
        <w:t xml:space="preserve">noted completion </w:t>
      </w:r>
      <w:r w:rsidRPr="0036294C">
        <w:rPr>
          <w:rFonts w:eastAsia="Arial" w:cs="Arial"/>
        </w:rPr>
        <w:t>of the Wholesale Action Plan</w:t>
      </w:r>
      <w:r w:rsidR="54EED4C9" w:rsidRPr="0036294C">
        <w:rPr>
          <w:rFonts w:eastAsia="Arial" w:cs="Arial"/>
        </w:rPr>
        <w:t xml:space="preserve"> after offers extended as part of the 2022 IRP</w:t>
      </w:r>
      <w:r w:rsidRPr="0036294C">
        <w:rPr>
          <w:rFonts w:eastAsia="Arial" w:cs="Arial"/>
        </w:rPr>
        <w:t xml:space="preserve">. Georgia Power is offering approximately </w:t>
      </w:r>
      <w:r w:rsidR="48AD8BAA" w:rsidRPr="0036294C">
        <w:rPr>
          <w:rFonts w:eastAsia="Arial" w:cs="Arial"/>
        </w:rPr>
        <w:t>187</w:t>
      </w:r>
      <w:r w:rsidRPr="0036294C">
        <w:rPr>
          <w:rFonts w:eastAsia="Arial" w:cs="Arial"/>
        </w:rPr>
        <w:t xml:space="preserve"> MW of </w:t>
      </w:r>
      <w:r w:rsidRPr="0036294C">
        <w:rPr>
          <w:rFonts w:eastAsia="Arial" w:cs="Arial"/>
        </w:rPr>
        <w:lastRenderedPageBreak/>
        <w:t xml:space="preserve">capacity from </w:t>
      </w:r>
      <w:r w:rsidR="13D09631" w:rsidRPr="0036294C">
        <w:rPr>
          <w:rFonts w:eastAsia="Arial" w:cs="Arial"/>
        </w:rPr>
        <w:t>Plant Scherer Unit 3</w:t>
      </w:r>
      <w:r w:rsidRPr="0036294C">
        <w:rPr>
          <w:rFonts w:eastAsia="Arial" w:cs="Arial"/>
        </w:rPr>
        <w:t xml:space="preserve"> to the retail jurisdiction to serve retail customers when the capacity becomes available from each existing wholesale contract. Please see the Technical Appendix Volume 1 for the Company’s offer of this capacity.</w:t>
      </w:r>
    </w:p>
    <w:p w14:paraId="313ABE90" w14:textId="34CF350A" w:rsidR="00E22052" w:rsidRPr="0036294C" w:rsidRDefault="56773AAC" w:rsidP="0036294C">
      <w:pPr>
        <w:pStyle w:val="Heading3"/>
        <w:spacing w:before="0" w:after="240" w:line="276" w:lineRule="auto"/>
        <w:jc w:val="both"/>
        <w:rPr>
          <w:rFonts w:eastAsia="Arial" w:cs="Arial"/>
          <w:b/>
          <w:color w:val="auto"/>
          <w:u w:val="single"/>
        </w:rPr>
      </w:pPr>
      <w:r w:rsidRPr="0036294C">
        <w:rPr>
          <w:rFonts w:eastAsia="Arial" w:cs="Arial"/>
          <w:b/>
          <w:color w:val="auto"/>
          <w:sz w:val="22"/>
          <w:szCs w:val="22"/>
          <w:u w:val="single"/>
        </w:rPr>
        <w:t>Certification Process</w:t>
      </w:r>
    </w:p>
    <w:p w14:paraId="3E19C876" w14:textId="04037B27" w:rsidR="00E22052" w:rsidRPr="0036294C" w:rsidRDefault="56773AAC" w:rsidP="0036294C">
      <w:pPr>
        <w:pStyle w:val="Heading4"/>
        <w:spacing w:before="0" w:after="240" w:line="276" w:lineRule="auto"/>
        <w:jc w:val="both"/>
        <w:rPr>
          <w:rFonts w:eastAsia="Arial" w:cs="Arial"/>
          <w:b/>
          <w:color w:val="auto"/>
        </w:rPr>
      </w:pPr>
      <w:r w:rsidRPr="0036294C">
        <w:rPr>
          <w:rFonts w:eastAsia="Arial" w:cs="Arial"/>
          <w:b/>
          <w:color w:val="auto"/>
        </w:rPr>
        <w:t>Terms of Purchase</w:t>
      </w:r>
    </w:p>
    <w:p w14:paraId="09CACA90" w14:textId="53A4C173" w:rsidR="00E22052" w:rsidRPr="0036294C" w:rsidRDefault="56773AAC" w:rsidP="0036294C">
      <w:pPr>
        <w:spacing w:after="240" w:line="276" w:lineRule="auto"/>
        <w:jc w:val="both"/>
        <w:rPr>
          <w:rFonts w:eastAsia="Arial" w:cs="Arial"/>
        </w:rPr>
      </w:pPr>
      <w:r w:rsidRPr="0036294C">
        <w:rPr>
          <w:rFonts w:eastAsia="Arial" w:cs="Arial"/>
        </w:rPr>
        <w:t xml:space="preserve">In </w:t>
      </w:r>
      <w:r w:rsidR="00AE0B7F">
        <w:rPr>
          <w:rFonts w:eastAsia="Arial" w:cs="Arial"/>
        </w:rPr>
        <w:t>a similar manner as</w:t>
      </w:r>
      <w:r w:rsidRPr="0036294C">
        <w:rPr>
          <w:rFonts w:eastAsia="Arial" w:cs="Arial"/>
        </w:rPr>
        <w:t xml:space="preserve"> the Wholesale Action Plan, the Company offers wholesale block capacity at current market prices based on </w:t>
      </w:r>
      <w:r w:rsidR="1855FA68" w:rsidRPr="0036294C">
        <w:rPr>
          <w:rFonts w:eastAsia="Arial" w:cs="Arial"/>
        </w:rPr>
        <w:t>MDA analysis</w:t>
      </w:r>
      <w:r w:rsidRPr="0036294C">
        <w:rPr>
          <w:rFonts w:eastAsia="Arial" w:cs="Arial"/>
        </w:rPr>
        <w:t xml:space="preserve">. </w:t>
      </w:r>
      <w:r w:rsidR="00591E0E">
        <w:t>B</w:t>
      </w:r>
      <w:r w:rsidR="00591E0E" w:rsidRPr="008E7E6B">
        <w:rPr>
          <w:rFonts w:ascii="Aptos" w:hAnsi="Aptos" w:cs="Arial"/>
        </w:rPr>
        <w:t>ecause</w:t>
      </w:r>
      <w:r w:rsidR="005853F7" w:rsidRPr="008E7E6B">
        <w:rPr>
          <w:rFonts w:ascii="Aptos" w:hAnsi="Aptos" w:cs="Arial"/>
        </w:rPr>
        <w:t xml:space="preserve"> the </w:t>
      </w:r>
      <w:r w:rsidR="00591E0E" w:rsidRPr="008E7E6B">
        <w:rPr>
          <w:rFonts w:ascii="Aptos" w:hAnsi="Aptos" w:cs="Arial"/>
        </w:rPr>
        <w:t xml:space="preserve">ultimate outcome of </w:t>
      </w:r>
      <w:r w:rsidR="00591E0E">
        <w:rPr>
          <w:rFonts w:ascii="Aptos" w:hAnsi="Aptos" w:cs="Arial"/>
        </w:rPr>
        <w:t xml:space="preserve">the </w:t>
      </w:r>
      <w:r w:rsidR="005853F7">
        <w:rPr>
          <w:rFonts w:ascii="Aptos" w:hAnsi="Aptos" w:cs="Arial"/>
        </w:rPr>
        <w:t xml:space="preserve">111 </w:t>
      </w:r>
      <w:r w:rsidR="00591E0E" w:rsidRPr="008E7E6B">
        <w:rPr>
          <w:rFonts w:ascii="Aptos" w:hAnsi="Aptos" w:cs="Arial"/>
        </w:rPr>
        <w:t>GHG Rules</w:t>
      </w:r>
      <w:r w:rsidR="00591E0E">
        <w:rPr>
          <w:rFonts w:ascii="Aptos" w:hAnsi="Aptos" w:cs="Arial"/>
        </w:rPr>
        <w:t xml:space="preserve"> </w:t>
      </w:r>
      <w:r w:rsidR="00591E0E" w:rsidRPr="008E7E6B">
        <w:rPr>
          <w:rFonts w:ascii="Aptos" w:hAnsi="Aptos" w:cs="Arial"/>
        </w:rPr>
        <w:t>is subject to legal uncertainty due to ongoing petitions for review, the Company is providing MDA values for both 111-MG0 and MG0 planning scenarios.</w:t>
      </w:r>
      <w:r>
        <w:rPr>
          <w:rFonts w:ascii="Aptos" w:hAnsi="Aptos" w:cs="Arial"/>
        </w:rPr>
        <w:t xml:space="preserve"> </w:t>
      </w:r>
      <w:r w:rsidR="000F3F75">
        <w:rPr>
          <w:rFonts w:ascii="Aptos" w:hAnsi="Aptos" w:cs="Arial"/>
        </w:rPr>
        <w:t xml:space="preserve">The Company requests approval for whichever scenario is appropriate based on the status of the 111 GHG Rules at the time the wholesale capacity would </w:t>
      </w:r>
      <w:r w:rsidR="00F02A8F">
        <w:rPr>
          <w:rFonts w:ascii="Aptos" w:hAnsi="Aptos" w:cs="Arial"/>
        </w:rPr>
        <w:t xml:space="preserve">be placed in </w:t>
      </w:r>
      <w:r w:rsidR="000F3F75">
        <w:rPr>
          <w:rFonts w:ascii="Aptos" w:hAnsi="Aptos" w:cs="Arial"/>
        </w:rPr>
        <w:t xml:space="preserve">retail service. </w:t>
      </w:r>
      <w:r w:rsidRPr="0036294C">
        <w:rPr>
          <w:rFonts w:eastAsia="Arial" w:cs="Arial"/>
        </w:rPr>
        <w:t>The specific terms of the offer of the wholesale block capacity to the retail jurisdiction are found in Technical Appendix Volume 1.</w:t>
      </w:r>
    </w:p>
    <w:p w14:paraId="040889C0" w14:textId="69B586AD" w:rsidR="00E22052" w:rsidRPr="0036294C" w:rsidRDefault="56773AAC" w:rsidP="0036294C">
      <w:pPr>
        <w:pStyle w:val="Heading4"/>
        <w:spacing w:before="0" w:after="240" w:line="276" w:lineRule="auto"/>
        <w:jc w:val="both"/>
        <w:rPr>
          <w:rFonts w:eastAsia="Arial" w:cs="Arial"/>
          <w:b/>
          <w:color w:val="auto"/>
        </w:rPr>
      </w:pPr>
      <w:r w:rsidRPr="0036294C">
        <w:rPr>
          <w:rFonts w:eastAsia="Arial" w:cs="Arial"/>
          <w:b/>
          <w:color w:val="auto"/>
        </w:rPr>
        <w:t>Cost of Purchase</w:t>
      </w:r>
    </w:p>
    <w:p w14:paraId="3B0A9891" w14:textId="042B9109" w:rsidR="00E22052" w:rsidRPr="0036294C" w:rsidRDefault="56773AAC" w:rsidP="0036294C">
      <w:pPr>
        <w:spacing w:after="240" w:line="276" w:lineRule="auto"/>
        <w:jc w:val="both"/>
        <w:rPr>
          <w:rFonts w:eastAsia="Arial" w:cs="Arial"/>
        </w:rPr>
      </w:pPr>
      <w:r w:rsidRPr="0036294C">
        <w:rPr>
          <w:rFonts w:eastAsia="Arial" w:cs="Arial"/>
        </w:rPr>
        <w:t xml:space="preserve">The Company proposes to offer the wholesale block capacity under the same MDA construct utilized in previous offers. The MDAs for the </w:t>
      </w:r>
      <w:r w:rsidR="78E270BF" w:rsidRPr="0036294C">
        <w:rPr>
          <w:rFonts w:eastAsia="Arial" w:cs="Arial"/>
        </w:rPr>
        <w:t>Plant Scherer Unit 3 b</w:t>
      </w:r>
      <w:r w:rsidRPr="0036294C">
        <w:rPr>
          <w:rFonts w:eastAsia="Arial" w:cs="Arial"/>
        </w:rPr>
        <w:t>locks would serve to impact base rates by adjusting projected retail revenues. The offer included in Technical Appendix Volume 1 details the purchase cost for the wholesale block capacity.</w:t>
      </w:r>
    </w:p>
    <w:p w14:paraId="4CAC2AB2" w14:textId="062A80A1" w:rsidR="00E22052" w:rsidRPr="0036294C" w:rsidRDefault="56773AAC" w:rsidP="0036294C">
      <w:pPr>
        <w:pStyle w:val="Heading4"/>
        <w:spacing w:before="0" w:after="240" w:line="276" w:lineRule="auto"/>
        <w:jc w:val="both"/>
        <w:rPr>
          <w:rFonts w:eastAsia="Arial" w:cs="Arial"/>
          <w:b/>
          <w:color w:val="auto"/>
        </w:rPr>
      </w:pPr>
      <w:r w:rsidRPr="0036294C">
        <w:rPr>
          <w:rFonts w:eastAsia="Arial" w:cs="Arial"/>
          <w:b/>
          <w:color w:val="auto"/>
        </w:rPr>
        <w:t xml:space="preserve">Proposed Ratemaking Treatment </w:t>
      </w:r>
    </w:p>
    <w:p w14:paraId="15C2A9E7" w14:textId="268B9AD2" w:rsidR="00E22052" w:rsidRPr="0036294C" w:rsidRDefault="56773AAC" w:rsidP="0036294C">
      <w:pPr>
        <w:spacing w:after="240" w:line="276" w:lineRule="auto"/>
        <w:jc w:val="both"/>
        <w:rPr>
          <w:rFonts w:eastAsia="Arial" w:cs="Arial"/>
        </w:rPr>
      </w:pPr>
      <w:r w:rsidRPr="0036294C">
        <w:rPr>
          <w:rFonts w:eastAsia="Arial" w:cs="Arial"/>
        </w:rPr>
        <w:t>The assets shall be placed in retail rate base at their current book value, accompanied by the utilization of an MDA. To ensure the proper allocation of the MDA to the retail jurisdiction, the MDA will be treated as an adjustment to retail base revenues available for regulatory purposes, thereby resulting in an adjustment in retail base revenue requirements.</w:t>
      </w:r>
    </w:p>
    <w:p w14:paraId="067604BC" w14:textId="7DB06A84" w:rsidR="00E22052" w:rsidRPr="0036294C" w:rsidRDefault="56773AAC" w:rsidP="0036294C">
      <w:pPr>
        <w:spacing w:after="240" w:line="276" w:lineRule="auto"/>
        <w:jc w:val="both"/>
        <w:rPr>
          <w:rFonts w:eastAsia="Arial" w:cs="Arial"/>
        </w:rPr>
      </w:pPr>
      <w:r w:rsidRPr="0036294C">
        <w:rPr>
          <w:rFonts w:eastAsia="Arial" w:cs="Arial"/>
        </w:rPr>
        <w:t>Similar to other assets in retail rate base, all prudently incurred actual fuel costs associated with the resources will be recovered through the F</w:t>
      </w:r>
      <w:r w:rsidR="00FC662C">
        <w:rPr>
          <w:rFonts w:eastAsia="Arial" w:cs="Arial"/>
        </w:rPr>
        <w:t xml:space="preserve">uel </w:t>
      </w:r>
      <w:r w:rsidRPr="0036294C">
        <w:rPr>
          <w:rFonts w:eastAsia="Arial" w:cs="Arial"/>
        </w:rPr>
        <w:t>C</w:t>
      </w:r>
      <w:r w:rsidR="00FC662C">
        <w:rPr>
          <w:rFonts w:eastAsia="Arial" w:cs="Arial"/>
        </w:rPr>
        <w:t xml:space="preserve">ost </w:t>
      </w:r>
      <w:r w:rsidRPr="0036294C">
        <w:rPr>
          <w:rFonts w:eastAsia="Arial" w:cs="Arial"/>
        </w:rPr>
        <w:t>R</w:t>
      </w:r>
      <w:r w:rsidR="00FC662C">
        <w:rPr>
          <w:rFonts w:eastAsia="Arial" w:cs="Arial"/>
        </w:rPr>
        <w:t>ecovery</w:t>
      </w:r>
      <w:r w:rsidRPr="0036294C">
        <w:rPr>
          <w:rFonts w:eastAsia="Arial" w:cs="Arial"/>
        </w:rPr>
        <w:t xml:space="preserve"> process. The assets shall be placed in retail rate base and treated in the same manner as all other generation assets in retail rate base. There are no additional warranties for performance, and the recovery of all costs will be consistent with the recovery for cost on all other retail rate base generation assets. For example, costs incurred due to a change in law will be included in retail rate base; the Company does not warrant any level of availability or heat rate; actual non-fuel O&amp;M costs shall be recovered in retail base rates. For additional details on the offer, please see Technical Appendix Volume 1.</w:t>
      </w:r>
    </w:p>
    <w:p w14:paraId="5C1FAF53" w14:textId="5BFFF6CB" w:rsidR="00E22052" w:rsidRPr="0036294C" w:rsidRDefault="56773AAC" w:rsidP="0036294C">
      <w:pPr>
        <w:pStyle w:val="Heading4"/>
        <w:spacing w:before="0" w:after="240" w:line="276" w:lineRule="auto"/>
        <w:jc w:val="both"/>
        <w:rPr>
          <w:rFonts w:eastAsia="Arial" w:cs="Arial"/>
          <w:b/>
          <w:color w:val="auto"/>
        </w:rPr>
      </w:pPr>
      <w:r w:rsidRPr="0036294C">
        <w:rPr>
          <w:rFonts w:eastAsia="Arial" w:cs="Arial"/>
          <w:b/>
          <w:color w:val="auto"/>
        </w:rPr>
        <w:t>Depreciation Analysis</w:t>
      </w:r>
    </w:p>
    <w:p w14:paraId="31A4B81E" w14:textId="571018BE" w:rsidR="00E22052" w:rsidRPr="0036294C" w:rsidRDefault="56773AAC" w:rsidP="0036294C">
      <w:pPr>
        <w:spacing w:after="240" w:line="276" w:lineRule="auto"/>
        <w:jc w:val="both"/>
        <w:rPr>
          <w:rFonts w:eastAsia="Arial" w:cs="Arial"/>
        </w:rPr>
      </w:pPr>
      <w:r w:rsidRPr="29C9564E">
        <w:rPr>
          <w:rFonts w:eastAsia="Arial" w:cs="Arial"/>
        </w:rPr>
        <w:t>The estimated depreciation schedule for the</w:t>
      </w:r>
      <w:r w:rsidR="0FF96D40" w:rsidRPr="29C9564E">
        <w:rPr>
          <w:rFonts w:eastAsia="Arial" w:cs="Arial"/>
        </w:rPr>
        <w:t xml:space="preserve"> Plant Scherer Unit 3</w:t>
      </w:r>
      <w:r w:rsidRPr="29C9564E">
        <w:rPr>
          <w:rFonts w:eastAsia="Arial" w:cs="Arial"/>
        </w:rPr>
        <w:t xml:space="preserve"> can be found in Technical Appendix Volume</w:t>
      </w:r>
      <w:r w:rsidR="00843880" w:rsidRPr="29C9564E">
        <w:rPr>
          <w:rFonts w:eastAsia="Arial" w:cs="Arial"/>
        </w:rPr>
        <w:t xml:space="preserve"> </w:t>
      </w:r>
      <w:r w:rsidRPr="29C9564E">
        <w:rPr>
          <w:rFonts w:eastAsia="Arial" w:cs="Arial"/>
        </w:rPr>
        <w:t>1.</w:t>
      </w:r>
    </w:p>
    <w:p w14:paraId="027B4DD4" w14:textId="17253851" w:rsidR="00E22052" w:rsidRPr="0036294C" w:rsidRDefault="56773AAC" w:rsidP="0036294C">
      <w:pPr>
        <w:pStyle w:val="Heading4"/>
        <w:spacing w:before="0" w:after="240" w:line="276" w:lineRule="auto"/>
        <w:jc w:val="both"/>
        <w:rPr>
          <w:rFonts w:eastAsia="Arial" w:cs="Arial"/>
          <w:b/>
          <w:color w:val="auto"/>
        </w:rPr>
      </w:pPr>
      <w:r w:rsidRPr="0036294C">
        <w:rPr>
          <w:rFonts w:eastAsia="Arial" w:cs="Arial"/>
          <w:b/>
          <w:color w:val="auto"/>
        </w:rPr>
        <w:lastRenderedPageBreak/>
        <w:t>Cost Benefit Analysis</w:t>
      </w:r>
    </w:p>
    <w:p w14:paraId="30062BD4" w14:textId="7A203841" w:rsidR="00E22052" w:rsidRPr="0036294C" w:rsidRDefault="56773AAC" w:rsidP="0036294C">
      <w:pPr>
        <w:spacing w:after="240" w:line="276" w:lineRule="auto"/>
        <w:jc w:val="both"/>
        <w:rPr>
          <w:rFonts w:eastAsia="Arial" w:cs="Arial"/>
        </w:rPr>
      </w:pPr>
      <w:r w:rsidRPr="0036294C">
        <w:rPr>
          <w:rFonts w:eastAsia="Arial" w:cs="Arial"/>
        </w:rPr>
        <w:t>To offer wholesale block capacity on terms equivalent to that which the Company could obtain in the then-current market, Georgia Power is utilizing the same MDA construct as previous offers. By utilizing an MDA for each wholesale block resource, the book value of each resource is accompanied by the MDA such that retail customers pay for the market value of each wholesale block resource. In this 202</w:t>
      </w:r>
      <w:r w:rsidR="671071E7" w:rsidRPr="0036294C">
        <w:rPr>
          <w:rFonts w:eastAsia="Arial" w:cs="Arial"/>
        </w:rPr>
        <w:t>5</w:t>
      </w:r>
      <w:r w:rsidRPr="0036294C">
        <w:rPr>
          <w:rFonts w:eastAsia="Arial" w:cs="Arial"/>
        </w:rPr>
        <w:t xml:space="preserve"> IRP, the Commission can weigh the cost of adding existing, reliable resources to the retail jurisdiction. Please refer to the Company’s offer presented in the Technical Appendix Volume 1 for the economics </w:t>
      </w:r>
      <w:r w:rsidR="7E975E80" w:rsidRPr="0036294C">
        <w:rPr>
          <w:rFonts w:eastAsia="Arial" w:cs="Arial"/>
        </w:rPr>
        <w:t>Plant Scherer Unit 3 offer</w:t>
      </w:r>
      <w:r w:rsidRPr="0036294C">
        <w:rPr>
          <w:rFonts w:eastAsia="Arial" w:cs="Arial"/>
        </w:rPr>
        <w:t>.</w:t>
      </w:r>
    </w:p>
    <w:p w14:paraId="538D5370" w14:textId="3F885163" w:rsidR="00E22052" w:rsidRPr="0036294C" w:rsidRDefault="56773AAC" w:rsidP="0036294C">
      <w:pPr>
        <w:pStyle w:val="Heading4"/>
        <w:spacing w:before="0" w:after="240" w:line="276" w:lineRule="auto"/>
        <w:jc w:val="both"/>
        <w:rPr>
          <w:rFonts w:eastAsia="Arial" w:cs="Arial"/>
          <w:b/>
          <w:color w:val="auto"/>
        </w:rPr>
      </w:pPr>
      <w:r w:rsidRPr="0036294C">
        <w:rPr>
          <w:rFonts w:eastAsia="Arial" w:cs="Arial"/>
          <w:b/>
          <w:color w:val="auto"/>
        </w:rPr>
        <w:t>Analysis of Transmission Impacts</w:t>
      </w:r>
    </w:p>
    <w:p w14:paraId="4B050F8A" w14:textId="6332178B" w:rsidR="00E22052" w:rsidRPr="0036294C" w:rsidRDefault="56773AAC" w:rsidP="0036294C">
      <w:pPr>
        <w:spacing w:after="240" w:line="276" w:lineRule="auto"/>
        <w:jc w:val="both"/>
        <w:rPr>
          <w:rFonts w:eastAsia="Arial" w:cs="Arial"/>
        </w:rPr>
      </w:pPr>
      <w:r w:rsidRPr="0036294C">
        <w:rPr>
          <w:rFonts w:eastAsia="Arial" w:cs="Arial"/>
        </w:rPr>
        <w:t>There are no transmission facilities added, modified, or avoided as a result of this certification request.</w:t>
      </w:r>
    </w:p>
    <w:p w14:paraId="068430B9" w14:textId="700AF3C3" w:rsidR="00E22052" w:rsidRPr="0036294C" w:rsidRDefault="56773AAC" w:rsidP="0036294C">
      <w:pPr>
        <w:pStyle w:val="Heading4"/>
        <w:spacing w:before="0" w:after="240" w:line="276" w:lineRule="auto"/>
        <w:jc w:val="both"/>
        <w:rPr>
          <w:rFonts w:eastAsia="Arial" w:cs="Arial"/>
          <w:b/>
          <w:color w:val="auto"/>
        </w:rPr>
      </w:pPr>
      <w:r w:rsidRPr="0036294C">
        <w:rPr>
          <w:rFonts w:eastAsia="Arial" w:cs="Arial"/>
          <w:b/>
          <w:color w:val="auto"/>
        </w:rPr>
        <w:t>Impact on 202</w:t>
      </w:r>
      <w:r w:rsidR="64FC313A" w:rsidRPr="0036294C">
        <w:rPr>
          <w:rFonts w:eastAsia="Arial" w:cs="Arial"/>
          <w:b/>
          <w:color w:val="auto"/>
        </w:rPr>
        <w:t>5</w:t>
      </w:r>
      <w:r w:rsidRPr="0036294C">
        <w:rPr>
          <w:rFonts w:eastAsia="Arial" w:cs="Arial"/>
          <w:b/>
          <w:color w:val="auto"/>
        </w:rPr>
        <w:t xml:space="preserve"> IRP</w:t>
      </w:r>
    </w:p>
    <w:p w14:paraId="0712A818" w14:textId="6516D5FA" w:rsidR="00E22052" w:rsidRPr="0036294C" w:rsidRDefault="56773AAC" w:rsidP="0036294C">
      <w:pPr>
        <w:spacing w:after="240" w:line="276" w:lineRule="auto"/>
        <w:jc w:val="both"/>
        <w:rPr>
          <w:rFonts w:eastAsia="Arial" w:cs="Arial"/>
        </w:rPr>
      </w:pPr>
      <w:r w:rsidRPr="0036294C">
        <w:rPr>
          <w:rFonts w:eastAsia="Arial" w:cs="Arial"/>
        </w:rPr>
        <w:t xml:space="preserve">The wholesale block </w:t>
      </w:r>
      <w:r w:rsidR="007C2C1D" w:rsidRPr="0036294C">
        <w:rPr>
          <w:rFonts w:eastAsia="Arial" w:cs="Arial"/>
        </w:rPr>
        <w:t>capacity</w:t>
      </w:r>
      <w:r w:rsidR="007C2C1D">
        <w:rPr>
          <w:rFonts w:eastAsia="Arial" w:cs="Arial"/>
        </w:rPr>
        <w:t>’s</w:t>
      </w:r>
      <w:r w:rsidR="007C2C1D" w:rsidRPr="0036294C">
        <w:rPr>
          <w:rFonts w:eastAsia="Arial" w:cs="Arial"/>
        </w:rPr>
        <w:t xml:space="preserve"> </w:t>
      </w:r>
      <w:r w:rsidR="007C2C1D">
        <w:rPr>
          <w:rFonts w:eastAsia="Arial" w:cs="Arial"/>
        </w:rPr>
        <w:t>impact</w:t>
      </w:r>
      <w:r w:rsidRPr="0036294C">
        <w:rPr>
          <w:rFonts w:eastAsia="Arial" w:cs="Arial"/>
        </w:rPr>
        <w:t xml:space="preserve"> to retail </w:t>
      </w:r>
      <w:r w:rsidR="007C2C1D">
        <w:rPr>
          <w:rFonts w:eastAsia="Arial" w:cs="Arial"/>
        </w:rPr>
        <w:t>customers</w:t>
      </w:r>
      <w:r w:rsidRPr="0036294C">
        <w:rPr>
          <w:rFonts w:eastAsia="Arial" w:cs="Arial"/>
        </w:rPr>
        <w:t xml:space="preserve"> is not reflected in the various analyses presented in the 202</w:t>
      </w:r>
      <w:r w:rsidR="3C9AF915" w:rsidRPr="0036294C">
        <w:rPr>
          <w:rFonts w:eastAsia="Arial" w:cs="Arial"/>
        </w:rPr>
        <w:t>5</w:t>
      </w:r>
      <w:r w:rsidRPr="0036294C">
        <w:rPr>
          <w:rFonts w:eastAsia="Arial" w:cs="Arial"/>
        </w:rPr>
        <w:t xml:space="preserve"> IRP. The addition of approximately </w:t>
      </w:r>
      <w:r w:rsidR="6141BD5E" w:rsidRPr="0036294C">
        <w:rPr>
          <w:rFonts w:eastAsia="Arial" w:cs="Arial"/>
        </w:rPr>
        <w:t>187</w:t>
      </w:r>
      <w:r w:rsidRPr="0036294C">
        <w:rPr>
          <w:rFonts w:eastAsia="Arial" w:cs="Arial"/>
        </w:rPr>
        <w:t xml:space="preserve"> MW of capacity would defer future capacity needs </w:t>
      </w:r>
      <w:r w:rsidR="007C2C1D">
        <w:rPr>
          <w:rFonts w:eastAsia="Arial" w:cs="Arial"/>
        </w:rPr>
        <w:t>in accordance with the date placed in retail service for</w:t>
      </w:r>
      <w:r w:rsidRPr="0036294C">
        <w:rPr>
          <w:rFonts w:eastAsia="Arial" w:cs="Arial"/>
        </w:rPr>
        <w:t xml:space="preserve"> each </w:t>
      </w:r>
      <w:r w:rsidR="007C2C1D">
        <w:rPr>
          <w:rFonts w:eastAsia="Arial" w:cs="Arial"/>
        </w:rPr>
        <w:t xml:space="preserve">wholesale </w:t>
      </w:r>
      <w:r w:rsidRPr="0036294C">
        <w:rPr>
          <w:rFonts w:eastAsia="Arial" w:cs="Arial"/>
        </w:rPr>
        <w:t>block.</w:t>
      </w:r>
    </w:p>
    <w:p w14:paraId="5C25BD12" w14:textId="69E47C47" w:rsidR="00E22052" w:rsidRPr="0036294C" w:rsidRDefault="56773AAC" w:rsidP="0036294C">
      <w:pPr>
        <w:pStyle w:val="Heading4"/>
        <w:spacing w:before="0" w:after="240" w:line="276" w:lineRule="auto"/>
        <w:jc w:val="both"/>
        <w:rPr>
          <w:rFonts w:eastAsia="Arial" w:cs="Arial"/>
          <w:b/>
          <w:color w:val="auto"/>
        </w:rPr>
      </w:pPr>
      <w:r w:rsidRPr="0036294C">
        <w:rPr>
          <w:rFonts w:eastAsia="Arial" w:cs="Arial"/>
          <w:b/>
          <w:color w:val="auto"/>
        </w:rPr>
        <w:t>Commission Rule Exception to the RFP Requirement</w:t>
      </w:r>
    </w:p>
    <w:p w14:paraId="3F42446D" w14:textId="06848866" w:rsidR="00E22052" w:rsidRPr="0036294C" w:rsidRDefault="56773AAC" w:rsidP="0036294C">
      <w:pPr>
        <w:spacing w:after="240" w:line="276" w:lineRule="auto"/>
        <w:jc w:val="both"/>
        <w:rPr>
          <w:rFonts w:eastAsia="Arial" w:cs="Arial"/>
        </w:rPr>
      </w:pPr>
      <w:r w:rsidRPr="0036294C">
        <w:rPr>
          <w:rFonts w:eastAsia="Arial" w:cs="Arial"/>
        </w:rPr>
        <w:t xml:space="preserve">Pursuant to the Commission’s Order Approving Georgia Power Company’s Proposal to Offer Certain Wholesale Capacity Blocks to the Retail Jurisdiction, the Company </w:t>
      </w:r>
      <w:r w:rsidR="004D2FCE">
        <w:rPr>
          <w:rFonts w:eastAsia="Arial" w:cs="Arial"/>
        </w:rPr>
        <w:t>had been</w:t>
      </w:r>
      <w:r w:rsidR="004D2FCE" w:rsidRPr="0036294C">
        <w:rPr>
          <w:rFonts w:eastAsia="Arial" w:cs="Arial"/>
        </w:rPr>
        <w:t xml:space="preserve"> </w:t>
      </w:r>
      <w:r w:rsidRPr="0036294C">
        <w:rPr>
          <w:rFonts w:eastAsia="Arial" w:cs="Arial"/>
        </w:rPr>
        <w:t xml:space="preserve">required to offer certain wholesale capacity blocks to retail customers. As part of the Commission’s Order, the Company agreed to offer the wholesale blocks as they become available to the retail jurisdiction (1) on terms equivalent to that which the Company could obtain in the then-current wholesale market, (2) in a manner that would not adversely affect the Company’s ability to continue to sell such resources into the wholesale market, and (3) in a manner that the RFP process is not adversely affected. As noted earlier, the Company has made several offers to the Commission since the Commission Order approving the Company’s Proposal was issued on July 30, 2008. The Order recognizes the importance of timing of the offers to the ability to remarket capacity and the importance of the IRP in that process. Through prior Orders certifying wholesale-to-retail capacity, the Commission has exempted that capacity from the Commission’s RFP </w:t>
      </w:r>
      <w:r w:rsidR="0038067E">
        <w:rPr>
          <w:rFonts w:eastAsia="Arial" w:cs="Arial"/>
        </w:rPr>
        <w:t>requirements under</w:t>
      </w:r>
      <w:r w:rsidRPr="0036294C">
        <w:rPr>
          <w:rFonts w:eastAsia="Arial" w:cs="Arial"/>
        </w:rPr>
        <w:t xml:space="preserve"> Commission Rule 515-3-4-.04. Pursuant to Commission Rule 515-3-4-.04(3)(f)(3), which exempts from the RFP requirement “supply-side capacity resources of extraordinary advantage that require immediate action,” </w:t>
      </w:r>
      <w:r w:rsidR="00207201">
        <w:rPr>
          <w:rFonts w:eastAsia="Arial" w:cs="Arial"/>
        </w:rPr>
        <w:t xml:space="preserve">and </w:t>
      </w:r>
      <w:r w:rsidR="00B32A34">
        <w:rPr>
          <w:rFonts w:eastAsia="Arial" w:cs="Arial"/>
        </w:rPr>
        <w:t>5</w:t>
      </w:r>
      <w:r w:rsidR="00207201" w:rsidRPr="00207201">
        <w:rPr>
          <w:rFonts w:eastAsia="Arial" w:cs="Arial"/>
        </w:rPr>
        <w:t>15-3-4-.04(3</w:t>
      </w:r>
      <w:r w:rsidR="00207201" w:rsidRPr="00C15BC9">
        <w:rPr>
          <w:rFonts w:eastAsia="Arial" w:cs="Arial"/>
        </w:rPr>
        <w:t>)(f)(6</w:t>
      </w:r>
      <w:r w:rsidR="00207201" w:rsidRPr="00207201">
        <w:rPr>
          <w:rFonts w:eastAsia="Arial" w:cs="Arial"/>
        </w:rPr>
        <w:t>)</w:t>
      </w:r>
      <w:r w:rsidR="00005D3F">
        <w:rPr>
          <w:rFonts w:eastAsia="Arial" w:cs="Arial"/>
        </w:rPr>
        <w:t xml:space="preserve">, </w:t>
      </w:r>
      <w:r w:rsidRPr="0036294C">
        <w:rPr>
          <w:rFonts w:eastAsia="Arial" w:cs="Arial"/>
        </w:rPr>
        <w:t xml:space="preserve">the Company requests that the wholesale block capacity offer of approximately </w:t>
      </w:r>
      <w:r w:rsidR="0065707B" w:rsidRPr="3867A837">
        <w:rPr>
          <w:rFonts w:eastAsia="Arial" w:cs="Arial"/>
        </w:rPr>
        <w:t>187</w:t>
      </w:r>
      <w:r w:rsidRPr="00C15BC9">
        <w:rPr>
          <w:rFonts w:eastAsia="Arial" w:cs="Arial"/>
        </w:rPr>
        <w:t xml:space="preserve"> MW</w:t>
      </w:r>
      <w:r w:rsidRPr="0036294C">
        <w:rPr>
          <w:rFonts w:eastAsia="Arial" w:cs="Arial"/>
        </w:rPr>
        <w:t xml:space="preserve"> of capacity be exempted as provided by Commission Rule.</w:t>
      </w:r>
    </w:p>
    <w:p w14:paraId="00ED2487" w14:textId="33E156CB" w:rsidR="00E22052" w:rsidRPr="0036294C" w:rsidRDefault="56773AAC" w:rsidP="0036294C">
      <w:pPr>
        <w:pStyle w:val="Heading3"/>
        <w:spacing w:before="0" w:after="240" w:line="276" w:lineRule="auto"/>
        <w:jc w:val="both"/>
        <w:rPr>
          <w:rFonts w:eastAsia="Arial" w:cs="Arial"/>
          <w:b/>
          <w:color w:val="auto"/>
          <w:u w:val="single"/>
        </w:rPr>
      </w:pPr>
      <w:r w:rsidRPr="0036294C">
        <w:rPr>
          <w:rFonts w:eastAsia="Arial" w:cs="Arial"/>
          <w:b/>
          <w:color w:val="auto"/>
          <w:sz w:val="22"/>
          <w:szCs w:val="22"/>
          <w:u w:val="single"/>
        </w:rPr>
        <w:t>Conclusion</w:t>
      </w:r>
    </w:p>
    <w:p w14:paraId="40333965" w14:textId="15B095DC" w:rsidR="3E2C10D9" w:rsidRPr="0036294C" w:rsidRDefault="56773AAC" w:rsidP="0036294C">
      <w:pPr>
        <w:spacing w:after="240" w:line="276" w:lineRule="auto"/>
        <w:jc w:val="both"/>
        <w:rPr>
          <w:rFonts w:eastAsia="Arial" w:cs="Arial"/>
        </w:rPr>
      </w:pPr>
      <w:r w:rsidRPr="0036294C">
        <w:rPr>
          <w:rFonts w:eastAsia="Arial" w:cs="Arial"/>
        </w:rPr>
        <w:t xml:space="preserve">As set forth in the preceding sections, the wholesale block capacity is offered to the retail jurisdiction in </w:t>
      </w:r>
      <w:r w:rsidR="00452D93">
        <w:rPr>
          <w:rFonts w:eastAsia="Arial" w:cs="Arial"/>
        </w:rPr>
        <w:t>a similar manner as previous offers</w:t>
      </w:r>
      <w:r w:rsidRPr="0036294C">
        <w:rPr>
          <w:rFonts w:eastAsia="Arial" w:cs="Arial"/>
        </w:rPr>
        <w:t xml:space="preserve"> and provides a reliable source of capacity and energy from </w:t>
      </w:r>
      <w:r w:rsidRPr="0036294C">
        <w:rPr>
          <w:rFonts w:eastAsia="Arial" w:cs="Arial"/>
        </w:rPr>
        <w:lastRenderedPageBreak/>
        <w:t xml:space="preserve">existing resources for Georgia Power customers at a cost-effective market price. Therefore, the Company requests that the Commission </w:t>
      </w:r>
      <w:r w:rsidR="00452D93">
        <w:rPr>
          <w:rFonts w:eastAsia="Arial" w:cs="Arial"/>
        </w:rPr>
        <w:t>a</w:t>
      </w:r>
      <w:r w:rsidR="00452D93" w:rsidRPr="0036294C">
        <w:rPr>
          <w:rFonts w:eastAsia="Arial" w:cs="Arial"/>
        </w:rPr>
        <w:t>ccept</w:t>
      </w:r>
      <w:r w:rsidRPr="0036294C">
        <w:rPr>
          <w:rFonts w:eastAsia="Arial" w:cs="Arial"/>
        </w:rPr>
        <w:t xml:space="preserve"> and </w:t>
      </w:r>
      <w:r w:rsidR="00452D93">
        <w:rPr>
          <w:rFonts w:eastAsia="Arial" w:cs="Arial"/>
        </w:rPr>
        <w:t>c</w:t>
      </w:r>
      <w:r w:rsidRPr="0036294C">
        <w:rPr>
          <w:rFonts w:eastAsia="Arial" w:cs="Arial"/>
        </w:rPr>
        <w:t>ertify this offer.</w:t>
      </w:r>
    </w:p>
    <w:p w14:paraId="4DF9DD71" w14:textId="113DC90A" w:rsidR="3E2C10D9" w:rsidRPr="00350443" w:rsidRDefault="00C53BAF" w:rsidP="00C53BAF">
      <w:pPr>
        <w:rPr>
          <w:rFonts w:eastAsia="Arial" w:cs="Arial"/>
          <w:color w:val="4D4D4D"/>
        </w:rPr>
      </w:pPr>
      <w:r>
        <w:rPr>
          <w:rFonts w:eastAsia="Arial" w:cs="Arial"/>
          <w:color w:val="4D4D4D"/>
        </w:rPr>
        <w:br w:type="page"/>
      </w:r>
    </w:p>
    <w:p w14:paraId="65FBFCA4" w14:textId="4FEF6B6D" w:rsidR="001214B4" w:rsidRDefault="00E22052" w:rsidP="001B3460">
      <w:pPr>
        <w:pStyle w:val="Heading1"/>
      </w:pPr>
      <w:bookmarkStart w:id="79" w:name="_Toc189122797"/>
      <w:r>
        <w:lastRenderedPageBreak/>
        <w:t xml:space="preserve">Attachment B – Application </w:t>
      </w:r>
      <w:r w:rsidR="001F5623">
        <w:t>to Amend the</w:t>
      </w:r>
      <w:r>
        <w:t xml:space="preserve"> Certificat</w:t>
      </w:r>
      <w:r w:rsidR="001F5623">
        <w:t>e</w:t>
      </w:r>
      <w:r>
        <w:t xml:space="preserve"> of Capacity </w:t>
      </w:r>
      <w:r w:rsidR="001F5623">
        <w:t>for</w:t>
      </w:r>
      <w:r>
        <w:t xml:space="preserve"> Plant </w:t>
      </w:r>
      <w:r w:rsidR="001214B4">
        <w:t>McIntosh Units 10-11 and 1A-8A</w:t>
      </w:r>
      <w:bookmarkEnd w:id="79"/>
    </w:p>
    <w:p w14:paraId="0F1803D6" w14:textId="0AECD4B1" w:rsidR="000E1ACA" w:rsidRPr="00AD3481" w:rsidRDefault="000E1ACA" w:rsidP="00AD3481">
      <w:pPr>
        <w:pStyle w:val="Heading3"/>
        <w:spacing w:before="0" w:after="240" w:line="276" w:lineRule="auto"/>
        <w:jc w:val="both"/>
        <w:rPr>
          <w:rFonts w:eastAsia="Arial" w:cs="Arial"/>
          <w:b/>
          <w:color w:val="auto"/>
          <w:sz w:val="22"/>
          <w:szCs w:val="22"/>
          <w:u w:val="single"/>
        </w:rPr>
      </w:pPr>
      <w:r w:rsidRPr="00AD3481">
        <w:rPr>
          <w:rFonts w:eastAsia="Arial" w:cs="Arial"/>
          <w:b/>
          <w:color w:val="auto"/>
          <w:sz w:val="22"/>
          <w:szCs w:val="22"/>
          <w:u w:val="single"/>
        </w:rPr>
        <w:t>Executive Summary</w:t>
      </w:r>
    </w:p>
    <w:p w14:paraId="2757DD92" w14:textId="77777777" w:rsidR="000E1ACA" w:rsidRPr="003721AC" w:rsidRDefault="000E1ACA" w:rsidP="003721AC">
      <w:pPr>
        <w:pStyle w:val="Heading4"/>
        <w:spacing w:before="0" w:after="240" w:line="276" w:lineRule="auto"/>
        <w:jc w:val="both"/>
        <w:rPr>
          <w:b/>
          <w:bCs/>
          <w:color w:val="auto"/>
        </w:rPr>
      </w:pPr>
      <w:r w:rsidRPr="003721AC">
        <w:rPr>
          <w:b/>
          <w:bCs/>
          <w:color w:val="auto"/>
        </w:rPr>
        <w:t>Capacity Resources</w:t>
      </w:r>
    </w:p>
    <w:p w14:paraId="02483D88" w14:textId="7BAA71E6" w:rsidR="00E91252" w:rsidRDefault="000E1ACA" w:rsidP="00F75271">
      <w:pPr>
        <w:keepNext/>
        <w:jc w:val="both"/>
      </w:pPr>
      <w:bookmarkStart w:id="80" w:name="_Hlk532328231"/>
      <w:bookmarkStart w:id="81" w:name="_Hlk532328491"/>
      <w:r>
        <w:t xml:space="preserve">As discussed in </w:t>
      </w:r>
      <w:r w:rsidR="003721AC">
        <w:t>Section 8.3</w:t>
      </w:r>
      <w:r>
        <w:t xml:space="preserve"> of the </w:t>
      </w:r>
      <w:r w:rsidR="003721AC">
        <w:t xml:space="preserve">2025 </w:t>
      </w:r>
      <w:r>
        <w:t>IRP Main Document, Georgia Power plans</w:t>
      </w:r>
      <w:r w:rsidR="00497464">
        <w:t xml:space="preserve"> </w:t>
      </w:r>
      <w:r w:rsidR="0085284E">
        <w:t>ha</w:t>
      </w:r>
      <w:r w:rsidR="001C7189">
        <w:t>ve</w:t>
      </w:r>
      <w:r w:rsidR="0085284E">
        <w:t xml:space="preserve"> identified opportunities to increase capacity at Plant McIntosh Units 10-11 and Units 1A-8A. </w:t>
      </w:r>
      <w:r w:rsidR="00510122">
        <w:t>Plant McIntosh Units 10</w:t>
      </w:r>
      <w:r w:rsidR="00DA5455">
        <w:t>-</w:t>
      </w:r>
      <w:r w:rsidR="00510122">
        <w:t xml:space="preserve">11 currently operate with winter planning capacities of 692 and 685 MW, respectively, while Plant McIntosh Units 1A-8A have winter planning capacities of approximately 95 MW each. </w:t>
      </w:r>
    </w:p>
    <w:p w14:paraId="4A0415E6" w14:textId="138482C9" w:rsidR="0085284E" w:rsidRDefault="0085284E" w:rsidP="00F75271">
      <w:pPr>
        <w:keepNext/>
        <w:jc w:val="both"/>
      </w:pPr>
      <w:r>
        <w:t>The</w:t>
      </w:r>
      <w:r w:rsidR="00E91252">
        <w:t xml:space="preserve"> identified </w:t>
      </w:r>
      <w:r>
        <w:t>up</w:t>
      </w:r>
      <w:r w:rsidR="00FD00E8">
        <w:t>grades</w:t>
      </w:r>
      <w:r>
        <w:t xml:space="preserve"> provide economic opportunities to meet growing energy needs while leveraging existing resources. </w:t>
      </w:r>
      <w:r w:rsidR="001F5623">
        <w:t>The proposed</w:t>
      </w:r>
      <w:r>
        <w:t xml:space="preserve"> up</w:t>
      </w:r>
      <w:r w:rsidR="00FD00E8">
        <w:t>grades</w:t>
      </w:r>
      <w:r w:rsidR="001F5623">
        <w:t xml:space="preserve"> for Plant McIntosh Units 10-11 and 1A-8A</w:t>
      </w:r>
      <w:r>
        <w:t xml:space="preserve"> provide cost-effective solutions to meet capacity needs, offering a balance of peaking capacity and efficient NGCC capacity.</w:t>
      </w:r>
      <w:r w:rsidR="00400DE7">
        <w:t xml:space="preserve"> </w:t>
      </w:r>
    </w:p>
    <w:p w14:paraId="19C8E7E8" w14:textId="46E24CB3" w:rsidR="0085284E" w:rsidRDefault="0085284E" w:rsidP="009A12F5">
      <w:pPr>
        <w:pStyle w:val="ListParagraph"/>
        <w:numPr>
          <w:ilvl w:val="0"/>
          <w:numId w:val="36"/>
        </w:numPr>
        <w:spacing w:before="120" w:after="120"/>
        <w:contextualSpacing w:val="0"/>
        <w:jc w:val="both"/>
      </w:pPr>
      <w:r w:rsidRPr="001F5623">
        <w:rPr>
          <w:b/>
        </w:rPr>
        <w:t>Plant McIntosh Units 10-11</w:t>
      </w:r>
      <w:r>
        <w:t>: Projected to achieve an incremental capacity of 194 MW (winter). This enhancement increases the capacity of these combined cycle units while also improving the heat rate</w:t>
      </w:r>
      <w:r w:rsidR="00C47A65">
        <w:t>s</w:t>
      </w:r>
      <w:r w:rsidR="00021B23">
        <w:t xml:space="preserve"> </w:t>
      </w:r>
      <w:r w:rsidR="00824EF4">
        <w:t>in</w:t>
      </w:r>
      <w:r w:rsidR="00021B23">
        <w:t xml:space="preserve"> </w:t>
      </w:r>
      <w:r w:rsidR="00824EF4">
        <w:t>some operating modes</w:t>
      </w:r>
      <w:r>
        <w:t xml:space="preserve">. </w:t>
      </w:r>
      <w:r w:rsidR="00411186">
        <w:t>This upgrade will also give these NGCCs the ability to operate power augmentation (admission of steam to the combustion turbine to increase mass throughput and power output) and peak firing in winter conditions, as well as the ability to operate peak fire and power augmentation simultaneously.</w:t>
      </w:r>
    </w:p>
    <w:p w14:paraId="772DB0AE" w14:textId="27A3D6E5" w:rsidR="00A54054" w:rsidRPr="001D3831" w:rsidRDefault="0085284E" w:rsidP="00411186">
      <w:pPr>
        <w:pStyle w:val="ListParagraph"/>
        <w:keepNext/>
        <w:numPr>
          <w:ilvl w:val="0"/>
          <w:numId w:val="36"/>
        </w:numPr>
        <w:spacing w:before="120" w:after="120"/>
        <w:contextualSpacing w:val="0"/>
        <w:jc w:val="both"/>
      </w:pPr>
      <w:r w:rsidRPr="00A54054">
        <w:rPr>
          <w:b/>
        </w:rPr>
        <w:t>Plant McIntosh Units 1A-8A</w:t>
      </w:r>
      <w:r>
        <w:t>: Will provide an additional 74.4 MW (winter) of incremental capacity. These upgrades are designed to provide additional economic peaking capacity, ensuring the plant can meet peak demand periods more effectively.</w:t>
      </w:r>
      <w:r w:rsidR="00305256">
        <w:t xml:space="preserve"> </w:t>
      </w:r>
      <w:r w:rsidR="00A54054">
        <w:t>In addition to increasing capacity, these replacement components are of lower cost than the in-kind replacement parts, leading to a reduction in the capital budget moving forward. This reduction can be explained by changing market conditions and reduction in the available in-kind replacement parts.</w:t>
      </w:r>
    </w:p>
    <w:p w14:paraId="70DBDFAF" w14:textId="6259675B" w:rsidR="000E1ACA" w:rsidRPr="001D3831" w:rsidRDefault="000E1ACA" w:rsidP="00F75271">
      <w:pPr>
        <w:keepNext/>
        <w:jc w:val="both"/>
      </w:pPr>
      <w:r w:rsidRPr="001D3831">
        <w:t xml:space="preserve">To facilitate the </w:t>
      </w:r>
      <w:r w:rsidR="00C961A5" w:rsidRPr="001D3831">
        <w:t>identified up</w:t>
      </w:r>
      <w:r w:rsidR="002B3930">
        <w:t>grades</w:t>
      </w:r>
      <w:r w:rsidR="00427E24" w:rsidRPr="001D3831">
        <w:t xml:space="preserve"> to Plant McIntosh Units 10</w:t>
      </w:r>
      <w:r w:rsidR="00DA5455">
        <w:t>-</w:t>
      </w:r>
      <w:r w:rsidR="00427E24" w:rsidRPr="001D3831">
        <w:t>11 and Units 1A-8A</w:t>
      </w:r>
      <w:r w:rsidRPr="001D3831">
        <w:t xml:space="preserve">, the Company is seeking a Certificate Amendment as required </w:t>
      </w:r>
      <w:bookmarkEnd w:id="80"/>
      <w:r w:rsidRPr="001D3831">
        <w:t>by O.C.G.A. § 46-3A-3(b) and Commission Rule 515-3-4-.08.</w:t>
      </w:r>
      <w:r w:rsidR="004A3350">
        <w:rPr>
          <w:rStyle w:val="FootnoteReference"/>
        </w:rPr>
        <w:footnoteReference w:id="44"/>
      </w:r>
      <w:r w:rsidR="0042618A">
        <w:t xml:space="preserve"> </w:t>
      </w:r>
      <w:r w:rsidR="0080363F">
        <w:t>Additional information is provided in</w:t>
      </w:r>
      <w:r w:rsidR="00E91252">
        <w:t xml:space="preserve"> </w:t>
      </w:r>
      <w:r w:rsidR="00824D04">
        <w:t>the Unit Up</w:t>
      </w:r>
      <w:r w:rsidR="00B324C0">
        <w:t>gr</w:t>
      </w:r>
      <w:r w:rsidR="00824D04">
        <w:t>a</w:t>
      </w:r>
      <w:r w:rsidR="00B324C0">
        <w:t>d</w:t>
      </w:r>
      <w:r w:rsidR="00824D04">
        <w:t>e Analys</w:t>
      </w:r>
      <w:r w:rsidR="00B324C0">
        <w:t>e</w:t>
      </w:r>
      <w:r w:rsidR="00824D04">
        <w:t xml:space="preserve">s </w:t>
      </w:r>
      <w:r w:rsidR="008E4AF4">
        <w:t>in</w:t>
      </w:r>
      <w:r w:rsidR="00824D04">
        <w:t xml:space="preserve"> </w:t>
      </w:r>
      <w:r w:rsidR="00E91252">
        <w:t>Technical Appendix Volume 1</w:t>
      </w:r>
      <w:r w:rsidR="00824D04">
        <w:t>.</w:t>
      </w:r>
    </w:p>
    <w:bookmarkEnd w:id="81"/>
    <w:p w14:paraId="72FBA4ED" w14:textId="172A8A56" w:rsidR="000E1ACA" w:rsidRPr="00BC45FA" w:rsidRDefault="00195629" w:rsidP="00BC45FA">
      <w:pPr>
        <w:pStyle w:val="Heading4"/>
        <w:spacing w:before="0" w:after="240" w:line="276" w:lineRule="auto"/>
        <w:jc w:val="both"/>
        <w:rPr>
          <w:b/>
          <w:color w:val="auto"/>
        </w:rPr>
      </w:pPr>
      <w:r>
        <w:rPr>
          <w:b/>
          <w:color w:val="auto"/>
        </w:rPr>
        <w:t>Progress of Construction</w:t>
      </w:r>
      <w:r w:rsidR="00213755">
        <w:rPr>
          <w:b/>
          <w:color w:val="auto"/>
        </w:rPr>
        <w:t xml:space="preserve"> or Implementation</w:t>
      </w:r>
    </w:p>
    <w:p w14:paraId="541D35F1" w14:textId="649D04C6" w:rsidR="00A249D8" w:rsidRDefault="00213755" w:rsidP="00360200">
      <w:pPr>
        <w:jc w:val="both"/>
      </w:pPr>
      <w:r>
        <w:t>T</w:t>
      </w:r>
      <w:r w:rsidR="005A19A9">
        <w:t>he</w:t>
      </w:r>
      <w:r w:rsidR="00454696">
        <w:t xml:space="preserve"> projects associated with these upgrades will begin after approval of this certification am</w:t>
      </w:r>
      <w:r w:rsidR="00A305E0">
        <w:t>endment.</w:t>
      </w:r>
      <w:r w:rsidR="00CF1DCC">
        <w:t xml:space="preserve"> The Plant McIntosh Units 10</w:t>
      </w:r>
      <w:r w:rsidR="00DA5455">
        <w:t>-</w:t>
      </w:r>
      <w:r w:rsidR="00CF1DCC">
        <w:t xml:space="preserve">11 upgrades are expected to be completed </w:t>
      </w:r>
      <w:r w:rsidR="0089313B">
        <w:t>with an</w:t>
      </w:r>
      <w:r w:rsidR="00F87D5B">
        <w:t xml:space="preserve"> assumed in-service date of January 1, 2029.</w:t>
      </w:r>
      <w:r w:rsidR="00272349">
        <w:t xml:space="preserve"> The Plant McIntosh </w:t>
      </w:r>
      <w:r w:rsidR="00684D05">
        <w:t>Units 1A-8A</w:t>
      </w:r>
      <w:r w:rsidR="00312DD5">
        <w:t xml:space="preserve"> upgrades are expected </w:t>
      </w:r>
      <w:r w:rsidR="00312DD5">
        <w:lastRenderedPageBreak/>
        <w:t xml:space="preserve">to be completed with </w:t>
      </w:r>
      <w:r w:rsidR="00FC2C8B">
        <w:t>staggered in-service dates</w:t>
      </w:r>
      <w:r w:rsidR="00C815AE">
        <w:t xml:space="preserve"> starting in 2026</w:t>
      </w:r>
      <w:r w:rsidR="00A93BA1">
        <w:t xml:space="preserve"> and</w:t>
      </w:r>
      <w:r w:rsidR="002B6363">
        <w:t xml:space="preserve"> continuing to phase in through 2032.</w:t>
      </w:r>
    </w:p>
    <w:p w14:paraId="12D865DC" w14:textId="77777777" w:rsidR="000E1ACA" w:rsidRPr="00C52EC9" w:rsidRDefault="000E1ACA" w:rsidP="00C52EC9">
      <w:pPr>
        <w:pStyle w:val="Heading4"/>
        <w:spacing w:before="0" w:after="240" w:line="276" w:lineRule="auto"/>
        <w:jc w:val="both"/>
        <w:rPr>
          <w:b/>
          <w:bCs/>
          <w:color w:val="auto"/>
        </w:rPr>
      </w:pPr>
      <w:r w:rsidRPr="00C52EC9">
        <w:rPr>
          <w:b/>
          <w:bCs/>
          <w:color w:val="auto"/>
        </w:rPr>
        <w:t>Cost Benefit Analysis</w:t>
      </w:r>
    </w:p>
    <w:p w14:paraId="2B038CF0" w14:textId="5A41BDAD" w:rsidR="000E1ACA" w:rsidRPr="005918FE" w:rsidRDefault="00965A41" w:rsidP="00F75271">
      <w:pPr>
        <w:jc w:val="both"/>
      </w:pPr>
      <w:r>
        <w:t>Up</w:t>
      </w:r>
      <w:r w:rsidR="00AC01BE">
        <w:t>grades</w:t>
      </w:r>
      <w:r>
        <w:t xml:space="preserve"> to Plant </w:t>
      </w:r>
      <w:r w:rsidR="005874B8">
        <w:t>McIntosh Units 10</w:t>
      </w:r>
      <w:r w:rsidR="002664CB">
        <w:t>-</w:t>
      </w:r>
      <w:r w:rsidR="005874B8">
        <w:t xml:space="preserve">11 and Units 1A-8A </w:t>
      </w:r>
      <w:r w:rsidR="000E1ACA">
        <w:t xml:space="preserve">will provide many needed benefits for customers as articulated in the foregoing sections. The economics of the project are shown in </w:t>
      </w:r>
      <w:r w:rsidR="004F2090">
        <w:t>detailed cost-benefit analysis in Technical Appendix Volume 1. This analysis clearly demonstrates that these up</w:t>
      </w:r>
      <w:r w:rsidR="00FF3779">
        <w:t>grades</w:t>
      </w:r>
      <w:r w:rsidR="004F2090">
        <w:t xml:space="preserve"> are in the best interests of customers. </w:t>
      </w:r>
      <w:r w:rsidR="000E1ACA">
        <w:t xml:space="preserve">For information on the costs and benefits associated with the capacity </w:t>
      </w:r>
      <w:r w:rsidR="00FF3779">
        <w:t xml:space="preserve">upgrades </w:t>
      </w:r>
      <w:r w:rsidR="005D0A6C">
        <w:t>at Plant McIntosh</w:t>
      </w:r>
      <w:r w:rsidR="000E1ACA">
        <w:t xml:space="preserve">, see the </w:t>
      </w:r>
      <w:r w:rsidR="008469DA">
        <w:t>Unit Up</w:t>
      </w:r>
      <w:r w:rsidR="00B324C0">
        <w:t>g</w:t>
      </w:r>
      <w:r w:rsidR="008469DA">
        <w:t>ra</w:t>
      </w:r>
      <w:r w:rsidR="00B324C0">
        <w:t>d</w:t>
      </w:r>
      <w:r w:rsidR="008469DA">
        <w:t>e Analys</w:t>
      </w:r>
      <w:r w:rsidR="00B324C0">
        <w:t>e</w:t>
      </w:r>
      <w:r w:rsidR="008469DA">
        <w:t>s</w:t>
      </w:r>
      <w:r w:rsidR="000E1ACA">
        <w:t xml:space="preserve"> section of Technical Appendix Volume 1. </w:t>
      </w:r>
    </w:p>
    <w:p w14:paraId="42428C35" w14:textId="77777777" w:rsidR="000E1ACA" w:rsidRPr="003721AC" w:rsidRDefault="000E1ACA" w:rsidP="003721AC">
      <w:pPr>
        <w:pStyle w:val="Heading4"/>
        <w:spacing w:before="0" w:after="240" w:line="276" w:lineRule="auto"/>
        <w:jc w:val="both"/>
        <w:rPr>
          <w:b/>
          <w:bCs/>
          <w:color w:val="auto"/>
        </w:rPr>
      </w:pPr>
      <w:r w:rsidRPr="003721AC">
        <w:rPr>
          <w:b/>
          <w:bCs/>
          <w:color w:val="auto"/>
        </w:rPr>
        <w:t xml:space="preserve">Proposed Ratemaking Treatment </w:t>
      </w:r>
    </w:p>
    <w:p w14:paraId="0E09AFDD" w14:textId="62E80D79" w:rsidR="000E1ACA" w:rsidRDefault="000E1ACA" w:rsidP="00360200">
      <w:pPr>
        <w:jc w:val="both"/>
      </w:pPr>
      <w:r w:rsidRPr="001F0F9A">
        <w:t xml:space="preserve">The capacity </w:t>
      </w:r>
      <w:r w:rsidR="004417C3">
        <w:t>updates at Plant McIntosh Units 10</w:t>
      </w:r>
      <w:r w:rsidR="00323C03">
        <w:t>-</w:t>
      </w:r>
      <w:r w:rsidR="004417C3">
        <w:t>11 and Units 1A-8A</w:t>
      </w:r>
      <w:r w:rsidRPr="001F0F9A">
        <w:t xml:space="preserve"> will be recovered through traditional (rate base and revenue requirement) ratemaking.</w:t>
      </w:r>
    </w:p>
    <w:p w14:paraId="24AC6643" w14:textId="77777777" w:rsidR="000E1ACA" w:rsidRPr="003721AC" w:rsidRDefault="000E1ACA" w:rsidP="003721AC">
      <w:pPr>
        <w:pStyle w:val="Heading4"/>
        <w:spacing w:before="0" w:after="240" w:line="276" w:lineRule="auto"/>
        <w:jc w:val="both"/>
        <w:rPr>
          <w:b/>
          <w:bCs/>
          <w:color w:val="auto"/>
        </w:rPr>
      </w:pPr>
      <w:r w:rsidRPr="003721AC">
        <w:rPr>
          <w:b/>
          <w:bCs/>
          <w:color w:val="auto"/>
        </w:rPr>
        <w:t>Analysis of Transmission Impacts</w:t>
      </w:r>
    </w:p>
    <w:p w14:paraId="095EC765" w14:textId="39855622" w:rsidR="00D6619F" w:rsidRPr="001A66E4" w:rsidRDefault="00D6619F" w:rsidP="009D4864">
      <w:pPr>
        <w:jc w:val="both"/>
      </w:pPr>
      <w:r>
        <w:t xml:space="preserve"> Transmission considerations for new resources or capacity additions at existing generation sites, as is the case with the McIntosh upgrades, require evaluation of transmission-related costs. The two primary categories of transmission-related costs are costs associated with delivery of the generation and the cost associated with interconnection of the generator to the transmission system. </w:t>
      </w:r>
      <w:r w:rsidR="28AE8E62" w:rsidRPr="00E2281D">
        <w:t>After evaluation, the NGCC upgrades will require the advancement of two prior-planned transmission projects. The incremental cost of advancement has been included in the analysis. The stability portion of the transmission evaluation has not been completed at time of filing for the NGCC or CT upgrade opportunities. In the event stability analysis identifies any additional costs, The analysis will be updated as appropriate</w:t>
      </w:r>
      <w:r w:rsidR="28AE8E62" w:rsidRPr="001476B5">
        <w:t>.</w:t>
      </w:r>
      <w:r w:rsidR="00FD428D" w:rsidRPr="001476B5">
        <w:t xml:space="preserve"> </w:t>
      </w:r>
      <w:r w:rsidRPr="001476B5">
        <w:t xml:space="preserve">There are no incremental </w:t>
      </w:r>
      <w:r w:rsidR="00CF08C9" w:rsidRPr="001476B5">
        <w:t xml:space="preserve">transmission </w:t>
      </w:r>
      <w:r w:rsidRPr="001476B5">
        <w:t>costs for the CT upgrade opportunity, either for delivery or interconnection.</w:t>
      </w:r>
      <w:r w:rsidR="00ED044B">
        <w:t xml:space="preserve"> </w:t>
      </w:r>
    </w:p>
    <w:p w14:paraId="0190E6CC" w14:textId="75D618FA" w:rsidR="000E1ACA" w:rsidRPr="003721AC" w:rsidRDefault="000E1ACA" w:rsidP="003721AC">
      <w:pPr>
        <w:pStyle w:val="Heading4"/>
        <w:spacing w:before="0" w:after="240" w:line="276" w:lineRule="auto"/>
        <w:jc w:val="both"/>
        <w:rPr>
          <w:b/>
          <w:bCs/>
          <w:color w:val="auto"/>
        </w:rPr>
      </w:pPr>
      <w:r w:rsidRPr="003721AC">
        <w:rPr>
          <w:b/>
          <w:bCs/>
          <w:color w:val="auto"/>
        </w:rPr>
        <w:t xml:space="preserve">Impact on </w:t>
      </w:r>
      <w:r w:rsidR="003721AC" w:rsidRPr="003721AC">
        <w:rPr>
          <w:b/>
          <w:bCs/>
          <w:color w:val="auto"/>
        </w:rPr>
        <w:t>20</w:t>
      </w:r>
      <w:r w:rsidR="003721AC">
        <w:rPr>
          <w:b/>
          <w:bCs/>
          <w:color w:val="auto"/>
        </w:rPr>
        <w:t xml:space="preserve">25 </w:t>
      </w:r>
      <w:r w:rsidRPr="003721AC">
        <w:rPr>
          <w:b/>
          <w:bCs/>
          <w:color w:val="auto"/>
        </w:rPr>
        <w:t>IRP</w:t>
      </w:r>
    </w:p>
    <w:p w14:paraId="2EF2CF77" w14:textId="312693C5" w:rsidR="000E1ACA" w:rsidRDefault="000E1ACA" w:rsidP="00360200">
      <w:pPr>
        <w:jc w:val="both"/>
      </w:pPr>
      <w:r>
        <w:t xml:space="preserve">The capacity </w:t>
      </w:r>
      <w:r w:rsidR="00BF0DAB">
        <w:t>up</w:t>
      </w:r>
      <w:r w:rsidR="00FF3779">
        <w:t>grades</w:t>
      </w:r>
      <w:r w:rsidR="00BF0DAB">
        <w:t xml:space="preserve"> </w:t>
      </w:r>
      <w:r w:rsidR="00D75AEE">
        <w:t>at Plant McIntosh Units 10</w:t>
      </w:r>
      <w:r w:rsidR="002D31EA">
        <w:t>-</w:t>
      </w:r>
      <w:r w:rsidR="00D75AEE">
        <w:t xml:space="preserve"> 11 </w:t>
      </w:r>
      <w:r w:rsidR="001A1B62">
        <w:t xml:space="preserve">and Units 1A-8A </w:t>
      </w:r>
      <w:r w:rsidR="00D75AEE">
        <w:t xml:space="preserve">are </w:t>
      </w:r>
      <w:r w:rsidR="001002E2">
        <w:t xml:space="preserve">not </w:t>
      </w:r>
      <w:r>
        <w:t xml:space="preserve">reflected in the various analyses presented in the </w:t>
      </w:r>
      <w:r w:rsidR="00D75AEE">
        <w:t xml:space="preserve">2025 </w:t>
      </w:r>
      <w:r>
        <w:t>IRP.</w:t>
      </w:r>
      <w:r w:rsidR="00D75AEE">
        <w:t xml:space="preserve"> </w:t>
      </w:r>
      <w:r w:rsidR="00350112" w:rsidRPr="0036294C">
        <w:rPr>
          <w:rFonts w:eastAsia="Arial" w:cs="Arial"/>
        </w:rPr>
        <w:t xml:space="preserve">The addition of approximately </w:t>
      </w:r>
      <w:r w:rsidR="005529D8">
        <w:rPr>
          <w:rFonts w:eastAsia="Arial" w:cs="Arial"/>
        </w:rPr>
        <w:t xml:space="preserve">269 </w:t>
      </w:r>
      <w:r w:rsidR="00350112" w:rsidRPr="0036294C">
        <w:rPr>
          <w:rFonts w:eastAsia="Arial" w:cs="Arial"/>
        </w:rPr>
        <w:t xml:space="preserve">MW of capacity would defer future capacity needs by the </w:t>
      </w:r>
      <w:r w:rsidR="00012037">
        <w:rPr>
          <w:rFonts w:eastAsia="Arial" w:cs="Arial"/>
        </w:rPr>
        <w:t xml:space="preserve">capacity </w:t>
      </w:r>
      <w:r w:rsidR="003328E5">
        <w:rPr>
          <w:rFonts w:eastAsia="Arial" w:cs="Arial"/>
        </w:rPr>
        <w:t>up</w:t>
      </w:r>
      <w:r w:rsidR="004F000E">
        <w:rPr>
          <w:rFonts w:eastAsia="Arial" w:cs="Arial"/>
        </w:rPr>
        <w:t>grade</w:t>
      </w:r>
      <w:r w:rsidR="00E773E4">
        <w:rPr>
          <w:rFonts w:eastAsia="Arial" w:cs="Arial"/>
        </w:rPr>
        <w:t xml:space="preserve"> amount</w:t>
      </w:r>
      <w:r w:rsidR="00486CC4">
        <w:rPr>
          <w:rFonts w:eastAsia="Arial" w:cs="Arial"/>
        </w:rPr>
        <w:t>s for</w:t>
      </w:r>
      <w:r w:rsidR="00BC1125">
        <w:rPr>
          <w:rFonts w:eastAsia="Arial" w:cs="Arial"/>
        </w:rPr>
        <w:t xml:space="preserve"> these units</w:t>
      </w:r>
      <w:r w:rsidR="00350112" w:rsidRPr="0036294C">
        <w:rPr>
          <w:rFonts w:eastAsia="Arial" w:cs="Arial"/>
        </w:rPr>
        <w:t>.</w:t>
      </w:r>
      <w:r w:rsidR="00350112" w:rsidRPr="00305256" w:rsidDel="00686257">
        <w:rPr>
          <w:highlight w:val="cyan"/>
        </w:rPr>
        <w:t xml:space="preserve"> </w:t>
      </w:r>
    </w:p>
    <w:p w14:paraId="340DDA47" w14:textId="77777777" w:rsidR="000E1ACA" w:rsidRPr="003721AC" w:rsidRDefault="000E1ACA" w:rsidP="003721AC">
      <w:pPr>
        <w:pStyle w:val="Heading3"/>
        <w:spacing w:before="0" w:after="240" w:line="276" w:lineRule="auto"/>
        <w:jc w:val="both"/>
        <w:rPr>
          <w:rFonts w:eastAsia="Arial" w:cs="Arial"/>
          <w:b/>
          <w:color w:val="auto"/>
          <w:sz w:val="22"/>
          <w:szCs w:val="22"/>
          <w:u w:val="single"/>
        </w:rPr>
      </w:pPr>
      <w:r w:rsidRPr="003721AC">
        <w:rPr>
          <w:rFonts w:eastAsia="Arial" w:cs="Arial"/>
          <w:b/>
          <w:color w:val="auto"/>
          <w:sz w:val="22"/>
          <w:szCs w:val="22"/>
          <w:u w:val="single"/>
        </w:rPr>
        <w:t>Conclusion</w:t>
      </w:r>
    </w:p>
    <w:p w14:paraId="4C5E1E19" w14:textId="1668EDB0" w:rsidR="00C74CB1" w:rsidRDefault="00751A33" w:rsidP="00360200">
      <w:pPr>
        <w:jc w:val="both"/>
        <w:rPr>
          <w:rFonts w:asciiTheme="majorHAnsi" w:eastAsiaTheme="majorEastAsia" w:hAnsiTheme="majorHAnsi" w:cstheme="majorBidi"/>
          <w:color w:val="0F4761" w:themeColor="accent1" w:themeShade="BF"/>
          <w:sz w:val="40"/>
          <w:szCs w:val="40"/>
        </w:rPr>
      </w:pPr>
      <w:r>
        <w:t>As set forth herein, the requested up</w:t>
      </w:r>
      <w:r w:rsidR="004F000E">
        <w:t>grades</w:t>
      </w:r>
      <w:r>
        <w:t xml:space="preserve"> to McIntosh Units 10-11 and Units 1A-8A will </w:t>
      </w:r>
      <w:r w:rsidR="00E55A0B">
        <w:t xml:space="preserve">assist in Georgia Power’s provision of </w:t>
      </w:r>
      <w:r w:rsidRPr="007E5735">
        <w:t xml:space="preserve">economical and reliable supply of electric power and energy for </w:t>
      </w:r>
      <w:r w:rsidR="00E55A0B">
        <w:t>retail customers</w:t>
      </w:r>
      <w:r w:rsidR="00957A05">
        <w:t>.</w:t>
      </w:r>
      <w:r w:rsidR="000E1ACA">
        <w:t xml:space="preserve"> The request contained in this 20</w:t>
      </w:r>
      <w:r w:rsidR="00147B32">
        <w:t>25</w:t>
      </w:r>
      <w:r w:rsidR="000E1ACA">
        <w:t xml:space="preserve"> Certification </w:t>
      </w:r>
      <w:r w:rsidR="007E5735">
        <w:t xml:space="preserve">Amendment </w:t>
      </w:r>
      <w:r w:rsidR="000E1ACA">
        <w:t xml:space="preserve">Application is in the public interest and substantially complies with the relevant Commission rules. Therefore, the Company requests that the Commission approve this Certificate Amendment. </w:t>
      </w:r>
      <w:r w:rsidR="00C74CB1">
        <w:rPr>
          <w:rFonts w:asciiTheme="majorHAnsi" w:eastAsiaTheme="majorEastAsia" w:hAnsiTheme="majorHAnsi" w:cstheme="majorBidi"/>
          <w:color w:val="0F4761" w:themeColor="accent1" w:themeShade="BF"/>
          <w:sz w:val="40"/>
          <w:szCs w:val="40"/>
        </w:rPr>
        <w:br w:type="page"/>
      </w:r>
    </w:p>
    <w:p w14:paraId="0068F2CE" w14:textId="3B131AAA" w:rsidR="00F0049E" w:rsidRDefault="00C74CB1" w:rsidP="001B3460">
      <w:pPr>
        <w:pStyle w:val="Heading1"/>
      </w:pPr>
      <w:bookmarkStart w:id="82" w:name="_Toc189122798"/>
      <w:r>
        <w:lastRenderedPageBreak/>
        <w:t xml:space="preserve">Attachment </w:t>
      </w:r>
      <w:r w:rsidR="00773998">
        <w:t>C</w:t>
      </w:r>
      <w:r>
        <w:t xml:space="preserve"> </w:t>
      </w:r>
      <w:r w:rsidR="009560A7">
        <w:t>–</w:t>
      </w:r>
      <w:r>
        <w:t xml:space="preserve"> </w:t>
      </w:r>
      <w:r w:rsidR="009560A7">
        <w:t>Planned and Committed Resources</w:t>
      </w:r>
      <w:bookmarkEnd w:id="82"/>
    </w:p>
    <w:p w14:paraId="26FBFBAD" w14:textId="44EA8107" w:rsidR="009560A7" w:rsidRDefault="0016673A" w:rsidP="0016673A">
      <w:pPr>
        <w:jc w:val="both"/>
      </w:pPr>
      <w:r w:rsidRPr="0016673A">
        <w:t xml:space="preserve">Attachment </w:t>
      </w:r>
      <w:r w:rsidR="00773998">
        <w:t>C</w:t>
      </w:r>
      <w:r w:rsidRPr="0016673A">
        <w:t xml:space="preserve"> lists the Company’s planned and committed resources included in the </w:t>
      </w:r>
      <w:r w:rsidR="4C4F854D">
        <w:t>202</w:t>
      </w:r>
      <w:r w:rsidR="5044B528">
        <w:t>5</w:t>
      </w:r>
      <w:r w:rsidRPr="0016673A">
        <w:t xml:space="preserve"> IRP. The Company’s capacity needs are listed in </w:t>
      </w:r>
      <w:r w:rsidR="00FB7269">
        <w:t>C</w:t>
      </w:r>
      <w:r w:rsidR="00186330">
        <w:t xml:space="preserve">hapter </w:t>
      </w:r>
      <w:r>
        <w:t>8</w:t>
      </w:r>
      <w:r w:rsidRPr="0016673A">
        <w:t>. When determining capacity needs, the Company considers the summer and winter capacity contribution, including the appropriate capacity equivalence adjustments. For detailed seasonal values and capacity equivalence information, please see Technical Appendix Volume 1.</w:t>
      </w:r>
    </w:p>
    <w:p w14:paraId="3DB7E4DF" w14:textId="43A684D4" w:rsidR="00C11B6B" w:rsidRDefault="00773998" w:rsidP="0056477B">
      <w:pPr>
        <w:pStyle w:val="Heading2"/>
      </w:pPr>
      <w:bookmarkStart w:id="83" w:name="_Toc189122799"/>
      <w:r>
        <w:t>C</w:t>
      </w:r>
      <w:r w:rsidR="0056477B">
        <w:t xml:space="preserve">.1 </w:t>
      </w:r>
      <w:r w:rsidR="002A4AD6">
        <w:t>–</w:t>
      </w:r>
      <w:r w:rsidR="007E4919">
        <w:t xml:space="preserve"> </w:t>
      </w:r>
      <w:r w:rsidR="0033067A">
        <w:t xml:space="preserve">Company-Owned Resources – </w:t>
      </w:r>
      <w:r w:rsidR="002A4AD6">
        <w:t>Conventional</w:t>
      </w:r>
      <w:bookmarkEnd w:id="83"/>
    </w:p>
    <w:tbl>
      <w:tblPr>
        <w:tblW w:w="102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00"/>
        <w:gridCol w:w="2448"/>
        <w:gridCol w:w="1440"/>
        <w:gridCol w:w="1320"/>
        <w:gridCol w:w="1267"/>
        <w:gridCol w:w="1152"/>
        <w:gridCol w:w="1464"/>
      </w:tblGrid>
      <w:tr w:rsidR="00A6219F" w14:paraId="707703E6" w14:textId="77777777" w:rsidTr="00712AB6">
        <w:trPr>
          <w:trHeight w:val="1268"/>
          <w:jc w:val="center"/>
        </w:trPr>
        <w:tc>
          <w:tcPr>
            <w:tcW w:w="1200" w:type="dxa"/>
            <w:shd w:val="clear" w:color="auto" w:fill="808080" w:themeFill="background1" w:themeFillShade="80"/>
            <w:vAlign w:val="center"/>
            <w:hideMark/>
          </w:tcPr>
          <w:p w14:paraId="7CEFE91B" w14:textId="77777777" w:rsidR="00C210A4" w:rsidRPr="00147E5A" w:rsidRDefault="00C210A4" w:rsidP="004911AE">
            <w:pPr>
              <w:spacing w:after="0" w:line="240" w:lineRule="auto"/>
              <w:jc w:val="center"/>
              <w:rPr>
                <w:rFonts w:eastAsia="Times New Roman" w:cs="Arial"/>
                <w:b/>
                <w:bCs/>
                <w:color w:val="FFFFFF" w:themeColor="background1"/>
                <w:sz w:val="18"/>
                <w:szCs w:val="18"/>
              </w:rPr>
            </w:pPr>
            <w:bookmarkStart w:id="84" w:name="_Hlk176506874"/>
            <w:r w:rsidRPr="00147E5A">
              <w:rPr>
                <w:rFonts w:eastAsia="Times New Roman" w:cs="Arial"/>
                <w:b/>
                <w:bCs/>
                <w:color w:val="FFFFFF" w:themeColor="background1"/>
                <w:sz w:val="18"/>
                <w:szCs w:val="18"/>
              </w:rPr>
              <w:t>Fuel Type</w:t>
            </w:r>
          </w:p>
        </w:tc>
        <w:tc>
          <w:tcPr>
            <w:tcW w:w="2448" w:type="dxa"/>
            <w:shd w:val="clear" w:color="auto" w:fill="808080" w:themeFill="background1" w:themeFillShade="80"/>
            <w:vAlign w:val="center"/>
            <w:hideMark/>
          </w:tcPr>
          <w:p w14:paraId="1ACEB0B7" w14:textId="77777777" w:rsidR="00C210A4" w:rsidRPr="00147E5A" w:rsidRDefault="00C210A4" w:rsidP="004911AE">
            <w:pPr>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Resource Name</w:t>
            </w:r>
          </w:p>
        </w:tc>
        <w:tc>
          <w:tcPr>
            <w:tcW w:w="1440" w:type="dxa"/>
            <w:shd w:val="clear" w:color="auto" w:fill="808080" w:themeFill="background1" w:themeFillShade="80"/>
            <w:vAlign w:val="center"/>
            <w:hideMark/>
          </w:tcPr>
          <w:p w14:paraId="065E125C" w14:textId="20814A5E" w:rsidR="00C210A4" w:rsidRPr="00147E5A" w:rsidRDefault="00C210A4" w:rsidP="004911AE">
            <w:pPr>
              <w:spacing w:after="0" w:line="240" w:lineRule="auto"/>
              <w:jc w:val="center"/>
              <w:rPr>
                <w:rFonts w:eastAsia="Times New Roman" w:cs="Arial"/>
                <w:b/>
                <w:bCs/>
                <w:color w:val="FFFFFF" w:themeColor="background1"/>
                <w:sz w:val="18"/>
                <w:szCs w:val="18"/>
              </w:rPr>
            </w:pPr>
            <w:r w:rsidRPr="00147E5A">
              <w:rPr>
                <w:rFonts w:eastAsia="Times New Roman" w:cs="Arial"/>
                <w:b/>
                <w:color w:val="FFFFFF" w:themeColor="background1"/>
                <w:sz w:val="18"/>
                <w:szCs w:val="18"/>
              </w:rPr>
              <w:t>202</w:t>
            </w:r>
            <w:r w:rsidR="00120A04">
              <w:rPr>
                <w:rFonts w:eastAsia="Times New Roman" w:cs="Arial"/>
                <w:b/>
                <w:color w:val="FFFFFF" w:themeColor="background1"/>
                <w:sz w:val="18"/>
                <w:szCs w:val="18"/>
              </w:rPr>
              <w:t>5</w:t>
            </w:r>
            <w:r w:rsidRPr="00147E5A">
              <w:rPr>
                <w:rFonts w:eastAsia="Times New Roman" w:cs="Arial"/>
                <w:b/>
                <w:color w:val="FFFFFF" w:themeColor="background1"/>
                <w:sz w:val="18"/>
                <w:szCs w:val="18"/>
              </w:rPr>
              <w:t xml:space="preserve"> Summer Retail Capacity (MW)</w:t>
            </w:r>
            <w:r w:rsidRPr="00147E5A">
              <w:rPr>
                <w:rFonts w:eastAsia="Times New Roman" w:cs="Arial"/>
                <w:b/>
                <w:color w:val="FFFFFF" w:themeColor="background1"/>
                <w:sz w:val="18"/>
                <w:szCs w:val="18"/>
                <w:vertAlign w:val="superscript"/>
              </w:rPr>
              <w:t>A</w:t>
            </w:r>
          </w:p>
        </w:tc>
        <w:tc>
          <w:tcPr>
            <w:tcW w:w="1320" w:type="dxa"/>
            <w:shd w:val="clear" w:color="auto" w:fill="808080" w:themeFill="background1" w:themeFillShade="80"/>
            <w:vAlign w:val="center"/>
            <w:hideMark/>
          </w:tcPr>
          <w:p w14:paraId="61F2F789" w14:textId="549AD07E" w:rsidR="00C210A4" w:rsidRPr="00147E5A" w:rsidRDefault="00C210A4" w:rsidP="004911AE">
            <w:pPr>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202</w:t>
            </w:r>
            <w:r w:rsidR="00EB7F88">
              <w:rPr>
                <w:rFonts w:eastAsia="Times New Roman" w:cs="Arial"/>
                <w:b/>
                <w:bCs/>
                <w:color w:val="FFFFFF" w:themeColor="background1"/>
                <w:sz w:val="18"/>
                <w:szCs w:val="18"/>
              </w:rPr>
              <w:t>5</w:t>
            </w:r>
            <w:r w:rsidRPr="00147E5A">
              <w:rPr>
                <w:rFonts w:eastAsia="Times New Roman" w:cs="Arial"/>
                <w:b/>
                <w:bCs/>
                <w:color w:val="FFFFFF" w:themeColor="background1"/>
                <w:sz w:val="18"/>
                <w:szCs w:val="18"/>
              </w:rPr>
              <w:t xml:space="preserve"> Winter Retail Capacity (MW)</w:t>
            </w:r>
            <w:r w:rsidRPr="00147E5A">
              <w:rPr>
                <w:rFonts w:eastAsia="Times New Roman" w:cs="Arial"/>
                <w:b/>
                <w:bCs/>
                <w:color w:val="FFFFFF" w:themeColor="background1"/>
                <w:sz w:val="18"/>
                <w:szCs w:val="18"/>
                <w:vertAlign w:val="superscript"/>
              </w:rPr>
              <w:t>A</w:t>
            </w:r>
          </w:p>
        </w:tc>
        <w:tc>
          <w:tcPr>
            <w:tcW w:w="1267" w:type="dxa"/>
            <w:shd w:val="clear" w:color="auto" w:fill="808080" w:themeFill="background1" w:themeFillShade="80"/>
            <w:vAlign w:val="center"/>
            <w:hideMark/>
          </w:tcPr>
          <w:p w14:paraId="410F31BD" w14:textId="77777777" w:rsidR="00C210A4" w:rsidRPr="00147E5A" w:rsidRDefault="00C210A4" w:rsidP="004911AE">
            <w:pPr>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G</w:t>
            </w:r>
            <w:r>
              <w:rPr>
                <w:rFonts w:eastAsia="Times New Roman" w:cs="Arial"/>
                <w:b/>
                <w:bCs/>
                <w:color w:val="FFFFFF" w:themeColor="background1"/>
                <w:sz w:val="18"/>
                <w:szCs w:val="18"/>
              </w:rPr>
              <w:t>eorgia Power</w:t>
            </w:r>
            <w:r w:rsidRPr="00147E5A">
              <w:rPr>
                <w:rFonts w:eastAsia="Times New Roman" w:cs="Arial"/>
                <w:b/>
                <w:bCs/>
                <w:color w:val="FFFFFF" w:themeColor="background1"/>
                <w:sz w:val="18"/>
                <w:szCs w:val="18"/>
              </w:rPr>
              <w:t xml:space="preserve"> Ownership</w:t>
            </w:r>
          </w:p>
        </w:tc>
        <w:tc>
          <w:tcPr>
            <w:tcW w:w="1152" w:type="dxa"/>
            <w:shd w:val="clear" w:color="auto" w:fill="808080" w:themeFill="background1" w:themeFillShade="80"/>
            <w:vAlign w:val="center"/>
            <w:hideMark/>
          </w:tcPr>
          <w:p w14:paraId="7EF3F9DF" w14:textId="77777777" w:rsidR="00C210A4" w:rsidRPr="00147E5A" w:rsidRDefault="00C210A4" w:rsidP="004911AE">
            <w:pPr>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In-Service Date</w:t>
            </w:r>
          </w:p>
        </w:tc>
        <w:tc>
          <w:tcPr>
            <w:tcW w:w="1464" w:type="dxa"/>
            <w:shd w:val="clear" w:color="auto" w:fill="808080" w:themeFill="background1" w:themeFillShade="80"/>
            <w:vAlign w:val="center"/>
            <w:hideMark/>
          </w:tcPr>
          <w:p w14:paraId="70C5D486" w14:textId="77777777" w:rsidR="00C210A4" w:rsidRPr="00147E5A" w:rsidRDefault="00C210A4" w:rsidP="004911AE">
            <w:pPr>
              <w:spacing w:after="0" w:line="240" w:lineRule="auto"/>
              <w:jc w:val="center"/>
              <w:rPr>
                <w:rFonts w:eastAsia="Times New Roman" w:cs="Arial"/>
                <w:b/>
                <w:bCs/>
                <w:color w:val="FFFFFF" w:themeColor="background1"/>
                <w:sz w:val="18"/>
                <w:szCs w:val="18"/>
              </w:rPr>
            </w:pPr>
            <w:r w:rsidRPr="00147E5A">
              <w:rPr>
                <w:rFonts w:eastAsia="Times New Roman" w:cs="Arial"/>
                <w:b/>
                <w:color w:val="FFFFFF" w:themeColor="background1"/>
                <w:sz w:val="18"/>
                <w:szCs w:val="18"/>
              </w:rPr>
              <w:t>Assumed Unavailability</w:t>
            </w:r>
            <w:r w:rsidRPr="00147E5A">
              <w:rPr>
                <w:rFonts w:eastAsia="Times New Roman" w:cs="Arial"/>
                <w:b/>
                <w:color w:val="FFFFFF" w:themeColor="background1"/>
                <w:sz w:val="18"/>
                <w:szCs w:val="18"/>
                <w:vertAlign w:val="superscript"/>
              </w:rPr>
              <w:t>B</w:t>
            </w:r>
          </w:p>
        </w:tc>
      </w:tr>
      <w:tr w:rsidR="00B5494E" w:rsidRPr="00B5494E" w14:paraId="40622854" w14:textId="77777777" w:rsidTr="00712AB6">
        <w:trPr>
          <w:trHeight w:val="288"/>
          <w:jc w:val="center"/>
        </w:trPr>
        <w:tc>
          <w:tcPr>
            <w:tcW w:w="1200" w:type="dxa"/>
            <w:shd w:val="clear" w:color="auto" w:fill="FFFFFF" w:themeFill="background1"/>
            <w:noWrap/>
            <w:vAlign w:val="center"/>
            <w:hideMark/>
          </w:tcPr>
          <w:p w14:paraId="20DD8C10"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Nuclear</w:t>
            </w:r>
          </w:p>
        </w:tc>
        <w:tc>
          <w:tcPr>
            <w:tcW w:w="2448" w:type="dxa"/>
            <w:shd w:val="clear" w:color="auto" w:fill="FFFFFF" w:themeFill="background1"/>
            <w:noWrap/>
            <w:vAlign w:val="center"/>
            <w:hideMark/>
          </w:tcPr>
          <w:p w14:paraId="6E52FEE0"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HATCH 1</w:t>
            </w:r>
          </w:p>
        </w:tc>
        <w:tc>
          <w:tcPr>
            <w:tcW w:w="1440" w:type="dxa"/>
            <w:shd w:val="clear" w:color="auto" w:fill="FFFFFF" w:themeFill="background1"/>
            <w:noWrap/>
            <w:vAlign w:val="center"/>
            <w:hideMark/>
          </w:tcPr>
          <w:p w14:paraId="0108D901"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438.9</w:t>
            </w:r>
          </w:p>
        </w:tc>
        <w:tc>
          <w:tcPr>
            <w:tcW w:w="1320" w:type="dxa"/>
            <w:shd w:val="clear" w:color="auto" w:fill="FFFFFF" w:themeFill="background1"/>
            <w:noWrap/>
            <w:vAlign w:val="center"/>
            <w:hideMark/>
          </w:tcPr>
          <w:p w14:paraId="4B79B821" w14:textId="1CEC2A06"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4</w:t>
            </w:r>
            <w:r w:rsidR="00657A47" w:rsidRPr="00B5494E">
              <w:rPr>
                <w:rFonts w:eastAsia="Times New Roman" w:cs="Arial"/>
                <w:sz w:val="18"/>
                <w:szCs w:val="18"/>
              </w:rPr>
              <w:t>51.</w:t>
            </w:r>
            <w:r w:rsidRPr="00B5494E">
              <w:rPr>
                <w:rFonts w:eastAsia="Times New Roman" w:cs="Arial"/>
                <w:sz w:val="18"/>
                <w:szCs w:val="18"/>
              </w:rPr>
              <w:t>4</w:t>
            </w:r>
          </w:p>
        </w:tc>
        <w:tc>
          <w:tcPr>
            <w:tcW w:w="1267" w:type="dxa"/>
            <w:shd w:val="clear" w:color="auto" w:fill="FFFFFF" w:themeFill="background1"/>
            <w:noWrap/>
            <w:vAlign w:val="center"/>
            <w:hideMark/>
          </w:tcPr>
          <w:p w14:paraId="1799AFBF"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50.10%</w:t>
            </w:r>
          </w:p>
        </w:tc>
        <w:tc>
          <w:tcPr>
            <w:tcW w:w="1152" w:type="dxa"/>
            <w:shd w:val="clear" w:color="auto" w:fill="FFFFFF" w:themeFill="background1"/>
            <w:noWrap/>
            <w:vAlign w:val="center"/>
            <w:hideMark/>
          </w:tcPr>
          <w:p w14:paraId="7DF7E496"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12/1975</w:t>
            </w:r>
          </w:p>
        </w:tc>
        <w:tc>
          <w:tcPr>
            <w:tcW w:w="1464" w:type="dxa"/>
            <w:shd w:val="clear" w:color="auto" w:fill="FFFFFF" w:themeFill="background1"/>
            <w:noWrap/>
            <w:vAlign w:val="center"/>
            <w:hideMark/>
          </w:tcPr>
          <w:p w14:paraId="2A094328" w14:textId="2B14E8D8"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08/20</w:t>
            </w:r>
            <w:r w:rsidR="0033742B" w:rsidRPr="00B5494E">
              <w:rPr>
                <w:rFonts w:eastAsia="Times New Roman" w:cs="Arial"/>
                <w:sz w:val="18"/>
                <w:szCs w:val="18"/>
              </w:rPr>
              <w:t>5</w:t>
            </w:r>
            <w:r w:rsidRPr="00B5494E">
              <w:rPr>
                <w:rFonts w:eastAsia="Times New Roman" w:cs="Arial"/>
                <w:sz w:val="18"/>
                <w:szCs w:val="18"/>
              </w:rPr>
              <w:t>4</w:t>
            </w:r>
          </w:p>
        </w:tc>
      </w:tr>
      <w:tr w:rsidR="00B5494E" w:rsidRPr="00B5494E" w14:paraId="4AAD562D" w14:textId="77777777" w:rsidTr="00712AB6">
        <w:trPr>
          <w:trHeight w:val="288"/>
          <w:jc w:val="center"/>
        </w:trPr>
        <w:tc>
          <w:tcPr>
            <w:tcW w:w="1200" w:type="dxa"/>
            <w:shd w:val="clear" w:color="auto" w:fill="FFFFFF" w:themeFill="background1"/>
            <w:noWrap/>
            <w:vAlign w:val="center"/>
            <w:hideMark/>
          </w:tcPr>
          <w:p w14:paraId="10B1ED5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Nuclear</w:t>
            </w:r>
          </w:p>
        </w:tc>
        <w:tc>
          <w:tcPr>
            <w:tcW w:w="2448" w:type="dxa"/>
            <w:shd w:val="clear" w:color="auto" w:fill="FFFFFF" w:themeFill="background1"/>
            <w:noWrap/>
            <w:vAlign w:val="center"/>
            <w:hideMark/>
          </w:tcPr>
          <w:p w14:paraId="14EAFFBF"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HATCH 2</w:t>
            </w:r>
          </w:p>
        </w:tc>
        <w:tc>
          <w:tcPr>
            <w:tcW w:w="1440" w:type="dxa"/>
            <w:shd w:val="clear" w:color="auto" w:fill="FFFFFF" w:themeFill="background1"/>
            <w:noWrap/>
            <w:vAlign w:val="center"/>
            <w:hideMark/>
          </w:tcPr>
          <w:p w14:paraId="1661ED66"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442.4</w:t>
            </w:r>
          </w:p>
        </w:tc>
        <w:tc>
          <w:tcPr>
            <w:tcW w:w="1320" w:type="dxa"/>
            <w:shd w:val="clear" w:color="auto" w:fill="FFFFFF" w:themeFill="background1"/>
            <w:noWrap/>
            <w:vAlign w:val="center"/>
            <w:hideMark/>
          </w:tcPr>
          <w:p w14:paraId="45DD1F92" w14:textId="5C3576F1"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4</w:t>
            </w:r>
            <w:r w:rsidR="00657A47" w:rsidRPr="00B5494E">
              <w:rPr>
                <w:rFonts w:eastAsia="Times New Roman" w:cs="Arial"/>
                <w:sz w:val="18"/>
                <w:szCs w:val="18"/>
              </w:rPr>
              <w:t>54</w:t>
            </w:r>
            <w:r w:rsidRPr="00B5494E">
              <w:rPr>
                <w:rFonts w:eastAsia="Times New Roman" w:cs="Arial"/>
                <w:sz w:val="18"/>
                <w:szCs w:val="18"/>
              </w:rPr>
              <w:t>.4</w:t>
            </w:r>
          </w:p>
        </w:tc>
        <w:tc>
          <w:tcPr>
            <w:tcW w:w="1267" w:type="dxa"/>
            <w:shd w:val="clear" w:color="auto" w:fill="FFFFFF" w:themeFill="background1"/>
            <w:noWrap/>
            <w:vAlign w:val="center"/>
            <w:hideMark/>
          </w:tcPr>
          <w:p w14:paraId="4F1102BF"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50.10%</w:t>
            </w:r>
          </w:p>
        </w:tc>
        <w:tc>
          <w:tcPr>
            <w:tcW w:w="1152" w:type="dxa"/>
            <w:shd w:val="clear" w:color="auto" w:fill="FFFFFF" w:themeFill="background1"/>
            <w:noWrap/>
            <w:vAlign w:val="center"/>
            <w:hideMark/>
          </w:tcPr>
          <w:p w14:paraId="5AA34A01"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09/1979</w:t>
            </w:r>
          </w:p>
        </w:tc>
        <w:tc>
          <w:tcPr>
            <w:tcW w:w="1464" w:type="dxa"/>
            <w:shd w:val="clear" w:color="auto" w:fill="FFFFFF" w:themeFill="background1"/>
            <w:noWrap/>
            <w:vAlign w:val="center"/>
            <w:hideMark/>
          </w:tcPr>
          <w:p w14:paraId="455AE26D" w14:textId="0A20D88A"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06/20</w:t>
            </w:r>
            <w:r w:rsidR="0033742B" w:rsidRPr="00B5494E">
              <w:rPr>
                <w:rFonts w:eastAsia="Times New Roman" w:cs="Arial"/>
                <w:sz w:val="18"/>
                <w:szCs w:val="18"/>
              </w:rPr>
              <w:t>5</w:t>
            </w:r>
            <w:r w:rsidRPr="00B5494E">
              <w:rPr>
                <w:rFonts w:eastAsia="Times New Roman" w:cs="Arial"/>
                <w:sz w:val="18"/>
                <w:szCs w:val="18"/>
              </w:rPr>
              <w:t>8</w:t>
            </w:r>
          </w:p>
        </w:tc>
      </w:tr>
      <w:tr w:rsidR="00B5494E" w:rsidRPr="00B5494E" w14:paraId="29035067" w14:textId="77777777" w:rsidTr="00712AB6">
        <w:trPr>
          <w:trHeight w:val="288"/>
          <w:jc w:val="center"/>
        </w:trPr>
        <w:tc>
          <w:tcPr>
            <w:tcW w:w="1200" w:type="dxa"/>
            <w:shd w:val="clear" w:color="auto" w:fill="FFFFFF" w:themeFill="background1"/>
            <w:noWrap/>
            <w:vAlign w:val="center"/>
            <w:hideMark/>
          </w:tcPr>
          <w:p w14:paraId="76CFC95F"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Nuclear</w:t>
            </w:r>
          </w:p>
        </w:tc>
        <w:tc>
          <w:tcPr>
            <w:tcW w:w="2448" w:type="dxa"/>
            <w:shd w:val="clear" w:color="auto" w:fill="FFFFFF" w:themeFill="background1"/>
            <w:noWrap/>
            <w:vAlign w:val="center"/>
            <w:hideMark/>
          </w:tcPr>
          <w:p w14:paraId="1C6D373A"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VOGTLE 1</w:t>
            </w:r>
          </w:p>
        </w:tc>
        <w:tc>
          <w:tcPr>
            <w:tcW w:w="1440" w:type="dxa"/>
            <w:shd w:val="clear" w:color="auto" w:fill="FFFFFF" w:themeFill="background1"/>
            <w:noWrap/>
            <w:vAlign w:val="center"/>
            <w:hideMark/>
          </w:tcPr>
          <w:p w14:paraId="24EC6D56"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538.6</w:t>
            </w:r>
          </w:p>
        </w:tc>
        <w:tc>
          <w:tcPr>
            <w:tcW w:w="1320" w:type="dxa"/>
            <w:shd w:val="clear" w:color="auto" w:fill="FFFFFF" w:themeFill="background1"/>
            <w:noWrap/>
            <w:vAlign w:val="center"/>
            <w:hideMark/>
          </w:tcPr>
          <w:p w14:paraId="1D2B37BD" w14:textId="291FE992"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w:t>
            </w:r>
            <w:r w:rsidR="000224BA" w:rsidRPr="00B5494E">
              <w:rPr>
                <w:rFonts w:eastAsia="Times New Roman" w:cs="Arial"/>
                <w:sz w:val="18"/>
                <w:szCs w:val="18"/>
              </w:rPr>
              <w:t>59.7</w:t>
            </w:r>
          </w:p>
        </w:tc>
        <w:tc>
          <w:tcPr>
            <w:tcW w:w="1267" w:type="dxa"/>
            <w:shd w:val="clear" w:color="auto" w:fill="FFFFFF" w:themeFill="background1"/>
            <w:noWrap/>
            <w:vAlign w:val="center"/>
            <w:hideMark/>
          </w:tcPr>
          <w:p w14:paraId="1E0609AE" w14:textId="65BECFFC" w:rsidR="00C210A4" w:rsidRPr="00B5494E" w:rsidRDefault="008C54E4" w:rsidP="004911AE">
            <w:pPr>
              <w:spacing w:after="0" w:line="240" w:lineRule="auto"/>
              <w:jc w:val="center"/>
              <w:rPr>
                <w:rFonts w:eastAsia="Times New Roman" w:cs="Arial"/>
                <w:sz w:val="18"/>
                <w:szCs w:val="18"/>
              </w:rPr>
            </w:pPr>
            <w:r w:rsidRPr="00B5494E">
              <w:rPr>
                <w:rFonts w:eastAsia="Times New Roman" w:cs="Arial"/>
                <w:sz w:val="18"/>
                <w:szCs w:val="18"/>
              </w:rPr>
              <w:t>46.83</w:t>
            </w:r>
            <w:r w:rsidR="00C210A4" w:rsidRPr="00B5494E">
              <w:rPr>
                <w:rFonts w:eastAsia="Times New Roman" w:cs="Arial"/>
                <w:sz w:val="18"/>
                <w:szCs w:val="18"/>
              </w:rPr>
              <w:t>%</w:t>
            </w:r>
            <w:r w:rsidRPr="00B5494E">
              <w:rPr>
                <w:rStyle w:val="FootnoteReference"/>
                <w:rFonts w:eastAsia="Times New Roman" w:cs="Arial"/>
                <w:sz w:val="18"/>
                <w:szCs w:val="18"/>
              </w:rPr>
              <w:footnoteReference w:id="45"/>
            </w:r>
          </w:p>
        </w:tc>
        <w:tc>
          <w:tcPr>
            <w:tcW w:w="1152" w:type="dxa"/>
            <w:shd w:val="clear" w:color="auto" w:fill="FFFFFF" w:themeFill="background1"/>
            <w:noWrap/>
            <w:vAlign w:val="center"/>
            <w:hideMark/>
          </w:tcPr>
          <w:p w14:paraId="68AE1EA4"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05/1987</w:t>
            </w:r>
          </w:p>
        </w:tc>
        <w:tc>
          <w:tcPr>
            <w:tcW w:w="1464" w:type="dxa"/>
            <w:shd w:val="clear" w:color="auto" w:fill="FFFFFF" w:themeFill="background1"/>
            <w:noWrap/>
            <w:vAlign w:val="center"/>
            <w:hideMark/>
          </w:tcPr>
          <w:p w14:paraId="7ADA6FE3" w14:textId="3BE8F008"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01/20</w:t>
            </w:r>
            <w:r w:rsidR="008C7021" w:rsidRPr="00B5494E">
              <w:rPr>
                <w:rFonts w:eastAsia="Times New Roman" w:cs="Arial"/>
                <w:sz w:val="18"/>
                <w:szCs w:val="18"/>
              </w:rPr>
              <w:t>6</w:t>
            </w:r>
            <w:r w:rsidRPr="00B5494E">
              <w:rPr>
                <w:rFonts w:eastAsia="Times New Roman" w:cs="Arial"/>
                <w:sz w:val="18"/>
                <w:szCs w:val="18"/>
              </w:rPr>
              <w:t>7</w:t>
            </w:r>
          </w:p>
        </w:tc>
      </w:tr>
      <w:tr w:rsidR="00B5494E" w:rsidRPr="00B5494E" w14:paraId="2CE9D39C" w14:textId="77777777" w:rsidTr="00712AB6">
        <w:trPr>
          <w:trHeight w:val="288"/>
          <w:jc w:val="center"/>
        </w:trPr>
        <w:tc>
          <w:tcPr>
            <w:tcW w:w="1200" w:type="dxa"/>
            <w:shd w:val="clear" w:color="auto" w:fill="FFFFFF" w:themeFill="background1"/>
            <w:noWrap/>
            <w:vAlign w:val="center"/>
            <w:hideMark/>
          </w:tcPr>
          <w:p w14:paraId="7F30397C"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Nuclear</w:t>
            </w:r>
          </w:p>
        </w:tc>
        <w:tc>
          <w:tcPr>
            <w:tcW w:w="2448" w:type="dxa"/>
            <w:shd w:val="clear" w:color="auto" w:fill="FFFFFF" w:themeFill="background1"/>
            <w:noWrap/>
            <w:vAlign w:val="center"/>
            <w:hideMark/>
          </w:tcPr>
          <w:p w14:paraId="781A417B"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VOGTLE 2</w:t>
            </w:r>
          </w:p>
        </w:tc>
        <w:tc>
          <w:tcPr>
            <w:tcW w:w="1440" w:type="dxa"/>
            <w:shd w:val="clear" w:color="auto" w:fill="FFFFFF" w:themeFill="background1"/>
            <w:noWrap/>
            <w:vAlign w:val="center"/>
            <w:hideMark/>
          </w:tcPr>
          <w:p w14:paraId="224EFA34"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539.5</w:t>
            </w:r>
          </w:p>
        </w:tc>
        <w:tc>
          <w:tcPr>
            <w:tcW w:w="1320" w:type="dxa"/>
            <w:shd w:val="clear" w:color="auto" w:fill="FFFFFF" w:themeFill="background1"/>
            <w:noWrap/>
            <w:vAlign w:val="center"/>
            <w:hideMark/>
          </w:tcPr>
          <w:p w14:paraId="4AE173BB" w14:textId="724D3C25"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w:t>
            </w:r>
            <w:r w:rsidR="000224BA" w:rsidRPr="00B5494E">
              <w:rPr>
                <w:rFonts w:eastAsia="Times New Roman" w:cs="Arial"/>
                <w:sz w:val="18"/>
                <w:szCs w:val="18"/>
              </w:rPr>
              <w:t>63.0</w:t>
            </w:r>
          </w:p>
        </w:tc>
        <w:tc>
          <w:tcPr>
            <w:tcW w:w="1267" w:type="dxa"/>
            <w:shd w:val="clear" w:color="auto" w:fill="FFFFFF" w:themeFill="background1"/>
            <w:noWrap/>
            <w:vAlign w:val="center"/>
            <w:hideMark/>
          </w:tcPr>
          <w:p w14:paraId="4621BAC7" w14:textId="660E1170" w:rsidR="00C210A4" w:rsidRPr="00B5494E" w:rsidRDefault="008C54E4" w:rsidP="004911AE">
            <w:pPr>
              <w:spacing w:after="0" w:line="240" w:lineRule="auto"/>
              <w:jc w:val="center"/>
              <w:rPr>
                <w:rFonts w:eastAsia="Times New Roman" w:cs="Arial"/>
                <w:sz w:val="18"/>
                <w:szCs w:val="18"/>
              </w:rPr>
            </w:pPr>
            <w:r w:rsidRPr="00B5494E">
              <w:rPr>
                <w:rFonts w:eastAsia="Times New Roman" w:cs="Arial"/>
                <w:sz w:val="18"/>
                <w:szCs w:val="18"/>
              </w:rPr>
              <w:t>46.83</w:t>
            </w:r>
            <w:r w:rsidR="00C210A4" w:rsidRPr="00B5494E">
              <w:rPr>
                <w:rFonts w:eastAsia="Times New Roman" w:cs="Arial"/>
                <w:sz w:val="18"/>
                <w:szCs w:val="18"/>
              </w:rPr>
              <w:t>%</w:t>
            </w:r>
          </w:p>
        </w:tc>
        <w:tc>
          <w:tcPr>
            <w:tcW w:w="1152" w:type="dxa"/>
            <w:shd w:val="clear" w:color="auto" w:fill="FFFFFF" w:themeFill="background1"/>
            <w:noWrap/>
            <w:vAlign w:val="center"/>
            <w:hideMark/>
          </w:tcPr>
          <w:p w14:paraId="17074913"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05/1989</w:t>
            </w:r>
          </w:p>
        </w:tc>
        <w:tc>
          <w:tcPr>
            <w:tcW w:w="1464" w:type="dxa"/>
            <w:shd w:val="clear" w:color="auto" w:fill="FFFFFF" w:themeFill="background1"/>
            <w:noWrap/>
            <w:vAlign w:val="center"/>
            <w:hideMark/>
          </w:tcPr>
          <w:p w14:paraId="0D8B1D25" w14:textId="18093E19"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02/20</w:t>
            </w:r>
            <w:r w:rsidR="00C00A1E" w:rsidRPr="00B5494E">
              <w:rPr>
                <w:rFonts w:eastAsia="Times New Roman" w:cs="Arial"/>
                <w:sz w:val="18"/>
                <w:szCs w:val="18"/>
              </w:rPr>
              <w:t>6</w:t>
            </w:r>
            <w:r w:rsidRPr="00B5494E">
              <w:rPr>
                <w:rFonts w:eastAsia="Times New Roman" w:cs="Arial"/>
                <w:sz w:val="18"/>
                <w:szCs w:val="18"/>
              </w:rPr>
              <w:t>9</w:t>
            </w:r>
          </w:p>
        </w:tc>
      </w:tr>
      <w:tr w:rsidR="00B5494E" w:rsidRPr="00B5494E" w14:paraId="3C0ECFAE" w14:textId="77777777" w:rsidTr="00712AB6">
        <w:trPr>
          <w:trHeight w:val="288"/>
          <w:jc w:val="center"/>
        </w:trPr>
        <w:tc>
          <w:tcPr>
            <w:tcW w:w="1200" w:type="dxa"/>
            <w:shd w:val="clear" w:color="auto" w:fill="FFFFFF" w:themeFill="background1"/>
            <w:noWrap/>
            <w:vAlign w:val="center"/>
            <w:hideMark/>
          </w:tcPr>
          <w:p w14:paraId="2167BFDF"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Nuclear</w:t>
            </w:r>
          </w:p>
        </w:tc>
        <w:tc>
          <w:tcPr>
            <w:tcW w:w="2448" w:type="dxa"/>
            <w:shd w:val="clear" w:color="auto" w:fill="FFFFFF" w:themeFill="background1"/>
            <w:noWrap/>
            <w:vAlign w:val="center"/>
            <w:hideMark/>
          </w:tcPr>
          <w:p w14:paraId="24388A55" w14:textId="36F41184"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VOGTLE 3</w:t>
            </w:r>
          </w:p>
        </w:tc>
        <w:tc>
          <w:tcPr>
            <w:tcW w:w="1440" w:type="dxa"/>
            <w:shd w:val="clear" w:color="auto" w:fill="FFFFFF" w:themeFill="background1"/>
            <w:noWrap/>
            <w:vAlign w:val="center"/>
            <w:hideMark/>
          </w:tcPr>
          <w:p w14:paraId="281F9AD3" w14:textId="359FF2DD"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w:t>
            </w:r>
            <w:r w:rsidR="005B532F" w:rsidRPr="00B5494E">
              <w:rPr>
                <w:rFonts w:eastAsia="Times New Roman" w:cs="Arial"/>
                <w:sz w:val="18"/>
                <w:szCs w:val="18"/>
              </w:rPr>
              <w:t>10.</w:t>
            </w:r>
            <w:r w:rsidRPr="00B5494E">
              <w:rPr>
                <w:rFonts w:eastAsia="Times New Roman" w:cs="Arial"/>
                <w:sz w:val="18"/>
                <w:szCs w:val="18"/>
              </w:rPr>
              <w:t>5</w:t>
            </w:r>
          </w:p>
        </w:tc>
        <w:tc>
          <w:tcPr>
            <w:tcW w:w="1320" w:type="dxa"/>
            <w:shd w:val="clear" w:color="auto" w:fill="FFFFFF" w:themeFill="background1"/>
            <w:noWrap/>
            <w:vAlign w:val="center"/>
            <w:hideMark/>
          </w:tcPr>
          <w:p w14:paraId="5F83501D" w14:textId="5434E173"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w:t>
            </w:r>
            <w:r w:rsidR="000224BA" w:rsidRPr="00B5494E">
              <w:rPr>
                <w:rFonts w:eastAsia="Times New Roman" w:cs="Arial"/>
                <w:sz w:val="18"/>
                <w:szCs w:val="18"/>
              </w:rPr>
              <w:t>10.</w:t>
            </w:r>
            <w:r w:rsidRPr="00B5494E">
              <w:rPr>
                <w:rFonts w:eastAsia="Times New Roman" w:cs="Arial"/>
                <w:sz w:val="18"/>
                <w:szCs w:val="18"/>
              </w:rPr>
              <w:t>5</w:t>
            </w:r>
          </w:p>
        </w:tc>
        <w:tc>
          <w:tcPr>
            <w:tcW w:w="1267" w:type="dxa"/>
            <w:shd w:val="clear" w:color="auto" w:fill="FFFFFF" w:themeFill="background1"/>
            <w:noWrap/>
            <w:vAlign w:val="center"/>
            <w:hideMark/>
          </w:tcPr>
          <w:p w14:paraId="4BA562F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45.70%</w:t>
            </w:r>
          </w:p>
        </w:tc>
        <w:tc>
          <w:tcPr>
            <w:tcW w:w="1152" w:type="dxa"/>
            <w:shd w:val="clear" w:color="auto" w:fill="FFFFFF" w:themeFill="background1"/>
            <w:noWrap/>
            <w:vAlign w:val="center"/>
            <w:hideMark/>
          </w:tcPr>
          <w:p w14:paraId="22D2964B" w14:textId="6CF92992" w:rsidR="00C210A4" w:rsidRPr="00B5494E" w:rsidRDefault="005E7490" w:rsidP="004911AE">
            <w:pPr>
              <w:spacing w:after="0" w:line="240" w:lineRule="auto"/>
              <w:jc w:val="center"/>
              <w:rPr>
                <w:rFonts w:eastAsia="Times New Roman" w:cs="Arial"/>
                <w:sz w:val="18"/>
                <w:szCs w:val="18"/>
              </w:rPr>
            </w:pPr>
            <w:r w:rsidRPr="00B5494E">
              <w:rPr>
                <w:rFonts w:eastAsia="Times New Roman" w:cs="Arial"/>
                <w:sz w:val="18"/>
                <w:szCs w:val="18"/>
              </w:rPr>
              <w:t>07/2023</w:t>
            </w:r>
          </w:p>
        </w:tc>
        <w:tc>
          <w:tcPr>
            <w:tcW w:w="1464" w:type="dxa"/>
            <w:shd w:val="clear" w:color="auto" w:fill="FFFFFF" w:themeFill="background1"/>
            <w:noWrap/>
            <w:vAlign w:val="center"/>
            <w:hideMark/>
          </w:tcPr>
          <w:p w14:paraId="03DC78B1" w14:textId="4D18131C"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w:t>
            </w:r>
            <w:r w:rsidR="00F21201" w:rsidRPr="00B5494E">
              <w:rPr>
                <w:rFonts w:eastAsia="Times New Roman" w:cs="Arial"/>
                <w:sz w:val="18"/>
                <w:szCs w:val="18"/>
              </w:rPr>
              <w:t>7</w:t>
            </w:r>
            <w:r w:rsidRPr="00B5494E">
              <w:rPr>
                <w:rFonts w:eastAsia="Times New Roman" w:cs="Arial"/>
                <w:sz w:val="18"/>
                <w:szCs w:val="18"/>
              </w:rPr>
              <w:t>/208</w:t>
            </w:r>
            <w:r w:rsidR="00F21201" w:rsidRPr="00B5494E">
              <w:rPr>
                <w:rFonts w:eastAsia="Times New Roman" w:cs="Arial"/>
                <w:sz w:val="18"/>
                <w:szCs w:val="18"/>
              </w:rPr>
              <w:t>3</w:t>
            </w:r>
          </w:p>
        </w:tc>
      </w:tr>
      <w:tr w:rsidR="00B5494E" w:rsidRPr="00B5494E" w14:paraId="14AEC871" w14:textId="77777777" w:rsidTr="00712AB6">
        <w:trPr>
          <w:trHeight w:val="288"/>
          <w:jc w:val="center"/>
        </w:trPr>
        <w:tc>
          <w:tcPr>
            <w:tcW w:w="1200" w:type="dxa"/>
            <w:shd w:val="clear" w:color="auto" w:fill="FFFFFF" w:themeFill="background1"/>
            <w:noWrap/>
            <w:vAlign w:val="center"/>
            <w:hideMark/>
          </w:tcPr>
          <w:p w14:paraId="1F421497"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Nuclear</w:t>
            </w:r>
          </w:p>
        </w:tc>
        <w:tc>
          <w:tcPr>
            <w:tcW w:w="2448" w:type="dxa"/>
            <w:shd w:val="clear" w:color="auto" w:fill="FFFFFF" w:themeFill="background1"/>
            <w:noWrap/>
            <w:vAlign w:val="center"/>
            <w:hideMark/>
          </w:tcPr>
          <w:p w14:paraId="451C982E" w14:textId="1C2F6D89"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VOGTLE 4</w:t>
            </w:r>
          </w:p>
        </w:tc>
        <w:tc>
          <w:tcPr>
            <w:tcW w:w="1440" w:type="dxa"/>
            <w:shd w:val="clear" w:color="auto" w:fill="FFFFFF" w:themeFill="background1"/>
            <w:noWrap/>
            <w:vAlign w:val="center"/>
            <w:hideMark/>
          </w:tcPr>
          <w:p w14:paraId="750706CE" w14:textId="0BB9D8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w:t>
            </w:r>
            <w:r w:rsidR="005B532F" w:rsidRPr="00B5494E">
              <w:rPr>
                <w:rFonts w:eastAsia="Times New Roman" w:cs="Arial"/>
                <w:sz w:val="18"/>
                <w:szCs w:val="18"/>
              </w:rPr>
              <w:t>10.</w:t>
            </w:r>
            <w:r w:rsidRPr="00B5494E">
              <w:rPr>
                <w:rFonts w:eastAsia="Times New Roman" w:cs="Arial"/>
                <w:sz w:val="18"/>
                <w:szCs w:val="18"/>
              </w:rPr>
              <w:t>5</w:t>
            </w:r>
          </w:p>
        </w:tc>
        <w:tc>
          <w:tcPr>
            <w:tcW w:w="1320" w:type="dxa"/>
            <w:shd w:val="clear" w:color="auto" w:fill="FFFFFF" w:themeFill="background1"/>
            <w:noWrap/>
            <w:vAlign w:val="center"/>
            <w:hideMark/>
          </w:tcPr>
          <w:p w14:paraId="299D14D5" w14:textId="73B1FEFB"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w:t>
            </w:r>
            <w:r w:rsidR="005B532F" w:rsidRPr="00B5494E">
              <w:rPr>
                <w:rFonts w:eastAsia="Times New Roman" w:cs="Arial"/>
                <w:sz w:val="18"/>
                <w:szCs w:val="18"/>
              </w:rPr>
              <w:t>10.</w:t>
            </w:r>
            <w:r w:rsidRPr="00B5494E">
              <w:rPr>
                <w:rFonts w:eastAsia="Times New Roman" w:cs="Arial"/>
                <w:sz w:val="18"/>
                <w:szCs w:val="18"/>
              </w:rPr>
              <w:t>5</w:t>
            </w:r>
          </w:p>
        </w:tc>
        <w:tc>
          <w:tcPr>
            <w:tcW w:w="1267" w:type="dxa"/>
            <w:shd w:val="clear" w:color="auto" w:fill="FFFFFF" w:themeFill="background1"/>
            <w:noWrap/>
            <w:vAlign w:val="center"/>
            <w:hideMark/>
          </w:tcPr>
          <w:p w14:paraId="0A34FCEF"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45.70%</w:t>
            </w:r>
          </w:p>
        </w:tc>
        <w:tc>
          <w:tcPr>
            <w:tcW w:w="1152" w:type="dxa"/>
            <w:shd w:val="clear" w:color="auto" w:fill="FFFFFF" w:themeFill="background1"/>
            <w:noWrap/>
            <w:vAlign w:val="center"/>
            <w:hideMark/>
          </w:tcPr>
          <w:p w14:paraId="2DD8103A" w14:textId="66B01C30" w:rsidR="00C210A4" w:rsidRPr="00B5494E" w:rsidRDefault="00F21201" w:rsidP="004911AE">
            <w:pPr>
              <w:spacing w:after="0" w:line="240" w:lineRule="auto"/>
              <w:jc w:val="center"/>
              <w:rPr>
                <w:rFonts w:eastAsia="Times New Roman" w:cs="Arial"/>
                <w:sz w:val="18"/>
                <w:szCs w:val="18"/>
              </w:rPr>
            </w:pPr>
            <w:r w:rsidRPr="00B5494E">
              <w:rPr>
                <w:rFonts w:eastAsia="Times New Roman" w:cs="Arial"/>
                <w:sz w:val="18"/>
                <w:szCs w:val="18"/>
              </w:rPr>
              <w:t>04/2024</w:t>
            </w:r>
          </w:p>
        </w:tc>
        <w:tc>
          <w:tcPr>
            <w:tcW w:w="1464" w:type="dxa"/>
            <w:shd w:val="clear" w:color="auto" w:fill="FFFFFF" w:themeFill="background1"/>
            <w:noWrap/>
            <w:vAlign w:val="center"/>
            <w:hideMark/>
          </w:tcPr>
          <w:p w14:paraId="54F34BC6" w14:textId="002DF0C3"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w:t>
            </w:r>
            <w:r w:rsidR="00A85181" w:rsidRPr="00B5494E">
              <w:rPr>
                <w:rFonts w:eastAsia="Times New Roman" w:cs="Arial"/>
                <w:sz w:val="18"/>
                <w:szCs w:val="18"/>
              </w:rPr>
              <w:t>4</w:t>
            </w:r>
            <w:r w:rsidRPr="00B5494E">
              <w:rPr>
                <w:rFonts w:eastAsia="Times New Roman" w:cs="Arial"/>
                <w:sz w:val="18"/>
                <w:szCs w:val="18"/>
              </w:rPr>
              <w:t>/208</w:t>
            </w:r>
            <w:r w:rsidR="00A85181" w:rsidRPr="00B5494E">
              <w:rPr>
                <w:rFonts w:eastAsia="Times New Roman" w:cs="Arial"/>
                <w:sz w:val="18"/>
                <w:szCs w:val="18"/>
              </w:rPr>
              <w:t>4</w:t>
            </w:r>
          </w:p>
        </w:tc>
      </w:tr>
      <w:tr w:rsidR="00B5494E" w:rsidRPr="00B5494E" w14:paraId="5345783A" w14:textId="77777777" w:rsidTr="00712AB6">
        <w:trPr>
          <w:trHeight w:val="288"/>
          <w:jc w:val="center"/>
        </w:trPr>
        <w:tc>
          <w:tcPr>
            <w:tcW w:w="1200" w:type="dxa"/>
            <w:shd w:val="clear" w:color="auto" w:fill="FFFFFF" w:themeFill="background1"/>
            <w:noWrap/>
            <w:vAlign w:val="center"/>
            <w:hideMark/>
          </w:tcPr>
          <w:p w14:paraId="104C64E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Coal</w:t>
            </w:r>
          </w:p>
        </w:tc>
        <w:tc>
          <w:tcPr>
            <w:tcW w:w="2448" w:type="dxa"/>
            <w:shd w:val="clear" w:color="auto" w:fill="FFFFFF" w:themeFill="background1"/>
            <w:noWrap/>
            <w:vAlign w:val="center"/>
            <w:hideMark/>
          </w:tcPr>
          <w:p w14:paraId="5DC7C131"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BOWEN 1</w:t>
            </w:r>
          </w:p>
        </w:tc>
        <w:tc>
          <w:tcPr>
            <w:tcW w:w="1440" w:type="dxa"/>
            <w:shd w:val="clear" w:color="auto" w:fill="FFFFFF" w:themeFill="background1"/>
            <w:noWrap/>
            <w:vAlign w:val="center"/>
            <w:hideMark/>
          </w:tcPr>
          <w:p w14:paraId="534B5562"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714</w:t>
            </w:r>
          </w:p>
        </w:tc>
        <w:tc>
          <w:tcPr>
            <w:tcW w:w="1320" w:type="dxa"/>
            <w:shd w:val="clear" w:color="auto" w:fill="FFFFFF" w:themeFill="background1"/>
            <w:noWrap/>
            <w:vAlign w:val="center"/>
            <w:hideMark/>
          </w:tcPr>
          <w:p w14:paraId="0C176F9D" w14:textId="0E8FD46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7</w:t>
            </w:r>
            <w:r w:rsidR="00375199" w:rsidRPr="00B5494E">
              <w:rPr>
                <w:rFonts w:eastAsia="Times New Roman" w:cs="Arial"/>
                <w:sz w:val="18"/>
                <w:szCs w:val="18"/>
              </w:rPr>
              <w:t>40</w:t>
            </w:r>
          </w:p>
        </w:tc>
        <w:tc>
          <w:tcPr>
            <w:tcW w:w="1267" w:type="dxa"/>
            <w:shd w:val="clear" w:color="auto" w:fill="FFFFFF" w:themeFill="background1"/>
            <w:noWrap/>
            <w:vAlign w:val="center"/>
            <w:hideMark/>
          </w:tcPr>
          <w:p w14:paraId="7A2199CC"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7616170D"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10/1971</w:t>
            </w:r>
          </w:p>
        </w:tc>
        <w:tc>
          <w:tcPr>
            <w:tcW w:w="1464" w:type="dxa"/>
            <w:shd w:val="clear" w:color="auto" w:fill="FFFFFF" w:themeFill="background1"/>
            <w:noWrap/>
            <w:vAlign w:val="center"/>
            <w:hideMark/>
          </w:tcPr>
          <w:p w14:paraId="487F35F3" w14:textId="3ED43894"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12/20</w:t>
            </w:r>
            <w:r w:rsidR="00656DDD" w:rsidRPr="00B5494E">
              <w:rPr>
                <w:rFonts w:eastAsia="Times New Roman" w:cs="Arial"/>
                <w:sz w:val="18"/>
                <w:szCs w:val="18"/>
              </w:rPr>
              <w:t>35</w:t>
            </w:r>
          </w:p>
        </w:tc>
      </w:tr>
      <w:tr w:rsidR="00B5494E" w:rsidRPr="00B5494E" w14:paraId="001B46F1" w14:textId="77777777" w:rsidTr="00712AB6">
        <w:trPr>
          <w:trHeight w:val="288"/>
          <w:jc w:val="center"/>
        </w:trPr>
        <w:tc>
          <w:tcPr>
            <w:tcW w:w="1200" w:type="dxa"/>
            <w:shd w:val="clear" w:color="auto" w:fill="FFFFFF" w:themeFill="background1"/>
            <w:noWrap/>
            <w:vAlign w:val="center"/>
            <w:hideMark/>
          </w:tcPr>
          <w:p w14:paraId="2B2237D1"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Coal</w:t>
            </w:r>
          </w:p>
        </w:tc>
        <w:tc>
          <w:tcPr>
            <w:tcW w:w="2448" w:type="dxa"/>
            <w:shd w:val="clear" w:color="auto" w:fill="FFFFFF" w:themeFill="background1"/>
            <w:noWrap/>
            <w:vAlign w:val="center"/>
            <w:hideMark/>
          </w:tcPr>
          <w:p w14:paraId="5AC4123C"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BOWEN 2</w:t>
            </w:r>
          </w:p>
        </w:tc>
        <w:tc>
          <w:tcPr>
            <w:tcW w:w="1440" w:type="dxa"/>
            <w:shd w:val="clear" w:color="auto" w:fill="FFFFFF" w:themeFill="background1"/>
            <w:noWrap/>
            <w:vAlign w:val="center"/>
            <w:hideMark/>
          </w:tcPr>
          <w:p w14:paraId="2EFC6250" w14:textId="6E8B525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7</w:t>
            </w:r>
            <w:r w:rsidR="00325D5E" w:rsidRPr="00B5494E">
              <w:rPr>
                <w:rFonts w:eastAsia="Times New Roman" w:cs="Arial"/>
                <w:sz w:val="18"/>
                <w:szCs w:val="18"/>
              </w:rPr>
              <w:t>05</w:t>
            </w:r>
          </w:p>
        </w:tc>
        <w:tc>
          <w:tcPr>
            <w:tcW w:w="1320" w:type="dxa"/>
            <w:shd w:val="clear" w:color="auto" w:fill="FFFFFF" w:themeFill="background1"/>
            <w:noWrap/>
            <w:vAlign w:val="center"/>
            <w:hideMark/>
          </w:tcPr>
          <w:p w14:paraId="23545ABA" w14:textId="71E2C5DE"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7</w:t>
            </w:r>
            <w:r w:rsidR="00375199" w:rsidRPr="00B5494E">
              <w:rPr>
                <w:rFonts w:eastAsia="Times New Roman" w:cs="Arial"/>
                <w:sz w:val="18"/>
                <w:szCs w:val="18"/>
              </w:rPr>
              <w:t>60</w:t>
            </w:r>
          </w:p>
        </w:tc>
        <w:tc>
          <w:tcPr>
            <w:tcW w:w="1267" w:type="dxa"/>
            <w:shd w:val="clear" w:color="auto" w:fill="FFFFFF" w:themeFill="background1"/>
            <w:noWrap/>
            <w:vAlign w:val="center"/>
            <w:hideMark/>
          </w:tcPr>
          <w:p w14:paraId="762945DE"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286A4D9C"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09/1972</w:t>
            </w:r>
          </w:p>
        </w:tc>
        <w:tc>
          <w:tcPr>
            <w:tcW w:w="1464" w:type="dxa"/>
            <w:shd w:val="clear" w:color="auto" w:fill="FFFFFF" w:themeFill="background1"/>
            <w:noWrap/>
            <w:vAlign w:val="center"/>
            <w:hideMark/>
          </w:tcPr>
          <w:p w14:paraId="11302C2C" w14:textId="23CDD601"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12/20</w:t>
            </w:r>
            <w:r w:rsidR="00656DDD" w:rsidRPr="00B5494E">
              <w:rPr>
                <w:rFonts w:eastAsia="Times New Roman" w:cs="Arial"/>
                <w:sz w:val="18"/>
                <w:szCs w:val="18"/>
              </w:rPr>
              <w:t>35</w:t>
            </w:r>
          </w:p>
        </w:tc>
      </w:tr>
      <w:tr w:rsidR="00B5494E" w:rsidRPr="00B5494E" w14:paraId="47AC2B16" w14:textId="77777777" w:rsidTr="00712AB6">
        <w:trPr>
          <w:trHeight w:val="288"/>
          <w:jc w:val="center"/>
        </w:trPr>
        <w:tc>
          <w:tcPr>
            <w:tcW w:w="1200" w:type="dxa"/>
            <w:shd w:val="clear" w:color="auto" w:fill="FFFFFF" w:themeFill="background1"/>
            <w:noWrap/>
            <w:vAlign w:val="center"/>
            <w:hideMark/>
          </w:tcPr>
          <w:p w14:paraId="317D2C72"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Coal</w:t>
            </w:r>
          </w:p>
        </w:tc>
        <w:tc>
          <w:tcPr>
            <w:tcW w:w="2448" w:type="dxa"/>
            <w:shd w:val="clear" w:color="auto" w:fill="FFFFFF" w:themeFill="background1"/>
            <w:noWrap/>
            <w:vAlign w:val="center"/>
            <w:hideMark/>
          </w:tcPr>
          <w:p w14:paraId="2A1EE14A"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BOWEN 3</w:t>
            </w:r>
          </w:p>
        </w:tc>
        <w:tc>
          <w:tcPr>
            <w:tcW w:w="1440" w:type="dxa"/>
            <w:shd w:val="clear" w:color="auto" w:fill="FFFFFF" w:themeFill="background1"/>
            <w:noWrap/>
            <w:vAlign w:val="center"/>
            <w:hideMark/>
          </w:tcPr>
          <w:p w14:paraId="7DB5ADDE" w14:textId="2A979DAF" w:rsidR="00C210A4" w:rsidRPr="00B5494E" w:rsidRDefault="005324AC" w:rsidP="004911AE">
            <w:pPr>
              <w:spacing w:after="0" w:line="240" w:lineRule="auto"/>
              <w:jc w:val="center"/>
              <w:rPr>
                <w:rFonts w:eastAsia="Times New Roman" w:cs="Arial"/>
                <w:sz w:val="18"/>
                <w:szCs w:val="18"/>
              </w:rPr>
            </w:pPr>
            <w:r w:rsidRPr="00B5494E">
              <w:rPr>
                <w:rFonts w:eastAsia="Times New Roman" w:cs="Arial"/>
                <w:sz w:val="18"/>
                <w:szCs w:val="18"/>
              </w:rPr>
              <w:t>910</w:t>
            </w:r>
          </w:p>
        </w:tc>
        <w:tc>
          <w:tcPr>
            <w:tcW w:w="1320" w:type="dxa"/>
            <w:shd w:val="clear" w:color="auto" w:fill="FFFFFF" w:themeFill="background1"/>
            <w:noWrap/>
            <w:vAlign w:val="center"/>
            <w:hideMark/>
          </w:tcPr>
          <w:p w14:paraId="3DDC239F" w14:textId="15891AB1" w:rsidR="00C210A4" w:rsidRPr="00B5494E" w:rsidRDefault="00375199" w:rsidP="004911AE">
            <w:pPr>
              <w:spacing w:after="0" w:line="240" w:lineRule="auto"/>
              <w:jc w:val="center"/>
              <w:rPr>
                <w:rFonts w:eastAsia="Times New Roman" w:cs="Arial"/>
                <w:sz w:val="18"/>
                <w:szCs w:val="18"/>
              </w:rPr>
            </w:pPr>
            <w:r w:rsidRPr="00B5494E">
              <w:rPr>
                <w:rFonts w:eastAsia="Times New Roman" w:cs="Arial"/>
                <w:sz w:val="18"/>
                <w:szCs w:val="18"/>
              </w:rPr>
              <w:t>950</w:t>
            </w:r>
          </w:p>
        </w:tc>
        <w:tc>
          <w:tcPr>
            <w:tcW w:w="1267" w:type="dxa"/>
            <w:shd w:val="clear" w:color="auto" w:fill="FFFFFF" w:themeFill="background1"/>
            <w:noWrap/>
            <w:vAlign w:val="center"/>
            <w:hideMark/>
          </w:tcPr>
          <w:p w14:paraId="414F5BE9"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1C85C89F"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12/1974</w:t>
            </w:r>
          </w:p>
        </w:tc>
        <w:tc>
          <w:tcPr>
            <w:tcW w:w="1464" w:type="dxa"/>
            <w:shd w:val="clear" w:color="auto" w:fill="FFFFFF" w:themeFill="background1"/>
            <w:noWrap/>
            <w:vAlign w:val="center"/>
            <w:hideMark/>
          </w:tcPr>
          <w:p w14:paraId="536E407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12/2035</w:t>
            </w:r>
          </w:p>
        </w:tc>
      </w:tr>
      <w:tr w:rsidR="00B5494E" w:rsidRPr="00B5494E" w14:paraId="18D052CF" w14:textId="77777777" w:rsidTr="00712AB6">
        <w:trPr>
          <w:trHeight w:val="288"/>
          <w:jc w:val="center"/>
        </w:trPr>
        <w:tc>
          <w:tcPr>
            <w:tcW w:w="1200" w:type="dxa"/>
            <w:shd w:val="clear" w:color="auto" w:fill="FFFFFF" w:themeFill="background1"/>
            <w:noWrap/>
            <w:vAlign w:val="center"/>
            <w:hideMark/>
          </w:tcPr>
          <w:p w14:paraId="32FDCF9F"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Coal</w:t>
            </w:r>
          </w:p>
        </w:tc>
        <w:tc>
          <w:tcPr>
            <w:tcW w:w="2448" w:type="dxa"/>
            <w:shd w:val="clear" w:color="auto" w:fill="FFFFFF" w:themeFill="background1"/>
            <w:noWrap/>
            <w:vAlign w:val="center"/>
            <w:hideMark/>
          </w:tcPr>
          <w:p w14:paraId="4E12DE6D"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BOWEN 4</w:t>
            </w:r>
          </w:p>
        </w:tc>
        <w:tc>
          <w:tcPr>
            <w:tcW w:w="1440" w:type="dxa"/>
            <w:shd w:val="clear" w:color="auto" w:fill="FFFFFF" w:themeFill="background1"/>
            <w:noWrap/>
            <w:vAlign w:val="center"/>
            <w:hideMark/>
          </w:tcPr>
          <w:p w14:paraId="44EBE95E" w14:textId="47D1C327" w:rsidR="00C210A4" w:rsidRPr="00B5494E" w:rsidRDefault="005324AC" w:rsidP="004911AE">
            <w:pPr>
              <w:spacing w:after="0" w:line="240" w:lineRule="auto"/>
              <w:jc w:val="center"/>
              <w:rPr>
                <w:rFonts w:eastAsia="Times New Roman" w:cs="Arial"/>
                <w:sz w:val="18"/>
                <w:szCs w:val="18"/>
              </w:rPr>
            </w:pPr>
            <w:r w:rsidRPr="00B5494E">
              <w:rPr>
                <w:rFonts w:eastAsia="Times New Roman" w:cs="Arial"/>
                <w:sz w:val="18"/>
                <w:szCs w:val="18"/>
              </w:rPr>
              <w:t>910</w:t>
            </w:r>
          </w:p>
        </w:tc>
        <w:tc>
          <w:tcPr>
            <w:tcW w:w="1320" w:type="dxa"/>
            <w:shd w:val="clear" w:color="auto" w:fill="FFFFFF" w:themeFill="background1"/>
            <w:noWrap/>
            <w:vAlign w:val="center"/>
            <w:hideMark/>
          </w:tcPr>
          <w:p w14:paraId="296498F6" w14:textId="55389A9D" w:rsidR="00C210A4" w:rsidRPr="00B5494E" w:rsidRDefault="00375199" w:rsidP="004911AE">
            <w:pPr>
              <w:spacing w:after="0" w:line="240" w:lineRule="auto"/>
              <w:jc w:val="center"/>
              <w:rPr>
                <w:rFonts w:eastAsia="Times New Roman" w:cs="Arial"/>
                <w:sz w:val="18"/>
                <w:szCs w:val="18"/>
              </w:rPr>
            </w:pPr>
            <w:r w:rsidRPr="00B5494E">
              <w:rPr>
                <w:rFonts w:eastAsia="Times New Roman" w:cs="Arial"/>
                <w:sz w:val="18"/>
                <w:szCs w:val="18"/>
              </w:rPr>
              <w:t>910</w:t>
            </w:r>
          </w:p>
        </w:tc>
        <w:tc>
          <w:tcPr>
            <w:tcW w:w="1267" w:type="dxa"/>
            <w:shd w:val="clear" w:color="auto" w:fill="FFFFFF" w:themeFill="background1"/>
            <w:noWrap/>
            <w:vAlign w:val="center"/>
            <w:hideMark/>
          </w:tcPr>
          <w:p w14:paraId="134CD8BB"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06233CBA"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11/1975</w:t>
            </w:r>
          </w:p>
        </w:tc>
        <w:tc>
          <w:tcPr>
            <w:tcW w:w="1464" w:type="dxa"/>
            <w:shd w:val="clear" w:color="auto" w:fill="FFFFFF" w:themeFill="background1"/>
            <w:noWrap/>
            <w:vAlign w:val="center"/>
            <w:hideMark/>
          </w:tcPr>
          <w:p w14:paraId="10DD674B"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12/2035</w:t>
            </w:r>
          </w:p>
        </w:tc>
      </w:tr>
      <w:tr w:rsidR="00B5494E" w:rsidRPr="00B5494E" w14:paraId="543BA834" w14:textId="77777777" w:rsidTr="00712AB6">
        <w:trPr>
          <w:trHeight w:val="288"/>
          <w:jc w:val="center"/>
        </w:trPr>
        <w:tc>
          <w:tcPr>
            <w:tcW w:w="1200" w:type="dxa"/>
            <w:shd w:val="clear" w:color="auto" w:fill="FFFFFF" w:themeFill="background1"/>
            <w:noWrap/>
            <w:vAlign w:val="center"/>
            <w:hideMark/>
          </w:tcPr>
          <w:p w14:paraId="0B058946"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Coal</w:t>
            </w:r>
          </w:p>
        </w:tc>
        <w:tc>
          <w:tcPr>
            <w:tcW w:w="2448" w:type="dxa"/>
            <w:shd w:val="clear" w:color="auto" w:fill="FFFFFF" w:themeFill="background1"/>
            <w:noWrap/>
            <w:vAlign w:val="center"/>
            <w:hideMark/>
          </w:tcPr>
          <w:p w14:paraId="6E6FED23"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SCHERER 1</w:t>
            </w:r>
          </w:p>
        </w:tc>
        <w:tc>
          <w:tcPr>
            <w:tcW w:w="1440" w:type="dxa"/>
            <w:shd w:val="clear" w:color="auto" w:fill="FFFFFF" w:themeFill="background1"/>
            <w:noWrap/>
            <w:vAlign w:val="center"/>
            <w:hideMark/>
          </w:tcPr>
          <w:p w14:paraId="56E94615" w14:textId="77906501"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7</w:t>
            </w:r>
            <w:r w:rsidR="006F2742" w:rsidRPr="00B5494E">
              <w:rPr>
                <w:rFonts w:eastAsia="Times New Roman" w:cs="Arial"/>
                <w:sz w:val="18"/>
                <w:szCs w:val="18"/>
              </w:rPr>
              <w:t>5</w:t>
            </w:r>
            <w:r w:rsidRPr="00B5494E">
              <w:rPr>
                <w:rFonts w:eastAsia="Times New Roman" w:cs="Arial"/>
                <w:sz w:val="18"/>
                <w:szCs w:val="18"/>
              </w:rPr>
              <w:t>.2</w:t>
            </w:r>
          </w:p>
        </w:tc>
        <w:tc>
          <w:tcPr>
            <w:tcW w:w="1320" w:type="dxa"/>
            <w:shd w:val="clear" w:color="auto" w:fill="FFFFFF" w:themeFill="background1"/>
            <w:noWrap/>
            <w:vAlign w:val="center"/>
            <w:hideMark/>
          </w:tcPr>
          <w:p w14:paraId="4E3282E6" w14:textId="797FCDBF"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7</w:t>
            </w:r>
            <w:r w:rsidR="00DD4438" w:rsidRPr="00B5494E">
              <w:rPr>
                <w:rFonts w:eastAsia="Times New Roman" w:cs="Arial"/>
                <w:sz w:val="18"/>
                <w:szCs w:val="18"/>
              </w:rPr>
              <w:t>5</w:t>
            </w:r>
            <w:r w:rsidRPr="00B5494E">
              <w:rPr>
                <w:rFonts w:eastAsia="Times New Roman" w:cs="Arial"/>
                <w:sz w:val="18"/>
                <w:szCs w:val="18"/>
              </w:rPr>
              <w:t>.2</w:t>
            </w:r>
          </w:p>
        </w:tc>
        <w:tc>
          <w:tcPr>
            <w:tcW w:w="1267" w:type="dxa"/>
            <w:shd w:val="clear" w:color="auto" w:fill="FFFFFF" w:themeFill="background1"/>
            <w:noWrap/>
            <w:vAlign w:val="center"/>
            <w:hideMark/>
          </w:tcPr>
          <w:p w14:paraId="02D4814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8.40%</w:t>
            </w:r>
          </w:p>
        </w:tc>
        <w:tc>
          <w:tcPr>
            <w:tcW w:w="1152" w:type="dxa"/>
            <w:shd w:val="clear" w:color="auto" w:fill="FFFFFF" w:themeFill="background1"/>
            <w:noWrap/>
            <w:vAlign w:val="center"/>
            <w:hideMark/>
          </w:tcPr>
          <w:p w14:paraId="2D7064D3"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03/1982</w:t>
            </w:r>
          </w:p>
        </w:tc>
        <w:tc>
          <w:tcPr>
            <w:tcW w:w="1464" w:type="dxa"/>
            <w:shd w:val="clear" w:color="auto" w:fill="FFFFFF" w:themeFill="background1"/>
            <w:noWrap/>
            <w:vAlign w:val="center"/>
            <w:hideMark/>
          </w:tcPr>
          <w:p w14:paraId="4BD8B8F0" w14:textId="3705184A"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12/20</w:t>
            </w:r>
            <w:r w:rsidR="00656DDD" w:rsidRPr="00B5494E">
              <w:rPr>
                <w:rFonts w:eastAsia="Times New Roman" w:cs="Arial"/>
                <w:sz w:val="18"/>
                <w:szCs w:val="18"/>
              </w:rPr>
              <w:t>35</w:t>
            </w:r>
          </w:p>
        </w:tc>
      </w:tr>
      <w:tr w:rsidR="00B5494E" w:rsidRPr="00B5494E" w14:paraId="4E9F1A20" w14:textId="77777777" w:rsidTr="00712AB6">
        <w:trPr>
          <w:trHeight w:val="288"/>
          <w:jc w:val="center"/>
        </w:trPr>
        <w:tc>
          <w:tcPr>
            <w:tcW w:w="1200" w:type="dxa"/>
            <w:shd w:val="clear" w:color="auto" w:fill="FFFFFF" w:themeFill="background1"/>
            <w:noWrap/>
            <w:vAlign w:val="center"/>
            <w:hideMark/>
          </w:tcPr>
          <w:p w14:paraId="0FB0A4A4"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Coal</w:t>
            </w:r>
          </w:p>
        </w:tc>
        <w:tc>
          <w:tcPr>
            <w:tcW w:w="2448" w:type="dxa"/>
            <w:shd w:val="clear" w:color="auto" w:fill="FFFFFF" w:themeFill="background1"/>
            <w:noWrap/>
            <w:vAlign w:val="center"/>
            <w:hideMark/>
          </w:tcPr>
          <w:p w14:paraId="06A8E194"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SCHERER 2</w:t>
            </w:r>
          </w:p>
        </w:tc>
        <w:tc>
          <w:tcPr>
            <w:tcW w:w="1440" w:type="dxa"/>
            <w:shd w:val="clear" w:color="auto" w:fill="FFFFFF" w:themeFill="background1"/>
            <w:noWrap/>
            <w:vAlign w:val="center"/>
            <w:hideMark/>
          </w:tcPr>
          <w:p w14:paraId="17E28E82"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72.2</w:t>
            </w:r>
          </w:p>
        </w:tc>
        <w:tc>
          <w:tcPr>
            <w:tcW w:w="1320" w:type="dxa"/>
            <w:shd w:val="clear" w:color="auto" w:fill="FFFFFF" w:themeFill="background1"/>
            <w:noWrap/>
            <w:vAlign w:val="center"/>
            <w:hideMark/>
          </w:tcPr>
          <w:p w14:paraId="6981DD5A"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72.2</w:t>
            </w:r>
          </w:p>
        </w:tc>
        <w:tc>
          <w:tcPr>
            <w:tcW w:w="1267" w:type="dxa"/>
            <w:shd w:val="clear" w:color="auto" w:fill="FFFFFF" w:themeFill="background1"/>
            <w:noWrap/>
            <w:vAlign w:val="center"/>
            <w:hideMark/>
          </w:tcPr>
          <w:p w14:paraId="3615B484"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8.40%</w:t>
            </w:r>
          </w:p>
        </w:tc>
        <w:tc>
          <w:tcPr>
            <w:tcW w:w="1152" w:type="dxa"/>
            <w:shd w:val="clear" w:color="auto" w:fill="FFFFFF" w:themeFill="background1"/>
            <w:noWrap/>
            <w:vAlign w:val="center"/>
            <w:hideMark/>
          </w:tcPr>
          <w:p w14:paraId="79BAF83A"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02/1984</w:t>
            </w:r>
          </w:p>
        </w:tc>
        <w:tc>
          <w:tcPr>
            <w:tcW w:w="1464" w:type="dxa"/>
            <w:shd w:val="clear" w:color="auto" w:fill="FFFFFF" w:themeFill="background1"/>
            <w:noWrap/>
            <w:vAlign w:val="center"/>
            <w:hideMark/>
          </w:tcPr>
          <w:p w14:paraId="14D1C5D4" w14:textId="5981AB1E"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12/20</w:t>
            </w:r>
            <w:r w:rsidR="00656DDD" w:rsidRPr="00B5494E">
              <w:rPr>
                <w:rFonts w:eastAsia="Times New Roman" w:cs="Arial"/>
                <w:sz w:val="18"/>
                <w:szCs w:val="18"/>
              </w:rPr>
              <w:t>35</w:t>
            </w:r>
          </w:p>
        </w:tc>
      </w:tr>
      <w:tr w:rsidR="00B5494E" w:rsidRPr="00B5494E" w14:paraId="3F6F53C9" w14:textId="77777777" w:rsidTr="00712AB6">
        <w:trPr>
          <w:trHeight w:val="288"/>
          <w:jc w:val="center"/>
        </w:trPr>
        <w:tc>
          <w:tcPr>
            <w:tcW w:w="1200" w:type="dxa"/>
            <w:shd w:val="clear" w:color="auto" w:fill="FFFFFF" w:themeFill="background1"/>
            <w:noWrap/>
            <w:vAlign w:val="center"/>
            <w:hideMark/>
          </w:tcPr>
          <w:p w14:paraId="48BA1BBC"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Coal</w:t>
            </w:r>
          </w:p>
        </w:tc>
        <w:tc>
          <w:tcPr>
            <w:tcW w:w="2448" w:type="dxa"/>
            <w:shd w:val="clear" w:color="auto" w:fill="FFFFFF" w:themeFill="background1"/>
            <w:noWrap/>
            <w:vAlign w:val="center"/>
            <w:hideMark/>
          </w:tcPr>
          <w:p w14:paraId="26C6DA88"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SCHERER 3</w:t>
            </w:r>
          </w:p>
        </w:tc>
        <w:tc>
          <w:tcPr>
            <w:tcW w:w="1440" w:type="dxa"/>
            <w:shd w:val="clear" w:color="auto" w:fill="FFFFFF" w:themeFill="background1"/>
            <w:noWrap/>
            <w:vAlign w:val="center"/>
            <w:hideMark/>
          </w:tcPr>
          <w:p w14:paraId="35BA6814" w14:textId="5E8E8EBD"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w:t>
            </w:r>
            <w:r w:rsidR="006E4149" w:rsidRPr="00B5494E">
              <w:rPr>
                <w:rFonts w:eastAsia="Times New Roman" w:cs="Arial"/>
                <w:sz w:val="18"/>
                <w:szCs w:val="18"/>
              </w:rPr>
              <w:t>37.4</w:t>
            </w:r>
          </w:p>
        </w:tc>
        <w:tc>
          <w:tcPr>
            <w:tcW w:w="1320" w:type="dxa"/>
            <w:shd w:val="clear" w:color="auto" w:fill="FFFFFF" w:themeFill="background1"/>
            <w:noWrap/>
            <w:vAlign w:val="center"/>
            <w:hideMark/>
          </w:tcPr>
          <w:p w14:paraId="4B37847B" w14:textId="1E06D7A2"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w:t>
            </w:r>
            <w:r w:rsidR="00035716" w:rsidRPr="00B5494E">
              <w:rPr>
                <w:rFonts w:eastAsia="Times New Roman" w:cs="Arial"/>
                <w:sz w:val="18"/>
                <w:szCs w:val="18"/>
              </w:rPr>
              <w:t>37.4</w:t>
            </w:r>
          </w:p>
        </w:tc>
        <w:tc>
          <w:tcPr>
            <w:tcW w:w="1267" w:type="dxa"/>
            <w:shd w:val="clear" w:color="auto" w:fill="FFFFFF" w:themeFill="background1"/>
            <w:noWrap/>
            <w:vAlign w:val="center"/>
            <w:hideMark/>
          </w:tcPr>
          <w:p w14:paraId="2BE24BE2"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75.00%</w:t>
            </w:r>
          </w:p>
        </w:tc>
        <w:tc>
          <w:tcPr>
            <w:tcW w:w="1152" w:type="dxa"/>
            <w:shd w:val="clear" w:color="auto" w:fill="FFFFFF" w:themeFill="background1"/>
            <w:noWrap/>
            <w:vAlign w:val="center"/>
            <w:hideMark/>
          </w:tcPr>
          <w:p w14:paraId="2385F7D7"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01/1987</w:t>
            </w:r>
          </w:p>
        </w:tc>
        <w:tc>
          <w:tcPr>
            <w:tcW w:w="1464" w:type="dxa"/>
            <w:shd w:val="clear" w:color="auto" w:fill="FFFFFF" w:themeFill="background1"/>
            <w:noWrap/>
            <w:vAlign w:val="center"/>
            <w:hideMark/>
          </w:tcPr>
          <w:p w14:paraId="6581CBAB" w14:textId="078B15B5"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12/20</w:t>
            </w:r>
            <w:r w:rsidR="000625A5" w:rsidRPr="00B5494E">
              <w:rPr>
                <w:rFonts w:eastAsia="Times New Roman" w:cs="Arial"/>
                <w:sz w:val="18"/>
                <w:szCs w:val="18"/>
              </w:rPr>
              <w:t>35</w:t>
            </w:r>
          </w:p>
        </w:tc>
      </w:tr>
      <w:tr w:rsidR="00B5494E" w:rsidRPr="00B5494E" w14:paraId="0A11CC63" w14:textId="77777777" w:rsidTr="00712AB6">
        <w:trPr>
          <w:trHeight w:val="288"/>
          <w:jc w:val="center"/>
        </w:trPr>
        <w:tc>
          <w:tcPr>
            <w:tcW w:w="1200" w:type="dxa"/>
            <w:shd w:val="clear" w:color="auto" w:fill="FFFFFF" w:themeFill="background1"/>
            <w:noWrap/>
            <w:vAlign w:val="center"/>
            <w:hideMark/>
          </w:tcPr>
          <w:p w14:paraId="479099BD"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Gas</w:t>
            </w:r>
          </w:p>
        </w:tc>
        <w:tc>
          <w:tcPr>
            <w:tcW w:w="2448" w:type="dxa"/>
            <w:shd w:val="clear" w:color="auto" w:fill="FFFFFF" w:themeFill="background1"/>
            <w:noWrap/>
            <w:vAlign w:val="center"/>
            <w:hideMark/>
          </w:tcPr>
          <w:p w14:paraId="1166B151"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MCDONOUGH 4</w:t>
            </w:r>
          </w:p>
        </w:tc>
        <w:tc>
          <w:tcPr>
            <w:tcW w:w="1440" w:type="dxa"/>
            <w:shd w:val="clear" w:color="auto" w:fill="FFFFFF" w:themeFill="background1"/>
            <w:noWrap/>
            <w:vAlign w:val="center"/>
            <w:hideMark/>
          </w:tcPr>
          <w:p w14:paraId="2BAD391C" w14:textId="7DCC688A"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8</w:t>
            </w:r>
            <w:r w:rsidR="00111A66" w:rsidRPr="00B5494E">
              <w:rPr>
                <w:rFonts w:eastAsia="Times New Roman" w:cs="Arial"/>
                <w:sz w:val="18"/>
                <w:szCs w:val="18"/>
              </w:rPr>
              <w:t>5</w:t>
            </w:r>
            <w:r w:rsidRPr="00B5494E">
              <w:rPr>
                <w:rFonts w:eastAsia="Times New Roman" w:cs="Arial"/>
                <w:sz w:val="18"/>
                <w:szCs w:val="18"/>
              </w:rPr>
              <w:t>5</w:t>
            </w:r>
          </w:p>
        </w:tc>
        <w:tc>
          <w:tcPr>
            <w:tcW w:w="1320" w:type="dxa"/>
            <w:shd w:val="clear" w:color="auto" w:fill="FFFFFF" w:themeFill="background1"/>
            <w:noWrap/>
            <w:vAlign w:val="center"/>
            <w:hideMark/>
          </w:tcPr>
          <w:p w14:paraId="2F74A1FE" w14:textId="25D36148"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9</w:t>
            </w:r>
            <w:r w:rsidR="001D625B" w:rsidRPr="00B5494E">
              <w:rPr>
                <w:rFonts w:eastAsia="Times New Roman" w:cs="Arial"/>
                <w:sz w:val="18"/>
                <w:szCs w:val="18"/>
              </w:rPr>
              <w:t>34</w:t>
            </w:r>
          </w:p>
        </w:tc>
        <w:tc>
          <w:tcPr>
            <w:tcW w:w="1267" w:type="dxa"/>
            <w:shd w:val="clear" w:color="auto" w:fill="FFFFFF" w:themeFill="background1"/>
            <w:noWrap/>
            <w:vAlign w:val="center"/>
            <w:hideMark/>
          </w:tcPr>
          <w:p w14:paraId="2877574E"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055D1080"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01/2012</w:t>
            </w:r>
          </w:p>
        </w:tc>
        <w:tc>
          <w:tcPr>
            <w:tcW w:w="1464" w:type="dxa"/>
            <w:shd w:val="clear" w:color="auto" w:fill="FFFFFF" w:themeFill="background1"/>
            <w:noWrap/>
            <w:vAlign w:val="center"/>
            <w:hideMark/>
          </w:tcPr>
          <w:p w14:paraId="5E4EA4B6"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12/2057</w:t>
            </w:r>
          </w:p>
        </w:tc>
      </w:tr>
      <w:tr w:rsidR="00B5494E" w:rsidRPr="00B5494E" w14:paraId="747D4B99" w14:textId="77777777" w:rsidTr="00712AB6">
        <w:trPr>
          <w:trHeight w:val="288"/>
          <w:jc w:val="center"/>
        </w:trPr>
        <w:tc>
          <w:tcPr>
            <w:tcW w:w="1200" w:type="dxa"/>
            <w:shd w:val="clear" w:color="auto" w:fill="FFFFFF" w:themeFill="background1"/>
            <w:noWrap/>
            <w:vAlign w:val="center"/>
            <w:hideMark/>
          </w:tcPr>
          <w:p w14:paraId="67DAA583"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Gas</w:t>
            </w:r>
          </w:p>
        </w:tc>
        <w:tc>
          <w:tcPr>
            <w:tcW w:w="2448" w:type="dxa"/>
            <w:shd w:val="clear" w:color="auto" w:fill="FFFFFF" w:themeFill="background1"/>
            <w:noWrap/>
            <w:vAlign w:val="center"/>
            <w:hideMark/>
          </w:tcPr>
          <w:p w14:paraId="4A0C9198"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MCDONOUGH 5</w:t>
            </w:r>
          </w:p>
        </w:tc>
        <w:tc>
          <w:tcPr>
            <w:tcW w:w="1440" w:type="dxa"/>
            <w:shd w:val="clear" w:color="auto" w:fill="FFFFFF" w:themeFill="background1"/>
            <w:noWrap/>
            <w:vAlign w:val="center"/>
            <w:hideMark/>
          </w:tcPr>
          <w:p w14:paraId="5F3A497C" w14:textId="3947D768"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8</w:t>
            </w:r>
            <w:r w:rsidR="00111A66" w:rsidRPr="00B5494E">
              <w:rPr>
                <w:rFonts w:eastAsia="Times New Roman" w:cs="Arial"/>
                <w:sz w:val="18"/>
                <w:szCs w:val="18"/>
              </w:rPr>
              <w:t>50</w:t>
            </w:r>
          </w:p>
        </w:tc>
        <w:tc>
          <w:tcPr>
            <w:tcW w:w="1320" w:type="dxa"/>
            <w:shd w:val="clear" w:color="auto" w:fill="FFFFFF" w:themeFill="background1"/>
            <w:noWrap/>
            <w:vAlign w:val="center"/>
            <w:hideMark/>
          </w:tcPr>
          <w:p w14:paraId="5A220F02" w14:textId="141F78DE"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9</w:t>
            </w:r>
            <w:r w:rsidR="00111A66" w:rsidRPr="00B5494E">
              <w:rPr>
                <w:rFonts w:eastAsia="Times New Roman" w:cs="Arial"/>
                <w:sz w:val="18"/>
                <w:szCs w:val="18"/>
              </w:rPr>
              <w:t>28</w:t>
            </w:r>
          </w:p>
        </w:tc>
        <w:tc>
          <w:tcPr>
            <w:tcW w:w="1267" w:type="dxa"/>
            <w:shd w:val="clear" w:color="auto" w:fill="FFFFFF" w:themeFill="background1"/>
            <w:noWrap/>
            <w:vAlign w:val="center"/>
            <w:hideMark/>
          </w:tcPr>
          <w:p w14:paraId="67A6AE52"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007A5D87"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04/2012</w:t>
            </w:r>
          </w:p>
        </w:tc>
        <w:tc>
          <w:tcPr>
            <w:tcW w:w="1464" w:type="dxa"/>
            <w:shd w:val="clear" w:color="auto" w:fill="FFFFFF" w:themeFill="background1"/>
            <w:noWrap/>
            <w:vAlign w:val="center"/>
            <w:hideMark/>
          </w:tcPr>
          <w:p w14:paraId="7162C06F"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12/2057</w:t>
            </w:r>
          </w:p>
        </w:tc>
      </w:tr>
      <w:tr w:rsidR="00B5494E" w:rsidRPr="00B5494E" w14:paraId="56112285" w14:textId="77777777" w:rsidTr="00712AB6">
        <w:trPr>
          <w:trHeight w:val="288"/>
          <w:jc w:val="center"/>
        </w:trPr>
        <w:tc>
          <w:tcPr>
            <w:tcW w:w="1200" w:type="dxa"/>
            <w:shd w:val="clear" w:color="auto" w:fill="FFFFFF" w:themeFill="background1"/>
            <w:noWrap/>
            <w:vAlign w:val="center"/>
            <w:hideMark/>
          </w:tcPr>
          <w:p w14:paraId="05CA19E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Gas</w:t>
            </w:r>
          </w:p>
        </w:tc>
        <w:tc>
          <w:tcPr>
            <w:tcW w:w="2448" w:type="dxa"/>
            <w:shd w:val="clear" w:color="auto" w:fill="FFFFFF" w:themeFill="background1"/>
            <w:noWrap/>
            <w:vAlign w:val="center"/>
            <w:hideMark/>
          </w:tcPr>
          <w:p w14:paraId="35508D5B"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MCDONOUGH 6</w:t>
            </w:r>
          </w:p>
        </w:tc>
        <w:tc>
          <w:tcPr>
            <w:tcW w:w="1440" w:type="dxa"/>
            <w:shd w:val="clear" w:color="auto" w:fill="FFFFFF" w:themeFill="background1"/>
            <w:noWrap/>
            <w:vAlign w:val="center"/>
            <w:hideMark/>
          </w:tcPr>
          <w:p w14:paraId="6E4BBF1C" w14:textId="166C8616"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8</w:t>
            </w:r>
            <w:r w:rsidR="0013433C" w:rsidRPr="00B5494E">
              <w:rPr>
                <w:rFonts w:eastAsia="Times New Roman" w:cs="Arial"/>
                <w:sz w:val="18"/>
                <w:szCs w:val="18"/>
              </w:rPr>
              <w:t>40</w:t>
            </w:r>
          </w:p>
        </w:tc>
        <w:tc>
          <w:tcPr>
            <w:tcW w:w="1320" w:type="dxa"/>
            <w:shd w:val="clear" w:color="auto" w:fill="FFFFFF" w:themeFill="background1"/>
            <w:noWrap/>
            <w:vAlign w:val="center"/>
            <w:hideMark/>
          </w:tcPr>
          <w:p w14:paraId="6AEF9A51" w14:textId="5C60BEA0" w:rsidR="00C210A4" w:rsidRPr="00B5494E" w:rsidRDefault="00111A66" w:rsidP="004911AE">
            <w:pPr>
              <w:spacing w:after="0" w:line="240" w:lineRule="auto"/>
              <w:jc w:val="center"/>
              <w:rPr>
                <w:rFonts w:eastAsia="Times New Roman" w:cs="Arial"/>
                <w:sz w:val="18"/>
                <w:szCs w:val="18"/>
              </w:rPr>
            </w:pPr>
            <w:r w:rsidRPr="00B5494E">
              <w:rPr>
                <w:rFonts w:eastAsia="Times New Roman" w:cs="Arial"/>
                <w:sz w:val="18"/>
                <w:szCs w:val="18"/>
              </w:rPr>
              <w:t>930</w:t>
            </w:r>
          </w:p>
        </w:tc>
        <w:tc>
          <w:tcPr>
            <w:tcW w:w="1267" w:type="dxa"/>
            <w:shd w:val="clear" w:color="auto" w:fill="FFFFFF" w:themeFill="background1"/>
            <w:noWrap/>
            <w:vAlign w:val="center"/>
            <w:hideMark/>
          </w:tcPr>
          <w:p w14:paraId="05000D17"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6E02E1FA"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10/2012</w:t>
            </w:r>
          </w:p>
        </w:tc>
        <w:tc>
          <w:tcPr>
            <w:tcW w:w="1464" w:type="dxa"/>
            <w:shd w:val="clear" w:color="auto" w:fill="FFFFFF" w:themeFill="background1"/>
            <w:noWrap/>
            <w:vAlign w:val="center"/>
            <w:hideMark/>
          </w:tcPr>
          <w:p w14:paraId="7FA41D9E"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12/2057</w:t>
            </w:r>
          </w:p>
        </w:tc>
      </w:tr>
      <w:tr w:rsidR="00B5494E" w:rsidRPr="00B5494E" w14:paraId="06E9FDC2" w14:textId="77777777" w:rsidTr="00712AB6">
        <w:trPr>
          <w:trHeight w:val="288"/>
          <w:jc w:val="center"/>
        </w:trPr>
        <w:tc>
          <w:tcPr>
            <w:tcW w:w="1200" w:type="dxa"/>
            <w:shd w:val="clear" w:color="auto" w:fill="FFFFFF" w:themeFill="background1"/>
            <w:noWrap/>
            <w:vAlign w:val="center"/>
            <w:hideMark/>
          </w:tcPr>
          <w:p w14:paraId="6A662659"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Gas</w:t>
            </w:r>
          </w:p>
        </w:tc>
        <w:tc>
          <w:tcPr>
            <w:tcW w:w="2448" w:type="dxa"/>
            <w:shd w:val="clear" w:color="auto" w:fill="FFFFFF" w:themeFill="background1"/>
            <w:noWrap/>
            <w:vAlign w:val="center"/>
            <w:hideMark/>
          </w:tcPr>
          <w:p w14:paraId="6BDA22F5"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MCINTOSH 10</w:t>
            </w:r>
          </w:p>
        </w:tc>
        <w:tc>
          <w:tcPr>
            <w:tcW w:w="1440" w:type="dxa"/>
            <w:shd w:val="clear" w:color="auto" w:fill="FFFFFF" w:themeFill="background1"/>
            <w:noWrap/>
            <w:vAlign w:val="center"/>
            <w:hideMark/>
          </w:tcPr>
          <w:p w14:paraId="2A7C1029" w14:textId="067DE8A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6</w:t>
            </w:r>
            <w:r w:rsidR="0013433C" w:rsidRPr="00B5494E">
              <w:rPr>
                <w:rFonts w:eastAsia="Times New Roman" w:cs="Arial"/>
                <w:sz w:val="18"/>
                <w:szCs w:val="18"/>
              </w:rPr>
              <w:t>70.1</w:t>
            </w:r>
          </w:p>
        </w:tc>
        <w:tc>
          <w:tcPr>
            <w:tcW w:w="1320" w:type="dxa"/>
            <w:shd w:val="clear" w:color="auto" w:fill="FFFFFF" w:themeFill="background1"/>
            <w:noWrap/>
            <w:vAlign w:val="center"/>
            <w:hideMark/>
          </w:tcPr>
          <w:p w14:paraId="7484B1CF" w14:textId="2753110E"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6</w:t>
            </w:r>
            <w:r w:rsidR="007C62C7" w:rsidRPr="00B5494E">
              <w:rPr>
                <w:rFonts w:eastAsia="Times New Roman" w:cs="Arial"/>
                <w:sz w:val="18"/>
                <w:szCs w:val="18"/>
              </w:rPr>
              <w:t>91.7</w:t>
            </w:r>
          </w:p>
        </w:tc>
        <w:tc>
          <w:tcPr>
            <w:tcW w:w="1267" w:type="dxa"/>
            <w:shd w:val="clear" w:color="auto" w:fill="FFFFFF" w:themeFill="background1"/>
            <w:noWrap/>
            <w:vAlign w:val="center"/>
            <w:hideMark/>
          </w:tcPr>
          <w:p w14:paraId="21A645E4"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02D400B1"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06/2005</w:t>
            </w:r>
          </w:p>
        </w:tc>
        <w:tc>
          <w:tcPr>
            <w:tcW w:w="1464" w:type="dxa"/>
            <w:shd w:val="clear" w:color="auto" w:fill="FFFFFF" w:themeFill="background1"/>
            <w:noWrap/>
            <w:vAlign w:val="center"/>
            <w:hideMark/>
          </w:tcPr>
          <w:p w14:paraId="1A2B3702"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12/2050</w:t>
            </w:r>
          </w:p>
        </w:tc>
      </w:tr>
      <w:tr w:rsidR="00B5494E" w:rsidRPr="00B5494E" w14:paraId="145C84A6" w14:textId="77777777" w:rsidTr="00712AB6">
        <w:trPr>
          <w:trHeight w:val="288"/>
          <w:jc w:val="center"/>
        </w:trPr>
        <w:tc>
          <w:tcPr>
            <w:tcW w:w="1200" w:type="dxa"/>
            <w:shd w:val="clear" w:color="auto" w:fill="FFFFFF" w:themeFill="background1"/>
            <w:noWrap/>
            <w:vAlign w:val="center"/>
            <w:hideMark/>
          </w:tcPr>
          <w:p w14:paraId="59B89E2B"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Gas</w:t>
            </w:r>
          </w:p>
        </w:tc>
        <w:tc>
          <w:tcPr>
            <w:tcW w:w="2448" w:type="dxa"/>
            <w:shd w:val="clear" w:color="auto" w:fill="FFFFFF" w:themeFill="background1"/>
            <w:noWrap/>
            <w:vAlign w:val="center"/>
            <w:hideMark/>
          </w:tcPr>
          <w:p w14:paraId="1A98B549"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MCINTOSH 11</w:t>
            </w:r>
          </w:p>
        </w:tc>
        <w:tc>
          <w:tcPr>
            <w:tcW w:w="1440" w:type="dxa"/>
            <w:shd w:val="clear" w:color="auto" w:fill="FFFFFF" w:themeFill="background1"/>
            <w:noWrap/>
            <w:vAlign w:val="center"/>
            <w:hideMark/>
          </w:tcPr>
          <w:p w14:paraId="6F6F66F1" w14:textId="38C21D61"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6</w:t>
            </w:r>
            <w:r w:rsidR="0013433C" w:rsidRPr="00B5494E">
              <w:rPr>
                <w:rFonts w:eastAsia="Times New Roman" w:cs="Arial"/>
                <w:sz w:val="18"/>
                <w:szCs w:val="18"/>
              </w:rPr>
              <w:t>70.</w:t>
            </w:r>
            <w:r w:rsidRPr="00B5494E" w:rsidDel="0013433C">
              <w:rPr>
                <w:rFonts w:eastAsia="Times New Roman" w:cs="Arial"/>
                <w:sz w:val="18"/>
                <w:szCs w:val="18"/>
              </w:rPr>
              <w:t>1</w:t>
            </w:r>
          </w:p>
        </w:tc>
        <w:tc>
          <w:tcPr>
            <w:tcW w:w="1320" w:type="dxa"/>
            <w:shd w:val="clear" w:color="auto" w:fill="FFFFFF" w:themeFill="background1"/>
            <w:noWrap/>
            <w:vAlign w:val="center"/>
            <w:hideMark/>
          </w:tcPr>
          <w:p w14:paraId="1FCD18F3" w14:textId="054A86AD"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6</w:t>
            </w:r>
            <w:r w:rsidR="007C62C7" w:rsidRPr="00B5494E">
              <w:rPr>
                <w:rFonts w:eastAsia="Times New Roman" w:cs="Arial"/>
                <w:sz w:val="18"/>
                <w:szCs w:val="18"/>
              </w:rPr>
              <w:t>85</w:t>
            </w:r>
          </w:p>
        </w:tc>
        <w:tc>
          <w:tcPr>
            <w:tcW w:w="1267" w:type="dxa"/>
            <w:shd w:val="clear" w:color="auto" w:fill="FFFFFF" w:themeFill="background1"/>
            <w:noWrap/>
            <w:vAlign w:val="center"/>
            <w:hideMark/>
          </w:tcPr>
          <w:p w14:paraId="1A42DD40"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122E91DB"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06/2005</w:t>
            </w:r>
          </w:p>
        </w:tc>
        <w:tc>
          <w:tcPr>
            <w:tcW w:w="1464" w:type="dxa"/>
            <w:shd w:val="clear" w:color="auto" w:fill="FFFFFF" w:themeFill="background1"/>
            <w:noWrap/>
            <w:vAlign w:val="center"/>
            <w:hideMark/>
          </w:tcPr>
          <w:p w14:paraId="1F9E3B7A"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12/2050</w:t>
            </w:r>
          </w:p>
        </w:tc>
      </w:tr>
      <w:tr w:rsidR="00B5494E" w:rsidRPr="00B5494E" w14:paraId="6063BEF8" w14:textId="77777777" w:rsidTr="00712AB6">
        <w:trPr>
          <w:trHeight w:val="288"/>
          <w:jc w:val="center"/>
        </w:trPr>
        <w:tc>
          <w:tcPr>
            <w:tcW w:w="1200" w:type="dxa"/>
            <w:shd w:val="clear" w:color="auto" w:fill="FFFFFF" w:themeFill="background1"/>
            <w:noWrap/>
            <w:vAlign w:val="center"/>
            <w:hideMark/>
          </w:tcPr>
          <w:p w14:paraId="3C59992A"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Gas</w:t>
            </w:r>
          </w:p>
        </w:tc>
        <w:tc>
          <w:tcPr>
            <w:tcW w:w="2448" w:type="dxa"/>
            <w:shd w:val="clear" w:color="auto" w:fill="FFFFFF" w:themeFill="background1"/>
            <w:noWrap/>
            <w:vAlign w:val="center"/>
            <w:hideMark/>
          </w:tcPr>
          <w:p w14:paraId="5455B753"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GASTON 1 GAS</w:t>
            </w:r>
          </w:p>
        </w:tc>
        <w:tc>
          <w:tcPr>
            <w:tcW w:w="1440" w:type="dxa"/>
            <w:shd w:val="clear" w:color="auto" w:fill="FFFFFF" w:themeFill="background1"/>
            <w:noWrap/>
            <w:vAlign w:val="center"/>
            <w:hideMark/>
          </w:tcPr>
          <w:p w14:paraId="7766C789"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127</w:t>
            </w:r>
          </w:p>
        </w:tc>
        <w:tc>
          <w:tcPr>
            <w:tcW w:w="1320" w:type="dxa"/>
            <w:shd w:val="clear" w:color="auto" w:fill="FFFFFF" w:themeFill="background1"/>
            <w:noWrap/>
            <w:vAlign w:val="center"/>
            <w:hideMark/>
          </w:tcPr>
          <w:p w14:paraId="3D01D18C"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127</w:t>
            </w:r>
          </w:p>
        </w:tc>
        <w:tc>
          <w:tcPr>
            <w:tcW w:w="1267" w:type="dxa"/>
            <w:shd w:val="clear" w:color="auto" w:fill="FFFFFF" w:themeFill="background1"/>
            <w:noWrap/>
            <w:vAlign w:val="center"/>
            <w:hideMark/>
          </w:tcPr>
          <w:p w14:paraId="09D0CE97"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50.00%</w:t>
            </w:r>
          </w:p>
        </w:tc>
        <w:tc>
          <w:tcPr>
            <w:tcW w:w="1152" w:type="dxa"/>
            <w:shd w:val="clear" w:color="auto" w:fill="FFFFFF" w:themeFill="background1"/>
            <w:noWrap/>
            <w:vAlign w:val="center"/>
            <w:hideMark/>
          </w:tcPr>
          <w:p w14:paraId="2A922B75"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05/1960</w:t>
            </w:r>
          </w:p>
        </w:tc>
        <w:tc>
          <w:tcPr>
            <w:tcW w:w="1464" w:type="dxa"/>
            <w:shd w:val="clear" w:color="auto" w:fill="FFFFFF" w:themeFill="background1"/>
            <w:noWrap/>
            <w:vAlign w:val="center"/>
            <w:hideMark/>
          </w:tcPr>
          <w:p w14:paraId="4499EE9C" w14:textId="171D5C56"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12/20</w:t>
            </w:r>
            <w:r w:rsidR="00A839A6" w:rsidRPr="00B5494E">
              <w:rPr>
                <w:rFonts w:eastAsia="Times New Roman" w:cs="Arial"/>
                <w:sz w:val="18"/>
                <w:szCs w:val="18"/>
              </w:rPr>
              <w:t>34</w:t>
            </w:r>
          </w:p>
        </w:tc>
      </w:tr>
      <w:tr w:rsidR="00B5494E" w:rsidRPr="00B5494E" w14:paraId="4BAAE293" w14:textId="77777777" w:rsidTr="00712AB6">
        <w:trPr>
          <w:trHeight w:val="288"/>
          <w:jc w:val="center"/>
        </w:trPr>
        <w:tc>
          <w:tcPr>
            <w:tcW w:w="1200" w:type="dxa"/>
            <w:shd w:val="clear" w:color="auto" w:fill="FFFFFF" w:themeFill="background1"/>
            <w:noWrap/>
            <w:vAlign w:val="center"/>
            <w:hideMark/>
          </w:tcPr>
          <w:p w14:paraId="6DA22A4D"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Gas</w:t>
            </w:r>
          </w:p>
        </w:tc>
        <w:tc>
          <w:tcPr>
            <w:tcW w:w="2448" w:type="dxa"/>
            <w:shd w:val="clear" w:color="auto" w:fill="FFFFFF" w:themeFill="background1"/>
            <w:noWrap/>
            <w:vAlign w:val="center"/>
            <w:hideMark/>
          </w:tcPr>
          <w:p w14:paraId="013DAFA2"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GASTON 2 GAS</w:t>
            </w:r>
          </w:p>
        </w:tc>
        <w:tc>
          <w:tcPr>
            <w:tcW w:w="1440" w:type="dxa"/>
            <w:shd w:val="clear" w:color="auto" w:fill="FFFFFF" w:themeFill="background1"/>
            <w:noWrap/>
            <w:vAlign w:val="center"/>
            <w:hideMark/>
          </w:tcPr>
          <w:p w14:paraId="36877D72"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128</w:t>
            </w:r>
          </w:p>
        </w:tc>
        <w:tc>
          <w:tcPr>
            <w:tcW w:w="1320" w:type="dxa"/>
            <w:shd w:val="clear" w:color="auto" w:fill="FFFFFF" w:themeFill="background1"/>
            <w:noWrap/>
            <w:vAlign w:val="center"/>
            <w:hideMark/>
          </w:tcPr>
          <w:p w14:paraId="06E43C9C"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128</w:t>
            </w:r>
          </w:p>
        </w:tc>
        <w:tc>
          <w:tcPr>
            <w:tcW w:w="1267" w:type="dxa"/>
            <w:shd w:val="clear" w:color="auto" w:fill="FFFFFF" w:themeFill="background1"/>
            <w:noWrap/>
            <w:vAlign w:val="center"/>
            <w:hideMark/>
          </w:tcPr>
          <w:p w14:paraId="7CF5E27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50.00%</w:t>
            </w:r>
          </w:p>
        </w:tc>
        <w:tc>
          <w:tcPr>
            <w:tcW w:w="1152" w:type="dxa"/>
            <w:shd w:val="clear" w:color="auto" w:fill="FFFFFF" w:themeFill="background1"/>
            <w:noWrap/>
            <w:vAlign w:val="center"/>
            <w:hideMark/>
          </w:tcPr>
          <w:p w14:paraId="7FFDFF77"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07/1960</w:t>
            </w:r>
          </w:p>
        </w:tc>
        <w:tc>
          <w:tcPr>
            <w:tcW w:w="1464" w:type="dxa"/>
            <w:shd w:val="clear" w:color="auto" w:fill="FFFFFF" w:themeFill="background1"/>
            <w:noWrap/>
            <w:vAlign w:val="center"/>
            <w:hideMark/>
          </w:tcPr>
          <w:p w14:paraId="4E3E6B65" w14:textId="5C6C1FA4"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12/20</w:t>
            </w:r>
            <w:r w:rsidR="00A839A6" w:rsidRPr="00B5494E">
              <w:rPr>
                <w:rFonts w:eastAsia="Times New Roman" w:cs="Arial"/>
                <w:sz w:val="18"/>
                <w:szCs w:val="18"/>
              </w:rPr>
              <w:t>34</w:t>
            </w:r>
          </w:p>
        </w:tc>
      </w:tr>
      <w:tr w:rsidR="00B5494E" w:rsidRPr="00B5494E" w14:paraId="328438DC" w14:textId="77777777" w:rsidTr="00712AB6">
        <w:trPr>
          <w:trHeight w:val="288"/>
          <w:jc w:val="center"/>
        </w:trPr>
        <w:tc>
          <w:tcPr>
            <w:tcW w:w="1200" w:type="dxa"/>
            <w:shd w:val="clear" w:color="auto" w:fill="FFFFFF" w:themeFill="background1"/>
            <w:noWrap/>
            <w:vAlign w:val="center"/>
            <w:hideMark/>
          </w:tcPr>
          <w:p w14:paraId="75C2F5EB"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Gas</w:t>
            </w:r>
          </w:p>
        </w:tc>
        <w:tc>
          <w:tcPr>
            <w:tcW w:w="2448" w:type="dxa"/>
            <w:shd w:val="clear" w:color="auto" w:fill="FFFFFF" w:themeFill="background1"/>
            <w:noWrap/>
            <w:vAlign w:val="center"/>
            <w:hideMark/>
          </w:tcPr>
          <w:p w14:paraId="53613460"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GASTON 3 GAS</w:t>
            </w:r>
          </w:p>
        </w:tc>
        <w:tc>
          <w:tcPr>
            <w:tcW w:w="1440" w:type="dxa"/>
            <w:shd w:val="clear" w:color="auto" w:fill="FFFFFF" w:themeFill="background1"/>
            <w:noWrap/>
            <w:vAlign w:val="center"/>
            <w:hideMark/>
          </w:tcPr>
          <w:p w14:paraId="53233864"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102</w:t>
            </w:r>
          </w:p>
        </w:tc>
        <w:tc>
          <w:tcPr>
            <w:tcW w:w="1320" w:type="dxa"/>
            <w:shd w:val="clear" w:color="auto" w:fill="FFFFFF" w:themeFill="background1"/>
            <w:noWrap/>
            <w:vAlign w:val="center"/>
            <w:hideMark/>
          </w:tcPr>
          <w:p w14:paraId="0937354A"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102</w:t>
            </w:r>
          </w:p>
        </w:tc>
        <w:tc>
          <w:tcPr>
            <w:tcW w:w="1267" w:type="dxa"/>
            <w:shd w:val="clear" w:color="auto" w:fill="FFFFFF" w:themeFill="background1"/>
            <w:noWrap/>
            <w:vAlign w:val="center"/>
            <w:hideMark/>
          </w:tcPr>
          <w:p w14:paraId="26040D02"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50.00%</w:t>
            </w:r>
          </w:p>
        </w:tc>
        <w:tc>
          <w:tcPr>
            <w:tcW w:w="1152" w:type="dxa"/>
            <w:shd w:val="clear" w:color="auto" w:fill="FFFFFF" w:themeFill="background1"/>
            <w:noWrap/>
            <w:vAlign w:val="center"/>
            <w:hideMark/>
          </w:tcPr>
          <w:p w14:paraId="0473D741"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06/1961</w:t>
            </w:r>
          </w:p>
        </w:tc>
        <w:tc>
          <w:tcPr>
            <w:tcW w:w="1464" w:type="dxa"/>
            <w:shd w:val="clear" w:color="auto" w:fill="FFFFFF" w:themeFill="background1"/>
            <w:noWrap/>
            <w:vAlign w:val="center"/>
            <w:hideMark/>
          </w:tcPr>
          <w:p w14:paraId="6B157DB3" w14:textId="3B06AC99"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12/20</w:t>
            </w:r>
            <w:r w:rsidR="00A839A6" w:rsidRPr="00B5494E">
              <w:rPr>
                <w:rFonts w:eastAsia="Times New Roman" w:cs="Arial"/>
                <w:sz w:val="18"/>
                <w:szCs w:val="18"/>
              </w:rPr>
              <w:t>34</w:t>
            </w:r>
          </w:p>
        </w:tc>
      </w:tr>
      <w:tr w:rsidR="00B5494E" w:rsidRPr="00B5494E" w14:paraId="295A2237" w14:textId="77777777" w:rsidTr="00712AB6">
        <w:trPr>
          <w:trHeight w:val="288"/>
          <w:jc w:val="center"/>
        </w:trPr>
        <w:tc>
          <w:tcPr>
            <w:tcW w:w="1200" w:type="dxa"/>
            <w:shd w:val="clear" w:color="auto" w:fill="FFFFFF" w:themeFill="background1"/>
            <w:noWrap/>
            <w:vAlign w:val="center"/>
            <w:hideMark/>
          </w:tcPr>
          <w:p w14:paraId="15861B14"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Gas</w:t>
            </w:r>
          </w:p>
        </w:tc>
        <w:tc>
          <w:tcPr>
            <w:tcW w:w="2448" w:type="dxa"/>
            <w:shd w:val="clear" w:color="auto" w:fill="FFFFFF" w:themeFill="background1"/>
            <w:noWrap/>
            <w:vAlign w:val="center"/>
            <w:hideMark/>
          </w:tcPr>
          <w:p w14:paraId="54C988DC"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GASTON 4 GAS</w:t>
            </w:r>
          </w:p>
        </w:tc>
        <w:tc>
          <w:tcPr>
            <w:tcW w:w="1440" w:type="dxa"/>
            <w:shd w:val="clear" w:color="auto" w:fill="FFFFFF" w:themeFill="background1"/>
            <w:noWrap/>
            <w:vAlign w:val="center"/>
            <w:hideMark/>
          </w:tcPr>
          <w:p w14:paraId="52943B69"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102.6</w:t>
            </w:r>
          </w:p>
        </w:tc>
        <w:tc>
          <w:tcPr>
            <w:tcW w:w="1320" w:type="dxa"/>
            <w:shd w:val="clear" w:color="auto" w:fill="FFFFFF" w:themeFill="background1"/>
            <w:noWrap/>
            <w:vAlign w:val="center"/>
            <w:hideMark/>
          </w:tcPr>
          <w:p w14:paraId="1BB7FCAB"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102.6</w:t>
            </w:r>
          </w:p>
        </w:tc>
        <w:tc>
          <w:tcPr>
            <w:tcW w:w="1267" w:type="dxa"/>
            <w:shd w:val="clear" w:color="auto" w:fill="FFFFFF" w:themeFill="background1"/>
            <w:noWrap/>
            <w:vAlign w:val="center"/>
            <w:hideMark/>
          </w:tcPr>
          <w:p w14:paraId="7C64F792"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50.00%</w:t>
            </w:r>
          </w:p>
        </w:tc>
        <w:tc>
          <w:tcPr>
            <w:tcW w:w="1152" w:type="dxa"/>
            <w:shd w:val="clear" w:color="auto" w:fill="FFFFFF" w:themeFill="background1"/>
            <w:noWrap/>
            <w:vAlign w:val="center"/>
            <w:hideMark/>
          </w:tcPr>
          <w:p w14:paraId="487A98DF"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06/1962</w:t>
            </w:r>
          </w:p>
        </w:tc>
        <w:tc>
          <w:tcPr>
            <w:tcW w:w="1464" w:type="dxa"/>
            <w:shd w:val="clear" w:color="auto" w:fill="FFFFFF" w:themeFill="background1"/>
            <w:noWrap/>
            <w:vAlign w:val="center"/>
            <w:hideMark/>
          </w:tcPr>
          <w:p w14:paraId="22476E2B" w14:textId="0A183124"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12/20</w:t>
            </w:r>
            <w:r w:rsidR="00A839A6" w:rsidRPr="00B5494E">
              <w:rPr>
                <w:rFonts w:eastAsia="Times New Roman" w:cs="Arial"/>
                <w:sz w:val="18"/>
                <w:szCs w:val="18"/>
              </w:rPr>
              <w:t>34</w:t>
            </w:r>
          </w:p>
        </w:tc>
      </w:tr>
      <w:tr w:rsidR="00B5494E" w:rsidRPr="00B5494E" w14:paraId="66A25417" w14:textId="77777777" w:rsidTr="00712AB6">
        <w:trPr>
          <w:trHeight w:val="288"/>
          <w:jc w:val="center"/>
        </w:trPr>
        <w:tc>
          <w:tcPr>
            <w:tcW w:w="1200" w:type="dxa"/>
            <w:shd w:val="clear" w:color="auto" w:fill="FFFFFF" w:themeFill="background1"/>
            <w:noWrap/>
            <w:vAlign w:val="center"/>
            <w:hideMark/>
          </w:tcPr>
          <w:p w14:paraId="01DF7379"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Gas</w:t>
            </w:r>
          </w:p>
        </w:tc>
        <w:tc>
          <w:tcPr>
            <w:tcW w:w="2448" w:type="dxa"/>
            <w:shd w:val="clear" w:color="auto" w:fill="FFFFFF" w:themeFill="background1"/>
            <w:noWrap/>
            <w:vAlign w:val="center"/>
            <w:hideMark/>
          </w:tcPr>
          <w:p w14:paraId="745D941D"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YATES 6 GAS</w:t>
            </w:r>
          </w:p>
        </w:tc>
        <w:tc>
          <w:tcPr>
            <w:tcW w:w="1440" w:type="dxa"/>
            <w:shd w:val="clear" w:color="auto" w:fill="FFFFFF" w:themeFill="background1"/>
            <w:noWrap/>
            <w:vAlign w:val="center"/>
            <w:hideMark/>
          </w:tcPr>
          <w:p w14:paraId="45080E5B"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322.7</w:t>
            </w:r>
          </w:p>
        </w:tc>
        <w:tc>
          <w:tcPr>
            <w:tcW w:w="1320" w:type="dxa"/>
            <w:shd w:val="clear" w:color="auto" w:fill="FFFFFF" w:themeFill="background1"/>
            <w:noWrap/>
            <w:vAlign w:val="center"/>
            <w:hideMark/>
          </w:tcPr>
          <w:p w14:paraId="611B802A"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322.7</w:t>
            </w:r>
          </w:p>
        </w:tc>
        <w:tc>
          <w:tcPr>
            <w:tcW w:w="1267" w:type="dxa"/>
            <w:shd w:val="clear" w:color="auto" w:fill="FFFFFF" w:themeFill="background1"/>
            <w:noWrap/>
            <w:vAlign w:val="center"/>
            <w:hideMark/>
          </w:tcPr>
          <w:p w14:paraId="7710B38E"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56C548CB"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07/1974</w:t>
            </w:r>
          </w:p>
        </w:tc>
        <w:tc>
          <w:tcPr>
            <w:tcW w:w="1464" w:type="dxa"/>
            <w:shd w:val="clear" w:color="auto" w:fill="FFFFFF" w:themeFill="background1"/>
            <w:noWrap/>
            <w:vAlign w:val="center"/>
            <w:hideMark/>
          </w:tcPr>
          <w:p w14:paraId="69867779" w14:textId="5D21F776"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12/203</w:t>
            </w:r>
            <w:r w:rsidR="00D27381" w:rsidRPr="00B5494E">
              <w:rPr>
                <w:rFonts w:eastAsia="Times New Roman" w:cs="Arial"/>
                <w:sz w:val="18"/>
                <w:szCs w:val="18"/>
              </w:rPr>
              <w:t>8</w:t>
            </w:r>
          </w:p>
        </w:tc>
      </w:tr>
      <w:tr w:rsidR="00B5494E" w:rsidRPr="00B5494E" w14:paraId="55BB2D0A" w14:textId="77777777" w:rsidTr="00712AB6">
        <w:trPr>
          <w:trHeight w:val="288"/>
          <w:jc w:val="center"/>
        </w:trPr>
        <w:tc>
          <w:tcPr>
            <w:tcW w:w="1200" w:type="dxa"/>
            <w:shd w:val="clear" w:color="auto" w:fill="FFFFFF" w:themeFill="background1"/>
            <w:noWrap/>
            <w:vAlign w:val="center"/>
            <w:hideMark/>
          </w:tcPr>
          <w:p w14:paraId="7C80EF36"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Gas</w:t>
            </w:r>
          </w:p>
        </w:tc>
        <w:tc>
          <w:tcPr>
            <w:tcW w:w="2448" w:type="dxa"/>
            <w:shd w:val="clear" w:color="auto" w:fill="FFFFFF" w:themeFill="background1"/>
            <w:noWrap/>
            <w:vAlign w:val="center"/>
            <w:hideMark/>
          </w:tcPr>
          <w:p w14:paraId="7965EA4B"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YATES 7 GAS</w:t>
            </w:r>
          </w:p>
        </w:tc>
        <w:tc>
          <w:tcPr>
            <w:tcW w:w="1440" w:type="dxa"/>
            <w:shd w:val="clear" w:color="auto" w:fill="FFFFFF" w:themeFill="background1"/>
            <w:noWrap/>
            <w:vAlign w:val="center"/>
            <w:hideMark/>
          </w:tcPr>
          <w:p w14:paraId="55DA2CDD"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325.7</w:t>
            </w:r>
          </w:p>
        </w:tc>
        <w:tc>
          <w:tcPr>
            <w:tcW w:w="1320" w:type="dxa"/>
            <w:shd w:val="clear" w:color="auto" w:fill="FFFFFF" w:themeFill="background1"/>
            <w:noWrap/>
            <w:vAlign w:val="center"/>
            <w:hideMark/>
          </w:tcPr>
          <w:p w14:paraId="2DF81099"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325.7</w:t>
            </w:r>
          </w:p>
        </w:tc>
        <w:tc>
          <w:tcPr>
            <w:tcW w:w="1267" w:type="dxa"/>
            <w:shd w:val="clear" w:color="auto" w:fill="FFFFFF" w:themeFill="background1"/>
            <w:noWrap/>
            <w:vAlign w:val="center"/>
            <w:hideMark/>
          </w:tcPr>
          <w:p w14:paraId="20A1902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71240873"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04/1974</w:t>
            </w:r>
          </w:p>
        </w:tc>
        <w:tc>
          <w:tcPr>
            <w:tcW w:w="1464" w:type="dxa"/>
            <w:shd w:val="clear" w:color="auto" w:fill="FFFFFF" w:themeFill="background1"/>
            <w:noWrap/>
            <w:vAlign w:val="center"/>
            <w:hideMark/>
          </w:tcPr>
          <w:p w14:paraId="0E650D48" w14:textId="7B1F4B58"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12/203</w:t>
            </w:r>
            <w:r w:rsidR="001307A9" w:rsidRPr="00B5494E">
              <w:rPr>
                <w:rFonts w:eastAsia="Times New Roman" w:cs="Arial"/>
                <w:sz w:val="18"/>
                <w:szCs w:val="18"/>
              </w:rPr>
              <w:t>8</w:t>
            </w:r>
          </w:p>
        </w:tc>
      </w:tr>
      <w:tr w:rsidR="00B5494E" w:rsidRPr="00B5494E" w14:paraId="2E00D9E8" w14:textId="77777777" w:rsidTr="00712AB6">
        <w:trPr>
          <w:trHeight w:val="288"/>
          <w:jc w:val="center"/>
        </w:trPr>
        <w:tc>
          <w:tcPr>
            <w:tcW w:w="1200" w:type="dxa"/>
            <w:shd w:val="clear" w:color="auto" w:fill="FFFFFF" w:themeFill="background1"/>
            <w:noWrap/>
            <w:vAlign w:val="center"/>
            <w:hideMark/>
          </w:tcPr>
          <w:p w14:paraId="30209555"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Oil</w:t>
            </w:r>
          </w:p>
        </w:tc>
        <w:tc>
          <w:tcPr>
            <w:tcW w:w="2448" w:type="dxa"/>
            <w:shd w:val="clear" w:color="auto" w:fill="FFFFFF" w:themeFill="background1"/>
            <w:noWrap/>
            <w:vAlign w:val="center"/>
            <w:hideMark/>
          </w:tcPr>
          <w:p w14:paraId="6D0DA73B"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GASTON A</w:t>
            </w:r>
          </w:p>
        </w:tc>
        <w:tc>
          <w:tcPr>
            <w:tcW w:w="1440" w:type="dxa"/>
            <w:shd w:val="clear" w:color="auto" w:fill="FFFFFF" w:themeFill="background1"/>
            <w:noWrap/>
            <w:vAlign w:val="center"/>
            <w:hideMark/>
          </w:tcPr>
          <w:p w14:paraId="3FD57BF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7.7</w:t>
            </w:r>
          </w:p>
        </w:tc>
        <w:tc>
          <w:tcPr>
            <w:tcW w:w="1320" w:type="dxa"/>
            <w:shd w:val="clear" w:color="auto" w:fill="FFFFFF" w:themeFill="background1"/>
            <w:noWrap/>
            <w:vAlign w:val="center"/>
            <w:hideMark/>
          </w:tcPr>
          <w:p w14:paraId="7C01A48B"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9.7</w:t>
            </w:r>
          </w:p>
        </w:tc>
        <w:tc>
          <w:tcPr>
            <w:tcW w:w="1267" w:type="dxa"/>
            <w:shd w:val="clear" w:color="auto" w:fill="FFFFFF" w:themeFill="background1"/>
            <w:noWrap/>
            <w:vAlign w:val="center"/>
            <w:hideMark/>
          </w:tcPr>
          <w:p w14:paraId="66126553"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50.00%</w:t>
            </w:r>
          </w:p>
        </w:tc>
        <w:tc>
          <w:tcPr>
            <w:tcW w:w="1152" w:type="dxa"/>
            <w:shd w:val="clear" w:color="auto" w:fill="FFFFFF" w:themeFill="background1"/>
            <w:noWrap/>
            <w:vAlign w:val="center"/>
            <w:hideMark/>
          </w:tcPr>
          <w:p w14:paraId="6AC612AB"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06/1970</w:t>
            </w:r>
          </w:p>
        </w:tc>
        <w:tc>
          <w:tcPr>
            <w:tcW w:w="1464" w:type="dxa"/>
            <w:shd w:val="clear" w:color="auto" w:fill="FFFFFF" w:themeFill="background1"/>
            <w:noWrap/>
            <w:vAlign w:val="center"/>
            <w:hideMark/>
          </w:tcPr>
          <w:p w14:paraId="4BC70B14" w14:textId="7A9A7B3B"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12/20</w:t>
            </w:r>
            <w:r w:rsidR="00A839A6" w:rsidRPr="00B5494E">
              <w:rPr>
                <w:rFonts w:eastAsia="Times New Roman" w:cs="Arial"/>
                <w:sz w:val="18"/>
                <w:szCs w:val="18"/>
              </w:rPr>
              <w:t>34</w:t>
            </w:r>
          </w:p>
        </w:tc>
      </w:tr>
      <w:tr w:rsidR="00B5494E" w:rsidRPr="00B5494E" w14:paraId="0A684376" w14:textId="77777777" w:rsidTr="00712AB6">
        <w:trPr>
          <w:trHeight w:val="288"/>
          <w:jc w:val="center"/>
        </w:trPr>
        <w:tc>
          <w:tcPr>
            <w:tcW w:w="1200" w:type="dxa"/>
            <w:shd w:val="clear" w:color="auto" w:fill="FFFFFF" w:themeFill="background1"/>
            <w:noWrap/>
            <w:vAlign w:val="center"/>
            <w:hideMark/>
          </w:tcPr>
          <w:p w14:paraId="71B45260"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Gas</w:t>
            </w:r>
          </w:p>
        </w:tc>
        <w:tc>
          <w:tcPr>
            <w:tcW w:w="2448" w:type="dxa"/>
            <w:shd w:val="clear" w:color="auto" w:fill="FFFFFF" w:themeFill="background1"/>
            <w:noWrap/>
            <w:vAlign w:val="center"/>
            <w:hideMark/>
          </w:tcPr>
          <w:p w14:paraId="2DC91673"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MCDONOUGH 3A</w:t>
            </w:r>
          </w:p>
        </w:tc>
        <w:tc>
          <w:tcPr>
            <w:tcW w:w="1440" w:type="dxa"/>
            <w:shd w:val="clear" w:color="auto" w:fill="FFFFFF" w:themeFill="background1"/>
            <w:noWrap/>
            <w:vAlign w:val="center"/>
            <w:hideMark/>
          </w:tcPr>
          <w:p w14:paraId="166F1112"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w:t>
            </w:r>
          </w:p>
        </w:tc>
        <w:tc>
          <w:tcPr>
            <w:tcW w:w="1320" w:type="dxa"/>
            <w:shd w:val="clear" w:color="auto" w:fill="FFFFFF" w:themeFill="background1"/>
            <w:noWrap/>
            <w:vAlign w:val="center"/>
            <w:hideMark/>
          </w:tcPr>
          <w:p w14:paraId="3DEEAA7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31.4</w:t>
            </w:r>
          </w:p>
        </w:tc>
        <w:tc>
          <w:tcPr>
            <w:tcW w:w="1267" w:type="dxa"/>
            <w:shd w:val="clear" w:color="auto" w:fill="FFFFFF" w:themeFill="background1"/>
            <w:noWrap/>
            <w:vAlign w:val="center"/>
            <w:hideMark/>
          </w:tcPr>
          <w:p w14:paraId="080E89A6"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30C366CB"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05/1971</w:t>
            </w:r>
          </w:p>
        </w:tc>
        <w:tc>
          <w:tcPr>
            <w:tcW w:w="1464" w:type="dxa"/>
            <w:shd w:val="clear" w:color="auto" w:fill="FFFFFF" w:themeFill="background1"/>
            <w:noWrap/>
            <w:vAlign w:val="center"/>
            <w:hideMark/>
          </w:tcPr>
          <w:p w14:paraId="534B4A25"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1B4A9105" w14:textId="77777777" w:rsidTr="00712AB6">
        <w:trPr>
          <w:trHeight w:val="288"/>
          <w:jc w:val="center"/>
        </w:trPr>
        <w:tc>
          <w:tcPr>
            <w:tcW w:w="1200" w:type="dxa"/>
            <w:shd w:val="clear" w:color="auto" w:fill="FFFFFF" w:themeFill="background1"/>
            <w:noWrap/>
            <w:vAlign w:val="center"/>
            <w:hideMark/>
          </w:tcPr>
          <w:p w14:paraId="5CF0CD6C"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Gas</w:t>
            </w:r>
          </w:p>
        </w:tc>
        <w:tc>
          <w:tcPr>
            <w:tcW w:w="2448" w:type="dxa"/>
            <w:shd w:val="clear" w:color="auto" w:fill="FFFFFF" w:themeFill="background1"/>
            <w:noWrap/>
            <w:vAlign w:val="center"/>
            <w:hideMark/>
          </w:tcPr>
          <w:p w14:paraId="1D0593FC"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MCDONOUGH 3B</w:t>
            </w:r>
          </w:p>
        </w:tc>
        <w:tc>
          <w:tcPr>
            <w:tcW w:w="1440" w:type="dxa"/>
            <w:shd w:val="clear" w:color="auto" w:fill="FFFFFF" w:themeFill="background1"/>
            <w:noWrap/>
            <w:vAlign w:val="center"/>
            <w:hideMark/>
          </w:tcPr>
          <w:p w14:paraId="7A0AE5A9"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w:t>
            </w:r>
          </w:p>
        </w:tc>
        <w:tc>
          <w:tcPr>
            <w:tcW w:w="1320" w:type="dxa"/>
            <w:shd w:val="clear" w:color="auto" w:fill="FFFFFF" w:themeFill="background1"/>
            <w:noWrap/>
            <w:vAlign w:val="center"/>
            <w:hideMark/>
          </w:tcPr>
          <w:p w14:paraId="0F1990AA"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31.4</w:t>
            </w:r>
          </w:p>
        </w:tc>
        <w:tc>
          <w:tcPr>
            <w:tcW w:w="1267" w:type="dxa"/>
            <w:shd w:val="clear" w:color="auto" w:fill="FFFFFF" w:themeFill="background1"/>
            <w:noWrap/>
            <w:vAlign w:val="center"/>
            <w:hideMark/>
          </w:tcPr>
          <w:p w14:paraId="62CF7E6E"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4D323666"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05/1971</w:t>
            </w:r>
          </w:p>
        </w:tc>
        <w:tc>
          <w:tcPr>
            <w:tcW w:w="1464" w:type="dxa"/>
            <w:shd w:val="clear" w:color="auto" w:fill="FFFFFF" w:themeFill="background1"/>
            <w:noWrap/>
            <w:vAlign w:val="center"/>
            <w:hideMark/>
          </w:tcPr>
          <w:p w14:paraId="1A5DCB3D"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7F8675D6" w14:textId="77777777" w:rsidTr="00712AB6">
        <w:trPr>
          <w:trHeight w:val="288"/>
          <w:jc w:val="center"/>
        </w:trPr>
        <w:tc>
          <w:tcPr>
            <w:tcW w:w="1200" w:type="dxa"/>
            <w:shd w:val="clear" w:color="auto" w:fill="FFFFFF" w:themeFill="background1"/>
            <w:noWrap/>
            <w:vAlign w:val="center"/>
            <w:hideMark/>
          </w:tcPr>
          <w:p w14:paraId="16AA2697"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lastRenderedPageBreak/>
              <w:t>Gas</w:t>
            </w:r>
          </w:p>
        </w:tc>
        <w:tc>
          <w:tcPr>
            <w:tcW w:w="2448" w:type="dxa"/>
            <w:shd w:val="clear" w:color="auto" w:fill="FFFFFF" w:themeFill="background1"/>
            <w:noWrap/>
            <w:vAlign w:val="center"/>
            <w:hideMark/>
          </w:tcPr>
          <w:p w14:paraId="1897240F"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MCINTOSH 1</w:t>
            </w:r>
          </w:p>
        </w:tc>
        <w:tc>
          <w:tcPr>
            <w:tcW w:w="1440" w:type="dxa"/>
            <w:shd w:val="clear" w:color="auto" w:fill="FFFFFF" w:themeFill="background1"/>
            <w:noWrap/>
            <w:vAlign w:val="center"/>
            <w:hideMark/>
          </w:tcPr>
          <w:p w14:paraId="794F0593"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82.2</w:t>
            </w:r>
          </w:p>
        </w:tc>
        <w:tc>
          <w:tcPr>
            <w:tcW w:w="1320" w:type="dxa"/>
            <w:shd w:val="clear" w:color="auto" w:fill="FFFFFF" w:themeFill="background1"/>
            <w:noWrap/>
            <w:vAlign w:val="center"/>
            <w:hideMark/>
          </w:tcPr>
          <w:p w14:paraId="6795C61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94.5</w:t>
            </w:r>
          </w:p>
        </w:tc>
        <w:tc>
          <w:tcPr>
            <w:tcW w:w="1267" w:type="dxa"/>
            <w:shd w:val="clear" w:color="auto" w:fill="FFFFFF" w:themeFill="background1"/>
            <w:noWrap/>
            <w:vAlign w:val="center"/>
            <w:hideMark/>
          </w:tcPr>
          <w:p w14:paraId="77DD83EC"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081AE295"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05/1995</w:t>
            </w:r>
          </w:p>
        </w:tc>
        <w:tc>
          <w:tcPr>
            <w:tcW w:w="1464" w:type="dxa"/>
            <w:shd w:val="clear" w:color="auto" w:fill="FFFFFF" w:themeFill="background1"/>
            <w:noWrap/>
            <w:vAlign w:val="center"/>
            <w:hideMark/>
          </w:tcPr>
          <w:p w14:paraId="0A732CB3" w14:textId="137687D6" w:rsidR="00C210A4" w:rsidRPr="00B5494E" w:rsidRDefault="002B6D8B"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0359BBE1" w14:textId="77777777" w:rsidTr="00712AB6">
        <w:trPr>
          <w:trHeight w:val="288"/>
          <w:jc w:val="center"/>
        </w:trPr>
        <w:tc>
          <w:tcPr>
            <w:tcW w:w="1200" w:type="dxa"/>
            <w:shd w:val="clear" w:color="auto" w:fill="FFFFFF" w:themeFill="background1"/>
            <w:noWrap/>
            <w:vAlign w:val="center"/>
            <w:hideMark/>
          </w:tcPr>
          <w:p w14:paraId="64639664"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Gas</w:t>
            </w:r>
          </w:p>
        </w:tc>
        <w:tc>
          <w:tcPr>
            <w:tcW w:w="2448" w:type="dxa"/>
            <w:shd w:val="clear" w:color="auto" w:fill="FFFFFF" w:themeFill="background1"/>
            <w:noWrap/>
            <w:vAlign w:val="center"/>
            <w:hideMark/>
          </w:tcPr>
          <w:p w14:paraId="5B8D59B6"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MCINTOSH 2</w:t>
            </w:r>
          </w:p>
        </w:tc>
        <w:tc>
          <w:tcPr>
            <w:tcW w:w="1440" w:type="dxa"/>
            <w:shd w:val="clear" w:color="auto" w:fill="FFFFFF" w:themeFill="background1"/>
            <w:noWrap/>
            <w:vAlign w:val="center"/>
            <w:hideMark/>
          </w:tcPr>
          <w:p w14:paraId="58B77DB9"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82.2</w:t>
            </w:r>
          </w:p>
        </w:tc>
        <w:tc>
          <w:tcPr>
            <w:tcW w:w="1320" w:type="dxa"/>
            <w:shd w:val="clear" w:color="auto" w:fill="FFFFFF" w:themeFill="background1"/>
            <w:noWrap/>
            <w:vAlign w:val="center"/>
            <w:hideMark/>
          </w:tcPr>
          <w:p w14:paraId="125EFD8C"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94.5</w:t>
            </w:r>
          </w:p>
        </w:tc>
        <w:tc>
          <w:tcPr>
            <w:tcW w:w="1267" w:type="dxa"/>
            <w:shd w:val="clear" w:color="auto" w:fill="FFFFFF" w:themeFill="background1"/>
            <w:noWrap/>
            <w:vAlign w:val="center"/>
            <w:hideMark/>
          </w:tcPr>
          <w:p w14:paraId="6131A771"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48F1941C"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04/1995</w:t>
            </w:r>
          </w:p>
        </w:tc>
        <w:tc>
          <w:tcPr>
            <w:tcW w:w="1464" w:type="dxa"/>
            <w:shd w:val="clear" w:color="auto" w:fill="FFFFFF" w:themeFill="background1"/>
            <w:noWrap/>
            <w:vAlign w:val="center"/>
            <w:hideMark/>
          </w:tcPr>
          <w:p w14:paraId="76CBCBE3" w14:textId="4545EAE4" w:rsidR="00C210A4" w:rsidRPr="00B5494E" w:rsidRDefault="002B6D8B"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675C6CEA" w14:textId="77777777" w:rsidTr="00712AB6">
        <w:trPr>
          <w:trHeight w:val="288"/>
          <w:jc w:val="center"/>
        </w:trPr>
        <w:tc>
          <w:tcPr>
            <w:tcW w:w="1200" w:type="dxa"/>
            <w:shd w:val="clear" w:color="auto" w:fill="FFFFFF" w:themeFill="background1"/>
            <w:noWrap/>
            <w:vAlign w:val="center"/>
            <w:hideMark/>
          </w:tcPr>
          <w:p w14:paraId="24895652"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Gas</w:t>
            </w:r>
          </w:p>
        </w:tc>
        <w:tc>
          <w:tcPr>
            <w:tcW w:w="2448" w:type="dxa"/>
            <w:shd w:val="clear" w:color="auto" w:fill="FFFFFF" w:themeFill="background1"/>
            <w:noWrap/>
            <w:vAlign w:val="center"/>
            <w:hideMark/>
          </w:tcPr>
          <w:p w14:paraId="43C14861"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MCINTOSH 3</w:t>
            </w:r>
          </w:p>
        </w:tc>
        <w:tc>
          <w:tcPr>
            <w:tcW w:w="1440" w:type="dxa"/>
            <w:shd w:val="clear" w:color="auto" w:fill="FFFFFF" w:themeFill="background1"/>
            <w:noWrap/>
            <w:vAlign w:val="center"/>
            <w:hideMark/>
          </w:tcPr>
          <w:p w14:paraId="69027ABE"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82.2</w:t>
            </w:r>
          </w:p>
        </w:tc>
        <w:tc>
          <w:tcPr>
            <w:tcW w:w="1320" w:type="dxa"/>
            <w:shd w:val="clear" w:color="auto" w:fill="FFFFFF" w:themeFill="background1"/>
            <w:noWrap/>
            <w:vAlign w:val="center"/>
            <w:hideMark/>
          </w:tcPr>
          <w:p w14:paraId="1F2BAC22"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94.5</w:t>
            </w:r>
          </w:p>
        </w:tc>
        <w:tc>
          <w:tcPr>
            <w:tcW w:w="1267" w:type="dxa"/>
            <w:shd w:val="clear" w:color="auto" w:fill="FFFFFF" w:themeFill="background1"/>
            <w:noWrap/>
            <w:vAlign w:val="center"/>
            <w:hideMark/>
          </w:tcPr>
          <w:p w14:paraId="69775769"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226146CA"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06/1994</w:t>
            </w:r>
          </w:p>
        </w:tc>
        <w:tc>
          <w:tcPr>
            <w:tcW w:w="1464" w:type="dxa"/>
            <w:shd w:val="clear" w:color="auto" w:fill="FFFFFF" w:themeFill="background1"/>
            <w:noWrap/>
            <w:vAlign w:val="center"/>
            <w:hideMark/>
          </w:tcPr>
          <w:p w14:paraId="08E57F97"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00FDC2FD" w14:textId="77777777" w:rsidTr="00712AB6">
        <w:trPr>
          <w:trHeight w:val="288"/>
          <w:jc w:val="center"/>
        </w:trPr>
        <w:tc>
          <w:tcPr>
            <w:tcW w:w="1200" w:type="dxa"/>
            <w:shd w:val="clear" w:color="auto" w:fill="FFFFFF" w:themeFill="background1"/>
            <w:noWrap/>
            <w:vAlign w:val="center"/>
            <w:hideMark/>
          </w:tcPr>
          <w:p w14:paraId="5FCB3B87"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Gas</w:t>
            </w:r>
          </w:p>
        </w:tc>
        <w:tc>
          <w:tcPr>
            <w:tcW w:w="2448" w:type="dxa"/>
            <w:shd w:val="clear" w:color="auto" w:fill="FFFFFF" w:themeFill="background1"/>
            <w:noWrap/>
            <w:vAlign w:val="center"/>
            <w:hideMark/>
          </w:tcPr>
          <w:p w14:paraId="12B780D0"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MCINTOSH 4</w:t>
            </w:r>
          </w:p>
        </w:tc>
        <w:tc>
          <w:tcPr>
            <w:tcW w:w="1440" w:type="dxa"/>
            <w:shd w:val="clear" w:color="auto" w:fill="FFFFFF" w:themeFill="background1"/>
            <w:noWrap/>
            <w:vAlign w:val="center"/>
            <w:hideMark/>
          </w:tcPr>
          <w:p w14:paraId="24D56C14"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82.2</w:t>
            </w:r>
          </w:p>
        </w:tc>
        <w:tc>
          <w:tcPr>
            <w:tcW w:w="1320" w:type="dxa"/>
            <w:shd w:val="clear" w:color="auto" w:fill="FFFFFF" w:themeFill="background1"/>
            <w:noWrap/>
            <w:vAlign w:val="center"/>
            <w:hideMark/>
          </w:tcPr>
          <w:p w14:paraId="2A9FFDCE"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94.5</w:t>
            </w:r>
          </w:p>
        </w:tc>
        <w:tc>
          <w:tcPr>
            <w:tcW w:w="1267" w:type="dxa"/>
            <w:shd w:val="clear" w:color="auto" w:fill="FFFFFF" w:themeFill="background1"/>
            <w:noWrap/>
            <w:vAlign w:val="center"/>
            <w:hideMark/>
          </w:tcPr>
          <w:p w14:paraId="56D886B3"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4BB46A14"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05/1994</w:t>
            </w:r>
          </w:p>
        </w:tc>
        <w:tc>
          <w:tcPr>
            <w:tcW w:w="1464" w:type="dxa"/>
            <w:shd w:val="clear" w:color="auto" w:fill="FFFFFF" w:themeFill="background1"/>
            <w:noWrap/>
            <w:vAlign w:val="center"/>
            <w:hideMark/>
          </w:tcPr>
          <w:p w14:paraId="63564E11" w14:textId="265117FA" w:rsidR="00C210A4" w:rsidRPr="00B5494E" w:rsidRDefault="002B6D8B"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44066809" w14:textId="77777777" w:rsidTr="00712AB6">
        <w:trPr>
          <w:trHeight w:val="288"/>
          <w:jc w:val="center"/>
        </w:trPr>
        <w:tc>
          <w:tcPr>
            <w:tcW w:w="1200" w:type="dxa"/>
            <w:shd w:val="clear" w:color="auto" w:fill="FFFFFF" w:themeFill="background1"/>
            <w:noWrap/>
            <w:vAlign w:val="center"/>
            <w:hideMark/>
          </w:tcPr>
          <w:p w14:paraId="222E0B1A"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Gas</w:t>
            </w:r>
          </w:p>
        </w:tc>
        <w:tc>
          <w:tcPr>
            <w:tcW w:w="2448" w:type="dxa"/>
            <w:shd w:val="clear" w:color="auto" w:fill="FFFFFF" w:themeFill="background1"/>
            <w:noWrap/>
            <w:vAlign w:val="center"/>
            <w:hideMark/>
          </w:tcPr>
          <w:p w14:paraId="5B6C97D9"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MCINTOSH 5</w:t>
            </w:r>
          </w:p>
        </w:tc>
        <w:tc>
          <w:tcPr>
            <w:tcW w:w="1440" w:type="dxa"/>
            <w:shd w:val="clear" w:color="auto" w:fill="FFFFFF" w:themeFill="background1"/>
            <w:noWrap/>
            <w:vAlign w:val="center"/>
            <w:hideMark/>
          </w:tcPr>
          <w:p w14:paraId="700A3609"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82.2</w:t>
            </w:r>
          </w:p>
        </w:tc>
        <w:tc>
          <w:tcPr>
            <w:tcW w:w="1320" w:type="dxa"/>
            <w:shd w:val="clear" w:color="auto" w:fill="FFFFFF" w:themeFill="background1"/>
            <w:noWrap/>
            <w:vAlign w:val="center"/>
            <w:hideMark/>
          </w:tcPr>
          <w:p w14:paraId="52C7E377"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94.5</w:t>
            </w:r>
          </w:p>
        </w:tc>
        <w:tc>
          <w:tcPr>
            <w:tcW w:w="1267" w:type="dxa"/>
            <w:shd w:val="clear" w:color="auto" w:fill="FFFFFF" w:themeFill="background1"/>
            <w:noWrap/>
            <w:vAlign w:val="center"/>
            <w:hideMark/>
          </w:tcPr>
          <w:p w14:paraId="596E312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7360BF11"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05/1994</w:t>
            </w:r>
          </w:p>
        </w:tc>
        <w:tc>
          <w:tcPr>
            <w:tcW w:w="1464" w:type="dxa"/>
            <w:shd w:val="clear" w:color="auto" w:fill="FFFFFF" w:themeFill="background1"/>
            <w:noWrap/>
            <w:vAlign w:val="center"/>
            <w:hideMark/>
          </w:tcPr>
          <w:p w14:paraId="618EF2D3" w14:textId="1011A1EC" w:rsidR="00C210A4" w:rsidRPr="00B5494E" w:rsidRDefault="002B6D8B"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23D172B5" w14:textId="77777777" w:rsidTr="00712AB6">
        <w:trPr>
          <w:trHeight w:val="288"/>
          <w:jc w:val="center"/>
        </w:trPr>
        <w:tc>
          <w:tcPr>
            <w:tcW w:w="1200" w:type="dxa"/>
            <w:shd w:val="clear" w:color="auto" w:fill="FFFFFF" w:themeFill="background1"/>
            <w:noWrap/>
            <w:vAlign w:val="center"/>
            <w:hideMark/>
          </w:tcPr>
          <w:p w14:paraId="44D203E0"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Gas</w:t>
            </w:r>
          </w:p>
        </w:tc>
        <w:tc>
          <w:tcPr>
            <w:tcW w:w="2448" w:type="dxa"/>
            <w:shd w:val="clear" w:color="auto" w:fill="FFFFFF" w:themeFill="background1"/>
            <w:noWrap/>
            <w:vAlign w:val="center"/>
            <w:hideMark/>
          </w:tcPr>
          <w:p w14:paraId="47EB83B6"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MCINTOSH 6</w:t>
            </w:r>
          </w:p>
        </w:tc>
        <w:tc>
          <w:tcPr>
            <w:tcW w:w="1440" w:type="dxa"/>
            <w:shd w:val="clear" w:color="auto" w:fill="FFFFFF" w:themeFill="background1"/>
            <w:noWrap/>
            <w:vAlign w:val="center"/>
            <w:hideMark/>
          </w:tcPr>
          <w:p w14:paraId="3128C711"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82.2</w:t>
            </w:r>
          </w:p>
        </w:tc>
        <w:tc>
          <w:tcPr>
            <w:tcW w:w="1320" w:type="dxa"/>
            <w:shd w:val="clear" w:color="auto" w:fill="FFFFFF" w:themeFill="background1"/>
            <w:noWrap/>
            <w:vAlign w:val="center"/>
            <w:hideMark/>
          </w:tcPr>
          <w:p w14:paraId="0469AAE0"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94.5</w:t>
            </w:r>
          </w:p>
        </w:tc>
        <w:tc>
          <w:tcPr>
            <w:tcW w:w="1267" w:type="dxa"/>
            <w:shd w:val="clear" w:color="auto" w:fill="FFFFFF" w:themeFill="background1"/>
            <w:noWrap/>
            <w:vAlign w:val="center"/>
            <w:hideMark/>
          </w:tcPr>
          <w:p w14:paraId="64CD02BA"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27EE91FB"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05/1994</w:t>
            </w:r>
          </w:p>
        </w:tc>
        <w:tc>
          <w:tcPr>
            <w:tcW w:w="1464" w:type="dxa"/>
            <w:shd w:val="clear" w:color="auto" w:fill="FFFFFF" w:themeFill="background1"/>
            <w:noWrap/>
            <w:vAlign w:val="center"/>
            <w:hideMark/>
          </w:tcPr>
          <w:p w14:paraId="0663200E" w14:textId="0F7D94E2" w:rsidR="00C210A4" w:rsidRPr="00B5494E" w:rsidRDefault="002B6D8B"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2777769D" w14:textId="77777777" w:rsidTr="00712AB6">
        <w:trPr>
          <w:trHeight w:val="288"/>
          <w:jc w:val="center"/>
        </w:trPr>
        <w:tc>
          <w:tcPr>
            <w:tcW w:w="1200" w:type="dxa"/>
            <w:shd w:val="clear" w:color="auto" w:fill="FFFFFF" w:themeFill="background1"/>
            <w:noWrap/>
            <w:vAlign w:val="center"/>
            <w:hideMark/>
          </w:tcPr>
          <w:p w14:paraId="352A5761"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Gas</w:t>
            </w:r>
          </w:p>
        </w:tc>
        <w:tc>
          <w:tcPr>
            <w:tcW w:w="2448" w:type="dxa"/>
            <w:shd w:val="clear" w:color="auto" w:fill="FFFFFF" w:themeFill="background1"/>
            <w:noWrap/>
            <w:vAlign w:val="center"/>
            <w:hideMark/>
          </w:tcPr>
          <w:p w14:paraId="346704F9"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MCINTOSH 7</w:t>
            </w:r>
          </w:p>
        </w:tc>
        <w:tc>
          <w:tcPr>
            <w:tcW w:w="1440" w:type="dxa"/>
            <w:shd w:val="clear" w:color="auto" w:fill="FFFFFF" w:themeFill="background1"/>
            <w:noWrap/>
            <w:vAlign w:val="center"/>
            <w:hideMark/>
          </w:tcPr>
          <w:p w14:paraId="6F368B09"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82.2</w:t>
            </w:r>
          </w:p>
        </w:tc>
        <w:tc>
          <w:tcPr>
            <w:tcW w:w="1320" w:type="dxa"/>
            <w:shd w:val="clear" w:color="auto" w:fill="FFFFFF" w:themeFill="background1"/>
            <w:noWrap/>
            <w:vAlign w:val="center"/>
            <w:hideMark/>
          </w:tcPr>
          <w:p w14:paraId="1A80DC85"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94.5</w:t>
            </w:r>
          </w:p>
        </w:tc>
        <w:tc>
          <w:tcPr>
            <w:tcW w:w="1267" w:type="dxa"/>
            <w:shd w:val="clear" w:color="auto" w:fill="FFFFFF" w:themeFill="background1"/>
            <w:noWrap/>
            <w:vAlign w:val="center"/>
            <w:hideMark/>
          </w:tcPr>
          <w:p w14:paraId="5C98A4B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66F40ED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04/1994</w:t>
            </w:r>
          </w:p>
        </w:tc>
        <w:tc>
          <w:tcPr>
            <w:tcW w:w="1464" w:type="dxa"/>
            <w:shd w:val="clear" w:color="auto" w:fill="FFFFFF" w:themeFill="background1"/>
            <w:noWrap/>
            <w:vAlign w:val="center"/>
            <w:hideMark/>
          </w:tcPr>
          <w:p w14:paraId="3BEA52CE"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252E65DA" w14:textId="77777777" w:rsidTr="00712AB6">
        <w:trPr>
          <w:trHeight w:val="288"/>
          <w:jc w:val="center"/>
        </w:trPr>
        <w:tc>
          <w:tcPr>
            <w:tcW w:w="1200" w:type="dxa"/>
            <w:shd w:val="clear" w:color="auto" w:fill="FFFFFF" w:themeFill="background1"/>
            <w:noWrap/>
            <w:vAlign w:val="center"/>
            <w:hideMark/>
          </w:tcPr>
          <w:p w14:paraId="2D0E2D5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Gas</w:t>
            </w:r>
          </w:p>
        </w:tc>
        <w:tc>
          <w:tcPr>
            <w:tcW w:w="2448" w:type="dxa"/>
            <w:shd w:val="clear" w:color="auto" w:fill="FFFFFF" w:themeFill="background1"/>
            <w:noWrap/>
            <w:vAlign w:val="center"/>
            <w:hideMark/>
          </w:tcPr>
          <w:p w14:paraId="13EE4750"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MCINTOSH 8</w:t>
            </w:r>
          </w:p>
        </w:tc>
        <w:tc>
          <w:tcPr>
            <w:tcW w:w="1440" w:type="dxa"/>
            <w:shd w:val="clear" w:color="auto" w:fill="FFFFFF" w:themeFill="background1"/>
            <w:noWrap/>
            <w:vAlign w:val="center"/>
            <w:hideMark/>
          </w:tcPr>
          <w:p w14:paraId="37328056"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82.2</w:t>
            </w:r>
          </w:p>
        </w:tc>
        <w:tc>
          <w:tcPr>
            <w:tcW w:w="1320" w:type="dxa"/>
            <w:shd w:val="clear" w:color="auto" w:fill="FFFFFF" w:themeFill="background1"/>
            <w:noWrap/>
            <w:vAlign w:val="center"/>
            <w:hideMark/>
          </w:tcPr>
          <w:p w14:paraId="2772268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94.5</w:t>
            </w:r>
          </w:p>
        </w:tc>
        <w:tc>
          <w:tcPr>
            <w:tcW w:w="1267" w:type="dxa"/>
            <w:shd w:val="clear" w:color="auto" w:fill="FFFFFF" w:themeFill="background1"/>
            <w:noWrap/>
            <w:vAlign w:val="center"/>
            <w:hideMark/>
          </w:tcPr>
          <w:p w14:paraId="613CE73A"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787F8245"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02/1994</w:t>
            </w:r>
          </w:p>
        </w:tc>
        <w:tc>
          <w:tcPr>
            <w:tcW w:w="1464" w:type="dxa"/>
            <w:shd w:val="clear" w:color="auto" w:fill="FFFFFF" w:themeFill="background1"/>
            <w:noWrap/>
            <w:vAlign w:val="center"/>
            <w:hideMark/>
          </w:tcPr>
          <w:p w14:paraId="4EB587FA" w14:textId="5FC553C7" w:rsidR="00C210A4" w:rsidRPr="00B5494E" w:rsidRDefault="002B6D8B"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666F98E7" w14:textId="77777777" w:rsidTr="00712AB6">
        <w:trPr>
          <w:trHeight w:val="288"/>
          <w:jc w:val="center"/>
        </w:trPr>
        <w:tc>
          <w:tcPr>
            <w:tcW w:w="1200" w:type="dxa"/>
            <w:shd w:val="clear" w:color="auto" w:fill="FFFFFF" w:themeFill="background1"/>
            <w:noWrap/>
            <w:vAlign w:val="center"/>
            <w:hideMark/>
          </w:tcPr>
          <w:p w14:paraId="0006227B"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Oil</w:t>
            </w:r>
          </w:p>
        </w:tc>
        <w:tc>
          <w:tcPr>
            <w:tcW w:w="2448" w:type="dxa"/>
            <w:shd w:val="clear" w:color="auto" w:fill="FFFFFF" w:themeFill="background1"/>
            <w:noWrap/>
            <w:vAlign w:val="center"/>
            <w:hideMark/>
          </w:tcPr>
          <w:p w14:paraId="06658AB3"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MCMANUS 3A</w:t>
            </w:r>
          </w:p>
        </w:tc>
        <w:tc>
          <w:tcPr>
            <w:tcW w:w="1440" w:type="dxa"/>
            <w:shd w:val="clear" w:color="auto" w:fill="FFFFFF" w:themeFill="background1"/>
            <w:noWrap/>
            <w:vAlign w:val="center"/>
            <w:hideMark/>
          </w:tcPr>
          <w:p w14:paraId="0086A97C"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44.4</w:t>
            </w:r>
          </w:p>
        </w:tc>
        <w:tc>
          <w:tcPr>
            <w:tcW w:w="1320" w:type="dxa"/>
            <w:shd w:val="clear" w:color="auto" w:fill="FFFFFF" w:themeFill="background1"/>
            <w:noWrap/>
            <w:vAlign w:val="center"/>
            <w:hideMark/>
          </w:tcPr>
          <w:p w14:paraId="49209A82"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55.4</w:t>
            </w:r>
          </w:p>
        </w:tc>
        <w:tc>
          <w:tcPr>
            <w:tcW w:w="1267" w:type="dxa"/>
            <w:shd w:val="clear" w:color="auto" w:fill="FFFFFF" w:themeFill="background1"/>
            <w:noWrap/>
            <w:vAlign w:val="center"/>
            <w:hideMark/>
          </w:tcPr>
          <w:p w14:paraId="02D4582C"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27474EDA"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01/1972</w:t>
            </w:r>
          </w:p>
        </w:tc>
        <w:tc>
          <w:tcPr>
            <w:tcW w:w="1464" w:type="dxa"/>
            <w:shd w:val="clear" w:color="auto" w:fill="FFFFFF" w:themeFill="background1"/>
            <w:noWrap/>
            <w:vAlign w:val="center"/>
            <w:hideMark/>
          </w:tcPr>
          <w:p w14:paraId="75A8C3E2" w14:textId="302BE38B" w:rsidR="00C210A4" w:rsidRPr="00B5494E" w:rsidRDefault="002B6D8B"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03DB651B" w14:textId="77777777" w:rsidTr="00712AB6">
        <w:trPr>
          <w:trHeight w:val="288"/>
          <w:jc w:val="center"/>
        </w:trPr>
        <w:tc>
          <w:tcPr>
            <w:tcW w:w="1200" w:type="dxa"/>
            <w:shd w:val="clear" w:color="auto" w:fill="FFFFFF" w:themeFill="background1"/>
            <w:noWrap/>
            <w:vAlign w:val="center"/>
            <w:hideMark/>
          </w:tcPr>
          <w:p w14:paraId="6249D405"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Oil</w:t>
            </w:r>
          </w:p>
        </w:tc>
        <w:tc>
          <w:tcPr>
            <w:tcW w:w="2448" w:type="dxa"/>
            <w:shd w:val="clear" w:color="auto" w:fill="FFFFFF" w:themeFill="background1"/>
            <w:noWrap/>
            <w:vAlign w:val="center"/>
            <w:hideMark/>
          </w:tcPr>
          <w:p w14:paraId="4557B88E"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MCMANUS 3B</w:t>
            </w:r>
          </w:p>
        </w:tc>
        <w:tc>
          <w:tcPr>
            <w:tcW w:w="1440" w:type="dxa"/>
            <w:shd w:val="clear" w:color="auto" w:fill="FFFFFF" w:themeFill="background1"/>
            <w:noWrap/>
            <w:vAlign w:val="center"/>
            <w:hideMark/>
          </w:tcPr>
          <w:p w14:paraId="514FF946"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44.4</w:t>
            </w:r>
          </w:p>
        </w:tc>
        <w:tc>
          <w:tcPr>
            <w:tcW w:w="1320" w:type="dxa"/>
            <w:shd w:val="clear" w:color="auto" w:fill="FFFFFF" w:themeFill="background1"/>
            <w:noWrap/>
            <w:vAlign w:val="center"/>
            <w:hideMark/>
          </w:tcPr>
          <w:p w14:paraId="041ADC8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55.4</w:t>
            </w:r>
          </w:p>
        </w:tc>
        <w:tc>
          <w:tcPr>
            <w:tcW w:w="1267" w:type="dxa"/>
            <w:shd w:val="clear" w:color="auto" w:fill="FFFFFF" w:themeFill="background1"/>
            <w:noWrap/>
            <w:vAlign w:val="center"/>
            <w:hideMark/>
          </w:tcPr>
          <w:p w14:paraId="158B08AD"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11D8A254"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01/1972</w:t>
            </w:r>
          </w:p>
        </w:tc>
        <w:tc>
          <w:tcPr>
            <w:tcW w:w="1464" w:type="dxa"/>
            <w:shd w:val="clear" w:color="auto" w:fill="FFFFFF" w:themeFill="background1"/>
            <w:noWrap/>
            <w:vAlign w:val="center"/>
            <w:hideMark/>
          </w:tcPr>
          <w:p w14:paraId="3ED81CF3"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20BBA303" w14:textId="77777777" w:rsidTr="00712AB6">
        <w:trPr>
          <w:trHeight w:val="288"/>
          <w:jc w:val="center"/>
        </w:trPr>
        <w:tc>
          <w:tcPr>
            <w:tcW w:w="1200" w:type="dxa"/>
            <w:shd w:val="clear" w:color="auto" w:fill="FFFFFF" w:themeFill="background1"/>
            <w:noWrap/>
            <w:vAlign w:val="center"/>
            <w:hideMark/>
          </w:tcPr>
          <w:p w14:paraId="12C27396"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Oil</w:t>
            </w:r>
          </w:p>
        </w:tc>
        <w:tc>
          <w:tcPr>
            <w:tcW w:w="2448" w:type="dxa"/>
            <w:shd w:val="clear" w:color="auto" w:fill="FFFFFF" w:themeFill="background1"/>
            <w:noWrap/>
            <w:vAlign w:val="center"/>
            <w:hideMark/>
          </w:tcPr>
          <w:p w14:paraId="48D8EC80"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MCMANUS 3C</w:t>
            </w:r>
          </w:p>
        </w:tc>
        <w:tc>
          <w:tcPr>
            <w:tcW w:w="1440" w:type="dxa"/>
            <w:shd w:val="clear" w:color="auto" w:fill="FFFFFF" w:themeFill="background1"/>
            <w:noWrap/>
            <w:vAlign w:val="center"/>
            <w:hideMark/>
          </w:tcPr>
          <w:p w14:paraId="44F5CE61"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44.4</w:t>
            </w:r>
          </w:p>
        </w:tc>
        <w:tc>
          <w:tcPr>
            <w:tcW w:w="1320" w:type="dxa"/>
            <w:shd w:val="clear" w:color="auto" w:fill="FFFFFF" w:themeFill="background1"/>
            <w:noWrap/>
            <w:vAlign w:val="center"/>
            <w:hideMark/>
          </w:tcPr>
          <w:p w14:paraId="24FB3DF3"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55.4</w:t>
            </w:r>
          </w:p>
        </w:tc>
        <w:tc>
          <w:tcPr>
            <w:tcW w:w="1267" w:type="dxa"/>
            <w:shd w:val="clear" w:color="auto" w:fill="FFFFFF" w:themeFill="background1"/>
            <w:noWrap/>
            <w:vAlign w:val="center"/>
            <w:hideMark/>
          </w:tcPr>
          <w:p w14:paraId="55845D8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5205047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01/1972</w:t>
            </w:r>
          </w:p>
        </w:tc>
        <w:tc>
          <w:tcPr>
            <w:tcW w:w="1464" w:type="dxa"/>
            <w:shd w:val="clear" w:color="auto" w:fill="FFFFFF" w:themeFill="background1"/>
            <w:noWrap/>
            <w:vAlign w:val="center"/>
            <w:hideMark/>
          </w:tcPr>
          <w:p w14:paraId="2589562C"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47BBE0B2" w14:textId="77777777" w:rsidTr="00712AB6">
        <w:trPr>
          <w:trHeight w:val="288"/>
          <w:jc w:val="center"/>
        </w:trPr>
        <w:tc>
          <w:tcPr>
            <w:tcW w:w="1200" w:type="dxa"/>
            <w:shd w:val="clear" w:color="auto" w:fill="FFFFFF" w:themeFill="background1"/>
            <w:noWrap/>
            <w:vAlign w:val="center"/>
            <w:hideMark/>
          </w:tcPr>
          <w:p w14:paraId="59697970"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Oil</w:t>
            </w:r>
          </w:p>
        </w:tc>
        <w:tc>
          <w:tcPr>
            <w:tcW w:w="2448" w:type="dxa"/>
            <w:shd w:val="clear" w:color="auto" w:fill="FFFFFF" w:themeFill="background1"/>
            <w:noWrap/>
            <w:vAlign w:val="center"/>
            <w:hideMark/>
          </w:tcPr>
          <w:p w14:paraId="3E64A53D" w14:textId="77777777" w:rsidR="00A434A0" w:rsidRPr="00B5494E" w:rsidRDefault="00A434A0" w:rsidP="00A434A0">
            <w:pPr>
              <w:spacing w:after="0" w:line="240" w:lineRule="auto"/>
              <w:rPr>
                <w:rFonts w:eastAsia="Times New Roman" w:cs="Arial"/>
                <w:sz w:val="18"/>
                <w:szCs w:val="18"/>
              </w:rPr>
            </w:pPr>
            <w:r w:rsidRPr="00B5494E">
              <w:rPr>
                <w:rFonts w:eastAsia="Times New Roman" w:cs="Arial"/>
                <w:sz w:val="18"/>
                <w:szCs w:val="18"/>
              </w:rPr>
              <w:t>MCMANUS 4A</w:t>
            </w:r>
          </w:p>
        </w:tc>
        <w:tc>
          <w:tcPr>
            <w:tcW w:w="1440" w:type="dxa"/>
            <w:shd w:val="clear" w:color="auto" w:fill="FFFFFF" w:themeFill="background1"/>
            <w:noWrap/>
            <w:vAlign w:val="center"/>
            <w:hideMark/>
          </w:tcPr>
          <w:p w14:paraId="3623F00D"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44.4</w:t>
            </w:r>
          </w:p>
        </w:tc>
        <w:tc>
          <w:tcPr>
            <w:tcW w:w="1320" w:type="dxa"/>
            <w:shd w:val="clear" w:color="auto" w:fill="FFFFFF" w:themeFill="background1"/>
            <w:noWrap/>
            <w:vAlign w:val="center"/>
            <w:hideMark/>
          </w:tcPr>
          <w:p w14:paraId="1BBCE2DD"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55.4</w:t>
            </w:r>
          </w:p>
        </w:tc>
        <w:tc>
          <w:tcPr>
            <w:tcW w:w="1267" w:type="dxa"/>
            <w:shd w:val="clear" w:color="auto" w:fill="FFFFFF" w:themeFill="background1"/>
            <w:noWrap/>
            <w:vAlign w:val="center"/>
            <w:hideMark/>
          </w:tcPr>
          <w:p w14:paraId="3857FE58"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22C54971"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12/1972</w:t>
            </w:r>
          </w:p>
        </w:tc>
        <w:tc>
          <w:tcPr>
            <w:tcW w:w="1464" w:type="dxa"/>
            <w:shd w:val="clear" w:color="auto" w:fill="FFFFFF" w:themeFill="background1"/>
            <w:noWrap/>
            <w:vAlign w:val="center"/>
            <w:hideMark/>
          </w:tcPr>
          <w:p w14:paraId="059F34DE" w14:textId="1EC514B4"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48CECDBC" w14:textId="77777777" w:rsidTr="00712AB6">
        <w:trPr>
          <w:trHeight w:val="288"/>
          <w:jc w:val="center"/>
        </w:trPr>
        <w:tc>
          <w:tcPr>
            <w:tcW w:w="1200" w:type="dxa"/>
            <w:shd w:val="clear" w:color="auto" w:fill="FFFFFF" w:themeFill="background1"/>
            <w:noWrap/>
            <w:vAlign w:val="center"/>
            <w:hideMark/>
          </w:tcPr>
          <w:p w14:paraId="0DA7E169"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Oil</w:t>
            </w:r>
          </w:p>
        </w:tc>
        <w:tc>
          <w:tcPr>
            <w:tcW w:w="2448" w:type="dxa"/>
            <w:shd w:val="clear" w:color="auto" w:fill="FFFFFF" w:themeFill="background1"/>
            <w:noWrap/>
            <w:vAlign w:val="center"/>
            <w:hideMark/>
          </w:tcPr>
          <w:p w14:paraId="7C7F3D53" w14:textId="77777777" w:rsidR="00A434A0" w:rsidRPr="00B5494E" w:rsidRDefault="00A434A0" w:rsidP="00A434A0">
            <w:pPr>
              <w:spacing w:after="0" w:line="240" w:lineRule="auto"/>
              <w:rPr>
                <w:rFonts w:eastAsia="Times New Roman" w:cs="Arial"/>
                <w:sz w:val="18"/>
                <w:szCs w:val="18"/>
              </w:rPr>
            </w:pPr>
            <w:r w:rsidRPr="00B5494E">
              <w:rPr>
                <w:rFonts w:eastAsia="Times New Roman" w:cs="Arial"/>
                <w:sz w:val="18"/>
                <w:szCs w:val="18"/>
              </w:rPr>
              <w:t>MCMANUS 4B</w:t>
            </w:r>
          </w:p>
        </w:tc>
        <w:tc>
          <w:tcPr>
            <w:tcW w:w="1440" w:type="dxa"/>
            <w:shd w:val="clear" w:color="auto" w:fill="FFFFFF" w:themeFill="background1"/>
            <w:noWrap/>
            <w:vAlign w:val="center"/>
            <w:hideMark/>
          </w:tcPr>
          <w:p w14:paraId="3860A498"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44.4</w:t>
            </w:r>
          </w:p>
        </w:tc>
        <w:tc>
          <w:tcPr>
            <w:tcW w:w="1320" w:type="dxa"/>
            <w:shd w:val="clear" w:color="auto" w:fill="FFFFFF" w:themeFill="background1"/>
            <w:noWrap/>
            <w:vAlign w:val="center"/>
            <w:hideMark/>
          </w:tcPr>
          <w:p w14:paraId="6E973667"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55.4</w:t>
            </w:r>
          </w:p>
        </w:tc>
        <w:tc>
          <w:tcPr>
            <w:tcW w:w="1267" w:type="dxa"/>
            <w:shd w:val="clear" w:color="auto" w:fill="FFFFFF" w:themeFill="background1"/>
            <w:noWrap/>
            <w:vAlign w:val="center"/>
            <w:hideMark/>
          </w:tcPr>
          <w:p w14:paraId="3A0F0FCB"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6EDDBAAE"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12/1972</w:t>
            </w:r>
          </w:p>
        </w:tc>
        <w:tc>
          <w:tcPr>
            <w:tcW w:w="1464" w:type="dxa"/>
            <w:shd w:val="clear" w:color="auto" w:fill="FFFFFF" w:themeFill="background1"/>
            <w:noWrap/>
            <w:vAlign w:val="center"/>
            <w:hideMark/>
          </w:tcPr>
          <w:p w14:paraId="4B4FA08B" w14:textId="09B802A1"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1934CA00" w14:textId="77777777" w:rsidTr="00712AB6">
        <w:trPr>
          <w:trHeight w:val="288"/>
          <w:jc w:val="center"/>
        </w:trPr>
        <w:tc>
          <w:tcPr>
            <w:tcW w:w="1200" w:type="dxa"/>
            <w:shd w:val="clear" w:color="auto" w:fill="FFFFFF" w:themeFill="background1"/>
            <w:noWrap/>
            <w:vAlign w:val="center"/>
            <w:hideMark/>
          </w:tcPr>
          <w:p w14:paraId="40B78BF3"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Oil</w:t>
            </w:r>
          </w:p>
        </w:tc>
        <w:tc>
          <w:tcPr>
            <w:tcW w:w="2448" w:type="dxa"/>
            <w:shd w:val="clear" w:color="auto" w:fill="FFFFFF" w:themeFill="background1"/>
            <w:noWrap/>
            <w:vAlign w:val="center"/>
            <w:hideMark/>
          </w:tcPr>
          <w:p w14:paraId="5C80BD45" w14:textId="77777777" w:rsidR="00A434A0" w:rsidRPr="00B5494E" w:rsidRDefault="00A434A0" w:rsidP="00A434A0">
            <w:pPr>
              <w:spacing w:after="0" w:line="240" w:lineRule="auto"/>
              <w:rPr>
                <w:rFonts w:eastAsia="Times New Roman" w:cs="Arial"/>
                <w:sz w:val="18"/>
                <w:szCs w:val="18"/>
              </w:rPr>
            </w:pPr>
            <w:r w:rsidRPr="00B5494E">
              <w:rPr>
                <w:rFonts w:eastAsia="Times New Roman" w:cs="Arial"/>
                <w:sz w:val="18"/>
                <w:szCs w:val="18"/>
              </w:rPr>
              <w:t>MCMANUS 4C</w:t>
            </w:r>
          </w:p>
        </w:tc>
        <w:tc>
          <w:tcPr>
            <w:tcW w:w="1440" w:type="dxa"/>
            <w:shd w:val="clear" w:color="auto" w:fill="FFFFFF" w:themeFill="background1"/>
            <w:noWrap/>
            <w:vAlign w:val="center"/>
            <w:hideMark/>
          </w:tcPr>
          <w:p w14:paraId="51E9F1A8"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44.4</w:t>
            </w:r>
          </w:p>
        </w:tc>
        <w:tc>
          <w:tcPr>
            <w:tcW w:w="1320" w:type="dxa"/>
            <w:shd w:val="clear" w:color="auto" w:fill="FFFFFF" w:themeFill="background1"/>
            <w:noWrap/>
            <w:vAlign w:val="center"/>
            <w:hideMark/>
          </w:tcPr>
          <w:p w14:paraId="16E8A1F6"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55.4</w:t>
            </w:r>
          </w:p>
        </w:tc>
        <w:tc>
          <w:tcPr>
            <w:tcW w:w="1267" w:type="dxa"/>
            <w:shd w:val="clear" w:color="auto" w:fill="FFFFFF" w:themeFill="background1"/>
            <w:noWrap/>
            <w:vAlign w:val="center"/>
            <w:hideMark/>
          </w:tcPr>
          <w:p w14:paraId="759A0B5E"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31B30D69"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12/1972</w:t>
            </w:r>
          </w:p>
        </w:tc>
        <w:tc>
          <w:tcPr>
            <w:tcW w:w="1464" w:type="dxa"/>
            <w:shd w:val="clear" w:color="auto" w:fill="FFFFFF" w:themeFill="background1"/>
            <w:noWrap/>
            <w:vAlign w:val="center"/>
            <w:hideMark/>
          </w:tcPr>
          <w:p w14:paraId="3D163D27" w14:textId="734987AB"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28646C94" w14:textId="77777777" w:rsidTr="00712AB6">
        <w:trPr>
          <w:trHeight w:val="288"/>
          <w:jc w:val="center"/>
        </w:trPr>
        <w:tc>
          <w:tcPr>
            <w:tcW w:w="1200" w:type="dxa"/>
            <w:shd w:val="clear" w:color="auto" w:fill="FFFFFF" w:themeFill="background1"/>
            <w:noWrap/>
            <w:vAlign w:val="center"/>
            <w:hideMark/>
          </w:tcPr>
          <w:p w14:paraId="19362AC2"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Oil</w:t>
            </w:r>
          </w:p>
        </w:tc>
        <w:tc>
          <w:tcPr>
            <w:tcW w:w="2448" w:type="dxa"/>
            <w:shd w:val="clear" w:color="auto" w:fill="FFFFFF" w:themeFill="background1"/>
            <w:noWrap/>
            <w:vAlign w:val="center"/>
            <w:hideMark/>
          </w:tcPr>
          <w:p w14:paraId="4E131643" w14:textId="77777777" w:rsidR="00A434A0" w:rsidRPr="00B5494E" w:rsidRDefault="00A434A0" w:rsidP="00A434A0">
            <w:pPr>
              <w:spacing w:after="0" w:line="240" w:lineRule="auto"/>
              <w:rPr>
                <w:rFonts w:eastAsia="Times New Roman" w:cs="Arial"/>
                <w:sz w:val="18"/>
                <w:szCs w:val="18"/>
              </w:rPr>
            </w:pPr>
            <w:r w:rsidRPr="00B5494E">
              <w:rPr>
                <w:rFonts w:eastAsia="Times New Roman" w:cs="Arial"/>
                <w:sz w:val="18"/>
                <w:szCs w:val="18"/>
              </w:rPr>
              <w:t>MCMANUS 4D</w:t>
            </w:r>
          </w:p>
        </w:tc>
        <w:tc>
          <w:tcPr>
            <w:tcW w:w="1440" w:type="dxa"/>
            <w:shd w:val="clear" w:color="auto" w:fill="FFFFFF" w:themeFill="background1"/>
            <w:noWrap/>
            <w:vAlign w:val="center"/>
            <w:hideMark/>
          </w:tcPr>
          <w:p w14:paraId="4D49F49C"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44.4</w:t>
            </w:r>
          </w:p>
        </w:tc>
        <w:tc>
          <w:tcPr>
            <w:tcW w:w="1320" w:type="dxa"/>
            <w:shd w:val="clear" w:color="auto" w:fill="FFFFFF" w:themeFill="background1"/>
            <w:noWrap/>
            <w:vAlign w:val="center"/>
            <w:hideMark/>
          </w:tcPr>
          <w:p w14:paraId="2939F092"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55.4</w:t>
            </w:r>
          </w:p>
        </w:tc>
        <w:tc>
          <w:tcPr>
            <w:tcW w:w="1267" w:type="dxa"/>
            <w:shd w:val="clear" w:color="auto" w:fill="FFFFFF" w:themeFill="background1"/>
            <w:noWrap/>
            <w:vAlign w:val="center"/>
            <w:hideMark/>
          </w:tcPr>
          <w:p w14:paraId="2ECEDA18"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5091A861"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12/1972</w:t>
            </w:r>
          </w:p>
        </w:tc>
        <w:tc>
          <w:tcPr>
            <w:tcW w:w="1464" w:type="dxa"/>
            <w:shd w:val="clear" w:color="auto" w:fill="FFFFFF" w:themeFill="background1"/>
            <w:noWrap/>
            <w:vAlign w:val="center"/>
            <w:hideMark/>
          </w:tcPr>
          <w:p w14:paraId="7EF56D06" w14:textId="66E69943"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64B641CD" w14:textId="77777777" w:rsidTr="00712AB6">
        <w:trPr>
          <w:trHeight w:val="288"/>
          <w:jc w:val="center"/>
        </w:trPr>
        <w:tc>
          <w:tcPr>
            <w:tcW w:w="1200" w:type="dxa"/>
            <w:shd w:val="clear" w:color="auto" w:fill="FFFFFF" w:themeFill="background1"/>
            <w:noWrap/>
            <w:vAlign w:val="center"/>
            <w:hideMark/>
          </w:tcPr>
          <w:p w14:paraId="2FA624BC"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Oil</w:t>
            </w:r>
          </w:p>
        </w:tc>
        <w:tc>
          <w:tcPr>
            <w:tcW w:w="2448" w:type="dxa"/>
            <w:shd w:val="clear" w:color="auto" w:fill="FFFFFF" w:themeFill="background1"/>
            <w:noWrap/>
            <w:vAlign w:val="center"/>
            <w:hideMark/>
          </w:tcPr>
          <w:p w14:paraId="13DC1844" w14:textId="77777777" w:rsidR="00A434A0" w:rsidRPr="00B5494E" w:rsidRDefault="00A434A0" w:rsidP="00A434A0">
            <w:pPr>
              <w:spacing w:after="0" w:line="240" w:lineRule="auto"/>
              <w:rPr>
                <w:rFonts w:eastAsia="Times New Roman" w:cs="Arial"/>
                <w:sz w:val="18"/>
                <w:szCs w:val="18"/>
              </w:rPr>
            </w:pPr>
            <w:r w:rsidRPr="00B5494E">
              <w:rPr>
                <w:rFonts w:eastAsia="Times New Roman" w:cs="Arial"/>
                <w:sz w:val="18"/>
                <w:szCs w:val="18"/>
              </w:rPr>
              <w:t>MCMANUS 4E</w:t>
            </w:r>
          </w:p>
        </w:tc>
        <w:tc>
          <w:tcPr>
            <w:tcW w:w="1440" w:type="dxa"/>
            <w:shd w:val="clear" w:color="auto" w:fill="FFFFFF" w:themeFill="background1"/>
            <w:noWrap/>
            <w:vAlign w:val="center"/>
            <w:hideMark/>
          </w:tcPr>
          <w:p w14:paraId="7D9BA59E"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44.4</w:t>
            </w:r>
          </w:p>
        </w:tc>
        <w:tc>
          <w:tcPr>
            <w:tcW w:w="1320" w:type="dxa"/>
            <w:shd w:val="clear" w:color="auto" w:fill="FFFFFF" w:themeFill="background1"/>
            <w:noWrap/>
            <w:vAlign w:val="center"/>
            <w:hideMark/>
          </w:tcPr>
          <w:p w14:paraId="572D9216"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55.4</w:t>
            </w:r>
          </w:p>
        </w:tc>
        <w:tc>
          <w:tcPr>
            <w:tcW w:w="1267" w:type="dxa"/>
            <w:shd w:val="clear" w:color="auto" w:fill="FFFFFF" w:themeFill="background1"/>
            <w:noWrap/>
            <w:vAlign w:val="center"/>
            <w:hideMark/>
          </w:tcPr>
          <w:p w14:paraId="0A4A4138"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5DB4B20C"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12/1972</w:t>
            </w:r>
          </w:p>
        </w:tc>
        <w:tc>
          <w:tcPr>
            <w:tcW w:w="1464" w:type="dxa"/>
            <w:shd w:val="clear" w:color="auto" w:fill="FFFFFF" w:themeFill="background1"/>
            <w:noWrap/>
            <w:vAlign w:val="center"/>
            <w:hideMark/>
          </w:tcPr>
          <w:p w14:paraId="781F52BE" w14:textId="3792A024"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23AEAD7C" w14:textId="77777777" w:rsidTr="00712AB6">
        <w:trPr>
          <w:trHeight w:val="288"/>
          <w:jc w:val="center"/>
        </w:trPr>
        <w:tc>
          <w:tcPr>
            <w:tcW w:w="1200" w:type="dxa"/>
            <w:shd w:val="clear" w:color="auto" w:fill="FFFFFF" w:themeFill="background1"/>
            <w:noWrap/>
            <w:vAlign w:val="center"/>
            <w:hideMark/>
          </w:tcPr>
          <w:p w14:paraId="3F073C33"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Oil</w:t>
            </w:r>
          </w:p>
        </w:tc>
        <w:tc>
          <w:tcPr>
            <w:tcW w:w="2448" w:type="dxa"/>
            <w:shd w:val="clear" w:color="auto" w:fill="FFFFFF" w:themeFill="background1"/>
            <w:noWrap/>
            <w:vAlign w:val="center"/>
            <w:hideMark/>
          </w:tcPr>
          <w:p w14:paraId="139D4B7E" w14:textId="77777777" w:rsidR="00A434A0" w:rsidRPr="00B5494E" w:rsidRDefault="00A434A0" w:rsidP="00A434A0">
            <w:pPr>
              <w:spacing w:after="0" w:line="240" w:lineRule="auto"/>
              <w:rPr>
                <w:rFonts w:eastAsia="Times New Roman" w:cs="Arial"/>
                <w:sz w:val="18"/>
                <w:szCs w:val="18"/>
              </w:rPr>
            </w:pPr>
            <w:r w:rsidRPr="00B5494E">
              <w:rPr>
                <w:rFonts w:eastAsia="Times New Roman" w:cs="Arial"/>
                <w:sz w:val="18"/>
                <w:szCs w:val="18"/>
              </w:rPr>
              <w:t>MCMANUS 4F</w:t>
            </w:r>
          </w:p>
        </w:tc>
        <w:tc>
          <w:tcPr>
            <w:tcW w:w="1440" w:type="dxa"/>
            <w:shd w:val="clear" w:color="auto" w:fill="FFFFFF" w:themeFill="background1"/>
            <w:noWrap/>
            <w:vAlign w:val="center"/>
            <w:hideMark/>
          </w:tcPr>
          <w:p w14:paraId="1465E7E2"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44.4</w:t>
            </w:r>
          </w:p>
        </w:tc>
        <w:tc>
          <w:tcPr>
            <w:tcW w:w="1320" w:type="dxa"/>
            <w:shd w:val="clear" w:color="auto" w:fill="FFFFFF" w:themeFill="background1"/>
            <w:noWrap/>
            <w:vAlign w:val="center"/>
            <w:hideMark/>
          </w:tcPr>
          <w:p w14:paraId="247D8B0A"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55.4</w:t>
            </w:r>
          </w:p>
        </w:tc>
        <w:tc>
          <w:tcPr>
            <w:tcW w:w="1267" w:type="dxa"/>
            <w:shd w:val="clear" w:color="auto" w:fill="FFFFFF" w:themeFill="background1"/>
            <w:noWrap/>
            <w:vAlign w:val="center"/>
            <w:hideMark/>
          </w:tcPr>
          <w:p w14:paraId="7F4BD279"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1AD675FA" w14:textId="77777777"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12/1972</w:t>
            </w:r>
          </w:p>
        </w:tc>
        <w:tc>
          <w:tcPr>
            <w:tcW w:w="1464" w:type="dxa"/>
            <w:shd w:val="clear" w:color="auto" w:fill="FFFFFF" w:themeFill="background1"/>
            <w:noWrap/>
            <w:vAlign w:val="center"/>
            <w:hideMark/>
          </w:tcPr>
          <w:p w14:paraId="3078C1C7" w14:textId="0F166823" w:rsidR="00A434A0" w:rsidRPr="00B5494E" w:rsidRDefault="00A434A0" w:rsidP="00A434A0">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33DD214D" w14:textId="77777777" w:rsidTr="00712AB6">
        <w:trPr>
          <w:trHeight w:val="288"/>
          <w:jc w:val="center"/>
        </w:trPr>
        <w:tc>
          <w:tcPr>
            <w:tcW w:w="1200" w:type="dxa"/>
            <w:shd w:val="clear" w:color="auto" w:fill="FFFFFF" w:themeFill="background1"/>
            <w:noWrap/>
            <w:vAlign w:val="center"/>
            <w:hideMark/>
          </w:tcPr>
          <w:p w14:paraId="7F423EBE"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Oil</w:t>
            </w:r>
          </w:p>
        </w:tc>
        <w:tc>
          <w:tcPr>
            <w:tcW w:w="2448" w:type="dxa"/>
            <w:shd w:val="clear" w:color="auto" w:fill="FFFFFF" w:themeFill="background1"/>
            <w:noWrap/>
            <w:vAlign w:val="center"/>
            <w:hideMark/>
          </w:tcPr>
          <w:p w14:paraId="2B6DF0EB"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MCMANUS DIESEL</w:t>
            </w:r>
          </w:p>
        </w:tc>
        <w:tc>
          <w:tcPr>
            <w:tcW w:w="1440" w:type="dxa"/>
            <w:shd w:val="clear" w:color="auto" w:fill="FFFFFF" w:themeFill="background1"/>
            <w:noWrap/>
            <w:vAlign w:val="center"/>
            <w:hideMark/>
          </w:tcPr>
          <w:p w14:paraId="33C01E72"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w:t>
            </w:r>
          </w:p>
        </w:tc>
        <w:tc>
          <w:tcPr>
            <w:tcW w:w="1320" w:type="dxa"/>
            <w:shd w:val="clear" w:color="auto" w:fill="FFFFFF" w:themeFill="background1"/>
            <w:noWrap/>
            <w:vAlign w:val="center"/>
            <w:hideMark/>
          </w:tcPr>
          <w:p w14:paraId="6C5CC24B"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w:t>
            </w:r>
          </w:p>
        </w:tc>
        <w:tc>
          <w:tcPr>
            <w:tcW w:w="1267" w:type="dxa"/>
            <w:shd w:val="clear" w:color="auto" w:fill="FFFFFF" w:themeFill="background1"/>
            <w:noWrap/>
            <w:vAlign w:val="center"/>
            <w:hideMark/>
          </w:tcPr>
          <w:p w14:paraId="3D96B101"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591153A5"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01/1964</w:t>
            </w:r>
          </w:p>
        </w:tc>
        <w:tc>
          <w:tcPr>
            <w:tcW w:w="1464" w:type="dxa"/>
            <w:shd w:val="clear" w:color="auto" w:fill="FFFFFF" w:themeFill="background1"/>
            <w:noWrap/>
            <w:vAlign w:val="center"/>
            <w:hideMark/>
          </w:tcPr>
          <w:p w14:paraId="08C2CA72" w14:textId="60E7A5E1" w:rsidR="00C210A4" w:rsidRPr="00B5494E" w:rsidRDefault="00407A55"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0BE34308" w14:textId="77777777" w:rsidTr="00712AB6">
        <w:trPr>
          <w:trHeight w:val="288"/>
          <w:jc w:val="center"/>
        </w:trPr>
        <w:tc>
          <w:tcPr>
            <w:tcW w:w="1200" w:type="dxa"/>
            <w:shd w:val="clear" w:color="auto" w:fill="FFFFFF" w:themeFill="background1"/>
            <w:noWrap/>
            <w:vAlign w:val="center"/>
            <w:hideMark/>
          </w:tcPr>
          <w:p w14:paraId="2B796927"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Gas</w:t>
            </w:r>
          </w:p>
        </w:tc>
        <w:tc>
          <w:tcPr>
            <w:tcW w:w="2448" w:type="dxa"/>
            <w:shd w:val="clear" w:color="auto" w:fill="FFFFFF" w:themeFill="background1"/>
            <w:noWrap/>
            <w:vAlign w:val="center"/>
            <w:hideMark/>
          </w:tcPr>
          <w:p w14:paraId="6BC3CDB7"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WARNER ROBINS 1</w:t>
            </w:r>
          </w:p>
        </w:tc>
        <w:tc>
          <w:tcPr>
            <w:tcW w:w="1440" w:type="dxa"/>
            <w:shd w:val="clear" w:color="auto" w:fill="FFFFFF" w:themeFill="background1"/>
            <w:noWrap/>
            <w:vAlign w:val="center"/>
            <w:hideMark/>
          </w:tcPr>
          <w:p w14:paraId="51B7C96F"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80</w:t>
            </w:r>
          </w:p>
        </w:tc>
        <w:tc>
          <w:tcPr>
            <w:tcW w:w="1320" w:type="dxa"/>
            <w:shd w:val="clear" w:color="auto" w:fill="FFFFFF" w:themeFill="background1"/>
            <w:noWrap/>
            <w:vAlign w:val="center"/>
            <w:hideMark/>
          </w:tcPr>
          <w:p w14:paraId="12B78D2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93</w:t>
            </w:r>
          </w:p>
        </w:tc>
        <w:tc>
          <w:tcPr>
            <w:tcW w:w="1267" w:type="dxa"/>
            <w:shd w:val="clear" w:color="auto" w:fill="FFFFFF" w:themeFill="background1"/>
            <w:noWrap/>
            <w:vAlign w:val="center"/>
            <w:hideMark/>
          </w:tcPr>
          <w:p w14:paraId="26AEE53D"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1E9D275C"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05/1995</w:t>
            </w:r>
          </w:p>
        </w:tc>
        <w:tc>
          <w:tcPr>
            <w:tcW w:w="1464" w:type="dxa"/>
            <w:shd w:val="clear" w:color="auto" w:fill="FFFFFF" w:themeFill="background1"/>
            <w:noWrap/>
            <w:vAlign w:val="center"/>
            <w:hideMark/>
          </w:tcPr>
          <w:p w14:paraId="0DFBB1DE"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6845FB27" w14:textId="77777777" w:rsidTr="00712AB6">
        <w:trPr>
          <w:trHeight w:val="288"/>
          <w:jc w:val="center"/>
        </w:trPr>
        <w:tc>
          <w:tcPr>
            <w:tcW w:w="1200" w:type="dxa"/>
            <w:shd w:val="clear" w:color="auto" w:fill="FFFFFF" w:themeFill="background1"/>
            <w:noWrap/>
            <w:vAlign w:val="center"/>
            <w:hideMark/>
          </w:tcPr>
          <w:p w14:paraId="288F31EB"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Gas</w:t>
            </w:r>
          </w:p>
        </w:tc>
        <w:tc>
          <w:tcPr>
            <w:tcW w:w="2448" w:type="dxa"/>
            <w:shd w:val="clear" w:color="auto" w:fill="FFFFFF" w:themeFill="background1"/>
            <w:noWrap/>
            <w:vAlign w:val="center"/>
            <w:hideMark/>
          </w:tcPr>
          <w:p w14:paraId="187ADE10"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WARNER ROBINS 2</w:t>
            </w:r>
          </w:p>
        </w:tc>
        <w:tc>
          <w:tcPr>
            <w:tcW w:w="1440" w:type="dxa"/>
            <w:shd w:val="clear" w:color="auto" w:fill="FFFFFF" w:themeFill="background1"/>
            <w:noWrap/>
            <w:vAlign w:val="center"/>
            <w:hideMark/>
          </w:tcPr>
          <w:p w14:paraId="3CA5CF8C"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80</w:t>
            </w:r>
          </w:p>
        </w:tc>
        <w:tc>
          <w:tcPr>
            <w:tcW w:w="1320" w:type="dxa"/>
            <w:shd w:val="clear" w:color="auto" w:fill="FFFFFF" w:themeFill="background1"/>
            <w:noWrap/>
            <w:vAlign w:val="center"/>
            <w:hideMark/>
          </w:tcPr>
          <w:p w14:paraId="40180F7E"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93</w:t>
            </w:r>
          </w:p>
        </w:tc>
        <w:tc>
          <w:tcPr>
            <w:tcW w:w="1267" w:type="dxa"/>
            <w:shd w:val="clear" w:color="auto" w:fill="FFFFFF" w:themeFill="background1"/>
            <w:noWrap/>
            <w:vAlign w:val="center"/>
            <w:hideMark/>
          </w:tcPr>
          <w:p w14:paraId="7617223F"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7089C40B"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05/1995</w:t>
            </w:r>
          </w:p>
        </w:tc>
        <w:tc>
          <w:tcPr>
            <w:tcW w:w="1464" w:type="dxa"/>
            <w:shd w:val="clear" w:color="auto" w:fill="FFFFFF" w:themeFill="background1"/>
            <w:noWrap/>
            <w:vAlign w:val="center"/>
            <w:hideMark/>
          </w:tcPr>
          <w:p w14:paraId="7032CF42"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193C9B39" w14:textId="77777777" w:rsidTr="00712AB6">
        <w:trPr>
          <w:trHeight w:val="288"/>
          <w:jc w:val="center"/>
        </w:trPr>
        <w:tc>
          <w:tcPr>
            <w:tcW w:w="1200" w:type="dxa"/>
            <w:shd w:val="clear" w:color="auto" w:fill="FFFFFF" w:themeFill="background1"/>
            <w:noWrap/>
            <w:vAlign w:val="center"/>
            <w:hideMark/>
          </w:tcPr>
          <w:p w14:paraId="5FC101D3"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Oil</w:t>
            </w:r>
          </w:p>
        </w:tc>
        <w:tc>
          <w:tcPr>
            <w:tcW w:w="2448" w:type="dxa"/>
            <w:shd w:val="clear" w:color="auto" w:fill="FFFFFF" w:themeFill="background1"/>
            <w:noWrap/>
            <w:vAlign w:val="center"/>
            <w:hideMark/>
          </w:tcPr>
          <w:p w14:paraId="0A6FE2C2"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WILSON 1A</w:t>
            </w:r>
          </w:p>
        </w:tc>
        <w:tc>
          <w:tcPr>
            <w:tcW w:w="1440" w:type="dxa"/>
            <w:shd w:val="clear" w:color="auto" w:fill="FFFFFF" w:themeFill="background1"/>
            <w:noWrap/>
            <w:vAlign w:val="center"/>
            <w:hideMark/>
          </w:tcPr>
          <w:p w14:paraId="015ADD8F" w14:textId="69A5BF22" w:rsidR="00C210A4" w:rsidRPr="00B5494E" w:rsidRDefault="00BA710B" w:rsidP="004911AE">
            <w:pPr>
              <w:spacing w:after="0" w:line="240" w:lineRule="auto"/>
              <w:jc w:val="center"/>
              <w:rPr>
                <w:rFonts w:eastAsia="Times New Roman" w:cs="Arial"/>
                <w:sz w:val="18"/>
                <w:szCs w:val="18"/>
              </w:rPr>
            </w:pPr>
            <w:r w:rsidRPr="00B5494E">
              <w:rPr>
                <w:rFonts w:eastAsia="Times New Roman" w:cs="Arial"/>
                <w:sz w:val="18"/>
                <w:szCs w:val="18"/>
              </w:rPr>
              <w:t>54.</w:t>
            </w:r>
            <w:r w:rsidR="00C210A4" w:rsidRPr="00B5494E" w:rsidDel="00CF4D73">
              <w:rPr>
                <w:rFonts w:eastAsia="Times New Roman" w:cs="Arial"/>
                <w:sz w:val="18"/>
                <w:szCs w:val="18"/>
              </w:rPr>
              <w:t>5</w:t>
            </w:r>
          </w:p>
        </w:tc>
        <w:tc>
          <w:tcPr>
            <w:tcW w:w="1320" w:type="dxa"/>
            <w:shd w:val="clear" w:color="auto" w:fill="FFFFFF" w:themeFill="background1"/>
            <w:noWrap/>
            <w:vAlign w:val="center"/>
            <w:hideMark/>
          </w:tcPr>
          <w:p w14:paraId="15F26974" w14:textId="16A272F1" w:rsidR="00C210A4" w:rsidRPr="00B5494E" w:rsidRDefault="00562D2A" w:rsidP="004911AE">
            <w:pPr>
              <w:spacing w:after="0" w:line="240" w:lineRule="auto"/>
              <w:jc w:val="center"/>
              <w:rPr>
                <w:rFonts w:eastAsia="Times New Roman" w:cs="Arial"/>
                <w:sz w:val="18"/>
                <w:szCs w:val="18"/>
              </w:rPr>
            </w:pPr>
            <w:r w:rsidRPr="00B5494E">
              <w:rPr>
                <w:rFonts w:eastAsia="Times New Roman" w:cs="Arial"/>
                <w:sz w:val="18"/>
                <w:szCs w:val="18"/>
              </w:rPr>
              <w:t>65</w:t>
            </w:r>
            <w:r w:rsidR="00C210A4" w:rsidRPr="00B5494E">
              <w:rPr>
                <w:rFonts w:eastAsia="Times New Roman" w:cs="Arial"/>
                <w:sz w:val="18"/>
                <w:szCs w:val="18"/>
              </w:rPr>
              <w:t>.5</w:t>
            </w:r>
          </w:p>
        </w:tc>
        <w:tc>
          <w:tcPr>
            <w:tcW w:w="1267" w:type="dxa"/>
            <w:shd w:val="clear" w:color="auto" w:fill="FFFFFF" w:themeFill="background1"/>
            <w:noWrap/>
            <w:hideMark/>
          </w:tcPr>
          <w:p w14:paraId="0FC44AF5" w14:textId="66F69D01" w:rsidR="00C210A4" w:rsidRPr="00B5494E" w:rsidRDefault="00750093"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787C4060"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12/1972</w:t>
            </w:r>
          </w:p>
        </w:tc>
        <w:tc>
          <w:tcPr>
            <w:tcW w:w="1464" w:type="dxa"/>
            <w:shd w:val="clear" w:color="auto" w:fill="FFFFFF" w:themeFill="background1"/>
            <w:noWrap/>
            <w:vAlign w:val="center"/>
            <w:hideMark/>
          </w:tcPr>
          <w:p w14:paraId="51BEA13E"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07326CB2" w14:textId="77777777" w:rsidTr="00712AB6">
        <w:trPr>
          <w:trHeight w:val="288"/>
          <w:jc w:val="center"/>
        </w:trPr>
        <w:tc>
          <w:tcPr>
            <w:tcW w:w="1200" w:type="dxa"/>
            <w:shd w:val="clear" w:color="auto" w:fill="FFFFFF" w:themeFill="background1"/>
            <w:noWrap/>
            <w:vAlign w:val="center"/>
            <w:hideMark/>
          </w:tcPr>
          <w:p w14:paraId="451B8910"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Oil</w:t>
            </w:r>
          </w:p>
        </w:tc>
        <w:tc>
          <w:tcPr>
            <w:tcW w:w="2448" w:type="dxa"/>
            <w:shd w:val="clear" w:color="auto" w:fill="FFFFFF" w:themeFill="background1"/>
            <w:noWrap/>
            <w:vAlign w:val="center"/>
            <w:hideMark/>
          </w:tcPr>
          <w:p w14:paraId="4C65FCDC"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WILSON 1B</w:t>
            </w:r>
          </w:p>
        </w:tc>
        <w:tc>
          <w:tcPr>
            <w:tcW w:w="1440" w:type="dxa"/>
            <w:shd w:val="clear" w:color="auto" w:fill="FFFFFF" w:themeFill="background1"/>
            <w:noWrap/>
            <w:vAlign w:val="center"/>
            <w:hideMark/>
          </w:tcPr>
          <w:p w14:paraId="7FA259C9"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54</w:t>
            </w:r>
          </w:p>
        </w:tc>
        <w:tc>
          <w:tcPr>
            <w:tcW w:w="1320" w:type="dxa"/>
            <w:shd w:val="clear" w:color="auto" w:fill="FFFFFF" w:themeFill="background1"/>
            <w:noWrap/>
            <w:vAlign w:val="center"/>
            <w:hideMark/>
          </w:tcPr>
          <w:p w14:paraId="125B7A5E"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65.0</w:t>
            </w:r>
          </w:p>
        </w:tc>
        <w:tc>
          <w:tcPr>
            <w:tcW w:w="1267" w:type="dxa"/>
            <w:shd w:val="clear" w:color="auto" w:fill="FFFFFF" w:themeFill="background1"/>
            <w:noWrap/>
            <w:hideMark/>
          </w:tcPr>
          <w:p w14:paraId="5A7235D9" w14:textId="6CE158D3" w:rsidR="00C210A4" w:rsidRPr="00B5494E" w:rsidRDefault="00750093"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6A88AD8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12/1972</w:t>
            </w:r>
          </w:p>
        </w:tc>
        <w:tc>
          <w:tcPr>
            <w:tcW w:w="1464" w:type="dxa"/>
            <w:shd w:val="clear" w:color="auto" w:fill="FFFFFF" w:themeFill="background1"/>
            <w:noWrap/>
            <w:vAlign w:val="center"/>
            <w:hideMark/>
          </w:tcPr>
          <w:p w14:paraId="1876233C"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54785E85" w14:textId="77777777" w:rsidTr="00712AB6">
        <w:trPr>
          <w:trHeight w:val="288"/>
          <w:jc w:val="center"/>
        </w:trPr>
        <w:tc>
          <w:tcPr>
            <w:tcW w:w="1200" w:type="dxa"/>
            <w:shd w:val="clear" w:color="auto" w:fill="FFFFFF" w:themeFill="background1"/>
            <w:noWrap/>
            <w:vAlign w:val="center"/>
            <w:hideMark/>
          </w:tcPr>
          <w:p w14:paraId="3480AF79"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Oil</w:t>
            </w:r>
          </w:p>
        </w:tc>
        <w:tc>
          <w:tcPr>
            <w:tcW w:w="2448" w:type="dxa"/>
            <w:shd w:val="clear" w:color="auto" w:fill="FFFFFF" w:themeFill="background1"/>
            <w:noWrap/>
            <w:vAlign w:val="center"/>
            <w:hideMark/>
          </w:tcPr>
          <w:p w14:paraId="47D88162"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WILSON 1C</w:t>
            </w:r>
          </w:p>
        </w:tc>
        <w:tc>
          <w:tcPr>
            <w:tcW w:w="1440" w:type="dxa"/>
            <w:shd w:val="clear" w:color="auto" w:fill="FFFFFF" w:themeFill="background1"/>
            <w:noWrap/>
            <w:vAlign w:val="center"/>
            <w:hideMark/>
          </w:tcPr>
          <w:p w14:paraId="57E870EE" w14:textId="71203721" w:rsidR="00C210A4" w:rsidRPr="00B5494E" w:rsidRDefault="00202F02" w:rsidP="004911AE">
            <w:pPr>
              <w:spacing w:after="0" w:line="240" w:lineRule="auto"/>
              <w:jc w:val="center"/>
              <w:rPr>
                <w:rFonts w:eastAsia="Times New Roman" w:cs="Arial"/>
                <w:sz w:val="18"/>
                <w:szCs w:val="18"/>
              </w:rPr>
            </w:pPr>
            <w:r w:rsidRPr="00B5494E">
              <w:rPr>
                <w:rFonts w:eastAsia="Times New Roman" w:cs="Arial"/>
                <w:sz w:val="18"/>
                <w:szCs w:val="18"/>
              </w:rPr>
              <w:t>38.</w:t>
            </w:r>
            <w:r w:rsidR="00C210A4" w:rsidRPr="00B5494E" w:rsidDel="00202F02">
              <w:rPr>
                <w:rFonts w:eastAsia="Times New Roman" w:cs="Arial"/>
                <w:sz w:val="18"/>
                <w:szCs w:val="18"/>
              </w:rPr>
              <w:t>2</w:t>
            </w:r>
          </w:p>
        </w:tc>
        <w:tc>
          <w:tcPr>
            <w:tcW w:w="1320" w:type="dxa"/>
            <w:shd w:val="clear" w:color="auto" w:fill="FFFFFF" w:themeFill="background1"/>
            <w:noWrap/>
            <w:vAlign w:val="center"/>
            <w:hideMark/>
          </w:tcPr>
          <w:p w14:paraId="0B413C9F" w14:textId="3AA28E35"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w:t>
            </w:r>
            <w:r w:rsidR="00F53851" w:rsidRPr="00B5494E">
              <w:rPr>
                <w:rFonts w:eastAsia="Times New Roman" w:cs="Arial"/>
                <w:sz w:val="18"/>
                <w:szCs w:val="18"/>
              </w:rPr>
              <w:t>3.</w:t>
            </w:r>
            <w:r w:rsidRPr="00B5494E" w:rsidDel="00F53851">
              <w:rPr>
                <w:rFonts w:eastAsia="Times New Roman" w:cs="Arial"/>
                <w:sz w:val="18"/>
                <w:szCs w:val="18"/>
              </w:rPr>
              <w:t>2</w:t>
            </w:r>
          </w:p>
        </w:tc>
        <w:tc>
          <w:tcPr>
            <w:tcW w:w="1267" w:type="dxa"/>
            <w:shd w:val="clear" w:color="auto" w:fill="FFFFFF" w:themeFill="background1"/>
            <w:noWrap/>
            <w:hideMark/>
          </w:tcPr>
          <w:p w14:paraId="60BF514A" w14:textId="17DAB97D" w:rsidR="00C210A4" w:rsidRPr="00B5494E" w:rsidRDefault="00750093"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269E6032"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12/1972</w:t>
            </w:r>
          </w:p>
        </w:tc>
        <w:tc>
          <w:tcPr>
            <w:tcW w:w="1464" w:type="dxa"/>
            <w:shd w:val="clear" w:color="auto" w:fill="FFFFFF" w:themeFill="background1"/>
            <w:noWrap/>
            <w:vAlign w:val="center"/>
            <w:hideMark/>
          </w:tcPr>
          <w:p w14:paraId="24DD2F9D"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7F9D7065" w14:textId="77777777" w:rsidTr="00712AB6">
        <w:trPr>
          <w:trHeight w:val="288"/>
          <w:jc w:val="center"/>
        </w:trPr>
        <w:tc>
          <w:tcPr>
            <w:tcW w:w="1200" w:type="dxa"/>
            <w:shd w:val="clear" w:color="auto" w:fill="FFFFFF" w:themeFill="background1"/>
            <w:noWrap/>
            <w:vAlign w:val="center"/>
            <w:hideMark/>
          </w:tcPr>
          <w:p w14:paraId="28CEEEE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Oil</w:t>
            </w:r>
          </w:p>
        </w:tc>
        <w:tc>
          <w:tcPr>
            <w:tcW w:w="2448" w:type="dxa"/>
            <w:shd w:val="clear" w:color="auto" w:fill="FFFFFF" w:themeFill="background1"/>
            <w:noWrap/>
            <w:vAlign w:val="center"/>
            <w:hideMark/>
          </w:tcPr>
          <w:p w14:paraId="25B004E9"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WILSON 1D</w:t>
            </w:r>
          </w:p>
        </w:tc>
        <w:tc>
          <w:tcPr>
            <w:tcW w:w="1440" w:type="dxa"/>
            <w:shd w:val="clear" w:color="auto" w:fill="FFFFFF" w:themeFill="background1"/>
            <w:noWrap/>
            <w:vAlign w:val="center"/>
            <w:hideMark/>
          </w:tcPr>
          <w:p w14:paraId="6CB9352F" w14:textId="09365003" w:rsidR="00C210A4" w:rsidRPr="00B5494E" w:rsidRDefault="003A0784" w:rsidP="004911AE">
            <w:pPr>
              <w:spacing w:after="0" w:line="240" w:lineRule="auto"/>
              <w:jc w:val="center"/>
              <w:rPr>
                <w:rFonts w:eastAsia="Times New Roman" w:cs="Arial"/>
                <w:sz w:val="18"/>
                <w:szCs w:val="18"/>
              </w:rPr>
            </w:pPr>
            <w:r w:rsidRPr="00B5494E">
              <w:rPr>
                <w:rFonts w:eastAsia="Times New Roman" w:cs="Arial"/>
                <w:sz w:val="18"/>
                <w:szCs w:val="18"/>
              </w:rPr>
              <w:t>24.</w:t>
            </w:r>
            <w:r w:rsidR="00C210A4" w:rsidRPr="00B5494E" w:rsidDel="003A0784">
              <w:rPr>
                <w:rFonts w:eastAsia="Times New Roman" w:cs="Arial"/>
                <w:sz w:val="18"/>
                <w:szCs w:val="18"/>
              </w:rPr>
              <w:t>5</w:t>
            </w:r>
          </w:p>
        </w:tc>
        <w:tc>
          <w:tcPr>
            <w:tcW w:w="1320" w:type="dxa"/>
            <w:shd w:val="clear" w:color="auto" w:fill="FFFFFF" w:themeFill="background1"/>
            <w:noWrap/>
            <w:vAlign w:val="center"/>
            <w:hideMark/>
          </w:tcPr>
          <w:p w14:paraId="183A4469" w14:textId="03A844E2" w:rsidR="00C210A4" w:rsidRPr="00B5494E" w:rsidRDefault="006D1EBB" w:rsidP="004911AE">
            <w:pPr>
              <w:spacing w:after="0" w:line="240" w:lineRule="auto"/>
              <w:jc w:val="center"/>
              <w:rPr>
                <w:rFonts w:eastAsia="Times New Roman" w:cs="Arial"/>
                <w:sz w:val="18"/>
                <w:szCs w:val="18"/>
              </w:rPr>
            </w:pPr>
            <w:r w:rsidRPr="00B5494E">
              <w:rPr>
                <w:rFonts w:eastAsia="Times New Roman" w:cs="Arial"/>
                <w:sz w:val="18"/>
                <w:szCs w:val="18"/>
              </w:rPr>
              <w:t>39.</w:t>
            </w:r>
            <w:r w:rsidR="00C210A4" w:rsidRPr="00B5494E" w:rsidDel="006D1EBB">
              <w:rPr>
                <w:rFonts w:eastAsia="Times New Roman" w:cs="Arial"/>
                <w:sz w:val="18"/>
                <w:szCs w:val="18"/>
              </w:rPr>
              <w:t>5</w:t>
            </w:r>
          </w:p>
        </w:tc>
        <w:tc>
          <w:tcPr>
            <w:tcW w:w="1267" w:type="dxa"/>
            <w:shd w:val="clear" w:color="auto" w:fill="FFFFFF" w:themeFill="background1"/>
            <w:noWrap/>
            <w:hideMark/>
          </w:tcPr>
          <w:p w14:paraId="0E5F3F32" w14:textId="605CFDAC" w:rsidR="00C210A4" w:rsidRPr="00B5494E" w:rsidRDefault="00750093"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77082CD7"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02/1973</w:t>
            </w:r>
          </w:p>
        </w:tc>
        <w:tc>
          <w:tcPr>
            <w:tcW w:w="1464" w:type="dxa"/>
            <w:shd w:val="clear" w:color="auto" w:fill="FFFFFF" w:themeFill="background1"/>
            <w:noWrap/>
            <w:vAlign w:val="center"/>
            <w:hideMark/>
          </w:tcPr>
          <w:p w14:paraId="0FAD1F7B"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6611A0E2" w14:textId="77777777" w:rsidTr="00712AB6">
        <w:trPr>
          <w:trHeight w:val="288"/>
          <w:jc w:val="center"/>
        </w:trPr>
        <w:tc>
          <w:tcPr>
            <w:tcW w:w="1200" w:type="dxa"/>
            <w:shd w:val="clear" w:color="auto" w:fill="FFFFFF" w:themeFill="background1"/>
            <w:noWrap/>
            <w:vAlign w:val="center"/>
            <w:hideMark/>
          </w:tcPr>
          <w:p w14:paraId="55EDD42B"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Oil</w:t>
            </w:r>
          </w:p>
        </w:tc>
        <w:tc>
          <w:tcPr>
            <w:tcW w:w="2448" w:type="dxa"/>
            <w:shd w:val="clear" w:color="auto" w:fill="FFFFFF" w:themeFill="background1"/>
            <w:noWrap/>
            <w:vAlign w:val="center"/>
            <w:hideMark/>
          </w:tcPr>
          <w:p w14:paraId="1FF14AAB"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WILSON 1E</w:t>
            </w:r>
          </w:p>
        </w:tc>
        <w:tc>
          <w:tcPr>
            <w:tcW w:w="1440" w:type="dxa"/>
            <w:shd w:val="clear" w:color="auto" w:fill="FFFFFF" w:themeFill="background1"/>
            <w:noWrap/>
            <w:vAlign w:val="center"/>
            <w:hideMark/>
          </w:tcPr>
          <w:p w14:paraId="06CA3BD2"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52.1</w:t>
            </w:r>
          </w:p>
        </w:tc>
        <w:tc>
          <w:tcPr>
            <w:tcW w:w="1320" w:type="dxa"/>
            <w:shd w:val="clear" w:color="auto" w:fill="FFFFFF" w:themeFill="background1"/>
            <w:noWrap/>
            <w:vAlign w:val="center"/>
            <w:hideMark/>
          </w:tcPr>
          <w:p w14:paraId="17659586"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59.1</w:t>
            </w:r>
          </w:p>
        </w:tc>
        <w:tc>
          <w:tcPr>
            <w:tcW w:w="1267" w:type="dxa"/>
            <w:shd w:val="clear" w:color="auto" w:fill="FFFFFF" w:themeFill="background1"/>
            <w:noWrap/>
            <w:hideMark/>
          </w:tcPr>
          <w:p w14:paraId="2F25EBEE" w14:textId="49EBC173" w:rsidR="00C210A4" w:rsidRPr="00B5494E" w:rsidRDefault="00750093"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5CD8D06B"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04/1973</w:t>
            </w:r>
          </w:p>
        </w:tc>
        <w:tc>
          <w:tcPr>
            <w:tcW w:w="1464" w:type="dxa"/>
            <w:shd w:val="clear" w:color="auto" w:fill="FFFFFF" w:themeFill="background1"/>
            <w:noWrap/>
            <w:vAlign w:val="center"/>
            <w:hideMark/>
          </w:tcPr>
          <w:p w14:paraId="04C0733D"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48CB8D7B" w14:textId="77777777" w:rsidTr="00712AB6">
        <w:trPr>
          <w:trHeight w:val="288"/>
          <w:jc w:val="center"/>
        </w:trPr>
        <w:tc>
          <w:tcPr>
            <w:tcW w:w="1200" w:type="dxa"/>
            <w:shd w:val="clear" w:color="auto" w:fill="FFFFFF" w:themeFill="background1"/>
            <w:noWrap/>
            <w:vAlign w:val="center"/>
            <w:hideMark/>
          </w:tcPr>
          <w:p w14:paraId="4D55E102"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Oil</w:t>
            </w:r>
          </w:p>
        </w:tc>
        <w:tc>
          <w:tcPr>
            <w:tcW w:w="2448" w:type="dxa"/>
            <w:shd w:val="clear" w:color="auto" w:fill="FFFFFF" w:themeFill="background1"/>
            <w:noWrap/>
            <w:vAlign w:val="center"/>
            <w:hideMark/>
          </w:tcPr>
          <w:p w14:paraId="72A5DA92"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WILSON 1F</w:t>
            </w:r>
          </w:p>
        </w:tc>
        <w:tc>
          <w:tcPr>
            <w:tcW w:w="1440" w:type="dxa"/>
            <w:shd w:val="clear" w:color="auto" w:fill="FFFFFF" w:themeFill="background1"/>
            <w:noWrap/>
            <w:vAlign w:val="center"/>
            <w:hideMark/>
          </w:tcPr>
          <w:p w14:paraId="5FBF12DD" w14:textId="696731A5" w:rsidR="00C210A4" w:rsidRPr="00B5494E" w:rsidRDefault="0030423C" w:rsidP="004911AE">
            <w:pPr>
              <w:spacing w:after="0" w:line="240" w:lineRule="auto"/>
              <w:jc w:val="center"/>
              <w:rPr>
                <w:rFonts w:eastAsia="Times New Roman" w:cs="Arial"/>
                <w:sz w:val="18"/>
                <w:szCs w:val="18"/>
              </w:rPr>
            </w:pPr>
            <w:r w:rsidRPr="00B5494E">
              <w:rPr>
                <w:rFonts w:eastAsia="Times New Roman" w:cs="Arial"/>
                <w:sz w:val="18"/>
                <w:szCs w:val="18"/>
              </w:rPr>
              <w:t>43.</w:t>
            </w:r>
            <w:r w:rsidR="00C210A4" w:rsidRPr="00B5494E" w:rsidDel="0030423C">
              <w:rPr>
                <w:rFonts w:eastAsia="Times New Roman" w:cs="Arial"/>
                <w:sz w:val="18"/>
                <w:szCs w:val="18"/>
              </w:rPr>
              <w:t>1</w:t>
            </w:r>
          </w:p>
        </w:tc>
        <w:tc>
          <w:tcPr>
            <w:tcW w:w="1320" w:type="dxa"/>
            <w:shd w:val="clear" w:color="auto" w:fill="FFFFFF" w:themeFill="background1"/>
            <w:noWrap/>
            <w:vAlign w:val="center"/>
            <w:hideMark/>
          </w:tcPr>
          <w:p w14:paraId="4043A3FE" w14:textId="36E872D7" w:rsidR="00C210A4" w:rsidRPr="00B5494E" w:rsidRDefault="0073371E" w:rsidP="004911AE">
            <w:pPr>
              <w:spacing w:after="0" w:line="240" w:lineRule="auto"/>
              <w:jc w:val="center"/>
              <w:rPr>
                <w:rFonts w:eastAsia="Times New Roman" w:cs="Arial"/>
                <w:sz w:val="18"/>
                <w:szCs w:val="18"/>
              </w:rPr>
            </w:pPr>
            <w:r w:rsidRPr="00B5494E">
              <w:rPr>
                <w:rFonts w:eastAsia="Times New Roman" w:cs="Arial"/>
                <w:sz w:val="18"/>
                <w:szCs w:val="18"/>
              </w:rPr>
              <w:t>59</w:t>
            </w:r>
            <w:r w:rsidR="00C210A4" w:rsidRPr="00B5494E">
              <w:rPr>
                <w:rFonts w:eastAsia="Times New Roman" w:cs="Arial"/>
                <w:sz w:val="18"/>
                <w:szCs w:val="18"/>
              </w:rPr>
              <w:t>.1</w:t>
            </w:r>
          </w:p>
        </w:tc>
        <w:tc>
          <w:tcPr>
            <w:tcW w:w="1267" w:type="dxa"/>
            <w:shd w:val="clear" w:color="auto" w:fill="FFFFFF" w:themeFill="background1"/>
            <w:noWrap/>
            <w:hideMark/>
          </w:tcPr>
          <w:p w14:paraId="7DF71CD7" w14:textId="02744CD3" w:rsidR="00C210A4" w:rsidRPr="00B5494E" w:rsidRDefault="00750093"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0C1A4E95"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04/1973</w:t>
            </w:r>
          </w:p>
        </w:tc>
        <w:tc>
          <w:tcPr>
            <w:tcW w:w="1464" w:type="dxa"/>
            <w:shd w:val="clear" w:color="auto" w:fill="FFFFFF" w:themeFill="background1"/>
            <w:noWrap/>
            <w:vAlign w:val="center"/>
            <w:hideMark/>
          </w:tcPr>
          <w:p w14:paraId="684561F3"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24466503" w14:textId="77777777" w:rsidTr="00712AB6">
        <w:trPr>
          <w:trHeight w:val="288"/>
          <w:jc w:val="center"/>
        </w:trPr>
        <w:tc>
          <w:tcPr>
            <w:tcW w:w="1200" w:type="dxa"/>
            <w:shd w:val="clear" w:color="auto" w:fill="FFFFFF" w:themeFill="background1"/>
            <w:noWrap/>
            <w:vAlign w:val="center"/>
            <w:hideMark/>
          </w:tcPr>
          <w:p w14:paraId="43FF783B"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Oil</w:t>
            </w:r>
          </w:p>
        </w:tc>
        <w:tc>
          <w:tcPr>
            <w:tcW w:w="2448" w:type="dxa"/>
            <w:shd w:val="clear" w:color="auto" w:fill="FFFFFF" w:themeFill="background1"/>
            <w:noWrap/>
            <w:vAlign w:val="center"/>
            <w:hideMark/>
          </w:tcPr>
          <w:p w14:paraId="3AB45363" w14:textId="77777777" w:rsidR="00C210A4" w:rsidRPr="00B5494E" w:rsidRDefault="00C210A4" w:rsidP="004911AE">
            <w:pPr>
              <w:spacing w:after="0" w:line="240" w:lineRule="auto"/>
              <w:rPr>
                <w:rFonts w:eastAsia="Times New Roman" w:cs="Arial"/>
                <w:sz w:val="18"/>
                <w:szCs w:val="18"/>
              </w:rPr>
            </w:pPr>
            <w:r w:rsidRPr="00B5494E">
              <w:rPr>
                <w:rFonts w:eastAsia="Times New Roman" w:cs="Arial"/>
                <w:sz w:val="18"/>
                <w:szCs w:val="18"/>
              </w:rPr>
              <w:t>WILSON DIESEL</w:t>
            </w:r>
          </w:p>
        </w:tc>
        <w:tc>
          <w:tcPr>
            <w:tcW w:w="1440" w:type="dxa"/>
            <w:shd w:val="clear" w:color="auto" w:fill="FFFFFF" w:themeFill="background1"/>
            <w:noWrap/>
            <w:vAlign w:val="center"/>
            <w:hideMark/>
          </w:tcPr>
          <w:p w14:paraId="32EFE2A5"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w:t>
            </w:r>
          </w:p>
        </w:tc>
        <w:tc>
          <w:tcPr>
            <w:tcW w:w="1320" w:type="dxa"/>
            <w:shd w:val="clear" w:color="auto" w:fill="FFFFFF" w:themeFill="background1"/>
            <w:noWrap/>
            <w:vAlign w:val="center"/>
            <w:hideMark/>
          </w:tcPr>
          <w:p w14:paraId="37D69A13"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w:t>
            </w:r>
          </w:p>
        </w:tc>
        <w:tc>
          <w:tcPr>
            <w:tcW w:w="1267" w:type="dxa"/>
            <w:shd w:val="clear" w:color="auto" w:fill="FFFFFF" w:themeFill="background1"/>
            <w:noWrap/>
            <w:hideMark/>
          </w:tcPr>
          <w:p w14:paraId="3EE1A557" w14:textId="0C5E72AF" w:rsidR="00C210A4" w:rsidRPr="00B5494E" w:rsidRDefault="00750093"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hideMark/>
          </w:tcPr>
          <w:p w14:paraId="7190DDA8"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01/1972</w:t>
            </w:r>
          </w:p>
        </w:tc>
        <w:tc>
          <w:tcPr>
            <w:tcW w:w="1464" w:type="dxa"/>
            <w:shd w:val="clear" w:color="auto" w:fill="FFFFFF" w:themeFill="background1"/>
            <w:noWrap/>
            <w:vAlign w:val="center"/>
            <w:hideMark/>
          </w:tcPr>
          <w:p w14:paraId="5D947B2D"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2F3AB828" w14:textId="77777777" w:rsidTr="00712AB6">
        <w:trPr>
          <w:trHeight w:val="288"/>
          <w:jc w:val="center"/>
        </w:trPr>
        <w:tc>
          <w:tcPr>
            <w:tcW w:w="1200" w:type="dxa"/>
            <w:shd w:val="clear" w:color="auto" w:fill="FFFFFF" w:themeFill="background1"/>
            <w:noWrap/>
            <w:vAlign w:val="center"/>
          </w:tcPr>
          <w:p w14:paraId="3B9DDAA3" w14:textId="6A9A55BF" w:rsidR="00C210A4" w:rsidRPr="00B5494E" w:rsidRDefault="006077AC" w:rsidP="004911AE">
            <w:pPr>
              <w:spacing w:after="0" w:line="240" w:lineRule="auto"/>
              <w:jc w:val="center"/>
              <w:rPr>
                <w:rFonts w:eastAsia="Times New Roman" w:cs="Arial"/>
                <w:sz w:val="18"/>
                <w:szCs w:val="18"/>
              </w:rPr>
            </w:pPr>
            <w:r w:rsidRPr="00B5494E">
              <w:rPr>
                <w:rFonts w:eastAsia="Times New Roman" w:cs="Arial"/>
                <w:sz w:val="18"/>
                <w:szCs w:val="18"/>
              </w:rPr>
              <w:t>Oil/Gas</w:t>
            </w:r>
          </w:p>
        </w:tc>
        <w:tc>
          <w:tcPr>
            <w:tcW w:w="2448" w:type="dxa"/>
            <w:shd w:val="clear" w:color="auto" w:fill="FFFFFF" w:themeFill="background1"/>
            <w:noWrap/>
            <w:vAlign w:val="center"/>
          </w:tcPr>
          <w:p w14:paraId="31D9820C" w14:textId="443EA339" w:rsidR="00C210A4" w:rsidRPr="00B5494E" w:rsidRDefault="007E2BA6" w:rsidP="004911AE">
            <w:pPr>
              <w:spacing w:after="0" w:line="240" w:lineRule="auto"/>
              <w:rPr>
                <w:rFonts w:eastAsia="Times New Roman" w:cs="Arial"/>
                <w:sz w:val="18"/>
                <w:szCs w:val="18"/>
              </w:rPr>
            </w:pPr>
            <w:r w:rsidRPr="00B5494E">
              <w:rPr>
                <w:rFonts w:eastAsia="Times New Roman" w:cs="Arial"/>
                <w:sz w:val="18"/>
                <w:szCs w:val="18"/>
              </w:rPr>
              <w:t>YATES</w:t>
            </w:r>
            <w:r w:rsidR="006077AC" w:rsidRPr="00B5494E">
              <w:rPr>
                <w:rFonts w:eastAsia="Times New Roman" w:cs="Arial"/>
                <w:sz w:val="18"/>
                <w:szCs w:val="18"/>
              </w:rPr>
              <w:t xml:space="preserve"> 8</w:t>
            </w:r>
          </w:p>
        </w:tc>
        <w:tc>
          <w:tcPr>
            <w:tcW w:w="1440" w:type="dxa"/>
            <w:shd w:val="clear" w:color="auto" w:fill="FFFFFF" w:themeFill="background1"/>
            <w:noWrap/>
            <w:vAlign w:val="center"/>
          </w:tcPr>
          <w:p w14:paraId="005ED03E" w14:textId="5021B8D3" w:rsidR="00C210A4" w:rsidRPr="00B5494E" w:rsidRDefault="00274C54" w:rsidP="004911AE">
            <w:pPr>
              <w:spacing w:after="0" w:line="240" w:lineRule="auto"/>
              <w:jc w:val="center"/>
              <w:rPr>
                <w:rFonts w:eastAsia="Times New Roman" w:cs="Arial"/>
                <w:sz w:val="18"/>
                <w:szCs w:val="18"/>
              </w:rPr>
            </w:pPr>
            <w:r w:rsidRPr="00B5494E">
              <w:rPr>
                <w:rFonts w:eastAsia="Times New Roman" w:cs="Arial"/>
                <w:sz w:val="18"/>
                <w:szCs w:val="18"/>
              </w:rPr>
              <w:t>441</w:t>
            </w:r>
          </w:p>
        </w:tc>
        <w:tc>
          <w:tcPr>
            <w:tcW w:w="1320" w:type="dxa"/>
            <w:shd w:val="clear" w:color="auto" w:fill="FFFFFF" w:themeFill="background1"/>
            <w:noWrap/>
            <w:vAlign w:val="center"/>
          </w:tcPr>
          <w:p w14:paraId="506791BF" w14:textId="51386A00" w:rsidR="00C210A4" w:rsidRPr="00B5494E" w:rsidRDefault="00DD0C12" w:rsidP="004911AE">
            <w:pPr>
              <w:spacing w:after="0" w:line="240" w:lineRule="auto"/>
              <w:jc w:val="center"/>
              <w:rPr>
                <w:rFonts w:eastAsia="Times New Roman" w:cs="Arial"/>
                <w:sz w:val="18"/>
                <w:szCs w:val="18"/>
              </w:rPr>
            </w:pPr>
            <w:r w:rsidRPr="00B5494E">
              <w:rPr>
                <w:rFonts w:eastAsia="Times New Roman" w:cs="Arial"/>
                <w:sz w:val="18"/>
                <w:szCs w:val="18"/>
              </w:rPr>
              <w:t>356.6</w:t>
            </w:r>
          </w:p>
        </w:tc>
        <w:tc>
          <w:tcPr>
            <w:tcW w:w="1267" w:type="dxa"/>
            <w:shd w:val="clear" w:color="auto" w:fill="FFFFFF" w:themeFill="background1"/>
            <w:noWrap/>
            <w:vAlign w:val="center"/>
          </w:tcPr>
          <w:p w14:paraId="304F2135" w14:textId="77777777"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tcPr>
          <w:p w14:paraId="66B9C7CB" w14:textId="74E101F5" w:rsidR="00C210A4" w:rsidRPr="00B5494E" w:rsidRDefault="009231FE" w:rsidP="004911AE">
            <w:pPr>
              <w:spacing w:after="0" w:line="240" w:lineRule="auto"/>
              <w:jc w:val="center"/>
              <w:rPr>
                <w:rFonts w:eastAsia="Times New Roman" w:cs="Arial"/>
                <w:sz w:val="18"/>
                <w:szCs w:val="18"/>
              </w:rPr>
            </w:pPr>
            <w:r w:rsidRPr="00B5494E">
              <w:rPr>
                <w:rFonts w:eastAsia="Times New Roman" w:cs="Arial"/>
                <w:sz w:val="18"/>
                <w:szCs w:val="18"/>
              </w:rPr>
              <w:t>12/2026</w:t>
            </w:r>
          </w:p>
        </w:tc>
        <w:tc>
          <w:tcPr>
            <w:tcW w:w="1464" w:type="dxa"/>
            <w:shd w:val="clear" w:color="auto" w:fill="FFFFFF" w:themeFill="background1"/>
            <w:noWrap/>
            <w:vAlign w:val="center"/>
          </w:tcPr>
          <w:p w14:paraId="003292EA" w14:textId="2DCE4328" w:rsidR="00C210A4" w:rsidRPr="00B5494E" w:rsidRDefault="00C210A4" w:rsidP="004911AE">
            <w:pPr>
              <w:spacing w:after="0" w:line="240" w:lineRule="auto"/>
              <w:jc w:val="center"/>
              <w:rPr>
                <w:rFonts w:eastAsia="Times New Roman" w:cs="Arial"/>
                <w:sz w:val="18"/>
                <w:szCs w:val="18"/>
              </w:rPr>
            </w:pPr>
            <w:r w:rsidRPr="00B5494E">
              <w:rPr>
                <w:rFonts w:eastAsia="Times New Roman" w:cs="Arial"/>
                <w:sz w:val="18"/>
                <w:szCs w:val="18"/>
              </w:rPr>
              <w:t>12/20</w:t>
            </w:r>
            <w:r w:rsidR="009231FE" w:rsidRPr="00B5494E">
              <w:rPr>
                <w:rFonts w:eastAsia="Times New Roman" w:cs="Arial"/>
                <w:sz w:val="18"/>
                <w:szCs w:val="18"/>
              </w:rPr>
              <w:t>71</w:t>
            </w:r>
          </w:p>
        </w:tc>
      </w:tr>
      <w:tr w:rsidR="00B5494E" w:rsidRPr="00B5494E" w14:paraId="2C15BC69" w14:textId="77777777" w:rsidTr="00712AB6">
        <w:trPr>
          <w:trHeight w:val="288"/>
          <w:jc w:val="center"/>
        </w:trPr>
        <w:tc>
          <w:tcPr>
            <w:tcW w:w="1200" w:type="dxa"/>
            <w:shd w:val="clear" w:color="auto" w:fill="FFFFFF" w:themeFill="background1"/>
            <w:noWrap/>
            <w:vAlign w:val="center"/>
          </w:tcPr>
          <w:p w14:paraId="247100DD" w14:textId="571F4609" w:rsidR="00A6219F" w:rsidRPr="00B5494E" w:rsidRDefault="006077AC" w:rsidP="00A6219F">
            <w:pPr>
              <w:spacing w:after="0" w:line="240" w:lineRule="auto"/>
              <w:jc w:val="center"/>
              <w:rPr>
                <w:rFonts w:eastAsia="Times New Roman" w:cs="Arial"/>
                <w:sz w:val="18"/>
                <w:szCs w:val="18"/>
              </w:rPr>
            </w:pPr>
            <w:r w:rsidRPr="00B5494E">
              <w:rPr>
                <w:rFonts w:eastAsia="Times New Roman" w:cs="Arial"/>
                <w:sz w:val="18"/>
                <w:szCs w:val="18"/>
              </w:rPr>
              <w:t>Oil/Gas</w:t>
            </w:r>
          </w:p>
        </w:tc>
        <w:tc>
          <w:tcPr>
            <w:tcW w:w="2448" w:type="dxa"/>
            <w:shd w:val="clear" w:color="auto" w:fill="FFFFFF" w:themeFill="background1"/>
            <w:noWrap/>
            <w:vAlign w:val="center"/>
          </w:tcPr>
          <w:p w14:paraId="1E3AE997" w14:textId="602ADED3" w:rsidR="00A6219F" w:rsidRPr="00B5494E" w:rsidRDefault="007E2BA6" w:rsidP="00A6219F">
            <w:pPr>
              <w:spacing w:after="0" w:line="240" w:lineRule="auto"/>
              <w:rPr>
                <w:rFonts w:eastAsia="Times New Roman" w:cs="Arial"/>
                <w:sz w:val="18"/>
                <w:szCs w:val="18"/>
              </w:rPr>
            </w:pPr>
            <w:r w:rsidRPr="00B5494E">
              <w:rPr>
                <w:rFonts w:eastAsia="Times New Roman" w:cs="Arial"/>
                <w:sz w:val="18"/>
                <w:szCs w:val="18"/>
              </w:rPr>
              <w:t>YATES</w:t>
            </w:r>
            <w:r w:rsidR="006077AC" w:rsidRPr="00B5494E">
              <w:rPr>
                <w:rFonts w:eastAsia="Times New Roman" w:cs="Arial"/>
                <w:sz w:val="18"/>
                <w:szCs w:val="18"/>
              </w:rPr>
              <w:t xml:space="preserve"> 9</w:t>
            </w:r>
          </w:p>
        </w:tc>
        <w:tc>
          <w:tcPr>
            <w:tcW w:w="1440" w:type="dxa"/>
            <w:shd w:val="clear" w:color="auto" w:fill="FFFFFF" w:themeFill="background1"/>
            <w:noWrap/>
            <w:vAlign w:val="center"/>
          </w:tcPr>
          <w:p w14:paraId="55200E63" w14:textId="226ADB39" w:rsidR="00A6219F" w:rsidRPr="00B5494E" w:rsidRDefault="00274C54" w:rsidP="00A6219F">
            <w:pPr>
              <w:spacing w:after="0" w:line="240" w:lineRule="auto"/>
              <w:jc w:val="center"/>
              <w:rPr>
                <w:rFonts w:eastAsia="Times New Roman" w:cs="Arial"/>
                <w:sz w:val="18"/>
                <w:szCs w:val="18"/>
              </w:rPr>
            </w:pPr>
            <w:r w:rsidRPr="00B5494E">
              <w:rPr>
                <w:rFonts w:eastAsia="Times New Roman" w:cs="Arial"/>
                <w:sz w:val="18"/>
                <w:szCs w:val="18"/>
              </w:rPr>
              <w:t>441</w:t>
            </w:r>
          </w:p>
        </w:tc>
        <w:tc>
          <w:tcPr>
            <w:tcW w:w="1320" w:type="dxa"/>
            <w:shd w:val="clear" w:color="auto" w:fill="FFFFFF" w:themeFill="background1"/>
            <w:noWrap/>
            <w:vAlign w:val="center"/>
          </w:tcPr>
          <w:p w14:paraId="49D4BF36" w14:textId="0F836032" w:rsidR="00A6219F" w:rsidRPr="00B5494E" w:rsidRDefault="00DD0C12" w:rsidP="00A6219F">
            <w:pPr>
              <w:spacing w:after="0" w:line="240" w:lineRule="auto"/>
              <w:jc w:val="center"/>
              <w:rPr>
                <w:rFonts w:eastAsia="Times New Roman" w:cs="Arial"/>
                <w:sz w:val="18"/>
                <w:szCs w:val="18"/>
              </w:rPr>
            </w:pPr>
            <w:r w:rsidRPr="00B5494E">
              <w:rPr>
                <w:rFonts w:eastAsia="Times New Roman" w:cs="Arial"/>
                <w:sz w:val="18"/>
                <w:szCs w:val="18"/>
              </w:rPr>
              <w:t>356.6</w:t>
            </w:r>
          </w:p>
        </w:tc>
        <w:tc>
          <w:tcPr>
            <w:tcW w:w="1267" w:type="dxa"/>
            <w:shd w:val="clear" w:color="auto" w:fill="FFFFFF" w:themeFill="background1"/>
            <w:noWrap/>
            <w:vAlign w:val="center"/>
          </w:tcPr>
          <w:p w14:paraId="01B84CE5" w14:textId="7A654D3E" w:rsidR="00A6219F" w:rsidRPr="00B5494E" w:rsidRDefault="00A6219F" w:rsidP="00A6219F">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tcPr>
          <w:p w14:paraId="166A8B3E" w14:textId="7DF93BC7" w:rsidR="00A6219F" w:rsidRPr="00B5494E" w:rsidRDefault="003B76F2" w:rsidP="00A6219F">
            <w:pPr>
              <w:spacing w:after="0" w:line="240" w:lineRule="auto"/>
              <w:jc w:val="center"/>
              <w:rPr>
                <w:rFonts w:eastAsia="Times New Roman" w:cs="Arial"/>
                <w:sz w:val="18"/>
                <w:szCs w:val="18"/>
              </w:rPr>
            </w:pPr>
            <w:r w:rsidRPr="00B5494E">
              <w:rPr>
                <w:rFonts w:eastAsia="Times New Roman" w:cs="Arial"/>
                <w:sz w:val="18"/>
                <w:szCs w:val="18"/>
              </w:rPr>
              <w:t>0</w:t>
            </w:r>
            <w:r w:rsidR="009231FE" w:rsidRPr="00B5494E">
              <w:rPr>
                <w:rFonts w:eastAsia="Times New Roman" w:cs="Arial"/>
                <w:sz w:val="18"/>
                <w:szCs w:val="18"/>
              </w:rPr>
              <w:t>5</w:t>
            </w:r>
            <w:r w:rsidR="000F4F3B" w:rsidRPr="00B5494E">
              <w:rPr>
                <w:rFonts w:eastAsia="Times New Roman" w:cs="Arial"/>
                <w:sz w:val="18"/>
                <w:szCs w:val="18"/>
              </w:rPr>
              <w:t>/202</w:t>
            </w:r>
            <w:r w:rsidR="009231FE" w:rsidRPr="00B5494E">
              <w:rPr>
                <w:rFonts w:eastAsia="Times New Roman" w:cs="Arial"/>
                <w:sz w:val="18"/>
                <w:szCs w:val="18"/>
              </w:rPr>
              <w:t>7</w:t>
            </w:r>
          </w:p>
        </w:tc>
        <w:tc>
          <w:tcPr>
            <w:tcW w:w="1464" w:type="dxa"/>
            <w:shd w:val="clear" w:color="auto" w:fill="FFFFFF" w:themeFill="background1"/>
            <w:noWrap/>
            <w:vAlign w:val="center"/>
          </w:tcPr>
          <w:p w14:paraId="106C76C9" w14:textId="4121A483" w:rsidR="00C824AE" w:rsidRPr="00B5494E" w:rsidRDefault="009231FE" w:rsidP="00C824AE">
            <w:pPr>
              <w:spacing w:after="0" w:line="240" w:lineRule="auto"/>
              <w:jc w:val="center"/>
              <w:rPr>
                <w:rFonts w:eastAsia="Times New Roman" w:cs="Arial"/>
                <w:sz w:val="18"/>
                <w:szCs w:val="18"/>
              </w:rPr>
            </w:pPr>
            <w:r w:rsidRPr="00B5494E">
              <w:rPr>
                <w:rFonts w:eastAsia="Times New Roman" w:cs="Arial"/>
                <w:sz w:val="18"/>
                <w:szCs w:val="18"/>
              </w:rPr>
              <w:t>05</w:t>
            </w:r>
            <w:r w:rsidR="00C824AE" w:rsidRPr="00B5494E">
              <w:rPr>
                <w:rFonts w:eastAsia="Times New Roman" w:cs="Arial"/>
                <w:sz w:val="18"/>
                <w:szCs w:val="18"/>
              </w:rPr>
              <w:t>/20</w:t>
            </w:r>
            <w:r w:rsidRPr="00B5494E">
              <w:rPr>
                <w:rFonts w:eastAsia="Times New Roman" w:cs="Arial"/>
                <w:sz w:val="18"/>
                <w:szCs w:val="18"/>
              </w:rPr>
              <w:t>72</w:t>
            </w:r>
          </w:p>
        </w:tc>
      </w:tr>
      <w:tr w:rsidR="00B5494E" w:rsidRPr="00B5494E" w14:paraId="1BAD1736" w14:textId="77777777" w:rsidTr="00712AB6">
        <w:trPr>
          <w:trHeight w:val="288"/>
          <w:jc w:val="center"/>
        </w:trPr>
        <w:tc>
          <w:tcPr>
            <w:tcW w:w="1200" w:type="dxa"/>
            <w:shd w:val="clear" w:color="auto" w:fill="FFFFFF" w:themeFill="background1"/>
            <w:noWrap/>
            <w:vAlign w:val="center"/>
          </w:tcPr>
          <w:p w14:paraId="6B6138C1" w14:textId="44FE8A36" w:rsidR="00A6219F" w:rsidRPr="00B5494E" w:rsidRDefault="006077AC" w:rsidP="00A6219F">
            <w:pPr>
              <w:spacing w:after="0" w:line="240" w:lineRule="auto"/>
              <w:jc w:val="center"/>
              <w:rPr>
                <w:rFonts w:eastAsia="Times New Roman" w:cs="Arial"/>
                <w:sz w:val="18"/>
                <w:szCs w:val="18"/>
              </w:rPr>
            </w:pPr>
            <w:r w:rsidRPr="00B5494E">
              <w:rPr>
                <w:rFonts w:eastAsia="Times New Roman" w:cs="Arial"/>
                <w:sz w:val="18"/>
                <w:szCs w:val="18"/>
              </w:rPr>
              <w:t>Oil/Gas</w:t>
            </w:r>
          </w:p>
        </w:tc>
        <w:tc>
          <w:tcPr>
            <w:tcW w:w="2448" w:type="dxa"/>
            <w:shd w:val="clear" w:color="auto" w:fill="FFFFFF" w:themeFill="background1"/>
            <w:noWrap/>
            <w:vAlign w:val="center"/>
          </w:tcPr>
          <w:p w14:paraId="0BCB2E84" w14:textId="6262A2DE" w:rsidR="00A6219F" w:rsidRPr="00B5494E" w:rsidRDefault="007E2BA6" w:rsidP="00A6219F">
            <w:pPr>
              <w:spacing w:after="0" w:line="240" w:lineRule="auto"/>
              <w:rPr>
                <w:rFonts w:eastAsia="Times New Roman" w:cs="Arial"/>
                <w:sz w:val="18"/>
                <w:szCs w:val="18"/>
              </w:rPr>
            </w:pPr>
            <w:r w:rsidRPr="00B5494E">
              <w:rPr>
                <w:rFonts w:eastAsia="Times New Roman" w:cs="Arial"/>
                <w:sz w:val="18"/>
                <w:szCs w:val="18"/>
              </w:rPr>
              <w:t>YATES</w:t>
            </w:r>
            <w:r w:rsidR="006077AC" w:rsidRPr="00B5494E">
              <w:rPr>
                <w:rFonts w:eastAsia="Times New Roman" w:cs="Arial"/>
                <w:sz w:val="18"/>
                <w:szCs w:val="18"/>
              </w:rPr>
              <w:t xml:space="preserve"> 10</w:t>
            </w:r>
          </w:p>
        </w:tc>
        <w:tc>
          <w:tcPr>
            <w:tcW w:w="1440" w:type="dxa"/>
            <w:shd w:val="clear" w:color="auto" w:fill="FFFFFF" w:themeFill="background1"/>
            <w:noWrap/>
            <w:vAlign w:val="center"/>
          </w:tcPr>
          <w:p w14:paraId="0CC42EBC" w14:textId="705E34E4" w:rsidR="00A6219F" w:rsidRPr="00B5494E" w:rsidRDefault="00274C54" w:rsidP="00A6219F">
            <w:pPr>
              <w:spacing w:after="0" w:line="240" w:lineRule="auto"/>
              <w:jc w:val="center"/>
              <w:rPr>
                <w:rFonts w:eastAsia="Times New Roman" w:cs="Arial"/>
                <w:sz w:val="18"/>
                <w:szCs w:val="18"/>
              </w:rPr>
            </w:pPr>
            <w:r w:rsidRPr="00B5494E">
              <w:rPr>
                <w:rFonts w:eastAsia="Times New Roman" w:cs="Arial"/>
                <w:sz w:val="18"/>
                <w:szCs w:val="18"/>
              </w:rPr>
              <w:t>441</w:t>
            </w:r>
          </w:p>
        </w:tc>
        <w:tc>
          <w:tcPr>
            <w:tcW w:w="1320" w:type="dxa"/>
            <w:shd w:val="clear" w:color="auto" w:fill="FFFFFF" w:themeFill="background1"/>
            <w:noWrap/>
            <w:vAlign w:val="center"/>
          </w:tcPr>
          <w:p w14:paraId="5D419F49" w14:textId="3C127A66" w:rsidR="00A6219F" w:rsidRPr="00B5494E" w:rsidRDefault="00DD0C12" w:rsidP="00A6219F">
            <w:pPr>
              <w:spacing w:after="0" w:line="240" w:lineRule="auto"/>
              <w:jc w:val="center"/>
              <w:rPr>
                <w:rFonts w:eastAsia="Times New Roman" w:cs="Arial"/>
                <w:sz w:val="18"/>
                <w:szCs w:val="18"/>
              </w:rPr>
            </w:pPr>
            <w:r w:rsidRPr="00B5494E">
              <w:rPr>
                <w:rFonts w:eastAsia="Times New Roman" w:cs="Arial"/>
                <w:sz w:val="18"/>
                <w:szCs w:val="18"/>
              </w:rPr>
              <w:t>356.6</w:t>
            </w:r>
          </w:p>
        </w:tc>
        <w:tc>
          <w:tcPr>
            <w:tcW w:w="1267" w:type="dxa"/>
            <w:shd w:val="clear" w:color="auto" w:fill="FFFFFF" w:themeFill="background1"/>
            <w:noWrap/>
            <w:vAlign w:val="center"/>
          </w:tcPr>
          <w:p w14:paraId="3988AE2E" w14:textId="1B513485" w:rsidR="00A6219F" w:rsidRPr="00B5494E" w:rsidRDefault="00A6219F" w:rsidP="00A6219F">
            <w:pPr>
              <w:spacing w:after="0" w:line="240" w:lineRule="auto"/>
              <w:jc w:val="center"/>
              <w:rPr>
                <w:rFonts w:eastAsia="Times New Roman" w:cs="Arial"/>
                <w:sz w:val="18"/>
                <w:szCs w:val="18"/>
              </w:rPr>
            </w:pPr>
            <w:r w:rsidRPr="00B5494E">
              <w:rPr>
                <w:rFonts w:eastAsia="Times New Roman" w:cs="Arial"/>
                <w:sz w:val="18"/>
                <w:szCs w:val="18"/>
              </w:rPr>
              <w:t>100.00%</w:t>
            </w:r>
          </w:p>
        </w:tc>
        <w:tc>
          <w:tcPr>
            <w:tcW w:w="1152" w:type="dxa"/>
            <w:shd w:val="clear" w:color="auto" w:fill="FFFFFF" w:themeFill="background1"/>
            <w:noWrap/>
            <w:vAlign w:val="center"/>
          </w:tcPr>
          <w:p w14:paraId="4B8EDB73" w14:textId="3E9AE799" w:rsidR="00A6219F" w:rsidRPr="00B5494E" w:rsidRDefault="000F4F3B" w:rsidP="00A6219F">
            <w:pPr>
              <w:spacing w:after="0" w:line="240" w:lineRule="auto"/>
              <w:jc w:val="center"/>
              <w:rPr>
                <w:rFonts w:eastAsia="Times New Roman" w:cs="Arial"/>
                <w:sz w:val="18"/>
                <w:szCs w:val="18"/>
              </w:rPr>
            </w:pPr>
            <w:r w:rsidRPr="00B5494E">
              <w:rPr>
                <w:rFonts w:eastAsia="Times New Roman" w:cs="Arial"/>
                <w:sz w:val="18"/>
                <w:szCs w:val="18"/>
              </w:rPr>
              <w:t>0</w:t>
            </w:r>
            <w:r w:rsidR="009231FE" w:rsidRPr="00B5494E">
              <w:rPr>
                <w:rFonts w:eastAsia="Times New Roman" w:cs="Arial"/>
                <w:sz w:val="18"/>
                <w:szCs w:val="18"/>
              </w:rPr>
              <w:t>8</w:t>
            </w:r>
            <w:r w:rsidRPr="00B5494E">
              <w:rPr>
                <w:rFonts w:eastAsia="Times New Roman" w:cs="Arial"/>
                <w:sz w:val="18"/>
                <w:szCs w:val="18"/>
              </w:rPr>
              <w:t>/2027</w:t>
            </w:r>
          </w:p>
        </w:tc>
        <w:tc>
          <w:tcPr>
            <w:tcW w:w="1464" w:type="dxa"/>
            <w:shd w:val="clear" w:color="auto" w:fill="FFFFFF" w:themeFill="background1"/>
            <w:noWrap/>
            <w:vAlign w:val="center"/>
          </w:tcPr>
          <w:p w14:paraId="4285A238" w14:textId="6B37886C" w:rsidR="00A6219F" w:rsidRPr="00B5494E" w:rsidRDefault="009231FE" w:rsidP="00A6219F">
            <w:pPr>
              <w:spacing w:after="0" w:line="240" w:lineRule="auto"/>
              <w:jc w:val="center"/>
              <w:rPr>
                <w:rFonts w:eastAsia="Times New Roman" w:cs="Arial"/>
                <w:sz w:val="18"/>
                <w:szCs w:val="18"/>
              </w:rPr>
            </w:pPr>
            <w:r w:rsidRPr="00B5494E">
              <w:rPr>
                <w:rFonts w:eastAsia="Times New Roman" w:cs="Arial"/>
                <w:sz w:val="18"/>
                <w:szCs w:val="18"/>
              </w:rPr>
              <w:t>08</w:t>
            </w:r>
            <w:r w:rsidR="0035797B" w:rsidRPr="00B5494E">
              <w:rPr>
                <w:rFonts w:eastAsia="Times New Roman" w:cs="Arial"/>
                <w:sz w:val="18"/>
                <w:szCs w:val="18"/>
              </w:rPr>
              <w:t>/20</w:t>
            </w:r>
            <w:r w:rsidR="00D71DC4" w:rsidRPr="00B5494E">
              <w:rPr>
                <w:rFonts w:eastAsia="Times New Roman" w:cs="Arial"/>
                <w:sz w:val="18"/>
                <w:szCs w:val="18"/>
              </w:rPr>
              <w:t>72</w:t>
            </w:r>
          </w:p>
        </w:tc>
      </w:tr>
      <w:bookmarkEnd w:id="84"/>
    </w:tbl>
    <w:p w14:paraId="5A11F6C8" w14:textId="77777777" w:rsidR="002A4AD6" w:rsidRPr="00B5494E" w:rsidRDefault="002A4AD6" w:rsidP="002A4AD6"/>
    <w:p w14:paraId="6DE816A5" w14:textId="0032BDA1" w:rsidR="00C22C13" w:rsidRDefault="00773998" w:rsidP="00C22C13">
      <w:pPr>
        <w:pStyle w:val="Heading2"/>
      </w:pPr>
      <w:bookmarkStart w:id="85" w:name="_Toc189122800"/>
      <w:r>
        <w:lastRenderedPageBreak/>
        <w:t>C</w:t>
      </w:r>
      <w:r w:rsidR="00154022">
        <w:t xml:space="preserve">.2 </w:t>
      </w:r>
      <w:r w:rsidR="009C1469">
        <w:t>–</w:t>
      </w:r>
      <w:r w:rsidR="00154022">
        <w:t xml:space="preserve"> </w:t>
      </w:r>
      <w:r w:rsidR="006910CA">
        <w:t xml:space="preserve">Company-Owned </w:t>
      </w:r>
      <w:r w:rsidR="009C1469">
        <w:t>Resources</w:t>
      </w:r>
      <w:r w:rsidR="006910CA">
        <w:t xml:space="preserve"> – Hydroelectric</w:t>
      </w:r>
      <w:bookmarkEnd w:id="85"/>
    </w:p>
    <w:tbl>
      <w:tblPr>
        <w:tblW w:w="10142" w:type="dxa"/>
        <w:tblInd w:w="-4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9"/>
        <w:gridCol w:w="2514"/>
        <w:gridCol w:w="1232"/>
        <w:gridCol w:w="1232"/>
        <w:gridCol w:w="1109"/>
        <w:gridCol w:w="1853"/>
        <w:gridCol w:w="1453"/>
      </w:tblGrid>
      <w:tr w:rsidR="00D0381D" w14:paraId="7F73A728" w14:textId="77777777" w:rsidTr="00712AB6">
        <w:trPr>
          <w:trHeight w:val="1255"/>
        </w:trPr>
        <w:tc>
          <w:tcPr>
            <w:tcW w:w="749" w:type="dxa"/>
            <w:shd w:val="clear" w:color="auto" w:fill="808080" w:themeFill="background1" w:themeFillShade="80"/>
            <w:vAlign w:val="center"/>
            <w:hideMark/>
          </w:tcPr>
          <w:p w14:paraId="607F21FF" w14:textId="77777777" w:rsidR="00555EFE" w:rsidRPr="00147E5A" w:rsidRDefault="00555EFE" w:rsidP="004911AE">
            <w:pPr>
              <w:keepNext/>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Fuel Type</w:t>
            </w:r>
          </w:p>
        </w:tc>
        <w:tc>
          <w:tcPr>
            <w:tcW w:w="2514" w:type="dxa"/>
            <w:shd w:val="clear" w:color="auto" w:fill="808080" w:themeFill="background1" w:themeFillShade="80"/>
            <w:vAlign w:val="center"/>
            <w:hideMark/>
          </w:tcPr>
          <w:p w14:paraId="084823E2" w14:textId="77777777" w:rsidR="00555EFE" w:rsidRPr="00147E5A" w:rsidRDefault="00555EFE" w:rsidP="004911AE">
            <w:pPr>
              <w:keepNext/>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Resource Name</w:t>
            </w:r>
          </w:p>
        </w:tc>
        <w:tc>
          <w:tcPr>
            <w:tcW w:w="1232" w:type="dxa"/>
            <w:shd w:val="clear" w:color="auto" w:fill="808080" w:themeFill="background1" w:themeFillShade="80"/>
            <w:vAlign w:val="center"/>
            <w:hideMark/>
          </w:tcPr>
          <w:p w14:paraId="52954C53" w14:textId="407601CC" w:rsidR="00555EFE" w:rsidRPr="00147E5A" w:rsidRDefault="00FB7951" w:rsidP="004911AE">
            <w:pPr>
              <w:keepNext/>
              <w:spacing w:after="0" w:line="240" w:lineRule="auto"/>
              <w:jc w:val="center"/>
              <w:rPr>
                <w:rFonts w:eastAsia="Times New Roman" w:cs="Arial"/>
                <w:b/>
                <w:bCs/>
                <w:color w:val="FFFFFF" w:themeColor="background1"/>
                <w:sz w:val="18"/>
                <w:szCs w:val="18"/>
                <w:vertAlign w:val="superscript"/>
              </w:rPr>
            </w:pPr>
            <w:r w:rsidRPr="00147E5A">
              <w:rPr>
                <w:rFonts w:eastAsia="Times New Roman" w:cs="Arial"/>
                <w:b/>
                <w:bCs/>
                <w:color w:val="FFFFFF" w:themeColor="background1"/>
                <w:sz w:val="18"/>
                <w:szCs w:val="18"/>
              </w:rPr>
              <w:t>202</w:t>
            </w:r>
            <w:r>
              <w:rPr>
                <w:rFonts w:eastAsia="Times New Roman" w:cs="Arial"/>
                <w:b/>
                <w:bCs/>
                <w:color w:val="FFFFFF" w:themeColor="background1"/>
                <w:sz w:val="18"/>
                <w:szCs w:val="18"/>
              </w:rPr>
              <w:t>5</w:t>
            </w:r>
            <w:r w:rsidRPr="00147E5A">
              <w:rPr>
                <w:rFonts w:eastAsia="Times New Roman" w:cs="Arial"/>
                <w:b/>
                <w:bCs/>
                <w:color w:val="FFFFFF" w:themeColor="background1"/>
                <w:sz w:val="18"/>
                <w:szCs w:val="18"/>
              </w:rPr>
              <w:t xml:space="preserve"> </w:t>
            </w:r>
            <w:r w:rsidR="00555EFE" w:rsidRPr="00147E5A">
              <w:rPr>
                <w:rFonts w:eastAsia="Times New Roman" w:cs="Arial"/>
                <w:b/>
                <w:bCs/>
                <w:color w:val="FFFFFF" w:themeColor="background1"/>
                <w:sz w:val="18"/>
                <w:szCs w:val="18"/>
              </w:rPr>
              <w:t>Summer Retail Capacity (MW)</w:t>
            </w:r>
            <w:r w:rsidR="00555EFE" w:rsidRPr="00147E5A">
              <w:rPr>
                <w:rFonts w:eastAsia="Times New Roman" w:cs="Arial"/>
                <w:b/>
                <w:bCs/>
                <w:color w:val="FFFFFF" w:themeColor="background1"/>
                <w:sz w:val="18"/>
                <w:szCs w:val="18"/>
                <w:vertAlign w:val="superscript"/>
              </w:rPr>
              <w:t>A</w:t>
            </w:r>
          </w:p>
        </w:tc>
        <w:tc>
          <w:tcPr>
            <w:tcW w:w="1232" w:type="dxa"/>
            <w:shd w:val="clear" w:color="auto" w:fill="808080" w:themeFill="background1" w:themeFillShade="80"/>
            <w:vAlign w:val="center"/>
            <w:hideMark/>
          </w:tcPr>
          <w:p w14:paraId="449DE0F9" w14:textId="0A2FCFFF" w:rsidR="00555EFE" w:rsidRPr="00147E5A" w:rsidRDefault="00E527CE" w:rsidP="004911AE">
            <w:pPr>
              <w:keepNext/>
              <w:spacing w:after="0" w:line="240" w:lineRule="auto"/>
              <w:jc w:val="center"/>
              <w:rPr>
                <w:rFonts w:eastAsia="Times New Roman" w:cs="Arial"/>
                <w:b/>
                <w:bCs/>
                <w:color w:val="FFFFFF" w:themeColor="background1"/>
                <w:sz w:val="18"/>
                <w:szCs w:val="18"/>
                <w:vertAlign w:val="superscript"/>
              </w:rPr>
            </w:pPr>
            <w:r w:rsidRPr="00147E5A">
              <w:rPr>
                <w:rFonts w:eastAsia="Times New Roman" w:cs="Arial"/>
                <w:b/>
                <w:bCs/>
                <w:color w:val="FFFFFF" w:themeColor="background1"/>
                <w:sz w:val="18"/>
                <w:szCs w:val="18"/>
              </w:rPr>
              <w:t>202</w:t>
            </w:r>
            <w:r>
              <w:rPr>
                <w:rFonts w:eastAsia="Times New Roman" w:cs="Arial"/>
                <w:b/>
                <w:bCs/>
                <w:color w:val="FFFFFF" w:themeColor="background1"/>
                <w:sz w:val="18"/>
                <w:szCs w:val="18"/>
              </w:rPr>
              <w:t>5</w:t>
            </w:r>
            <w:r w:rsidRPr="00147E5A">
              <w:rPr>
                <w:rFonts w:eastAsia="Times New Roman" w:cs="Arial"/>
                <w:b/>
                <w:bCs/>
                <w:color w:val="FFFFFF" w:themeColor="background1"/>
                <w:sz w:val="18"/>
                <w:szCs w:val="18"/>
              </w:rPr>
              <w:t xml:space="preserve"> </w:t>
            </w:r>
            <w:r w:rsidR="00555EFE" w:rsidRPr="00147E5A">
              <w:rPr>
                <w:rFonts w:eastAsia="Times New Roman" w:cs="Arial"/>
                <w:b/>
                <w:bCs/>
                <w:color w:val="FFFFFF" w:themeColor="background1"/>
                <w:sz w:val="18"/>
                <w:szCs w:val="18"/>
              </w:rPr>
              <w:t>Winter Retail Capacity (MW)</w:t>
            </w:r>
            <w:r w:rsidR="00555EFE" w:rsidRPr="00147E5A">
              <w:rPr>
                <w:rFonts w:eastAsia="Times New Roman" w:cs="Arial"/>
                <w:b/>
                <w:bCs/>
                <w:color w:val="FFFFFF" w:themeColor="background1"/>
                <w:sz w:val="18"/>
                <w:szCs w:val="18"/>
                <w:vertAlign w:val="superscript"/>
              </w:rPr>
              <w:t>A</w:t>
            </w:r>
          </w:p>
        </w:tc>
        <w:tc>
          <w:tcPr>
            <w:tcW w:w="1109" w:type="dxa"/>
            <w:shd w:val="clear" w:color="auto" w:fill="808080" w:themeFill="background1" w:themeFillShade="80"/>
            <w:vAlign w:val="center"/>
            <w:hideMark/>
          </w:tcPr>
          <w:p w14:paraId="77CC7B9B" w14:textId="77777777" w:rsidR="00555EFE" w:rsidRPr="00147E5A" w:rsidRDefault="00555EFE" w:rsidP="004911AE">
            <w:pPr>
              <w:keepNext/>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G</w:t>
            </w:r>
            <w:r>
              <w:rPr>
                <w:rFonts w:eastAsia="Times New Roman" w:cs="Arial"/>
                <w:b/>
                <w:bCs/>
                <w:color w:val="FFFFFF" w:themeColor="background1"/>
                <w:sz w:val="18"/>
                <w:szCs w:val="18"/>
              </w:rPr>
              <w:t>eorgia Power</w:t>
            </w:r>
            <w:r w:rsidRPr="00147E5A">
              <w:rPr>
                <w:rFonts w:eastAsia="Times New Roman" w:cs="Arial"/>
                <w:b/>
                <w:bCs/>
                <w:color w:val="FFFFFF" w:themeColor="background1"/>
                <w:sz w:val="18"/>
                <w:szCs w:val="18"/>
              </w:rPr>
              <w:t xml:space="preserve"> Ownership</w:t>
            </w:r>
          </w:p>
        </w:tc>
        <w:tc>
          <w:tcPr>
            <w:tcW w:w="1853" w:type="dxa"/>
            <w:shd w:val="clear" w:color="auto" w:fill="808080" w:themeFill="background1" w:themeFillShade="80"/>
            <w:vAlign w:val="center"/>
            <w:hideMark/>
          </w:tcPr>
          <w:p w14:paraId="7AAEF0A0" w14:textId="77777777" w:rsidR="00555EFE" w:rsidRPr="00147E5A" w:rsidRDefault="00555EFE" w:rsidP="004911AE">
            <w:pPr>
              <w:keepNext/>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In-Service Date</w:t>
            </w:r>
          </w:p>
        </w:tc>
        <w:tc>
          <w:tcPr>
            <w:tcW w:w="1453" w:type="dxa"/>
            <w:shd w:val="clear" w:color="auto" w:fill="808080" w:themeFill="background1" w:themeFillShade="80"/>
            <w:vAlign w:val="center"/>
            <w:hideMark/>
          </w:tcPr>
          <w:p w14:paraId="24522C21" w14:textId="77777777" w:rsidR="00555EFE" w:rsidRPr="00147E5A" w:rsidRDefault="00555EFE" w:rsidP="004911AE">
            <w:pPr>
              <w:keepNext/>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Assumed Unavailability</w:t>
            </w:r>
            <w:r w:rsidRPr="00147E5A">
              <w:rPr>
                <w:rFonts w:eastAsia="Times New Roman" w:cs="Arial"/>
                <w:b/>
                <w:bCs/>
                <w:color w:val="FFFFFF" w:themeColor="background1"/>
                <w:sz w:val="18"/>
                <w:szCs w:val="18"/>
                <w:vertAlign w:val="superscript"/>
              </w:rPr>
              <w:t>B</w:t>
            </w:r>
          </w:p>
        </w:tc>
      </w:tr>
      <w:tr w:rsidR="00B5494E" w:rsidRPr="00B5494E" w14:paraId="631C7135" w14:textId="77777777" w:rsidTr="00712AB6">
        <w:trPr>
          <w:trHeight w:val="264"/>
        </w:trPr>
        <w:tc>
          <w:tcPr>
            <w:tcW w:w="749" w:type="dxa"/>
            <w:shd w:val="clear" w:color="auto" w:fill="FFFFFF" w:themeFill="background1"/>
            <w:noWrap/>
            <w:vAlign w:val="center"/>
          </w:tcPr>
          <w:p w14:paraId="12E09A14"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Hydro</w:t>
            </w:r>
          </w:p>
        </w:tc>
        <w:tc>
          <w:tcPr>
            <w:tcW w:w="2514" w:type="dxa"/>
            <w:shd w:val="clear" w:color="auto" w:fill="FFFFFF" w:themeFill="background1"/>
            <w:noWrap/>
            <w:vAlign w:val="center"/>
          </w:tcPr>
          <w:p w14:paraId="4D839E26"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ROCKY MTN 1-3 PS</w:t>
            </w:r>
          </w:p>
        </w:tc>
        <w:tc>
          <w:tcPr>
            <w:tcW w:w="1232" w:type="dxa"/>
            <w:shd w:val="clear" w:color="auto" w:fill="FFFFFF" w:themeFill="background1"/>
            <w:noWrap/>
            <w:vAlign w:val="center"/>
          </w:tcPr>
          <w:p w14:paraId="4D56EA13"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190.1</w:t>
            </w:r>
          </w:p>
        </w:tc>
        <w:tc>
          <w:tcPr>
            <w:tcW w:w="1232" w:type="dxa"/>
            <w:shd w:val="clear" w:color="auto" w:fill="FFFFFF" w:themeFill="background1"/>
            <w:noWrap/>
            <w:vAlign w:val="center"/>
          </w:tcPr>
          <w:p w14:paraId="1A5EC5AE"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190.1</w:t>
            </w:r>
          </w:p>
        </w:tc>
        <w:tc>
          <w:tcPr>
            <w:tcW w:w="1109" w:type="dxa"/>
            <w:shd w:val="clear" w:color="auto" w:fill="FFFFFF" w:themeFill="background1"/>
            <w:noWrap/>
            <w:vAlign w:val="center"/>
          </w:tcPr>
          <w:p w14:paraId="40D25178"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25.4%</w:t>
            </w:r>
          </w:p>
        </w:tc>
        <w:tc>
          <w:tcPr>
            <w:tcW w:w="1853" w:type="dxa"/>
            <w:shd w:val="clear" w:color="auto" w:fill="FFFFFF" w:themeFill="background1"/>
            <w:noWrap/>
            <w:vAlign w:val="center"/>
          </w:tcPr>
          <w:p w14:paraId="5F8C3757"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1995</w:t>
            </w:r>
          </w:p>
        </w:tc>
        <w:tc>
          <w:tcPr>
            <w:tcW w:w="1453" w:type="dxa"/>
            <w:shd w:val="clear" w:color="auto" w:fill="FFFFFF" w:themeFill="background1"/>
            <w:noWrap/>
            <w:vAlign w:val="center"/>
          </w:tcPr>
          <w:p w14:paraId="21340123"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51727274" w14:textId="77777777" w:rsidTr="00712AB6">
        <w:trPr>
          <w:trHeight w:val="264"/>
        </w:trPr>
        <w:tc>
          <w:tcPr>
            <w:tcW w:w="749" w:type="dxa"/>
            <w:shd w:val="clear" w:color="auto" w:fill="FFFFFF" w:themeFill="background1"/>
            <w:noWrap/>
            <w:vAlign w:val="center"/>
          </w:tcPr>
          <w:p w14:paraId="552FE1C2"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Hydro</w:t>
            </w:r>
          </w:p>
        </w:tc>
        <w:tc>
          <w:tcPr>
            <w:tcW w:w="2514" w:type="dxa"/>
            <w:shd w:val="clear" w:color="auto" w:fill="FFFFFF" w:themeFill="background1"/>
            <w:noWrap/>
            <w:vAlign w:val="center"/>
          </w:tcPr>
          <w:p w14:paraId="28F4B1B6"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WALLACE DAM 1-2, 5-6 PS</w:t>
            </w:r>
          </w:p>
        </w:tc>
        <w:tc>
          <w:tcPr>
            <w:tcW w:w="1232" w:type="dxa"/>
            <w:shd w:val="clear" w:color="auto" w:fill="FFFFFF" w:themeFill="background1"/>
            <w:noWrap/>
            <w:vAlign w:val="center"/>
          </w:tcPr>
          <w:p w14:paraId="4E524B9D" w14:textId="5A6B05D5"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21</w:t>
            </w:r>
            <w:r w:rsidR="00FB01D5" w:rsidRPr="00B5494E">
              <w:rPr>
                <w:rFonts w:eastAsia="Times New Roman" w:cs="Arial"/>
                <w:sz w:val="18"/>
                <w:szCs w:val="18"/>
              </w:rPr>
              <w:t>3.1</w:t>
            </w:r>
          </w:p>
        </w:tc>
        <w:tc>
          <w:tcPr>
            <w:tcW w:w="1232" w:type="dxa"/>
            <w:shd w:val="clear" w:color="auto" w:fill="FFFFFF" w:themeFill="background1"/>
            <w:noWrap/>
            <w:vAlign w:val="center"/>
          </w:tcPr>
          <w:p w14:paraId="462B9E3A" w14:textId="11560EAF"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21</w:t>
            </w:r>
            <w:r w:rsidR="00121316" w:rsidRPr="00B5494E">
              <w:rPr>
                <w:rFonts w:eastAsia="Times New Roman" w:cs="Arial"/>
                <w:sz w:val="18"/>
                <w:szCs w:val="18"/>
              </w:rPr>
              <w:t>3.2</w:t>
            </w:r>
          </w:p>
        </w:tc>
        <w:tc>
          <w:tcPr>
            <w:tcW w:w="1109" w:type="dxa"/>
            <w:shd w:val="clear" w:color="auto" w:fill="FFFFFF" w:themeFill="background1"/>
            <w:noWrap/>
            <w:vAlign w:val="center"/>
          </w:tcPr>
          <w:p w14:paraId="1261E8E5"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100%</w:t>
            </w:r>
          </w:p>
        </w:tc>
        <w:tc>
          <w:tcPr>
            <w:tcW w:w="1853" w:type="dxa"/>
            <w:shd w:val="clear" w:color="auto" w:fill="FFFFFF" w:themeFill="background1"/>
            <w:noWrap/>
            <w:vAlign w:val="center"/>
          </w:tcPr>
          <w:p w14:paraId="51305A27"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1980</w:t>
            </w:r>
          </w:p>
        </w:tc>
        <w:tc>
          <w:tcPr>
            <w:tcW w:w="1453" w:type="dxa"/>
            <w:shd w:val="clear" w:color="auto" w:fill="FFFFFF" w:themeFill="background1"/>
            <w:noWrap/>
            <w:vAlign w:val="center"/>
          </w:tcPr>
          <w:p w14:paraId="46FF7684"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53B00BE9" w14:textId="77777777" w:rsidTr="00712AB6">
        <w:trPr>
          <w:trHeight w:val="264"/>
        </w:trPr>
        <w:tc>
          <w:tcPr>
            <w:tcW w:w="749" w:type="dxa"/>
            <w:shd w:val="clear" w:color="auto" w:fill="FFFFFF" w:themeFill="background1"/>
            <w:noWrap/>
            <w:vAlign w:val="center"/>
          </w:tcPr>
          <w:p w14:paraId="2E9DB770"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Hydro</w:t>
            </w:r>
          </w:p>
        </w:tc>
        <w:tc>
          <w:tcPr>
            <w:tcW w:w="2514" w:type="dxa"/>
            <w:shd w:val="clear" w:color="auto" w:fill="FFFFFF" w:themeFill="background1"/>
            <w:noWrap/>
            <w:vAlign w:val="center"/>
          </w:tcPr>
          <w:p w14:paraId="739321B8"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BARTLETTS FERRY 1-4</w:t>
            </w:r>
          </w:p>
        </w:tc>
        <w:tc>
          <w:tcPr>
            <w:tcW w:w="1232" w:type="dxa"/>
            <w:shd w:val="clear" w:color="auto" w:fill="FFFFFF" w:themeFill="background1"/>
            <w:noWrap/>
            <w:vAlign w:val="center"/>
          </w:tcPr>
          <w:p w14:paraId="6E818E78" w14:textId="0C4D53B2"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71</w:t>
            </w:r>
            <w:r w:rsidR="00A07509" w:rsidRPr="00B5494E">
              <w:rPr>
                <w:rFonts w:eastAsia="Times New Roman" w:cs="Arial"/>
                <w:sz w:val="18"/>
                <w:szCs w:val="18"/>
              </w:rPr>
              <w:t>.1</w:t>
            </w:r>
          </w:p>
        </w:tc>
        <w:tc>
          <w:tcPr>
            <w:tcW w:w="1232" w:type="dxa"/>
            <w:shd w:val="clear" w:color="auto" w:fill="FFFFFF" w:themeFill="background1"/>
            <w:noWrap/>
            <w:vAlign w:val="center"/>
          </w:tcPr>
          <w:p w14:paraId="7B4390E5" w14:textId="1E561B2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72.</w:t>
            </w:r>
            <w:r w:rsidR="009C0AC9" w:rsidRPr="00B5494E">
              <w:rPr>
                <w:rFonts w:eastAsia="Times New Roman" w:cs="Arial"/>
                <w:sz w:val="18"/>
                <w:szCs w:val="18"/>
              </w:rPr>
              <w:t>5</w:t>
            </w:r>
          </w:p>
        </w:tc>
        <w:tc>
          <w:tcPr>
            <w:tcW w:w="1109" w:type="dxa"/>
            <w:shd w:val="clear" w:color="auto" w:fill="FFFFFF" w:themeFill="background1"/>
            <w:noWrap/>
            <w:vAlign w:val="center"/>
          </w:tcPr>
          <w:p w14:paraId="6A1A9268"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100%</w:t>
            </w:r>
          </w:p>
        </w:tc>
        <w:tc>
          <w:tcPr>
            <w:tcW w:w="1853" w:type="dxa"/>
            <w:shd w:val="clear" w:color="auto" w:fill="FFFFFF" w:themeFill="background1"/>
            <w:noWrap/>
            <w:vAlign w:val="center"/>
          </w:tcPr>
          <w:p w14:paraId="186F8B4E"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1926-1951</w:t>
            </w:r>
          </w:p>
        </w:tc>
        <w:tc>
          <w:tcPr>
            <w:tcW w:w="1453" w:type="dxa"/>
            <w:shd w:val="clear" w:color="auto" w:fill="FFFFFF" w:themeFill="background1"/>
            <w:noWrap/>
            <w:vAlign w:val="center"/>
          </w:tcPr>
          <w:p w14:paraId="0A3FFBEB"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1F5AAA06" w14:textId="77777777" w:rsidTr="00712AB6">
        <w:trPr>
          <w:trHeight w:val="264"/>
        </w:trPr>
        <w:tc>
          <w:tcPr>
            <w:tcW w:w="749" w:type="dxa"/>
            <w:shd w:val="clear" w:color="auto" w:fill="FFFFFF" w:themeFill="background1"/>
            <w:noWrap/>
            <w:vAlign w:val="center"/>
          </w:tcPr>
          <w:p w14:paraId="23C5C38F"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Hydro</w:t>
            </w:r>
          </w:p>
        </w:tc>
        <w:tc>
          <w:tcPr>
            <w:tcW w:w="2514" w:type="dxa"/>
            <w:shd w:val="clear" w:color="auto" w:fill="FFFFFF" w:themeFill="background1"/>
            <w:noWrap/>
            <w:vAlign w:val="center"/>
          </w:tcPr>
          <w:p w14:paraId="74EC1D96"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BARTLETTS FERRY 5-6</w:t>
            </w:r>
          </w:p>
        </w:tc>
        <w:tc>
          <w:tcPr>
            <w:tcW w:w="1232" w:type="dxa"/>
            <w:shd w:val="clear" w:color="auto" w:fill="FFFFFF" w:themeFill="background1"/>
            <w:noWrap/>
            <w:vAlign w:val="center"/>
          </w:tcPr>
          <w:p w14:paraId="2137FF20" w14:textId="685C68CE"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11</w:t>
            </w:r>
            <w:r w:rsidR="00D247CF" w:rsidRPr="00B5494E">
              <w:rPr>
                <w:rFonts w:eastAsia="Times New Roman" w:cs="Arial"/>
                <w:sz w:val="18"/>
                <w:szCs w:val="18"/>
              </w:rPr>
              <w:t>8</w:t>
            </w:r>
            <w:r w:rsidR="00A14288" w:rsidRPr="00B5494E">
              <w:rPr>
                <w:rFonts w:eastAsia="Times New Roman" w:cs="Arial"/>
                <w:sz w:val="18"/>
                <w:szCs w:val="18"/>
              </w:rPr>
              <w:t>.2</w:t>
            </w:r>
          </w:p>
        </w:tc>
        <w:tc>
          <w:tcPr>
            <w:tcW w:w="1232" w:type="dxa"/>
            <w:shd w:val="clear" w:color="auto" w:fill="FFFFFF" w:themeFill="background1"/>
            <w:noWrap/>
            <w:vAlign w:val="center"/>
          </w:tcPr>
          <w:p w14:paraId="7C433D5F" w14:textId="06920CE3"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120</w:t>
            </w:r>
            <w:r w:rsidR="00D331B6" w:rsidRPr="00B5494E">
              <w:rPr>
                <w:rFonts w:eastAsia="Times New Roman" w:cs="Arial"/>
                <w:sz w:val="18"/>
                <w:szCs w:val="18"/>
              </w:rPr>
              <w:t>.6</w:t>
            </w:r>
          </w:p>
        </w:tc>
        <w:tc>
          <w:tcPr>
            <w:tcW w:w="1109" w:type="dxa"/>
            <w:shd w:val="clear" w:color="auto" w:fill="FFFFFF" w:themeFill="background1"/>
            <w:noWrap/>
            <w:vAlign w:val="center"/>
          </w:tcPr>
          <w:p w14:paraId="3A96620B"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100%</w:t>
            </w:r>
          </w:p>
        </w:tc>
        <w:tc>
          <w:tcPr>
            <w:tcW w:w="1853" w:type="dxa"/>
            <w:shd w:val="clear" w:color="auto" w:fill="FFFFFF" w:themeFill="background1"/>
            <w:noWrap/>
            <w:vAlign w:val="center"/>
          </w:tcPr>
          <w:p w14:paraId="363C15A4"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1985</w:t>
            </w:r>
          </w:p>
        </w:tc>
        <w:tc>
          <w:tcPr>
            <w:tcW w:w="1453" w:type="dxa"/>
            <w:shd w:val="clear" w:color="auto" w:fill="FFFFFF" w:themeFill="background1"/>
            <w:noWrap/>
            <w:vAlign w:val="center"/>
          </w:tcPr>
          <w:p w14:paraId="3A16FFA8"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2E0AD02D" w14:textId="77777777" w:rsidTr="00712AB6">
        <w:trPr>
          <w:trHeight w:val="264"/>
        </w:trPr>
        <w:tc>
          <w:tcPr>
            <w:tcW w:w="749" w:type="dxa"/>
            <w:shd w:val="clear" w:color="auto" w:fill="FFFFFF" w:themeFill="background1"/>
            <w:noWrap/>
            <w:vAlign w:val="center"/>
          </w:tcPr>
          <w:p w14:paraId="7439616C"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Hydro</w:t>
            </w:r>
          </w:p>
        </w:tc>
        <w:tc>
          <w:tcPr>
            <w:tcW w:w="2514" w:type="dxa"/>
            <w:shd w:val="clear" w:color="auto" w:fill="FFFFFF" w:themeFill="background1"/>
            <w:noWrap/>
            <w:vAlign w:val="center"/>
          </w:tcPr>
          <w:p w14:paraId="585B63BE"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BURTON 1-2</w:t>
            </w:r>
          </w:p>
        </w:tc>
        <w:tc>
          <w:tcPr>
            <w:tcW w:w="1232" w:type="dxa"/>
            <w:shd w:val="clear" w:color="auto" w:fill="FFFFFF" w:themeFill="background1"/>
            <w:noWrap/>
            <w:vAlign w:val="center"/>
          </w:tcPr>
          <w:p w14:paraId="450E6570"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9.5</w:t>
            </w:r>
          </w:p>
        </w:tc>
        <w:tc>
          <w:tcPr>
            <w:tcW w:w="1232" w:type="dxa"/>
            <w:shd w:val="clear" w:color="auto" w:fill="FFFFFF" w:themeFill="background1"/>
            <w:noWrap/>
            <w:vAlign w:val="center"/>
          </w:tcPr>
          <w:p w14:paraId="5456455D"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8.7</w:t>
            </w:r>
          </w:p>
        </w:tc>
        <w:tc>
          <w:tcPr>
            <w:tcW w:w="1109" w:type="dxa"/>
            <w:shd w:val="clear" w:color="auto" w:fill="FFFFFF" w:themeFill="background1"/>
            <w:noWrap/>
            <w:vAlign w:val="center"/>
          </w:tcPr>
          <w:p w14:paraId="0CAFEC29"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100%</w:t>
            </w:r>
          </w:p>
        </w:tc>
        <w:tc>
          <w:tcPr>
            <w:tcW w:w="1853" w:type="dxa"/>
            <w:shd w:val="clear" w:color="auto" w:fill="FFFFFF" w:themeFill="background1"/>
            <w:noWrap/>
            <w:vAlign w:val="center"/>
          </w:tcPr>
          <w:p w14:paraId="54039F89"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1927</w:t>
            </w:r>
          </w:p>
        </w:tc>
        <w:tc>
          <w:tcPr>
            <w:tcW w:w="1453" w:type="dxa"/>
            <w:shd w:val="clear" w:color="auto" w:fill="FFFFFF" w:themeFill="background1"/>
            <w:noWrap/>
            <w:vAlign w:val="center"/>
          </w:tcPr>
          <w:p w14:paraId="2A0C1EEA"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0A3C20B8" w14:textId="77777777" w:rsidTr="00712AB6">
        <w:trPr>
          <w:trHeight w:val="264"/>
        </w:trPr>
        <w:tc>
          <w:tcPr>
            <w:tcW w:w="749" w:type="dxa"/>
            <w:shd w:val="clear" w:color="auto" w:fill="FFFFFF" w:themeFill="background1"/>
            <w:noWrap/>
            <w:vAlign w:val="center"/>
          </w:tcPr>
          <w:p w14:paraId="6FE107AA"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Hydro</w:t>
            </w:r>
          </w:p>
        </w:tc>
        <w:tc>
          <w:tcPr>
            <w:tcW w:w="2514" w:type="dxa"/>
            <w:shd w:val="clear" w:color="auto" w:fill="FFFFFF" w:themeFill="background1"/>
            <w:noWrap/>
            <w:vAlign w:val="center"/>
          </w:tcPr>
          <w:p w14:paraId="26F0033D"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FLINT RIVER 1-3</w:t>
            </w:r>
          </w:p>
        </w:tc>
        <w:tc>
          <w:tcPr>
            <w:tcW w:w="1232" w:type="dxa"/>
            <w:shd w:val="clear" w:color="auto" w:fill="FFFFFF" w:themeFill="background1"/>
            <w:noWrap/>
            <w:vAlign w:val="center"/>
          </w:tcPr>
          <w:p w14:paraId="60B90603"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6.4</w:t>
            </w:r>
          </w:p>
        </w:tc>
        <w:tc>
          <w:tcPr>
            <w:tcW w:w="1232" w:type="dxa"/>
            <w:shd w:val="clear" w:color="auto" w:fill="FFFFFF" w:themeFill="background1"/>
            <w:noWrap/>
            <w:vAlign w:val="center"/>
          </w:tcPr>
          <w:p w14:paraId="35288C8A" w14:textId="24603BB3"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5.</w:t>
            </w:r>
            <w:r w:rsidR="00121316" w:rsidRPr="00B5494E">
              <w:rPr>
                <w:rFonts w:eastAsia="Times New Roman" w:cs="Arial"/>
                <w:sz w:val="18"/>
                <w:szCs w:val="18"/>
              </w:rPr>
              <w:t>7</w:t>
            </w:r>
          </w:p>
        </w:tc>
        <w:tc>
          <w:tcPr>
            <w:tcW w:w="1109" w:type="dxa"/>
            <w:shd w:val="clear" w:color="auto" w:fill="FFFFFF" w:themeFill="background1"/>
            <w:noWrap/>
            <w:vAlign w:val="center"/>
          </w:tcPr>
          <w:p w14:paraId="6FA44FBD"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100%</w:t>
            </w:r>
          </w:p>
        </w:tc>
        <w:tc>
          <w:tcPr>
            <w:tcW w:w="1853" w:type="dxa"/>
            <w:shd w:val="clear" w:color="auto" w:fill="FFFFFF" w:themeFill="background1"/>
            <w:noWrap/>
            <w:vAlign w:val="center"/>
          </w:tcPr>
          <w:p w14:paraId="0D93FC0D" w14:textId="1445024B"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1921-1925</w:t>
            </w:r>
          </w:p>
        </w:tc>
        <w:tc>
          <w:tcPr>
            <w:tcW w:w="1453" w:type="dxa"/>
            <w:shd w:val="clear" w:color="auto" w:fill="FFFFFF" w:themeFill="background1"/>
            <w:noWrap/>
            <w:vAlign w:val="center"/>
          </w:tcPr>
          <w:p w14:paraId="013931E7"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7F9A03EE" w14:textId="77777777" w:rsidTr="00712AB6">
        <w:trPr>
          <w:trHeight w:val="264"/>
        </w:trPr>
        <w:tc>
          <w:tcPr>
            <w:tcW w:w="749" w:type="dxa"/>
            <w:shd w:val="clear" w:color="auto" w:fill="FFFFFF" w:themeFill="background1"/>
            <w:noWrap/>
            <w:vAlign w:val="center"/>
          </w:tcPr>
          <w:p w14:paraId="3FBFF65B"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Hydro</w:t>
            </w:r>
          </w:p>
        </w:tc>
        <w:tc>
          <w:tcPr>
            <w:tcW w:w="2514" w:type="dxa"/>
            <w:shd w:val="clear" w:color="auto" w:fill="FFFFFF" w:themeFill="background1"/>
            <w:noWrap/>
            <w:vAlign w:val="center"/>
          </w:tcPr>
          <w:p w14:paraId="425AD949"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GOAT ROCK 3-8</w:t>
            </w:r>
          </w:p>
        </w:tc>
        <w:tc>
          <w:tcPr>
            <w:tcW w:w="1232" w:type="dxa"/>
            <w:shd w:val="clear" w:color="auto" w:fill="FFFFFF" w:themeFill="background1"/>
            <w:noWrap/>
            <w:vAlign w:val="center"/>
          </w:tcPr>
          <w:p w14:paraId="324EADF9" w14:textId="339C4155" w:rsidR="00555EFE" w:rsidRPr="00B5494E" w:rsidRDefault="001052A2" w:rsidP="004911AE">
            <w:pPr>
              <w:keepNext/>
              <w:spacing w:after="0" w:line="240" w:lineRule="auto"/>
              <w:jc w:val="center"/>
              <w:rPr>
                <w:rFonts w:eastAsia="Times New Roman" w:cs="Arial"/>
                <w:sz w:val="18"/>
                <w:szCs w:val="18"/>
              </w:rPr>
            </w:pPr>
            <w:r w:rsidRPr="00B5494E">
              <w:rPr>
                <w:rFonts w:eastAsia="Times New Roman" w:cs="Arial"/>
                <w:sz w:val="18"/>
                <w:szCs w:val="18"/>
              </w:rPr>
              <w:t>28.7</w:t>
            </w:r>
          </w:p>
        </w:tc>
        <w:tc>
          <w:tcPr>
            <w:tcW w:w="1232" w:type="dxa"/>
            <w:shd w:val="clear" w:color="auto" w:fill="FFFFFF" w:themeFill="background1"/>
            <w:noWrap/>
            <w:vAlign w:val="center"/>
          </w:tcPr>
          <w:p w14:paraId="0F74E4E1" w14:textId="7AC7ACB7" w:rsidR="00555EFE" w:rsidRPr="00B5494E" w:rsidRDefault="00EC1300" w:rsidP="004911AE">
            <w:pPr>
              <w:keepNext/>
              <w:spacing w:after="0" w:line="240" w:lineRule="auto"/>
              <w:jc w:val="center"/>
              <w:rPr>
                <w:rFonts w:eastAsia="Times New Roman" w:cs="Arial"/>
                <w:sz w:val="18"/>
                <w:szCs w:val="18"/>
              </w:rPr>
            </w:pPr>
            <w:r w:rsidRPr="00B5494E">
              <w:rPr>
                <w:rFonts w:eastAsia="Times New Roman" w:cs="Arial"/>
                <w:sz w:val="18"/>
                <w:szCs w:val="18"/>
              </w:rPr>
              <w:t>29.3</w:t>
            </w:r>
          </w:p>
        </w:tc>
        <w:tc>
          <w:tcPr>
            <w:tcW w:w="1109" w:type="dxa"/>
            <w:shd w:val="clear" w:color="auto" w:fill="FFFFFF" w:themeFill="background1"/>
            <w:noWrap/>
            <w:vAlign w:val="center"/>
          </w:tcPr>
          <w:p w14:paraId="127D40CA"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100%</w:t>
            </w:r>
          </w:p>
        </w:tc>
        <w:tc>
          <w:tcPr>
            <w:tcW w:w="1853" w:type="dxa"/>
            <w:shd w:val="clear" w:color="auto" w:fill="FFFFFF" w:themeFill="background1"/>
            <w:noWrap/>
            <w:vAlign w:val="center"/>
          </w:tcPr>
          <w:p w14:paraId="6A2B4FEF"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1912-1956</w:t>
            </w:r>
          </w:p>
        </w:tc>
        <w:tc>
          <w:tcPr>
            <w:tcW w:w="1453" w:type="dxa"/>
            <w:shd w:val="clear" w:color="auto" w:fill="FFFFFF" w:themeFill="background1"/>
            <w:noWrap/>
            <w:vAlign w:val="center"/>
          </w:tcPr>
          <w:p w14:paraId="1AA679C4"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5E2E8365" w14:textId="77777777" w:rsidTr="00712AB6">
        <w:trPr>
          <w:trHeight w:val="264"/>
        </w:trPr>
        <w:tc>
          <w:tcPr>
            <w:tcW w:w="749" w:type="dxa"/>
            <w:shd w:val="clear" w:color="auto" w:fill="FFFFFF" w:themeFill="background1"/>
            <w:noWrap/>
            <w:vAlign w:val="center"/>
          </w:tcPr>
          <w:p w14:paraId="5295B659"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Hydro</w:t>
            </w:r>
          </w:p>
        </w:tc>
        <w:tc>
          <w:tcPr>
            <w:tcW w:w="2514" w:type="dxa"/>
            <w:shd w:val="clear" w:color="auto" w:fill="FFFFFF" w:themeFill="background1"/>
            <w:noWrap/>
            <w:vAlign w:val="center"/>
          </w:tcPr>
          <w:p w14:paraId="54815BF5"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LLOYD SHOALS 1-6</w:t>
            </w:r>
          </w:p>
        </w:tc>
        <w:tc>
          <w:tcPr>
            <w:tcW w:w="1232" w:type="dxa"/>
            <w:shd w:val="clear" w:color="auto" w:fill="FFFFFF" w:themeFill="background1"/>
            <w:noWrap/>
            <w:vAlign w:val="center"/>
          </w:tcPr>
          <w:p w14:paraId="01B1A7DD"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22.5</w:t>
            </w:r>
          </w:p>
        </w:tc>
        <w:tc>
          <w:tcPr>
            <w:tcW w:w="1232" w:type="dxa"/>
            <w:shd w:val="clear" w:color="auto" w:fill="FFFFFF" w:themeFill="background1"/>
            <w:noWrap/>
            <w:vAlign w:val="center"/>
          </w:tcPr>
          <w:p w14:paraId="1781854E"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22.5</w:t>
            </w:r>
          </w:p>
        </w:tc>
        <w:tc>
          <w:tcPr>
            <w:tcW w:w="1109" w:type="dxa"/>
            <w:shd w:val="clear" w:color="auto" w:fill="FFFFFF" w:themeFill="background1"/>
            <w:noWrap/>
            <w:vAlign w:val="center"/>
          </w:tcPr>
          <w:p w14:paraId="5EE3C7C5"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100%</w:t>
            </w:r>
          </w:p>
        </w:tc>
        <w:tc>
          <w:tcPr>
            <w:tcW w:w="1853" w:type="dxa"/>
            <w:shd w:val="clear" w:color="auto" w:fill="FFFFFF" w:themeFill="background1"/>
            <w:noWrap/>
            <w:vAlign w:val="center"/>
          </w:tcPr>
          <w:p w14:paraId="6373B784"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1911-1917</w:t>
            </w:r>
          </w:p>
        </w:tc>
        <w:tc>
          <w:tcPr>
            <w:tcW w:w="1453" w:type="dxa"/>
            <w:shd w:val="clear" w:color="auto" w:fill="FFFFFF" w:themeFill="background1"/>
            <w:noWrap/>
            <w:vAlign w:val="center"/>
          </w:tcPr>
          <w:p w14:paraId="695432D2"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43AEBF91" w14:textId="77777777" w:rsidTr="00712AB6">
        <w:trPr>
          <w:trHeight w:val="264"/>
        </w:trPr>
        <w:tc>
          <w:tcPr>
            <w:tcW w:w="749" w:type="dxa"/>
            <w:shd w:val="clear" w:color="auto" w:fill="FFFFFF" w:themeFill="background1"/>
            <w:noWrap/>
            <w:vAlign w:val="center"/>
          </w:tcPr>
          <w:p w14:paraId="3973A31E"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Hydro</w:t>
            </w:r>
          </w:p>
        </w:tc>
        <w:tc>
          <w:tcPr>
            <w:tcW w:w="2514" w:type="dxa"/>
            <w:shd w:val="clear" w:color="auto" w:fill="FFFFFF" w:themeFill="background1"/>
            <w:noWrap/>
            <w:vAlign w:val="center"/>
          </w:tcPr>
          <w:p w14:paraId="24457F2E"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MORGAN FALLS 1-7</w:t>
            </w:r>
          </w:p>
        </w:tc>
        <w:tc>
          <w:tcPr>
            <w:tcW w:w="1232" w:type="dxa"/>
            <w:shd w:val="clear" w:color="auto" w:fill="FFFFFF" w:themeFill="background1"/>
            <w:noWrap/>
            <w:vAlign w:val="center"/>
          </w:tcPr>
          <w:p w14:paraId="192CD3EA" w14:textId="08BE8F83" w:rsidR="00555EFE" w:rsidRPr="00B5494E" w:rsidRDefault="001052A2" w:rsidP="004911AE">
            <w:pPr>
              <w:keepNext/>
              <w:spacing w:after="0" w:line="240" w:lineRule="auto"/>
              <w:jc w:val="center"/>
              <w:rPr>
                <w:rFonts w:eastAsia="Times New Roman" w:cs="Arial"/>
                <w:sz w:val="18"/>
                <w:szCs w:val="18"/>
              </w:rPr>
            </w:pPr>
            <w:r w:rsidRPr="00B5494E">
              <w:rPr>
                <w:rFonts w:eastAsia="Times New Roman" w:cs="Arial"/>
                <w:sz w:val="18"/>
                <w:szCs w:val="18"/>
              </w:rPr>
              <w:t>7.7</w:t>
            </w:r>
          </w:p>
        </w:tc>
        <w:tc>
          <w:tcPr>
            <w:tcW w:w="1232" w:type="dxa"/>
            <w:shd w:val="clear" w:color="auto" w:fill="FFFFFF" w:themeFill="background1"/>
            <w:noWrap/>
            <w:vAlign w:val="center"/>
          </w:tcPr>
          <w:p w14:paraId="67CA876E" w14:textId="0643CE73" w:rsidR="00555EFE" w:rsidRPr="00B5494E" w:rsidRDefault="00EC1300" w:rsidP="004911AE">
            <w:pPr>
              <w:keepNext/>
              <w:spacing w:after="0" w:line="240" w:lineRule="auto"/>
              <w:jc w:val="center"/>
              <w:rPr>
                <w:rFonts w:eastAsia="Times New Roman" w:cs="Arial"/>
                <w:sz w:val="18"/>
                <w:szCs w:val="18"/>
              </w:rPr>
            </w:pPr>
            <w:r w:rsidRPr="00B5494E">
              <w:rPr>
                <w:rFonts w:eastAsia="Times New Roman" w:cs="Arial"/>
                <w:sz w:val="18"/>
                <w:szCs w:val="18"/>
              </w:rPr>
              <w:t>8.4</w:t>
            </w:r>
          </w:p>
        </w:tc>
        <w:tc>
          <w:tcPr>
            <w:tcW w:w="1109" w:type="dxa"/>
            <w:shd w:val="clear" w:color="auto" w:fill="FFFFFF" w:themeFill="background1"/>
            <w:noWrap/>
            <w:vAlign w:val="center"/>
          </w:tcPr>
          <w:p w14:paraId="5FBA757B"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100%</w:t>
            </w:r>
          </w:p>
        </w:tc>
        <w:tc>
          <w:tcPr>
            <w:tcW w:w="1853" w:type="dxa"/>
            <w:shd w:val="clear" w:color="auto" w:fill="FFFFFF" w:themeFill="background1"/>
            <w:noWrap/>
            <w:vAlign w:val="center"/>
          </w:tcPr>
          <w:p w14:paraId="0F39C674"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1904</w:t>
            </w:r>
          </w:p>
        </w:tc>
        <w:tc>
          <w:tcPr>
            <w:tcW w:w="1453" w:type="dxa"/>
            <w:shd w:val="clear" w:color="auto" w:fill="FFFFFF" w:themeFill="background1"/>
            <w:noWrap/>
            <w:vAlign w:val="center"/>
          </w:tcPr>
          <w:p w14:paraId="367F10A8"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1FF7E38C" w14:textId="77777777" w:rsidTr="00712AB6">
        <w:trPr>
          <w:trHeight w:val="264"/>
        </w:trPr>
        <w:tc>
          <w:tcPr>
            <w:tcW w:w="749" w:type="dxa"/>
            <w:shd w:val="clear" w:color="auto" w:fill="FFFFFF" w:themeFill="background1"/>
            <w:noWrap/>
            <w:vAlign w:val="center"/>
          </w:tcPr>
          <w:p w14:paraId="21F802E8"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Hydro</w:t>
            </w:r>
          </w:p>
        </w:tc>
        <w:tc>
          <w:tcPr>
            <w:tcW w:w="2514" w:type="dxa"/>
            <w:shd w:val="clear" w:color="auto" w:fill="FFFFFF" w:themeFill="background1"/>
            <w:noWrap/>
            <w:vAlign w:val="center"/>
          </w:tcPr>
          <w:p w14:paraId="429440F8"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NACOOCHEE 1-2</w:t>
            </w:r>
          </w:p>
        </w:tc>
        <w:tc>
          <w:tcPr>
            <w:tcW w:w="1232" w:type="dxa"/>
            <w:shd w:val="clear" w:color="auto" w:fill="FFFFFF" w:themeFill="background1"/>
            <w:noWrap/>
            <w:vAlign w:val="center"/>
          </w:tcPr>
          <w:p w14:paraId="4C8D36E5"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6.0</w:t>
            </w:r>
          </w:p>
        </w:tc>
        <w:tc>
          <w:tcPr>
            <w:tcW w:w="1232" w:type="dxa"/>
            <w:shd w:val="clear" w:color="auto" w:fill="FFFFFF" w:themeFill="background1"/>
            <w:noWrap/>
            <w:vAlign w:val="center"/>
          </w:tcPr>
          <w:p w14:paraId="607FCFFF"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6.0</w:t>
            </w:r>
          </w:p>
        </w:tc>
        <w:tc>
          <w:tcPr>
            <w:tcW w:w="1109" w:type="dxa"/>
            <w:shd w:val="clear" w:color="auto" w:fill="FFFFFF" w:themeFill="background1"/>
            <w:noWrap/>
            <w:vAlign w:val="center"/>
          </w:tcPr>
          <w:p w14:paraId="225B5D8E"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100%</w:t>
            </w:r>
          </w:p>
        </w:tc>
        <w:tc>
          <w:tcPr>
            <w:tcW w:w="1853" w:type="dxa"/>
            <w:shd w:val="clear" w:color="auto" w:fill="FFFFFF" w:themeFill="background1"/>
            <w:noWrap/>
            <w:vAlign w:val="center"/>
          </w:tcPr>
          <w:p w14:paraId="2620C3FD"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1926</w:t>
            </w:r>
          </w:p>
        </w:tc>
        <w:tc>
          <w:tcPr>
            <w:tcW w:w="1453" w:type="dxa"/>
            <w:shd w:val="clear" w:color="auto" w:fill="FFFFFF" w:themeFill="background1"/>
            <w:noWrap/>
            <w:vAlign w:val="center"/>
          </w:tcPr>
          <w:p w14:paraId="520B8B9D"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531C63E9" w14:textId="77777777" w:rsidTr="00712AB6">
        <w:trPr>
          <w:trHeight w:val="264"/>
        </w:trPr>
        <w:tc>
          <w:tcPr>
            <w:tcW w:w="749" w:type="dxa"/>
            <w:shd w:val="clear" w:color="auto" w:fill="FFFFFF" w:themeFill="background1"/>
            <w:noWrap/>
            <w:vAlign w:val="center"/>
          </w:tcPr>
          <w:p w14:paraId="03E13FB7"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Hydro</w:t>
            </w:r>
          </w:p>
        </w:tc>
        <w:tc>
          <w:tcPr>
            <w:tcW w:w="2514" w:type="dxa"/>
            <w:shd w:val="clear" w:color="auto" w:fill="FFFFFF" w:themeFill="background1"/>
            <w:noWrap/>
            <w:vAlign w:val="center"/>
          </w:tcPr>
          <w:p w14:paraId="7355F863"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NORTH HIGHLANDS 1-4</w:t>
            </w:r>
          </w:p>
        </w:tc>
        <w:tc>
          <w:tcPr>
            <w:tcW w:w="1232" w:type="dxa"/>
            <w:shd w:val="clear" w:color="auto" w:fill="FFFFFF" w:themeFill="background1"/>
            <w:noWrap/>
            <w:vAlign w:val="center"/>
          </w:tcPr>
          <w:p w14:paraId="4426F4E9"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34.4</w:t>
            </w:r>
          </w:p>
        </w:tc>
        <w:tc>
          <w:tcPr>
            <w:tcW w:w="1232" w:type="dxa"/>
            <w:shd w:val="clear" w:color="auto" w:fill="FFFFFF" w:themeFill="background1"/>
            <w:noWrap/>
            <w:vAlign w:val="center"/>
          </w:tcPr>
          <w:p w14:paraId="258E6DBB" w14:textId="6320251C"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34.</w:t>
            </w:r>
            <w:r w:rsidR="00B15DCE" w:rsidRPr="00B5494E">
              <w:rPr>
                <w:rFonts w:eastAsia="Times New Roman" w:cs="Arial"/>
                <w:sz w:val="18"/>
                <w:szCs w:val="18"/>
              </w:rPr>
              <w:t>8</w:t>
            </w:r>
          </w:p>
        </w:tc>
        <w:tc>
          <w:tcPr>
            <w:tcW w:w="1109" w:type="dxa"/>
            <w:shd w:val="clear" w:color="auto" w:fill="FFFFFF" w:themeFill="background1"/>
            <w:noWrap/>
            <w:vAlign w:val="center"/>
          </w:tcPr>
          <w:p w14:paraId="641465AA"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100%</w:t>
            </w:r>
          </w:p>
        </w:tc>
        <w:tc>
          <w:tcPr>
            <w:tcW w:w="1853" w:type="dxa"/>
            <w:shd w:val="clear" w:color="auto" w:fill="FFFFFF" w:themeFill="background1"/>
            <w:noWrap/>
            <w:vAlign w:val="center"/>
          </w:tcPr>
          <w:p w14:paraId="7D8D1694"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1963</w:t>
            </w:r>
          </w:p>
        </w:tc>
        <w:tc>
          <w:tcPr>
            <w:tcW w:w="1453" w:type="dxa"/>
            <w:shd w:val="clear" w:color="auto" w:fill="FFFFFF" w:themeFill="background1"/>
            <w:noWrap/>
            <w:vAlign w:val="center"/>
          </w:tcPr>
          <w:p w14:paraId="28A81438"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346EEBF1" w14:textId="77777777" w:rsidTr="00712AB6">
        <w:trPr>
          <w:trHeight w:val="264"/>
        </w:trPr>
        <w:tc>
          <w:tcPr>
            <w:tcW w:w="749" w:type="dxa"/>
            <w:shd w:val="clear" w:color="auto" w:fill="FFFFFF" w:themeFill="background1"/>
            <w:noWrap/>
            <w:vAlign w:val="center"/>
          </w:tcPr>
          <w:p w14:paraId="0331CAFF"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Hydro</w:t>
            </w:r>
          </w:p>
        </w:tc>
        <w:tc>
          <w:tcPr>
            <w:tcW w:w="2514" w:type="dxa"/>
            <w:shd w:val="clear" w:color="auto" w:fill="FFFFFF" w:themeFill="background1"/>
            <w:noWrap/>
            <w:vAlign w:val="center"/>
          </w:tcPr>
          <w:p w14:paraId="28455AF3"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OLIVER 1-4</w:t>
            </w:r>
          </w:p>
        </w:tc>
        <w:tc>
          <w:tcPr>
            <w:tcW w:w="1232" w:type="dxa"/>
            <w:shd w:val="clear" w:color="auto" w:fill="FFFFFF" w:themeFill="background1"/>
            <w:noWrap/>
            <w:vAlign w:val="center"/>
          </w:tcPr>
          <w:p w14:paraId="07BEEC9B" w14:textId="016AC97B"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5</w:t>
            </w:r>
            <w:r w:rsidR="001052A2" w:rsidRPr="00B5494E">
              <w:rPr>
                <w:rFonts w:eastAsia="Times New Roman" w:cs="Arial"/>
                <w:sz w:val="18"/>
                <w:szCs w:val="18"/>
              </w:rPr>
              <w:t>3.2</w:t>
            </w:r>
          </w:p>
        </w:tc>
        <w:tc>
          <w:tcPr>
            <w:tcW w:w="1232" w:type="dxa"/>
            <w:shd w:val="clear" w:color="auto" w:fill="FFFFFF" w:themeFill="background1"/>
            <w:noWrap/>
            <w:vAlign w:val="center"/>
          </w:tcPr>
          <w:p w14:paraId="4287B5FF" w14:textId="3D1FA504"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5</w:t>
            </w:r>
            <w:r w:rsidR="00EC1300" w:rsidRPr="00B5494E">
              <w:rPr>
                <w:rFonts w:eastAsia="Times New Roman" w:cs="Arial"/>
                <w:sz w:val="18"/>
                <w:szCs w:val="18"/>
              </w:rPr>
              <w:t>2.4</w:t>
            </w:r>
          </w:p>
        </w:tc>
        <w:tc>
          <w:tcPr>
            <w:tcW w:w="1109" w:type="dxa"/>
            <w:shd w:val="clear" w:color="auto" w:fill="FFFFFF" w:themeFill="background1"/>
            <w:noWrap/>
            <w:vAlign w:val="center"/>
          </w:tcPr>
          <w:p w14:paraId="6B5DE09C"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100%</w:t>
            </w:r>
          </w:p>
        </w:tc>
        <w:tc>
          <w:tcPr>
            <w:tcW w:w="1853" w:type="dxa"/>
            <w:shd w:val="clear" w:color="auto" w:fill="FFFFFF" w:themeFill="background1"/>
            <w:noWrap/>
            <w:vAlign w:val="center"/>
          </w:tcPr>
          <w:p w14:paraId="0B7EACDF"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1959</w:t>
            </w:r>
          </w:p>
        </w:tc>
        <w:tc>
          <w:tcPr>
            <w:tcW w:w="1453" w:type="dxa"/>
            <w:shd w:val="clear" w:color="auto" w:fill="FFFFFF" w:themeFill="background1"/>
            <w:noWrap/>
            <w:vAlign w:val="center"/>
          </w:tcPr>
          <w:p w14:paraId="15BAA594"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27273213" w14:textId="77777777" w:rsidTr="00712AB6">
        <w:trPr>
          <w:trHeight w:val="264"/>
        </w:trPr>
        <w:tc>
          <w:tcPr>
            <w:tcW w:w="749" w:type="dxa"/>
            <w:shd w:val="clear" w:color="auto" w:fill="FFFFFF" w:themeFill="background1"/>
            <w:noWrap/>
            <w:vAlign w:val="center"/>
          </w:tcPr>
          <w:p w14:paraId="1E5E59D7"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Hydro</w:t>
            </w:r>
          </w:p>
        </w:tc>
        <w:tc>
          <w:tcPr>
            <w:tcW w:w="2514" w:type="dxa"/>
            <w:shd w:val="clear" w:color="auto" w:fill="FFFFFF" w:themeFill="background1"/>
            <w:noWrap/>
            <w:vAlign w:val="center"/>
          </w:tcPr>
          <w:p w14:paraId="24A9460E"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SINCLAIR 1-2</w:t>
            </w:r>
          </w:p>
        </w:tc>
        <w:tc>
          <w:tcPr>
            <w:tcW w:w="1232" w:type="dxa"/>
            <w:shd w:val="clear" w:color="auto" w:fill="FFFFFF" w:themeFill="background1"/>
            <w:noWrap/>
            <w:vAlign w:val="center"/>
          </w:tcPr>
          <w:p w14:paraId="0CF13C5D"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43.8</w:t>
            </w:r>
          </w:p>
        </w:tc>
        <w:tc>
          <w:tcPr>
            <w:tcW w:w="1232" w:type="dxa"/>
            <w:shd w:val="clear" w:color="auto" w:fill="FFFFFF" w:themeFill="background1"/>
            <w:noWrap/>
            <w:vAlign w:val="center"/>
          </w:tcPr>
          <w:p w14:paraId="1DA574E2"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43.9</w:t>
            </w:r>
          </w:p>
        </w:tc>
        <w:tc>
          <w:tcPr>
            <w:tcW w:w="1109" w:type="dxa"/>
            <w:shd w:val="clear" w:color="auto" w:fill="FFFFFF" w:themeFill="background1"/>
            <w:noWrap/>
            <w:vAlign w:val="center"/>
          </w:tcPr>
          <w:p w14:paraId="6F81C54F"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100%</w:t>
            </w:r>
          </w:p>
        </w:tc>
        <w:tc>
          <w:tcPr>
            <w:tcW w:w="1853" w:type="dxa"/>
            <w:shd w:val="clear" w:color="auto" w:fill="FFFFFF" w:themeFill="background1"/>
            <w:noWrap/>
            <w:vAlign w:val="center"/>
          </w:tcPr>
          <w:p w14:paraId="607B6547"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1953</w:t>
            </w:r>
          </w:p>
        </w:tc>
        <w:tc>
          <w:tcPr>
            <w:tcW w:w="1453" w:type="dxa"/>
            <w:shd w:val="clear" w:color="auto" w:fill="FFFFFF" w:themeFill="background1"/>
            <w:noWrap/>
            <w:vAlign w:val="center"/>
          </w:tcPr>
          <w:p w14:paraId="78E93F1D"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1F235C37" w14:textId="77777777" w:rsidTr="00712AB6">
        <w:trPr>
          <w:trHeight w:val="264"/>
        </w:trPr>
        <w:tc>
          <w:tcPr>
            <w:tcW w:w="749" w:type="dxa"/>
            <w:shd w:val="clear" w:color="auto" w:fill="FFFFFF" w:themeFill="background1"/>
            <w:noWrap/>
            <w:vAlign w:val="center"/>
          </w:tcPr>
          <w:p w14:paraId="25B8C42B"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Hydro</w:t>
            </w:r>
          </w:p>
        </w:tc>
        <w:tc>
          <w:tcPr>
            <w:tcW w:w="2514" w:type="dxa"/>
            <w:shd w:val="clear" w:color="auto" w:fill="FFFFFF" w:themeFill="background1"/>
            <w:noWrap/>
            <w:vAlign w:val="center"/>
          </w:tcPr>
          <w:p w14:paraId="3C4A611D"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TALLULAH 1-6</w:t>
            </w:r>
          </w:p>
        </w:tc>
        <w:tc>
          <w:tcPr>
            <w:tcW w:w="1232" w:type="dxa"/>
            <w:shd w:val="clear" w:color="auto" w:fill="FFFFFF" w:themeFill="background1"/>
            <w:noWrap/>
            <w:vAlign w:val="center"/>
          </w:tcPr>
          <w:p w14:paraId="0C7C77EB"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72.9</w:t>
            </w:r>
          </w:p>
        </w:tc>
        <w:tc>
          <w:tcPr>
            <w:tcW w:w="1232" w:type="dxa"/>
            <w:shd w:val="clear" w:color="auto" w:fill="FFFFFF" w:themeFill="background1"/>
            <w:noWrap/>
            <w:vAlign w:val="center"/>
          </w:tcPr>
          <w:p w14:paraId="1E1138CE"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72.9</w:t>
            </w:r>
          </w:p>
        </w:tc>
        <w:tc>
          <w:tcPr>
            <w:tcW w:w="1109" w:type="dxa"/>
            <w:shd w:val="clear" w:color="auto" w:fill="FFFFFF" w:themeFill="background1"/>
            <w:noWrap/>
            <w:vAlign w:val="center"/>
          </w:tcPr>
          <w:p w14:paraId="15BD06CA"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100%</w:t>
            </w:r>
          </w:p>
        </w:tc>
        <w:tc>
          <w:tcPr>
            <w:tcW w:w="1853" w:type="dxa"/>
            <w:shd w:val="clear" w:color="auto" w:fill="FFFFFF" w:themeFill="background1"/>
            <w:noWrap/>
            <w:vAlign w:val="center"/>
          </w:tcPr>
          <w:p w14:paraId="0FBA1F98"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1913-1920</w:t>
            </w:r>
          </w:p>
        </w:tc>
        <w:tc>
          <w:tcPr>
            <w:tcW w:w="1453" w:type="dxa"/>
            <w:shd w:val="clear" w:color="auto" w:fill="FFFFFF" w:themeFill="background1"/>
            <w:noWrap/>
            <w:vAlign w:val="center"/>
          </w:tcPr>
          <w:p w14:paraId="725AC423"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7F0B5579" w14:textId="77777777" w:rsidTr="00712AB6">
        <w:trPr>
          <w:trHeight w:val="264"/>
        </w:trPr>
        <w:tc>
          <w:tcPr>
            <w:tcW w:w="749" w:type="dxa"/>
            <w:shd w:val="clear" w:color="auto" w:fill="FFFFFF" w:themeFill="background1"/>
            <w:noWrap/>
            <w:vAlign w:val="center"/>
          </w:tcPr>
          <w:p w14:paraId="2A957A3B"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Hydro</w:t>
            </w:r>
          </w:p>
        </w:tc>
        <w:tc>
          <w:tcPr>
            <w:tcW w:w="2514" w:type="dxa"/>
            <w:shd w:val="clear" w:color="auto" w:fill="FFFFFF" w:themeFill="background1"/>
            <w:noWrap/>
            <w:vAlign w:val="center"/>
          </w:tcPr>
          <w:p w14:paraId="437EF184"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TERRORA 1-2</w:t>
            </w:r>
          </w:p>
        </w:tc>
        <w:tc>
          <w:tcPr>
            <w:tcW w:w="1232" w:type="dxa"/>
            <w:shd w:val="clear" w:color="auto" w:fill="FFFFFF" w:themeFill="background1"/>
            <w:noWrap/>
            <w:vAlign w:val="center"/>
          </w:tcPr>
          <w:p w14:paraId="780424C0" w14:textId="633C8E3E" w:rsidR="00555EFE" w:rsidRPr="00B5494E" w:rsidRDefault="003654CE" w:rsidP="004911AE">
            <w:pPr>
              <w:keepNext/>
              <w:spacing w:after="0" w:line="240" w:lineRule="auto"/>
              <w:jc w:val="center"/>
              <w:rPr>
                <w:rFonts w:eastAsia="Times New Roman" w:cs="Arial"/>
                <w:sz w:val="18"/>
                <w:szCs w:val="18"/>
              </w:rPr>
            </w:pPr>
            <w:r w:rsidRPr="00B5494E">
              <w:rPr>
                <w:rFonts w:eastAsia="Times New Roman" w:cs="Arial"/>
                <w:sz w:val="18"/>
                <w:szCs w:val="18"/>
              </w:rPr>
              <w:t>17.4</w:t>
            </w:r>
          </w:p>
        </w:tc>
        <w:tc>
          <w:tcPr>
            <w:tcW w:w="1232" w:type="dxa"/>
            <w:shd w:val="clear" w:color="auto" w:fill="FFFFFF" w:themeFill="background1"/>
            <w:noWrap/>
            <w:vAlign w:val="center"/>
          </w:tcPr>
          <w:p w14:paraId="5202C4BF" w14:textId="2529D005" w:rsidR="00555EFE" w:rsidRPr="00B5494E" w:rsidRDefault="003654CE" w:rsidP="004911AE">
            <w:pPr>
              <w:keepNext/>
              <w:spacing w:after="0" w:line="240" w:lineRule="auto"/>
              <w:jc w:val="center"/>
              <w:rPr>
                <w:rFonts w:eastAsia="Times New Roman" w:cs="Arial"/>
                <w:sz w:val="18"/>
                <w:szCs w:val="18"/>
              </w:rPr>
            </w:pPr>
            <w:r w:rsidRPr="00B5494E">
              <w:rPr>
                <w:rFonts w:eastAsia="Times New Roman" w:cs="Arial"/>
                <w:sz w:val="18"/>
                <w:szCs w:val="18"/>
              </w:rPr>
              <w:t>17.5</w:t>
            </w:r>
          </w:p>
        </w:tc>
        <w:tc>
          <w:tcPr>
            <w:tcW w:w="1109" w:type="dxa"/>
            <w:shd w:val="clear" w:color="auto" w:fill="FFFFFF" w:themeFill="background1"/>
            <w:noWrap/>
            <w:vAlign w:val="center"/>
          </w:tcPr>
          <w:p w14:paraId="4F42BBE9"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100%</w:t>
            </w:r>
          </w:p>
        </w:tc>
        <w:tc>
          <w:tcPr>
            <w:tcW w:w="1853" w:type="dxa"/>
            <w:shd w:val="clear" w:color="auto" w:fill="FFFFFF" w:themeFill="background1"/>
            <w:noWrap/>
            <w:vAlign w:val="center"/>
          </w:tcPr>
          <w:p w14:paraId="4E2FC265"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1925</w:t>
            </w:r>
          </w:p>
        </w:tc>
        <w:tc>
          <w:tcPr>
            <w:tcW w:w="1453" w:type="dxa"/>
            <w:shd w:val="clear" w:color="auto" w:fill="FFFFFF" w:themeFill="background1"/>
            <w:noWrap/>
            <w:vAlign w:val="center"/>
          </w:tcPr>
          <w:p w14:paraId="194173FC"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2797CFFB" w14:textId="77777777" w:rsidTr="00712AB6">
        <w:trPr>
          <w:trHeight w:val="264"/>
        </w:trPr>
        <w:tc>
          <w:tcPr>
            <w:tcW w:w="749" w:type="dxa"/>
            <w:shd w:val="clear" w:color="auto" w:fill="FFFFFF" w:themeFill="background1"/>
            <w:noWrap/>
            <w:vAlign w:val="center"/>
          </w:tcPr>
          <w:p w14:paraId="70DAF55F"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Hydro</w:t>
            </w:r>
          </w:p>
        </w:tc>
        <w:tc>
          <w:tcPr>
            <w:tcW w:w="2514" w:type="dxa"/>
            <w:shd w:val="clear" w:color="auto" w:fill="FFFFFF" w:themeFill="background1"/>
            <w:noWrap/>
            <w:vAlign w:val="center"/>
          </w:tcPr>
          <w:p w14:paraId="1B042571"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TUGALO 1-4</w:t>
            </w:r>
          </w:p>
        </w:tc>
        <w:tc>
          <w:tcPr>
            <w:tcW w:w="1232" w:type="dxa"/>
            <w:shd w:val="clear" w:color="auto" w:fill="FFFFFF" w:themeFill="background1"/>
            <w:noWrap/>
            <w:vAlign w:val="center"/>
          </w:tcPr>
          <w:p w14:paraId="091D1122"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52.3</w:t>
            </w:r>
          </w:p>
        </w:tc>
        <w:tc>
          <w:tcPr>
            <w:tcW w:w="1232" w:type="dxa"/>
            <w:shd w:val="clear" w:color="auto" w:fill="FFFFFF" w:themeFill="background1"/>
            <w:noWrap/>
            <w:vAlign w:val="center"/>
          </w:tcPr>
          <w:p w14:paraId="3B26F7DB"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52.4</w:t>
            </w:r>
          </w:p>
        </w:tc>
        <w:tc>
          <w:tcPr>
            <w:tcW w:w="1109" w:type="dxa"/>
            <w:shd w:val="clear" w:color="auto" w:fill="FFFFFF" w:themeFill="background1"/>
            <w:noWrap/>
            <w:vAlign w:val="center"/>
          </w:tcPr>
          <w:p w14:paraId="60FF505E"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100%</w:t>
            </w:r>
          </w:p>
        </w:tc>
        <w:tc>
          <w:tcPr>
            <w:tcW w:w="1853" w:type="dxa"/>
            <w:shd w:val="clear" w:color="auto" w:fill="FFFFFF" w:themeFill="background1"/>
            <w:noWrap/>
            <w:vAlign w:val="center"/>
          </w:tcPr>
          <w:p w14:paraId="3DBB0EC0"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1923</w:t>
            </w:r>
          </w:p>
        </w:tc>
        <w:tc>
          <w:tcPr>
            <w:tcW w:w="1453" w:type="dxa"/>
            <w:shd w:val="clear" w:color="auto" w:fill="FFFFFF" w:themeFill="background1"/>
            <w:noWrap/>
            <w:vAlign w:val="center"/>
          </w:tcPr>
          <w:p w14:paraId="4C31A51B"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215558B5" w14:textId="77777777" w:rsidTr="00712AB6">
        <w:trPr>
          <w:trHeight w:val="264"/>
        </w:trPr>
        <w:tc>
          <w:tcPr>
            <w:tcW w:w="749" w:type="dxa"/>
            <w:shd w:val="clear" w:color="auto" w:fill="FFFFFF" w:themeFill="background1"/>
            <w:noWrap/>
            <w:vAlign w:val="center"/>
          </w:tcPr>
          <w:p w14:paraId="06129B7E"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Hydro</w:t>
            </w:r>
          </w:p>
        </w:tc>
        <w:tc>
          <w:tcPr>
            <w:tcW w:w="2514" w:type="dxa"/>
            <w:shd w:val="clear" w:color="auto" w:fill="FFFFFF" w:themeFill="background1"/>
            <w:noWrap/>
            <w:vAlign w:val="center"/>
          </w:tcPr>
          <w:p w14:paraId="12E3D2F2"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WALLACE DAM 3-4</w:t>
            </w:r>
          </w:p>
        </w:tc>
        <w:tc>
          <w:tcPr>
            <w:tcW w:w="1232" w:type="dxa"/>
            <w:shd w:val="clear" w:color="auto" w:fill="FFFFFF" w:themeFill="background1"/>
            <w:noWrap/>
            <w:vAlign w:val="center"/>
          </w:tcPr>
          <w:p w14:paraId="49203ACC" w14:textId="1ADE5C2C"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11</w:t>
            </w:r>
            <w:r w:rsidR="00121316" w:rsidRPr="00B5494E">
              <w:rPr>
                <w:rFonts w:eastAsia="Times New Roman" w:cs="Arial"/>
                <w:sz w:val="18"/>
                <w:szCs w:val="18"/>
              </w:rPr>
              <w:t>4.8</w:t>
            </w:r>
          </w:p>
        </w:tc>
        <w:tc>
          <w:tcPr>
            <w:tcW w:w="1232" w:type="dxa"/>
            <w:shd w:val="clear" w:color="auto" w:fill="FFFFFF" w:themeFill="background1"/>
            <w:noWrap/>
            <w:vAlign w:val="center"/>
          </w:tcPr>
          <w:p w14:paraId="747C7661" w14:textId="581B3CC6"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11</w:t>
            </w:r>
            <w:r w:rsidR="002A6ACD" w:rsidRPr="00B5494E">
              <w:rPr>
                <w:rFonts w:eastAsia="Times New Roman" w:cs="Arial"/>
                <w:sz w:val="18"/>
                <w:szCs w:val="18"/>
              </w:rPr>
              <w:t>4.9</w:t>
            </w:r>
          </w:p>
        </w:tc>
        <w:tc>
          <w:tcPr>
            <w:tcW w:w="1109" w:type="dxa"/>
            <w:shd w:val="clear" w:color="auto" w:fill="FFFFFF" w:themeFill="background1"/>
            <w:noWrap/>
            <w:vAlign w:val="center"/>
          </w:tcPr>
          <w:p w14:paraId="65D65202"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100%</w:t>
            </w:r>
          </w:p>
        </w:tc>
        <w:tc>
          <w:tcPr>
            <w:tcW w:w="1853" w:type="dxa"/>
            <w:shd w:val="clear" w:color="auto" w:fill="FFFFFF" w:themeFill="background1"/>
            <w:noWrap/>
            <w:vAlign w:val="center"/>
          </w:tcPr>
          <w:p w14:paraId="6A1510C8"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1980</w:t>
            </w:r>
          </w:p>
        </w:tc>
        <w:tc>
          <w:tcPr>
            <w:tcW w:w="1453" w:type="dxa"/>
            <w:shd w:val="clear" w:color="auto" w:fill="FFFFFF" w:themeFill="background1"/>
            <w:noWrap/>
            <w:vAlign w:val="center"/>
          </w:tcPr>
          <w:p w14:paraId="4531C4BD"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None</w:t>
            </w:r>
          </w:p>
        </w:tc>
      </w:tr>
      <w:tr w:rsidR="00B5494E" w:rsidRPr="00B5494E" w14:paraId="14EB19F4" w14:textId="77777777" w:rsidTr="00712AB6">
        <w:trPr>
          <w:trHeight w:val="264"/>
        </w:trPr>
        <w:tc>
          <w:tcPr>
            <w:tcW w:w="749" w:type="dxa"/>
            <w:shd w:val="clear" w:color="auto" w:fill="FFFFFF" w:themeFill="background1"/>
            <w:noWrap/>
            <w:vAlign w:val="center"/>
          </w:tcPr>
          <w:p w14:paraId="6238ED9F"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Hydro</w:t>
            </w:r>
          </w:p>
        </w:tc>
        <w:tc>
          <w:tcPr>
            <w:tcW w:w="2514" w:type="dxa"/>
            <w:shd w:val="clear" w:color="auto" w:fill="FFFFFF" w:themeFill="background1"/>
            <w:noWrap/>
            <w:vAlign w:val="center"/>
          </w:tcPr>
          <w:p w14:paraId="3D00CCBF" w14:textId="77777777" w:rsidR="00555EFE" w:rsidRPr="00B5494E" w:rsidRDefault="00555EFE" w:rsidP="004911AE">
            <w:pPr>
              <w:keepNext/>
              <w:spacing w:after="0" w:line="240" w:lineRule="auto"/>
              <w:rPr>
                <w:rFonts w:eastAsia="Times New Roman" w:cs="Arial"/>
                <w:sz w:val="18"/>
                <w:szCs w:val="18"/>
              </w:rPr>
            </w:pPr>
            <w:r w:rsidRPr="00B5494E">
              <w:rPr>
                <w:rFonts w:eastAsia="Times New Roman" w:cs="Arial"/>
                <w:sz w:val="18"/>
                <w:szCs w:val="18"/>
              </w:rPr>
              <w:t>YONAH</w:t>
            </w:r>
          </w:p>
        </w:tc>
        <w:tc>
          <w:tcPr>
            <w:tcW w:w="1232" w:type="dxa"/>
            <w:shd w:val="clear" w:color="auto" w:fill="FFFFFF" w:themeFill="background1"/>
            <w:noWrap/>
            <w:vAlign w:val="center"/>
          </w:tcPr>
          <w:p w14:paraId="62BB8903" w14:textId="59641204"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28.</w:t>
            </w:r>
            <w:r w:rsidR="0008277F" w:rsidRPr="00B5494E">
              <w:rPr>
                <w:rFonts w:eastAsia="Times New Roman" w:cs="Arial"/>
                <w:sz w:val="18"/>
                <w:szCs w:val="18"/>
              </w:rPr>
              <w:t>7</w:t>
            </w:r>
          </w:p>
        </w:tc>
        <w:tc>
          <w:tcPr>
            <w:tcW w:w="1232" w:type="dxa"/>
            <w:shd w:val="clear" w:color="auto" w:fill="FFFFFF" w:themeFill="background1"/>
            <w:noWrap/>
            <w:vAlign w:val="center"/>
          </w:tcPr>
          <w:p w14:paraId="4F8418D2"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28.6</w:t>
            </w:r>
          </w:p>
        </w:tc>
        <w:tc>
          <w:tcPr>
            <w:tcW w:w="1109" w:type="dxa"/>
            <w:shd w:val="clear" w:color="auto" w:fill="FFFFFF" w:themeFill="background1"/>
            <w:noWrap/>
            <w:vAlign w:val="center"/>
          </w:tcPr>
          <w:p w14:paraId="19B91D3D"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100%</w:t>
            </w:r>
          </w:p>
        </w:tc>
        <w:tc>
          <w:tcPr>
            <w:tcW w:w="1853" w:type="dxa"/>
            <w:shd w:val="clear" w:color="auto" w:fill="FFFFFF" w:themeFill="background1"/>
            <w:noWrap/>
            <w:vAlign w:val="center"/>
          </w:tcPr>
          <w:p w14:paraId="6DA364AE"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1925</w:t>
            </w:r>
          </w:p>
        </w:tc>
        <w:tc>
          <w:tcPr>
            <w:tcW w:w="1453" w:type="dxa"/>
            <w:shd w:val="clear" w:color="auto" w:fill="FFFFFF" w:themeFill="background1"/>
            <w:noWrap/>
            <w:vAlign w:val="center"/>
          </w:tcPr>
          <w:p w14:paraId="305A57E8" w14:textId="77777777" w:rsidR="00555EFE" w:rsidRPr="00B5494E" w:rsidRDefault="00555EFE" w:rsidP="004911AE">
            <w:pPr>
              <w:keepNext/>
              <w:spacing w:after="0" w:line="240" w:lineRule="auto"/>
              <w:jc w:val="center"/>
              <w:rPr>
                <w:rFonts w:eastAsia="Times New Roman" w:cs="Arial"/>
                <w:sz w:val="18"/>
                <w:szCs w:val="18"/>
              </w:rPr>
            </w:pPr>
            <w:r w:rsidRPr="00B5494E">
              <w:rPr>
                <w:rFonts w:eastAsia="Times New Roman" w:cs="Arial"/>
                <w:sz w:val="18"/>
                <w:szCs w:val="18"/>
              </w:rPr>
              <w:t>None</w:t>
            </w:r>
          </w:p>
        </w:tc>
      </w:tr>
    </w:tbl>
    <w:p w14:paraId="1814B399" w14:textId="77777777" w:rsidR="00E0029E" w:rsidRDefault="00E0029E">
      <w:pPr>
        <w:rPr>
          <w:rFonts w:asciiTheme="majorHAnsi" w:eastAsiaTheme="majorEastAsia" w:hAnsiTheme="majorHAnsi" w:cstheme="majorBidi"/>
          <w:color w:val="0F4761" w:themeColor="accent1" w:themeShade="BF"/>
          <w:sz w:val="32"/>
          <w:szCs w:val="32"/>
        </w:rPr>
      </w:pPr>
      <w:r>
        <w:br w:type="page"/>
      </w:r>
    </w:p>
    <w:p w14:paraId="5E8B0730" w14:textId="2F175B70" w:rsidR="00555EFE" w:rsidRDefault="00773998" w:rsidP="000632DE">
      <w:pPr>
        <w:pStyle w:val="Heading2"/>
      </w:pPr>
      <w:bookmarkStart w:id="86" w:name="_Toc189122801"/>
      <w:r>
        <w:lastRenderedPageBreak/>
        <w:t>C</w:t>
      </w:r>
      <w:r w:rsidR="000632DE">
        <w:t xml:space="preserve">.3 </w:t>
      </w:r>
      <w:r w:rsidR="00F70AE2">
        <w:t>–</w:t>
      </w:r>
      <w:r w:rsidR="000632DE">
        <w:t xml:space="preserve"> </w:t>
      </w:r>
      <w:r w:rsidR="006910CA">
        <w:t>Company-Owned Resources – Renewable</w:t>
      </w:r>
      <w:r w:rsidR="00496457">
        <w:t>s</w:t>
      </w:r>
      <w:r w:rsidR="006910CA">
        <w:t xml:space="preserve"> and Storage</w:t>
      </w:r>
      <w:bookmarkEnd w:id="86"/>
    </w:p>
    <w:tbl>
      <w:tblPr>
        <w:tblW w:w="10303" w:type="dxa"/>
        <w:tblInd w:w="-4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8" w:type="dxa"/>
          <w:right w:w="58" w:type="dxa"/>
        </w:tblCellMar>
        <w:tblLook w:val="04A0" w:firstRow="1" w:lastRow="0" w:firstColumn="1" w:lastColumn="0" w:noHBand="0" w:noVBand="1"/>
      </w:tblPr>
      <w:tblGrid>
        <w:gridCol w:w="871"/>
        <w:gridCol w:w="4608"/>
        <w:gridCol w:w="1080"/>
        <w:gridCol w:w="1152"/>
        <w:gridCol w:w="1152"/>
        <w:gridCol w:w="1440"/>
      </w:tblGrid>
      <w:tr w:rsidR="008767D8" w14:paraId="774238E7" w14:textId="77777777" w:rsidTr="00712AB6">
        <w:trPr>
          <w:trHeight w:val="936"/>
        </w:trPr>
        <w:tc>
          <w:tcPr>
            <w:tcW w:w="871" w:type="dxa"/>
            <w:shd w:val="clear" w:color="auto" w:fill="808080" w:themeFill="background1" w:themeFillShade="80"/>
            <w:vAlign w:val="center"/>
            <w:hideMark/>
          </w:tcPr>
          <w:p w14:paraId="6C3A2901" w14:textId="77777777" w:rsidR="00E0029E" w:rsidRPr="00147E5A" w:rsidRDefault="00E0029E" w:rsidP="004911AE">
            <w:pPr>
              <w:keepNext/>
              <w:keepLines/>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Fuel Type</w:t>
            </w:r>
          </w:p>
        </w:tc>
        <w:tc>
          <w:tcPr>
            <w:tcW w:w="4608" w:type="dxa"/>
            <w:shd w:val="clear" w:color="auto" w:fill="808080" w:themeFill="background1" w:themeFillShade="80"/>
            <w:vAlign w:val="center"/>
            <w:hideMark/>
          </w:tcPr>
          <w:p w14:paraId="0E43EC19" w14:textId="77777777" w:rsidR="00E0029E" w:rsidRPr="00147E5A" w:rsidRDefault="00E0029E" w:rsidP="004911AE">
            <w:pPr>
              <w:keepNext/>
              <w:keepLines/>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Resource Name</w:t>
            </w:r>
          </w:p>
        </w:tc>
        <w:tc>
          <w:tcPr>
            <w:tcW w:w="1080" w:type="dxa"/>
            <w:shd w:val="clear" w:color="auto" w:fill="808080" w:themeFill="background1" w:themeFillShade="80"/>
            <w:vAlign w:val="center"/>
            <w:hideMark/>
          </w:tcPr>
          <w:p w14:paraId="5EC541BD" w14:textId="0D507F4D" w:rsidR="00E0029E" w:rsidRPr="00147E5A" w:rsidRDefault="00E0029E" w:rsidP="004911AE">
            <w:pPr>
              <w:keepNext/>
              <w:keepLines/>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202</w:t>
            </w:r>
            <w:r w:rsidR="0035250A">
              <w:rPr>
                <w:rFonts w:eastAsia="Times New Roman" w:cs="Arial"/>
                <w:b/>
                <w:bCs/>
                <w:color w:val="FFFFFF" w:themeColor="background1"/>
                <w:sz w:val="18"/>
                <w:szCs w:val="18"/>
              </w:rPr>
              <w:t>5</w:t>
            </w:r>
            <w:r w:rsidRPr="00147E5A">
              <w:rPr>
                <w:rFonts w:eastAsia="Times New Roman" w:cs="Arial"/>
                <w:b/>
                <w:bCs/>
                <w:color w:val="FFFFFF" w:themeColor="background1"/>
                <w:sz w:val="18"/>
                <w:szCs w:val="18"/>
              </w:rPr>
              <w:t xml:space="preserve"> Nameplate Capacity (MW)</w:t>
            </w:r>
            <w:r w:rsidRPr="00147E5A">
              <w:rPr>
                <w:rFonts w:eastAsia="Times New Roman" w:cs="Arial"/>
                <w:b/>
                <w:bCs/>
                <w:color w:val="FFFFFF" w:themeColor="background1"/>
                <w:sz w:val="18"/>
                <w:szCs w:val="18"/>
                <w:vertAlign w:val="superscript"/>
              </w:rPr>
              <w:t>C</w:t>
            </w:r>
          </w:p>
        </w:tc>
        <w:tc>
          <w:tcPr>
            <w:tcW w:w="1152" w:type="dxa"/>
            <w:shd w:val="clear" w:color="auto" w:fill="808080" w:themeFill="background1" w:themeFillShade="80"/>
            <w:vAlign w:val="center"/>
            <w:hideMark/>
          </w:tcPr>
          <w:p w14:paraId="5077D483" w14:textId="77777777" w:rsidR="00E0029E" w:rsidRPr="00147E5A" w:rsidRDefault="00E0029E" w:rsidP="004911AE">
            <w:pPr>
              <w:keepNext/>
              <w:keepLines/>
              <w:spacing w:after="0" w:line="240" w:lineRule="auto"/>
              <w:jc w:val="center"/>
              <w:rPr>
                <w:rFonts w:eastAsia="Times New Roman" w:cs="Arial"/>
                <w:b/>
                <w:bCs/>
                <w:color w:val="FFFFFF" w:themeColor="background1"/>
                <w:sz w:val="18"/>
                <w:szCs w:val="18"/>
              </w:rPr>
            </w:pPr>
            <w:r>
              <w:rPr>
                <w:rFonts w:eastAsia="Times New Roman" w:cs="Arial"/>
                <w:b/>
                <w:bCs/>
                <w:color w:val="FFFFFF" w:themeColor="background1"/>
                <w:sz w:val="18"/>
                <w:szCs w:val="18"/>
              </w:rPr>
              <w:t>Georgia Power</w:t>
            </w:r>
            <w:r w:rsidRPr="00147E5A">
              <w:rPr>
                <w:rFonts w:eastAsia="Times New Roman" w:cs="Arial"/>
                <w:b/>
                <w:bCs/>
                <w:color w:val="FFFFFF" w:themeColor="background1"/>
                <w:sz w:val="18"/>
                <w:szCs w:val="18"/>
              </w:rPr>
              <w:t xml:space="preserve"> Ownership</w:t>
            </w:r>
          </w:p>
        </w:tc>
        <w:tc>
          <w:tcPr>
            <w:tcW w:w="1152" w:type="dxa"/>
            <w:shd w:val="clear" w:color="auto" w:fill="808080" w:themeFill="background1" w:themeFillShade="80"/>
            <w:vAlign w:val="center"/>
            <w:hideMark/>
          </w:tcPr>
          <w:p w14:paraId="2020922A" w14:textId="77777777" w:rsidR="00E0029E" w:rsidRPr="00147E5A" w:rsidRDefault="00E0029E" w:rsidP="004911AE">
            <w:pPr>
              <w:keepNext/>
              <w:keepLines/>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In-Service Date</w:t>
            </w:r>
          </w:p>
        </w:tc>
        <w:tc>
          <w:tcPr>
            <w:tcW w:w="1440" w:type="dxa"/>
            <w:shd w:val="clear" w:color="auto" w:fill="808080" w:themeFill="background1" w:themeFillShade="80"/>
            <w:vAlign w:val="center"/>
            <w:hideMark/>
          </w:tcPr>
          <w:p w14:paraId="1C94104E" w14:textId="77777777" w:rsidR="00E0029E" w:rsidRPr="00147E5A" w:rsidRDefault="00E0029E" w:rsidP="004911AE">
            <w:pPr>
              <w:keepNext/>
              <w:keepLines/>
              <w:spacing w:after="0" w:line="240" w:lineRule="auto"/>
              <w:jc w:val="center"/>
              <w:rPr>
                <w:rFonts w:eastAsia="Times New Roman" w:cs="Arial"/>
                <w:b/>
                <w:bCs/>
                <w:color w:val="FFFFFF" w:themeColor="background1"/>
                <w:sz w:val="18"/>
                <w:szCs w:val="18"/>
                <w:vertAlign w:val="superscript"/>
              </w:rPr>
            </w:pPr>
            <w:r w:rsidRPr="00147E5A">
              <w:rPr>
                <w:rFonts w:eastAsia="Times New Roman" w:cs="Arial"/>
                <w:b/>
                <w:bCs/>
                <w:color w:val="FFFFFF" w:themeColor="background1"/>
                <w:sz w:val="18"/>
                <w:szCs w:val="18"/>
              </w:rPr>
              <w:t xml:space="preserve">Assumed Unavailability </w:t>
            </w:r>
            <w:r w:rsidRPr="00147E5A">
              <w:rPr>
                <w:rFonts w:eastAsia="Times New Roman" w:cs="Arial"/>
                <w:b/>
                <w:bCs/>
                <w:color w:val="FFFFFF" w:themeColor="background1"/>
                <w:sz w:val="18"/>
                <w:szCs w:val="18"/>
                <w:vertAlign w:val="superscript"/>
              </w:rPr>
              <w:t>B</w:t>
            </w:r>
          </w:p>
        </w:tc>
      </w:tr>
      <w:tr w:rsidR="00B5494E" w:rsidRPr="00B5494E" w14:paraId="023E55CC" w14:textId="77777777" w:rsidTr="00712AB6">
        <w:trPr>
          <w:trHeight w:val="288"/>
        </w:trPr>
        <w:tc>
          <w:tcPr>
            <w:tcW w:w="871" w:type="dxa"/>
            <w:shd w:val="clear" w:color="auto" w:fill="auto"/>
            <w:noWrap/>
            <w:vAlign w:val="center"/>
            <w:hideMark/>
          </w:tcPr>
          <w:p w14:paraId="1B6F6D0B" w14:textId="77777777" w:rsidR="004A5081" w:rsidRPr="00B5494E" w:rsidRDefault="004A5081" w:rsidP="004911AE">
            <w:pPr>
              <w:spacing w:after="0" w:line="240" w:lineRule="auto"/>
              <w:jc w:val="center"/>
              <w:rPr>
                <w:rFonts w:eastAsia="Times New Roman" w:cs="Arial"/>
                <w:sz w:val="18"/>
                <w:szCs w:val="18"/>
              </w:rPr>
            </w:pPr>
            <w:r w:rsidRPr="00B5494E">
              <w:rPr>
                <w:rFonts w:eastAsia="Times New Roman" w:cs="Arial"/>
                <w:sz w:val="18"/>
                <w:szCs w:val="18"/>
              </w:rPr>
              <w:t>Solar</w:t>
            </w:r>
          </w:p>
        </w:tc>
        <w:tc>
          <w:tcPr>
            <w:tcW w:w="4608" w:type="dxa"/>
            <w:shd w:val="clear" w:color="auto" w:fill="auto"/>
            <w:vAlign w:val="center"/>
            <w:hideMark/>
          </w:tcPr>
          <w:p w14:paraId="1CB70D26" w14:textId="77777777" w:rsidR="004A5081" w:rsidRPr="00B5494E" w:rsidRDefault="004A5081" w:rsidP="004A5081">
            <w:pPr>
              <w:spacing w:after="0" w:line="240" w:lineRule="auto"/>
              <w:rPr>
                <w:rFonts w:eastAsia="Times New Roman" w:cs="Arial"/>
                <w:smallCaps/>
                <w:sz w:val="18"/>
                <w:szCs w:val="18"/>
              </w:rPr>
            </w:pPr>
            <w:r w:rsidRPr="00B5494E">
              <w:rPr>
                <w:rFonts w:eastAsia="Times New Roman" w:cs="Arial"/>
                <w:smallCaps/>
                <w:sz w:val="18"/>
                <w:szCs w:val="18"/>
              </w:rPr>
              <w:t>COMER COMMUNITY SOLAR</w:t>
            </w:r>
          </w:p>
        </w:tc>
        <w:tc>
          <w:tcPr>
            <w:tcW w:w="1080" w:type="dxa"/>
            <w:shd w:val="clear" w:color="auto" w:fill="auto"/>
            <w:noWrap/>
            <w:vAlign w:val="center"/>
            <w:hideMark/>
          </w:tcPr>
          <w:p w14:paraId="35802F97"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2.2</w:t>
            </w:r>
          </w:p>
        </w:tc>
        <w:tc>
          <w:tcPr>
            <w:tcW w:w="1152" w:type="dxa"/>
            <w:shd w:val="clear" w:color="auto" w:fill="auto"/>
            <w:noWrap/>
            <w:vAlign w:val="center"/>
            <w:hideMark/>
          </w:tcPr>
          <w:p w14:paraId="11AE83F5"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hideMark/>
          </w:tcPr>
          <w:p w14:paraId="6F090825"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1/5/2018</w:t>
            </w:r>
          </w:p>
        </w:tc>
        <w:tc>
          <w:tcPr>
            <w:tcW w:w="1440" w:type="dxa"/>
            <w:shd w:val="clear" w:color="auto" w:fill="auto"/>
            <w:noWrap/>
            <w:vAlign w:val="center"/>
            <w:hideMark/>
          </w:tcPr>
          <w:p w14:paraId="488A71D8"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12/31/2053</w:t>
            </w:r>
          </w:p>
        </w:tc>
      </w:tr>
      <w:tr w:rsidR="00B5494E" w:rsidRPr="00B5494E" w14:paraId="034CFF20" w14:textId="77777777" w:rsidTr="00712AB6">
        <w:trPr>
          <w:trHeight w:val="288"/>
        </w:trPr>
        <w:tc>
          <w:tcPr>
            <w:tcW w:w="871" w:type="dxa"/>
            <w:shd w:val="clear" w:color="auto" w:fill="auto"/>
            <w:noWrap/>
            <w:vAlign w:val="center"/>
            <w:hideMark/>
          </w:tcPr>
          <w:p w14:paraId="2C6E1CEC" w14:textId="77777777" w:rsidR="004A5081" w:rsidRPr="00B5494E" w:rsidRDefault="004A5081" w:rsidP="004911AE">
            <w:pPr>
              <w:spacing w:after="0" w:line="240" w:lineRule="auto"/>
              <w:jc w:val="center"/>
              <w:rPr>
                <w:rFonts w:eastAsia="Times New Roman" w:cs="Arial"/>
                <w:sz w:val="18"/>
                <w:szCs w:val="18"/>
              </w:rPr>
            </w:pPr>
            <w:r w:rsidRPr="00B5494E">
              <w:rPr>
                <w:rFonts w:eastAsia="Times New Roman" w:cs="Arial"/>
                <w:sz w:val="18"/>
                <w:szCs w:val="18"/>
              </w:rPr>
              <w:t>Solar</w:t>
            </w:r>
          </w:p>
        </w:tc>
        <w:tc>
          <w:tcPr>
            <w:tcW w:w="4608" w:type="dxa"/>
            <w:shd w:val="clear" w:color="auto" w:fill="auto"/>
            <w:vAlign w:val="center"/>
            <w:hideMark/>
          </w:tcPr>
          <w:p w14:paraId="17584ADA" w14:textId="77777777" w:rsidR="004A5081" w:rsidRPr="00B5494E" w:rsidRDefault="004A5081" w:rsidP="004A5081">
            <w:pPr>
              <w:spacing w:after="0" w:line="240" w:lineRule="auto"/>
              <w:rPr>
                <w:rFonts w:eastAsia="Times New Roman" w:cs="Arial"/>
                <w:smallCaps/>
                <w:sz w:val="18"/>
                <w:szCs w:val="18"/>
              </w:rPr>
            </w:pPr>
            <w:r w:rsidRPr="00B5494E">
              <w:rPr>
                <w:rFonts w:eastAsia="Times New Roman" w:cs="Arial"/>
                <w:smallCaps/>
                <w:sz w:val="18"/>
                <w:szCs w:val="18"/>
              </w:rPr>
              <w:t>FALCONS</w:t>
            </w:r>
          </w:p>
        </w:tc>
        <w:tc>
          <w:tcPr>
            <w:tcW w:w="1080" w:type="dxa"/>
            <w:shd w:val="clear" w:color="auto" w:fill="auto"/>
            <w:noWrap/>
            <w:vAlign w:val="center"/>
            <w:hideMark/>
          </w:tcPr>
          <w:p w14:paraId="313C51C2"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w:t>
            </w:r>
          </w:p>
        </w:tc>
        <w:tc>
          <w:tcPr>
            <w:tcW w:w="1152" w:type="dxa"/>
            <w:shd w:val="clear" w:color="auto" w:fill="auto"/>
            <w:noWrap/>
            <w:vAlign w:val="center"/>
            <w:hideMark/>
          </w:tcPr>
          <w:p w14:paraId="72193AAB"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hideMark/>
          </w:tcPr>
          <w:p w14:paraId="4CEC9EFE"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10/16/2017</w:t>
            </w:r>
          </w:p>
        </w:tc>
        <w:tc>
          <w:tcPr>
            <w:tcW w:w="1440" w:type="dxa"/>
            <w:shd w:val="clear" w:color="auto" w:fill="auto"/>
            <w:noWrap/>
            <w:vAlign w:val="center"/>
            <w:hideMark/>
          </w:tcPr>
          <w:p w14:paraId="2C9C4D44"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12/31/2052</w:t>
            </w:r>
          </w:p>
        </w:tc>
      </w:tr>
      <w:tr w:rsidR="00B5494E" w:rsidRPr="00B5494E" w14:paraId="121EC8A1" w14:textId="77777777" w:rsidTr="00712AB6">
        <w:trPr>
          <w:trHeight w:val="288"/>
        </w:trPr>
        <w:tc>
          <w:tcPr>
            <w:tcW w:w="871" w:type="dxa"/>
            <w:shd w:val="clear" w:color="auto" w:fill="auto"/>
            <w:noWrap/>
            <w:vAlign w:val="center"/>
            <w:hideMark/>
          </w:tcPr>
          <w:p w14:paraId="3BE424CC" w14:textId="77777777" w:rsidR="004A5081" w:rsidRPr="00B5494E" w:rsidRDefault="004A5081" w:rsidP="004911AE">
            <w:pPr>
              <w:spacing w:after="0" w:line="240" w:lineRule="auto"/>
              <w:jc w:val="center"/>
              <w:rPr>
                <w:rFonts w:eastAsia="Times New Roman" w:cs="Arial"/>
                <w:sz w:val="18"/>
                <w:szCs w:val="18"/>
              </w:rPr>
            </w:pPr>
            <w:r w:rsidRPr="00B5494E">
              <w:rPr>
                <w:rFonts w:eastAsia="Times New Roman" w:cs="Arial"/>
                <w:sz w:val="18"/>
                <w:szCs w:val="18"/>
              </w:rPr>
              <w:t>Solar</w:t>
            </w:r>
          </w:p>
        </w:tc>
        <w:tc>
          <w:tcPr>
            <w:tcW w:w="4608" w:type="dxa"/>
            <w:shd w:val="clear" w:color="auto" w:fill="auto"/>
            <w:vAlign w:val="center"/>
            <w:hideMark/>
          </w:tcPr>
          <w:p w14:paraId="3A648C77" w14:textId="77777777" w:rsidR="004A5081" w:rsidRPr="00B5494E" w:rsidRDefault="004A5081" w:rsidP="004A5081">
            <w:pPr>
              <w:spacing w:after="0" w:line="240" w:lineRule="auto"/>
              <w:rPr>
                <w:rFonts w:eastAsia="Times New Roman" w:cs="Arial"/>
                <w:smallCaps/>
                <w:sz w:val="18"/>
                <w:szCs w:val="18"/>
              </w:rPr>
            </w:pPr>
            <w:r w:rsidRPr="00B5494E">
              <w:rPr>
                <w:rFonts w:eastAsia="Times New Roman" w:cs="Arial"/>
                <w:smallCaps/>
                <w:sz w:val="18"/>
                <w:szCs w:val="18"/>
              </w:rPr>
              <w:t>FORT BENNING</w:t>
            </w:r>
          </w:p>
        </w:tc>
        <w:tc>
          <w:tcPr>
            <w:tcW w:w="1080" w:type="dxa"/>
            <w:shd w:val="clear" w:color="auto" w:fill="auto"/>
            <w:noWrap/>
            <w:vAlign w:val="center"/>
            <w:hideMark/>
          </w:tcPr>
          <w:p w14:paraId="3E6D805B"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30.0</w:t>
            </w:r>
          </w:p>
        </w:tc>
        <w:tc>
          <w:tcPr>
            <w:tcW w:w="1152" w:type="dxa"/>
            <w:shd w:val="clear" w:color="auto" w:fill="auto"/>
            <w:noWrap/>
            <w:vAlign w:val="center"/>
            <w:hideMark/>
          </w:tcPr>
          <w:p w14:paraId="09E1F5B5"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hideMark/>
          </w:tcPr>
          <w:p w14:paraId="3C9BE1A4"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12/31/2015</w:t>
            </w:r>
          </w:p>
        </w:tc>
        <w:tc>
          <w:tcPr>
            <w:tcW w:w="1440" w:type="dxa"/>
            <w:shd w:val="clear" w:color="auto" w:fill="auto"/>
            <w:noWrap/>
            <w:vAlign w:val="center"/>
            <w:hideMark/>
          </w:tcPr>
          <w:p w14:paraId="432C35F5"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12/31/2050</w:t>
            </w:r>
          </w:p>
        </w:tc>
      </w:tr>
      <w:tr w:rsidR="00B5494E" w:rsidRPr="00B5494E" w14:paraId="4CB0F6BB" w14:textId="77777777" w:rsidTr="00712AB6">
        <w:trPr>
          <w:trHeight w:val="288"/>
        </w:trPr>
        <w:tc>
          <w:tcPr>
            <w:tcW w:w="871" w:type="dxa"/>
            <w:shd w:val="clear" w:color="auto" w:fill="auto"/>
            <w:noWrap/>
            <w:vAlign w:val="center"/>
            <w:hideMark/>
          </w:tcPr>
          <w:p w14:paraId="42038D0C" w14:textId="77777777" w:rsidR="004A5081" w:rsidRPr="00B5494E" w:rsidRDefault="004A5081" w:rsidP="004911AE">
            <w:pPr>
              <w:spacing w:after="0" w:line="240" w:lineRule="auto"/>
              <w:jc w:val="center"/>
              <w:rPr>
                <w:rFonts w:eastAsia="Times New Roman" w:cs="Arial"/>
                <w:sz w:val="18"/>
                <w:szCs w:val="18"/>
              </w:rPr>
            </w:pPr>
            <w:r w:rsidRPr="00B5494E">
              <w:rPr>
                <w:rFonts w:eastAsia="Times New Roman" w:cs="Arial"/>
                <w:sz w:val="18"/>
                <w:szCs w:val="18"/>
              </w:rPr>
              <w:t>Solar</w:t>
            </w:r>
          </w:p>
        </w:tc>
        <w:tc>
          <w:tcPr>
            <w:tcW w:w="4608" w:type="dxa"/>
            <w:shd w:val="clear" w:color="auto" w:fill="auto"/>
            <w:vAlign w:val="center"/>
            <w:hideMark/>
          </w:tcPr>
          <w:p w14:paraId="1D46E6EB" w14:textId="77777777" w:rsidR="004A5081" w:rsidRPr="00B5494E" w:rsidRDefault="004A5081" w:rsidP="004A5081">
            <w:pPr>
              <w:spacing w:after="0" w:line="240" w:lineRule="auto"/>
              <w:rPr>
                <w:rFonts w:eastAsia="Times New Roman" w:cs="Arial"/>
                <w:smallCaps/>
                <w:sz w:val="18"/>
                <w:szCs w:val="18"/>
              </w:rPr>
            </w:pPr>
            <w:r w:rsidRPr="00B5494E">
              <w:rPr>
                <w:rFonts w:eastAsia="Times New Roman" w:cs="Arial"/>
                <w:smallCaps/>
                <w:sz w:val="18"/>
                <w:szCs w:val="18"/>
              </w:rPr>
              <w:t>FORT GORDON</w:t>
            </w:r>
          </w:p>
        </w:tc>
        <w:tc>
          <w:tcPr>
            <w:tcW w:w="1080" w:type="dxa"/>
            <w:shd w:val="clear" w:color="auto" w:fill="auto"/>
            <w:noWrap/>
            <w:vAlign w:val="center"/>
            <w:hideMark/>
          </w:tcPr>
          <w:p w14:paraId="44158BE1"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30.0</w:t>
            </w:r>
          </w:p>
        </w:tc>
        <w:tc>
          <w:tcPr>
            <w:tcW w:w="1152" w:type="dxa"/>
            <w:shd w:val="clear" w:color="auto" w:fill="auto"/>
            <w:noWrap/>
            <w:vAlign w:val="center"/>
            <w:hideMark/>
          </w:tcPr>
          <w:p w14:paraId="09A40DA9"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hideMark/>
          </w:tcPr>
          <w:p w14:paraId="75ACB47A"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10/4/2016</w:t>
            </w:r>
          </w:p>
        </w:tc>
        <w:tc>
          <w:tcPr>
            <w:tcW w:w="1440" w:type="dxa"/>
            <w:shd w:val="clear" w:color="auto" w:fill="auto"/>
            <w:noWrap/>
            <w:vAlign w:val="center"/>
            <w:hideMark/>
          </w:tcPr>
          <w:p w14:paraId="7D94B356"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12/31/2051</w:t>
            </w:r>
          </w:p>
        </w:tc>
      </w:tr>
      <w:tr w:rsidR="00B5494E" w:rsidRPr="00B5494E" w14:paraId="4C386E94" w14:textId="77777777" w:rsidTr="00712AB6">
        <w:trPr>
          <w:trHeight w:val="288"/>
        </w:trPr>
        <w:tc>
          <w:tcPr>
            <w:tcW w:w="871" w:type="dxa"/>
            <w:shd w:val="clear" w:color="auto" w:fill="auto"/>
            <w:noWrap/>
            <w:vAlign w:val="center"/>
            <w:hideMark/>
          </w:tcPr>
          <w:p w14:paraId="3BF653F4" w14:textId="77777777" w:rsidR="004A5081" w:rsidRPr="00B5494E" w:rsidRDefault="004A5081" w:rsidP="004911AE">
            <w:pPr>
              <w:spacing w:after="0" w:line="240" w:lineRule="auto"/>
              <w:jc w:val="center"/>
              <w:rPr>
                <w:rFonts w:eastAsia="Times New Roman" w:cs="Arial"/>
                <w:sz w:val="18"/>
                <w:szCs w:val="18"/>
              </w:rPr>
            </w:pPr>
            <w:r w:rsidRPr="00B5494E">
              <w:rPr>
                <w:rFonts w:eastAsia="Times New Roman" w:cs="Arial"/>
                <w:sz w:val="18"/>
                <w:szCs w:val="18"/>
              </w:rPr>
              <w:t>Solar</w:t>
            </w:r>
          </w:p>
        </w:tc>
        <w:tc>
          <w:tcPr>
            <w:tcW w:w="4608" w:type="dxa"/>
            <w:shd w:val="clear" w:color="auto" w:fill="auto"/>
            <w:vAlign w:val="center"/>
            <w:hideMark/>
          </w:tcPr>
          <w:p w14:paraId="73FF8051" w14:textId="77777777" w:rsidR="004A5081" w:rsidRPr="00B5494E" w:rsidRDefault="004A5081" w:rsidP="004A5081">
            <w:pPr>
              <w:spacing w:after="0" w:line="240" w:lineRule="auto"/>
              <w:rPr>
                <w:rFonts w:eastAsia="Times New Roman" w:cs="Arial"/>
                <w:smallCaps/>
                <w:sz w:val="18"/>
                <w:szCs w:val="18"/>
              </w:rPr>
            </w:pPr>
            <w:r w:rsidRPr="00B5494E">
              <w:rPr>
                <w:rFonts w:eastAsia="Times New Roman" w:cs="Arial"/>
                <w:smallCaps/>
                <w:sz w:val="18"/>
                <w:szCs w:val="18"/>
              </w:rPr>
              <w:t>FORT STEWART</w:t>
            </w:r>
          </w:p>
        </w:tc>
        <w:tc>
          <w:tcPr>
            <w:tcW w:w="1080" w:type="dxa"/>
            <w:shd w:val="clear" w:color="auto" w:fill="auto"/>
            <w:noWrap/>
            <w:vAlign w:val="center"/>
            <w:hideMark/>
          </w:tcPr>
          <w:p w14:paraId="2BEAAAF9"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30.0</w:t>
            </w:r>
          </w:p>
        </w:tc>
        <w:tc>
          <w:tcPr>
            <w:tcW w:w="1152" w:type="dxa"/>
            <w:shd w:val="clear" w:color="auto" w:fill="auto"/>
            <w:noWrap/>
            <w:vAlign w:val="center"/>
            <w:hideMark/>
          </w:tcPr>
          <w:p w14:paraId="64ADDC8F"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hideMark/>
          </w:tcPr>
          <w:p w14:paraId="7CF34C70"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10/4/2016</w:t>
            </w:r>
          </w:p>
        </w:tc>
        <w:tc>
          <w:tcPr>
            <w:tcW w:w="1440" w:type="dxa"/>
            <w:shd w:val="clear" w:color="auto" w:fill="auto"/>
            <w:noWrap/>
            <w:vAlign w:val="center"/>
            <w:hideMark/>
          </w:tcPr>
          <w:p w14:paraId="1CC85382"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12/31/2051</w:t>
            </w:r>
          </w:p>
        </w:tc>
      </w:tr>
      <w:tr w:rsidR="00B5494E" w:rsidRPr="00B5494E" w14:paraId="035603A5" w14:textId="77777777" w:rsidTr="00712AB6">
        <w:trPr>
          <w:trHeight w:val="288"/>
        </w:trPr>
        <w:tc>
          <w:tcPr>
            <w:tcW w:w="871" w:type="dxa"/>
            <w:shd w:val="clear" w:color="auto" w:fill="auto"/>
            <w:noWrap/>
            <w:vAlign w:val="center"/>
            <w:hideMark/>
          </w:tcPr>
          <w:p w14:paraId="2BF70121" w14:textId="77777777" w:rsidR="004A5081" w:rsidRPr="00B5494E" w:rsidRDefault="004A5081" w:rsidP="004911AE">
            <w:pPr>
              <w:spacing w:after="0" w:line="240" w:lineRule="auto"/>
              <w:jc w:val="center"/>
              <w:rPr>
                <w:rFonts w:eastAsia="Times New Roman" w:cs="Arial"/>
                <w:sz w:val="18"/>
                <w:szCs w:val="18"/>
              </w:rPr>
            </w:pPr>
            <w:r w:rsidRPr="00B5494E">
              <w:rPr>
                <w:rFonts w:eastAsia="Times New Roman" w:cs="Arial"/>
                <w:sz w:val="18"/>
                <w:szCs w:val="18"/>
              </w:rPr>
              <w:t>Solar</w:t>
            </w:r>
          </w:p>
        </w:tc>
        <w:tc>
          <w:tcPr>
            <w:tcW w:w="4608" w:type="dxa"/>
            <w:shd w:val="clear" w:color="auto" w:fill="auto"/>
            <w:vAlign w:val="center"/>
            <w:hideMark/>
          </w:tcPr>
          <w:p w14:paraId="3DF30EE7" w14:textId="77777777" w:rsidR="004A5081" w:rsidRPr="00B5494E" w:rsidRDefault="004A5081" w:rsidP="004A5081">
            <w:pPr>
              <w:spacing w:after="0" w:line="240" w:lineRule="auto"/>
              <w:rPr>
                <w:rFonts w:eastAsia="Times New Roman" w:cs="Arial"/>
                <w:smallCaps/>
                <w:sz w:val="18"/>
                <w:szCs w:val="18"/>
              </w:rPr>
            </w:pPr>
            <w:r w:rsidRPr="00B5494E">
              <w:rPr>
                <w:rFonts w:eastAsia="Times New Roman" w:cs="Arial"/>
                <w:smallCaps/>
                <w:sz w:val="18"/>
                <w:szCs w:val="18"/>
              </w:rPr>
              <w:t>FORT VALLEY STATE UNIVERSITY</w:t>
            </w:r>
          </w:p>
        </w:tc>
        <w:tc>
          <w:tcPr>
            <w:tcW w:w="1080" w:type="dxa"/>
            <w:shd w:val="clear" w:color="auto" w:fill="auto"/>
            <w:noWrap/>
            <w:vAlign w:val="center"/>
            <w:hideMark/>
          </w:tcPr>
          <w:p w14:paraId="308F8B6F"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10.8</w:t>
            </w:r>
          </w:p>
        </w:tc>
        <w:tc>
          <w:tcPr>
            <w:tcW w:w="1152" w:type="dxa"/>
            <w:shd w:val="clear" w:color="auto" w:fill="auto"/>
            <w:noWrap/>
            <w:vAlign w:val="center"/>
            <w:hideMark/>
          </w:tcPr>
          <w:p w14:paraId="0DE50129"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hideMark/>
          </w:tcPr>
          <w:p w14:paraId="256A4196"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1/21/2022</w:t>
            </w:r>
          </w:p>
        </w:tc>
        <w:tc>
          <w:tcPr>
            <w:tcW w:w="1440" w:type="dxa"/>
            <w:shd w:val="clear" w:color="auto" w:fill="auto"/>
            <w:noWrap/>
            <w:vAlign w:val="center"/>
            <w:hideMark/>
          </w:tcPr>
          <w:p w14:paraId="7862DA1A"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12/31/2057</w:t>
            </w:r>
          </w:p>
        </w:tc>
      </w:tr>
      <w:tr w:rsidR="00B5494E" w:rsidRPr="00B5494E" w14:paraId="50F5DD6D" w14:textId="77777777" w:rsidTr="00712AB6">
        <w:trPr>
          <w:trHeight w:val="288"/>
        </w:trPr>
        <w:tc>
          <w:tcPr>
            <w:tcW w:w="871" w:type="dxa"/>
            <w:shd w:val="clear" w:color="auto" w:fill="auto"/>
            <w:noWrap/>
            <w:vAlign w:val="center"/>
            <w:hideMark/>
          </w:tcPr>
          <w:p w14:paraId="15D68F82" w14:textId="77777777" w:rsidR="004A5081" w:rsidRPr="00B5494E" w:rsidRDefault="004A5081" w:rsidP="004911AE">
            <w:pPr>
              <w:spacing w:after="0" w:line="240" w:lineRule="auto"/>
              <w:jc w:val="center"/>
              <w:rPr>
                <w:rFonts w:eastAsia="Times New Roman" w:cs="Arial"/>
                <w:sz w:val="18"/>
                <w:szCs w:val="18"/>
              </w:rPr>
            </w:pPr>
            <w:r w:rsidRPr="00B5494E">
              <w:rPr>
                <w:rFonts w:eastAsia="Times New Roman" w:cs="Arial"/>
                <w:sz w:val="18"/>
                <w:szCs w:val="18"/>
              </w:rPr>
              <w:t>Solar</w:t>
            </w:r>
          </w:p>
        </w:tc>
        <w:tc>
          <w:tcPr>
            <w:tcW w:w="4608" w:type="dxa"/>
            <w:shd w:val="clear" w:color="auto" w:fill="auto"/>
            <w:vAlign w:val="center"/>
            <w:hideMark/>
          </w:tcPr>
          <w:p w14:paraId="634C3B67" w14:textId="77777777" w:rsidR="004A5081" w:rsidRPr="00B5494E" w:rsidRDefault="004A5081" w:rsidP="004A5081">
            <w:pPr>
              <w:spacing w:after="0" w:line="240" w:lineRule="auto"/>
              <w:rPr>
                <w:rFonts w:eastAsia="Times New Roman" w:cs="Arial"/>
                <w:smallCaps/>
                <w:sz w:val="18"/>
                <w:szCs w:val="18"/>
              </w:rPr>
            </w:pPr>
            <w:r w:rsidRPr="00B5494E">
              <w:rPr>
                <w:rFonts w:eastAsia="Times New Roman" w:cs="Arial"/>
                <w:smallCaps/>
                <w:sz w:val="18"/>
                <w:szCs w:val="18"/>
              </w:rPr>
              <w:t>GUYTON COMMUNITY SOLAR</w:t>
            </w:r>
          </w:p>
        </w:tc>
        <w:tc>
          <w:tcPr>
            <w:tcW w:w="1080" w:type="dxa"/>
            <w:shd w:val="clear" w:color="auto" w:fill="auto"/>
            <w:noWrap/>
            <w:vAlign w:val="center"/>
            <w:hideMark/>
          </w:tcPr>
          <w:p w14:paraId="7E8FBBB3"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3.6</w:t>
            </w:r>
          </w:p>
        </w:tc>
        <w:tc>
          <w:tcPr>
            <w:tcW w:w="1152" w:type="dxa"/>
            <w:shd w:val="clear" w:color="auto" w:fill="auto"/>
            <w:noWrap/>
            <w:vAlign w:val="center"/>
            <w:hideMark/>
          </w:tcPr>
          <w:p w14:paraId="6B20C7B2"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hideMark/>
          </w:tcPr>
          <w:p w14:paraId="6399F9AA"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7/25/2019</w:t>
            </w:r>
          </w:p>
        </w:tc>
        <w:tc>
          <w:tcPr>
            <w:tcW w:w="1440" w:type="dxa"/>
            <w:shd w:val="clear" w:color="auto" w:fill="auto"/>
            <w:noWrap/>
            <w:vAlign w:val="center"/>
            <w:hideMark/>
          </w:tcPr>
          <w:p w14:paraId="250BCE4B"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12/31/2054</w:t>
            </w:r>
          </w:p>
        </w:tc>
      </w:tr>
      <w:tr w:rsidR="00B5494E" w:rsidRPr="00B5494E" w14:paraId="1FFE6B89" w14:textId="77777777" w:rsidTr="00712AB6">
        <w:trPr>
          <w:trHeight w:val="288"/>
        </w:trPr>
        <w:tc>
          <w:tcPr>
            <w:tcW w:w="871" w:type="dxa"/>
            <w:shd w:val="clear" w:color="auto" w:fill="auto"/>
            <w:noWrap/>
            <w:vAlign w:val="center"/>
            <w:hideMark/>
          </w:tcPr>
          <w:p w14:paraId="033C71B2" w14:textId="77777777" w:rsidR="004A5081" w:rsidRPr="00B5494E" w:rsidRDefault="004A5081" w:rsidP="004911AE">
            <w:pPr>
              <w:spacing w:after="0" w:line="240" w:lineRule="auto"/>
              <w:jc w:val="center"/>
              <w:rPr>
                <w:rFonts w:eastAsia="Times New Roman" w:cs="Arial"/>
                <w:sz w:val="18"/>
                <w:szCs w:val="18"/>
              </w:rPr>
            </w:pPr>
            <w:r w:rsidRPr="00B5494E">
              <w:rPr>
                <w:rFonts w:eastAsia="Times New Roman" w:cs="Arial"/>
                <w:sz w:val="18"/>
                <w:szCs w:val="18"/>
              </w:rPr>
              <w:t>Solar</w:t>
            </w:r>
          </w:p>
        </w:tc>
        <w:tc>
          <w:tcPr>
            <w:tcW w:w="4608" w:type="dxa"/>
            <w:shd w:val="clear" w:color="auto" w:fill="auto"/>
            <w:vAlign w:val="center"/>
            <w:hideMark/>
          </w:tcPr>
          <w:p w14:paraId="40E27E00" w14:textId="77777777" w:rsidR="004A5081" w:rsidRPr="00B5494E" w:rsidRDefault="004A5081" w:rsidP="004A5081">
            <w:pPr>
              <w:spacing w:after="0" w:line="240" w:lineRule="auto"/>
              <w:rPr>
                <w:rFonts w:eastAsia="Times New Roman" w:cs="Arial"/>
                <w:smallCaps/>
                <w:sz w:val="18"/>
                <w:szCs w:val="18"/>
              </w:rPr>
            </w:pPr>
            <w:r w:rsidRPr="00B5494E">
              <w:rPr>
                <w:rFonts w:eastAsia="Times New Roman" w:cs="Arial"/>
                <w:smallCaps/>
                <w:sz w:val="18"/>
                <w:szCs w:val="18"/>
              </w:rPr>
              <w:t>KINGS BAY</w:t>
            </w:r>
          </w:p>
        </w:tc>
        <w:tc>
          <w:tcPr>
            <w:tcW w:w="1080" w:type="dxa"/>
            <w:shd w:val="clear" w:color="auto" w:fill="auto"/>
            <w:noWrap/>
            <w:vAlign w:val="center"/>
            <w:hideMark/>
          </w:tcPr>
          <w:p w14:paraId="4C0892A7"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30.2</w:t>
            </w:r>
          </w:p>
        </w:tc>
        <w:tc>
          <w:tcPr>
            <w:tcW w:w="1152" w:type="dxa"/>
            <w:shd w:val="clear" w:color="auto" w:fill="auto"/>
            <w:noWrap/>
            <w:vAlign w:val="center"/>
            <w:hideMark/>
          </w:tcPr>
          <w:p w14:paraId="7FEEFA8A"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hideMark/>
          </w:tcPr>
          <w:p w14:paraId="0E0E733A"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12/1/2016</w:t>
            </w:r>
          </w:p>
        </w:tc>
        <w:tc>
          <w:tcPr>
            <w:tcW w:w="1440" w:type="dxa"/>
            <w:shd w:val="clear" w:color="auto" w:fill="auto"/>
            <w:noWrap/>
            <w:vAlign w:val="center"/>
            <w:hideMark/>
          </w:tcPr>
          <w:p w14:paraId="5B672B8B"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12/31/2051</w:t>
            </w:r>
          </w:p>
        </w:tc>
      </w:tr>
      <w:tr w:rsidR="00B5494E" w:rsidRPr="00B5494E" w14:paraId="0E574779" w14:textId="77777777" w:rsidTr="00712AB6">
        <w:trPr>
          <w:trHeight w:val="288"/>
        </w:trPr>
        <w:tc>
          <w:tcPr>
            <w:tcW w:w="871" w:type="dxa"/>
            <w:shd w:val="clear" w:color="auto" w:fill="auto"/>
            <w:noWrap/>
            <w:vAlign w:val="center"/>
          </w:tcPr>
          <w:p w14:paraId="7E7019CB" w14:textId="77777777" w:rsidR="004A5081" w:rsidRPr="00B5494E" w:rsidRDefault="004A5081" w:rsidP="004911AE">
            <w:pPr>
              <w:spacing w:after="0" w:line="240" w:lineRule="auto"/>
              <w:jc w:val="center"/>
              <w:rPr>
                <w:rFonts w:eastAsia="Times New Roman" w:cs="Arial"/>
                <w:sz w:val="18"/>
                <w:szCs w:val="18"/>
              </w:rPr>
            </w:pPr>
            <w:r w:rsidRPr="00B5494E">
              <w:rPr>
                <w:rFonts w:eastAsia="Times New Roman" w:cs="Arial"/>
                <w:sz w:val="18"/>
                <w:szCs w:val="18"/>
              </w:rPr>
              <w:t>Solar</w:t>
            </w:r>
          </w:p>
        </w:tc>
        <w:tc>
          <w:tcPr>
            <w:tcW w:w="4608" w:type="dxa"/>
            <w:shd w:val="clear" w:color="auto" w:fill="auto"/>
            <w:vAlign w:val="center"/>
          </w:tcPr>
          <w:p w14:paraId="2D9A7556" w14:textId="77777777" w:rsidR="004A5081" w:rsidRPr="00B5494E" w:rsidRDefault="004A5081" w:rsidP="004A5081">
            <w:pPr>
              <w:spacing w:after="0" w:line="240" w:lineRule="auto"/>
              <w:rPr>
                <w:rFonts w:eastAsia="Times New Roman" w:cs="Arial"/>
                <w:smallCaps/>
                <w:sz w:val="18"/>
                <w:szCs w:val="18"/>
              </w:rPr>
            </w:pPr>
            <w:r w:rsidRPr="00B5494E">
              <w:rPr>
                <w:rFonts w:eastAsia="Times New Roman" w:cs="Arial"/>
                <w:smallCaps/>
                <w:sz w:val="18"/>
                <w:szCs w:val="18"/>
              </w:rPr>
              <w:t>MCINTOSH CLOSED ASH POND</w:t>
            </w:r>
          </w:p>
        </w:tc>
        <w:tc>
          <w:tcPr>
            <w:tcW w:w="1080" w:type="dxa"/>
            <w:shd w:val="clear" w:color="auto" w:fill="auto"/>
            <w:noWrap/>
            <w:vAlign w:val="center"/>
          </w:tcPr>
          <w:p w14:paraId="19942FFF"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tcPr>
          <w:p w14:paraId="6502159D"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tcPr>
          <w:p w14:paraId="1C0408EC"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7/9/2024</w:t>
            </w:r>
          </w:p>
        </w:tc>
        <w:tc>
          <w:tcPr>
            <w:tcW w:w="1440" w:type="dxa"/>
            <w:shd w:val="clear" w:color="auto" w:fill="auto"/>
            <w:noWrap/>
            <w:vAlign w:val="center"/>
          </w:tcPr>
          <w:p w14:paraId="61D6F3E3"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7/8/2059</w:t>
            </w:r>
          </w:p>
        </w:tc>
      </w:tr>
      <w:tr w:rsidR="00B5494E" w:rsidRPr="00B5494E" w14:paraId="32CBBDA2" w14:textId="77777777" w:rsidTr="00712AB6">
        <w:trPr>
          <w:trHeight w:val="288"/>
        </w:trPr>
        <w:tc>
          <w:tcPr>
            <w:tcW w:w="871" w:type="dxa"/>
            <w:shd w:val="clear" w:color="auto" w:fill="auto"/>
            <w:noWrap/>
            <w:vAlign w:val="center"/>
            <w:hideMark/>
          </w:tcPr>
          <w:p w14:paraId="455DB809" w14:textId="77777777" w:rsidR="004A5081" w:rsidRPr="00B5494E" w:rsidRDefault="004A5081" w:rsidP="004911AE">
            <w:pPr>
              <w:spacing w:after="0" w:line="240" w:lineRule="auto"/>
              <w:jc w:val="center"/>
              <w:rPr>
                <w:rFonts w:eastAsia="Times New Roman" w:cs="Arial"/>
                <w:sz w:val="18"/>
                <w:szCs w:val="18"/>
              </w:rPr>
            </w:pPr>
            <w:r w:rsidRPr="00B5494E">
              <w:rPr>
                <w:rFonts w:eastAsia="Times New Roman" w:cs="Arial"/>
                <w:sz w:val="18"/>
                <w:szCs w:val="18"/>
              </w:rPr>
              <w:t>Solar</w:t>
            </w:r>
          </w:p>
        </w:tc>
        <w:tc>
          <w:tcPr>
            <w:tcW w:w="4608" w:type="dxa"/>
            <w:shd w:val="clear" w:color="auto" w:fill="auto"/>
            <w:vAlign w:val="center"/>
            <w:hideMark/>
          </w:tcPr>
          <w:p w14:paraId="376A0B42" w14:textId="77777777" w:rsidR="004A5081" w:rsidRPr="00B5494E" w:rsidRDefault="004A5081" w:rsidP="004A5081">
            <w:pPr>
              <w:spacing w:after="0" w:line="240" w:lineRule="auto"/>
              <w:rPr>
                <w:rFonts w:eastAsia="Times New Roman" w:cs="Arial"/>
                <w:smallCaps/>
                <w:sz w:val="18"/>
                <w:szCs w:val="18"/>
              </w:rPr>
            </w:pPr>
            <w:r w:rsidRPr="00B5494E">
              <w:rPr>
                <w:rFonts w:eastAsia="Times New Roman" w:cs="Arial"/>
                <w:smallCaps/>
                <w:sz w:val="18"/>
                <w:szCs w:val="18"/>
              </w:rPr>
              <w:t>MCLB</w:t>
            </w:r>
          </w:p>
        </w:tc>
        <w:tc>
          <w:tcPr>
            <w:tcW w:w="1080" w:type="dxa"/>
            <w:shd w:val="clear" w:color="auto" w:fill="auto"/>
            <w:noWrap/>
            <w:vAlign w:val="center"/>
            <w:hideMark/>
          </w:tcPr>
          <w:p w14:paraId="7A3EC295"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31.2</w:t>
            </w:r>
          </w:p>
        </w:tc>
        <w:tc>
          <w:tcPr>
            <w:tcW w:w="1152" w:type="dxa"/>
            <w:shd w:val="clear" w:color="auto" w:fill="auto"/>
            <w:noWrap/>
            <w:vAlign w:val="center"/>
            <w:hideMark/>
          </w:tcPr>
          <w:p w14:paraId="54BBC5A3"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hideMark/>
          </w:tcPr>
          <w:p w14:paraId="4299F3A1"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2/16/2018</w:t>
            </w:r>
          </w:p>
        </w:tc>
        <w:tc>
          <w:tcPr>
            <w:tcW w:w="1440" w:type="dxa"/>
            <w:shd w:val="clear" w:color="auto" w:fill="auto"/>
            <w:noWrap/>
            <w:vAlign w:val="center"/>
            <w:hideMark/>
          </w:tcPr>
          <w:p w14:paraId="2724332B"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12/31/2053</w:t>
            </w:r>
          </w:p>
        </w:tc>
      </w:tr>
      <w:tr w:rsidR="00B5494E" w:rsidRPr="00B5494E" w14:paraId="76DB87E4" w14:textId="77777777" w:rsidTr="00712AB6">
        <w:trPr>
          <w:trHeight w:val="288"/>
        </w:trPr>
        <w:tc>
          <w:tcPr>
            <w:tcW w:w="871" w:type="dxa"/>
            <w:shd w:val="clear" w:color="auto" w:fill="auto"/>
            <w:noWrap/>
            <w:vAlign w:val="center"/>
            <w:hideMark/>
          </w:tcPr>
          <w:p w14:paraId="4D36AE7E" w14:textId="77777777" w:rsidR="004A5081" w:rsidRPr="00B5494E" w:rsidRDefault="004A5081" w:rsidP="004911AE">
            <w:pPr>
              <w:spacing w:after="0" w:line="240" w:lineRule="auto"/>
              <w:jc w:val="center"/>
              <w:rPr>
                <w:rFonts w:eastAsia="Times New Roman" w:cs="Arial"/>
                <w:sz w:val="18"/>
                <w:szCs w:val="18"/>
              </w:rPr>
            </w:pPr>
            <w:r w:rsidRPr="00B5494E">
              <w:rPr>
                <w:rFonts w:eastAsia="Times New Roman" w:cs="Arial"/>
                <w:sz w:val="18"/>
                <w:szCs w:val="18"/>
              </w:rPr>
              <w:t>Solar</w:t>
            </w:r>
          </w:p>
        </w:tc>
        <w:tc>
          <w:tcPr>
            <w:tcW w:w="4608" w:type="dxa"/>
            <w:shd w:val="clear" w:color="auto" w:fill="auto"/>
            <w:vAlign w:val="center"/>
            <w:hideMark/>
          </w:tcPr>
          <w:p w14:paraId="45D0EBEB" w14:textId="77777777" w:rsidR="004A5081" w:rsidRPr="00B5494E" w:rsidRDefault="004A5081" w:rsidP="004A5081">
            <w:pPr>
              <w:spacing w:after="0" w:line="240" w:lineRule="auto"/>
              <w:rPr>
                <w:rFonts w:eastAsia="Times New Roman" w:cs="Arial"/>
                <w:smallCaps/>
                <w:sz w:val="18"/>
                <w:szCs w:val="18"/>
              </w:rPr>
            </w:pPr>
            <w:r w:rsidRPr="00B5494E">
              <w:rPr>
                <w:rFonts w:eastAsia="Times New Roman" w:cs="Arial"/>
                <w:smallCaps/>
                <w:sz w:val="18"/>
                <w:szCs w:val="18"/>
              </w:rPr>
              <w:t>MOODY AFB</w:t>
            </w:r>
          </w:p>
        </w:tc>
        <w:tc>
          <w:tcPr>
            <w:tcW w:w="1080" w:type="dxa"/>
            <w:shd w:val="clear" w:color="auto" w:fill="auto"/>
            <w:noWrap/>
            <w:vAlign w:val="center"/>
            <w:hideMark/>
          </w:tcPr>
          <w:p w14:paraId="7AF76F88"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49.5</w:t>
            </w:r>
          </w:p>
        </w:tc>
        <w:tc>
          <w:tcPr>
            <w:tcW w:w="1152" w:type="dxa"/>
            <w:shd w:val="clear" w:color="auto" w:fill="auto"/>
            <w:noWrap/>
            <w:vAlign w:val="center"/>
            <w:hideMark/>
          </w:tcPr>
          <w:p w14:paraId="017EBA75"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hideMark/>
          </w:tcPr>
          <w:p w14:paraId="75C3CC54"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6/23/2020</w:t>
            </w:r>
          </w:p>
        </w:tc>
        <w:tc>
          <w:tcPr>
            <w:tcW w:w="1440" w:type="dxa"/>
            <w:shd w:val="clear" w:color="auto" w:fill="auto"/>
            <w:noWrap/>
            <w:vAlign w:val="center"/>
            <w:hideMark/>
          </w:tcPr>
          <w:p w14:paraId="7382AAB3"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12/31/2055</w:t>
            </w:r>
          </w:p>
        </w:tc>
      </w:tr>
      <w:tr w:rsidR="00B5494E" w:rsidRPr="00B5494E" w14:paraId="00156700" w14:textId="77777777" w:rsidTr="00712AB6">
        <w:trPr>
          <w:trHeight w:val="288"/>
        </w:trPr>
        <w:tc>
          <w:tcPr>
            <w:tcW w:w="871" w:type="dxa"/>
            <w:shd w:val="clear" w:color="auto" w:fill="auto"/>
            <w:noWrap/>
            <w:vAlign w:val="center"/>
            <w:hideMark/>
          </w:tcPr>
          <w:p w14:paraId="5EF92133" w14:textId="77777777" w:rsidR="004A5081" w:rsidRPr="00B5494E" w:rsidRDefault="004A5081" w:rsidP="004911AE">
            <w:pPr>
              <w:spacing w:after="0" w:line="240" w:lineRule="auto"/>
              <w:jc w:val="center"/>
              <w:rPr>
                <w:rFonts w:eastAsia="Times New Roman" w:cs="Arial"/>
                <w:sz w:val="18"/>
                <w:szCs w:val="18"/>
              </w:rPr>
            </w:pPr>
            <w:r w:rsidRPr="00B5494E">
              <w:rPr>
                <w:rFonts w:eastAsia="Times New Roman" w:cs="Arial"/>
                <w:sz w:val="18"/>
                <w:szCs w:val="18"/>
              </w:rPr>
              <w:t>Solar</w:t>
            </w:r>
          </w:p>
        </w:tc>
        <w:tc>
          <w:tcPr>
            <w:tcW w:w="4608" w:type="dxa"/>
            <w:shd w:val="clear" w:color="auto" w:fill="auto"/>
            <w:vAlign w:val="center"/>
            <w:hideMark/>
          </w:tcPr>
          <w:p w14:paraId="167B869C" w14:textId="53789C25" w:rsidR="004A5081" w:rsidRPr="00B5494E" w:rsidRDefault="00024295" w:rsidP="004A5081">
            <w:pPr>
              <w:spacing w:after="0" w:line="240" w:lineRule="auto"/>
              <w:rPr>
                <w:rFonts w:eastAsia="Times New Roman" w:cs="Arial"/>
                <w:smallCaps/>
                <w:sz w:val="18"/>
                <w:szCs w:val="18"/>
              </w:rPr>
            </w:pPr>
            <w:r w:rsidRPr="00B5494E">
              <w:rPr>
                <w:rFonts w:eastAsia="Times New Roman" w:cs="Arial"/>
                <w:smallCaps/>
                <w:sz w:val="18"/>
                <w:szCs w:val="18"/>
              </w:rPr>
              <w:t>LAGRANGE (</w:t>
            </w:r>
            <w:r w:rsidR="004A5081" w:rsidRPr="00B5494E">
              <w:rPr>
                <w:rFonts w:eastAsia="Times New Roman" w:cs="Arial"/>
                <w:smallCaps/>
                <w:sz w:val="18"/>
                <w:szCs w:val="18"/>
              </w:rPr>
              <w:t>RIGHT OF WAY</w:t>
            </w:r>
            <w:r w:rsidRPr="00B5494E">
              <w:rPr>
                <w:rFonts w:eastAsia="Times New Roman" w:cs="Arial"/>
                <w:smallCaps/>
                <w:sz w:val="18"/>
                <w:szCs w:val="18"/>
              </w:rPr>
              <w:t>)</w:t>
            </w:r>
            <w:r w:rsidR="004A5081" w:rsidRPr="00B5494E">
              <w:rPr>
                <w:rFonts w:eastAsia="Times New Roman" w:cs="Arial"/>
                <w:smallCaps/>
                <w:sz w:val="18"/>
                <w:szCs w:val="18"/>
              </w:rPr>
              <w:t xml:space="preserve"> SOLAR </w:t>
            </w:r>
          </w:p>
        </w:tc>
        <w:tc>
          <w:tcPr>
            <w:tcW w:w="1080" w:type="dxa"/>
            <w:shd w:val="clear" w:color="auto" w:fill="auto"/>
            <w:noWrap/>
            <w:vAlign w:val="center"/>
            <w:hideMark/>
          </w:tcPr>
          <w:p w14:paraId="1BE7C36D"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0.8</w:t>
            </w:r>
          </w:p>
        </w:tc>
        <w:tc>
          <w:tcPr>
            <w:tcW w:w="1152" w:type="dxa"/>
            <w:shd w:val="clear" w:color="auto" w:fill="auto"/>
            <w:noWrap/>
            <w:vAlign w:val="center"/>
            <w:hideMark/>
          </w:tcPr>
          <w:p w14:paraId="2540DB48"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hideMark/>
          </w:tcPr>
          <w:p w14:paraId="442912DA"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2/28/2020</w:t>
            </w:r>
          </w:p>
        </w:tc>
        <w:tc>
          <w:tcPr>
            <w:tcW w:w="1440" w:type="dxa"/>
            <w:shd w:val="clear" w:color="auto" w:fill="auto"/>
            <w:noWrap/>
            <w:vAlign w:val="center"/>
            <w:hideMark/>
          </w:tcPr>
          <w:p w14:paraId="76C509C9"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12/31/2055</w:t>
            </w:r>
          </w:p>
        </w:tc>
      </w:tr>
      <w:tr w:rsidR="00B5494E" w:rsidRPr="00B5494E" w14:paraId="42BC1865" w14:textId="77777777" w:rsidTr="00712AB6">
        <w:trPr>
          <w:trHeight w:val="288"/>
        </w:trPr>
        <w:tc>
          <w:tcPr>
            <w:tcW w:w="871" w:type="dxa"/>
            <w:shd w:val="clear" w:color="auto" w:fill="auto"/>
            <w:noWrap/>
            <w:vAlign w:val="center"/>
            <w:hideMark/>
          </w:tcPr>
          <w:p w14:paraId="501D0B98" w14:textId="77777777" w:rsidR="004A5081" w:rsidRPr="00B5494E" w:rsidRDefault="004A5081" w:rsidP="004911AE">
            <w:pPr>
              <w:spacing w:after="0" w:line="240" w:lineRule="auto"/>
              <w:jc w:val="center"/>
              <w:rPr>
                <w:rFonts w:eastAsia="Times New Roman" w:cs="Arial"/>
                <w:sz w:val="18"/>
                <w:szCs w:val="18"/>
              </w:rPr>
            </w:pPr>
            <w:r w:rsidRPr="00B5494E">
              <w:rPr>
                <w:rFonts w:eastAsia="Times New Roman" w:cs="Arial"/>
                <w:sz w:val="18"/>
                <w:szCs w:val="18"/>
              </w:rPr>
              <w:t>Solar</w:t>
            </w:r>
          </w:p>
        </w:tc>
        <w:tc>
          <w:tcPr>
            <w:tcW w:w="4608" w:type="dxa"/>
            <w:shd w:val="clear" w:color="auto" w:fill="auto"/>
            <w:vAlign w:val="center"/>
            <w:hideMark/>
          </w:tcPr>
          <w:p w14:paraId="0552A096" w14:textId="77777777" w:rsidR="004A5081" w:rsidRPr="00B5494E" w:rsidRDefault="004A5081" w:rsidP="004A5081">
            <w:pPr>
              <w:spacing w:after="0" w:line="240" w:lineRule="auto"/>
              <w:rPr>
                <w:rFonts w:eastAsia="Times New Roman" w:cs="Arial"/>
                <w:smallCaps/>
                <w:sz w:val="18"/>
                <w:szCs w:val="18"/>
              </w:rPr>
            </w:pPr>
            <w:r w:rsidRPr="00B5494E">
              <w:rPr>
                <w:rFonts w:eastAsia="Times New Roman" w:cs="Arial"/>
                <w:smallCaps/>
                <w:sz w:val="18"/>
                <w:szCs w:val="18"/>
              </w:rPr>
              <w:t>ROBINS AFB</w:t>
            </w:r>
          </w:p>
        </w:tc>
        <w:tc>
          <w:tcPr>
            <w:tcW w:w="1080" w:type="dxa"/>
            <w:shd w:val="clear" w:color="auto" w:fill="auto"/>
            <w:noWrap/>
            <w:vAlign w:val="center"/>
            <w:hideMark/>
          </w:tcPr>
          <w:p w14:paraId="4DE75DDA"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128.0</w:t>
            </w:r>
          </w:p>
        </w:tc>
        <w:tc>
          <w:tcPr>
            <w:tcW w:w="1152" w:type="dxa"/>
            <w:shd w:val="clear" w:color="auto" w:fill="auto"/>
            <w:noWrap/>
            <w:vAlign w:val="center"/>
            <w:hideMark/>
          </w:tcPr>
          <w:p w14:paraId="40085959"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hideMark/>
          </w:tcPr>
          <w:p w14:paraId="1B588D6A"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4/15/2021</w:t>
            </w:r>
          </w:p>
        </w:tc>
        <w:tc>
          <w:tcPr>
            <w:tcW w:w="1440" w:type="dxa"/>
            <w:shd w:val="clear" w:color="auto" w:fill="auto"/>
            <w:noWrap/>
            <w:vAlign w:val="center"/>
            <w:hideMark/>
          </w:tcPr>
          <w:p w14:paraId="2F35EC6F"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12/31/2056</w:t>
            </w:r>
          </w:p>
        </w:tc>
      </w:tr>
      <w:tr w:rsidR="00B5494E" w:rsidRPr="00B5494E" w14:paraId="5405C158" w14:textId="77777777" w:rsidTr="00712AB6">
        <w:trPr>
          <w:trHeight w:val="288"/>
        </w:trPr>
        <w:tc>
          <w:tcPr>
            <w:tcW w:w="871" w:type="dxa"/>
            <w:shd w:val="clear" w:color="auto" w:fill="auto"/>
            <w:noWrap/>
            <w:vAlign w:val="center"/>
            <w:hideMark/>
          </w:tcPr>
          <w:p w14:paraId="4500ABC4" w14:textId="77777777" w:rsidR="004A5081" w:rsidRPr="00B5494E" w:rsidRDefault="004A5081" w:rsidP="004911AE">
            <w:pPr>
              <w:spacing w:after="0" w:line="240" w:lineRule="auto"/>
              <w:jc w:val="center"/>
              <w:rPr>
                <w:rFonts w:eastAsia="Times New Roman" w:cs="Arial"/>
                <w:sz w:val="18"/>
                <w:szCs w:val="18"/>
              </w:rPr>
            </w:pPr>
            <w:r w:rsidRPr="00B5494E">
              <w:rPr>
                <w:rFonts w:eastAsia="Times New Roman" w:cs="Arial"/>
                <w:sz w:val="18"/>
                <w:szCs w:val="18"/>
              </w:rPr>
              <w:t>Solar</w:t>
            </w:r>
          </w:p>
        </w:tc>
        <w:tc>
          <w:tcPr>
            <w:tcW w:w="4608" w:type="dxa"/>
            <w:shd w:val="clear" w:color="auto" w:fill="auto"/>
            <w:vAlign w:val="center"/>
            <w:hideMark/>
          </w:tcPr>
          <w:p w14:paraId="45CA4636" w14:textId="77777777" w:rsidR="004A5081" w:rsidRPr="00B5494E" w:rsidRDefault="004A5081" w:rsidP="004A5081">
            <w:pPr>
              <w:spacing w:after="0" w:line="240" w:lineRule="auto"/>
              <w:rPr>
                <w:rFonts w:eastAsia="Times New Roman" w:cs="Arial"/>
                <w:smallCaps/>
                <w:sz w:val="18"/>
                <w:szCs w:val="18"/>
              </w:rPr>
            </w:pPr>
            <w:r w:rsidRPr="00B5494E">
              <w:rPr>
                <w:rFonts w:eastAsia="Times New Roman" w:cs="Arial"/>
                <w:smallCaps/>
                <w:sz w:val="18"/>
                <w:szCs w:val="18"/>
              </w:rPr>
              <w:t>UGA SOLAR</w:t>
            </w:r>
          </w:p>
        </w:tc>
        <w:tc>
          <w:tcPr>
            <w:tcW w:w="1080" w:type="dxa"/>
            <w:shd w:val="clear" w:color="auto" w:fill="auto"/>
            <w:noWrap/>
            <w:vAlign w:val="center"/>
            <w:hideMark/>
          </w:tcPr>
          <w:p w14:paraId="7BF44E72"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w:t>
            </w:r>
          </w:p>
        </w:tc>
        <w:tc>
          <w:tcPr>
            <w:tcW w:w="1152" w:type="dxa"/>
            <w:shd w:val="clear" w:color="auto" w:fill="auto"/>
            <w:noWrap/>
            <w:vAlign w:val="center"/>
            <w:hideMark/>
          </w:tcPr>
          <w:p w14:paraId="66725A88"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hideMark/>
          </w:tcPr>
          <w:p w14:paraId="4C07FBA2"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2/1/2016</w:t>
            </w:r>
          </w:p>
        </w:tc>
        <w:tc>
          <w:tcPr>
            <w:tcW w:w="1440" w:type="dxa"/>
            <w:shd w:val="clear" w:color="auto" w:fill="auto"/>
            <w:noWrap/>
            <w:vAlign w:val="center"/>
            <w:hideMark/>
          </w:tcPr>
          <w:p w14:paraId="694D42BA"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12/31/2051</w:t>
            </w:r>
          </w:p>
        </w:tc>
      </w:tr>
      <w:tr w:rsidR="00B5494E" w:rsidRPr="00B5494E" w14:paraId="774E00EA" w14:textId="77777777" w:rsidTr="00712AB6">
        <w:trPr>
          <w:trHeight w:val="288"/>
        </w:trPr>
        <w:tc>
          <w:tcPr>
            <w:tcW w:w="871" w:type="dxa"/>
            <w:shd w:val="clear" w:color="auto" w:fill="auto"/>
            <w:noWrap/>
            <w:vAlign w:val="center"/>
          </w:tcPr>
          <w:p w14:paraId="048E9E20" w14:textId="77777777" w:rsidR="004A5081" w:rsidRPr="00B5494E" w:rsidRDefault="004A5081">
            <w:pPr>
              <w:spacing w:after="0" w:line="240" w:lineRule="auto"/>
              <w:jc w:val="center"/>
              <w:rPr>
                <w:rFonts w:eastAsia="Times New Roman" w:cs="Arial"/>
                <w:sz w:val="18"/>
                <w:szCs w:val="18"/>
              </w:rPr>
            </w:pPr>
            <w:r w:rsidRPr="00B5494E">
              <w:rPr>
                <w:rFonts w:eastAsia="Times New Roman" w:cs="Arial"/>
                <w:sz w:val="18"/>
                <w:szCs w:val="18"/>
              </w:rPr>
              <w:t>Solar</w:t>
            </w:r>
          </w:p>
        </w:tc>
        <w:tc>
          <w:tcPr>
            <w:tcW w:w="4608" w:type="dxa"/>
            <w:shd w:val="clear" w:color="auto" w:fill="auto"/>
            <w:vAlign w:val="center"/>
          </w:tcPr>
          <w:p w14:paraId="6E54E001" w14:textId="77777777" w:rsidR="004A5081" w:rsidRPr="00B5494E" w:rsidRDefault="004A5081" w:rsidP="004A5081">
            <w:pPr>
              <w:spacing w:after="0" w:line="240" w:lineRule="auto"/>
              <w:rPr>
                <w:rFonts w:eastAsia="Times New Roman" w:cs="Arial"/>
                <w:sz w:val="18"/>
                <w:szCs w:val="18"/>
              </w:rPr>
            </w:pPr>
            <w:r w:rsidRPr="00B5494E">
              <w:rPr>
                <w:rFonts w:eastAsia="Times New Roman" w:cs="Arial"/>
                <w:sz w:val="18"/>
                <w:szCs w:val="18"/>
              </w:rPr>
              <w:t>UNASSIGNED SELF-BUILD SOLAR</w:t>
            </w:r>
          </w:p>
        </w:tc>
        <w:tc>
          <w:tcPr>
            <w:tcW w:w="1080" w:type="dxa"/>
            <w:shd w:val="clear" w:color="auto" w:fill="auto"/>
            <w:noWrap/>
            <w:vAlign w:val="center"/>
          </w:tcPr>
          <w:p w14:paraId="492270E9"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w:t>
            </w:r>
          </w:p>
        </w:tc>
        <w:tc>
          <w:tcPr>
            <w:tcW w:w="1152" w:type="dxa"/>
            <w:shd w:val="clear" w:color="auto" w:fill="auto"/>
            <w:noWrap/>
            <w:vAlign w:val="center"/>
          </w:tcPr>
          <w:p w14:paraId="49527FDF"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tcPr>
          <w:p w14:paraId="7D00770F"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1/2030</w:t>
            </w:r>
          </w:p>
        </w:tc>
        <w:tc>
          <w:tcPr>
            <w:tcW w:w="1440" w:type="dxa"/>
            <w:shd w:val="clear" w:color="auto" w:fill="auto"/>
            <w:noWrap/>
            <w:vAlign w:val="center"/>
          </w:tcPr>
          <w:p w14:paraId="15E46D9E"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12/2065</w:t>
            </w:r>
          </w:p>
        </w:tc>
      </w:tr>
      <w:tr w:rsidR="00B5494E" w:rsidRPr="00B5494E" w14:paraId="1649C717" w14:textId="77777777" w:rsidTr="00712AB6">
        <w:trPr>
          <w:trHeight w:val="288"/>
        </w:trPr>
        <w:tc>
          <w:tcPr>
            <w:tcW w:w="871" w:type="dxa"/>
            <w:shd w:val="clear" w:color="auto" w:fill="auto"/>
            <w:noWrap/>
            <w:vAlign w:val="center"/>
            <w:hideMark/>
          </w:tcPr>
          <w:p w14:paraId="7BD73CC2" w14:textId="77777777" w:rsidR="004A5081" w:rsidRPr="00B5494E" w:rsidRDefault="004A5081" w:rsidP="004911AE">
            <w:pPr>
              <w:spacing w:after="0" w:line="240" w:lineRule="auto"/>
              <w:jc w:val="center"/>
              <w:rPr>
                <w:rFonts w:eastAsia="Times New Roman" w:cs="Arial"/>
                <w:sz w:val="18"/>
                <w:szCs w:val="18"/>
              </w:rPr>
            </w:pPr>
            <w:r w:rsidRPr="00B5494E">
              <w:rPr>
                <w:rFonts w:eastAsia="Times New Roman" w:cs="Arial"/>
                <w:sz w:val="18"/>
                <w:szCs w:val="18"/>
              </w:rPr>
              <w:t>Solar</w:t>
            </w:r>
          </w:p>
        </w:tc>
        <w:tc>
          <w:tcPr>
            <w:tcW w:w="4608" w:type="dxa"/>
            <w:shd w:val="clear" w:color="auto" w:fill="auto"/>
            <w:vAlign w:val="center"/>
            <w:hideMark/>
          </w:tcPr>
          <w:p w14:paraId="0B42DEFB" w14:textId="77777777" w:rsidR="004A5081" w:rsidRPr="00B5494E" w:rsidRDefault="004A5081" w:rsidP="004A5081">
            <w:pPr>
              <w:spacing w:after="0" w:line="240" w:lineRule="auto"/>
              <w:rPr>
                <w:rFonts w:eastAsia="Times New Roman" w:cs="Arial"/>
                <w:smallCaps/>
                <w:sz w:val="18"/>
                <w:szCs w:val="18"/>
              </w:rPr>
            </w:pPr>
            <w:r w:rsidRPr="00B5494E">
              <w:rPr>
                <w:rFonts w:eastAsia="Times New Roman" w:cs="Arial"/>
                <w:smallCaps/>
                <w:sz w:val="18"/>
                <w:szCs w:val="18"/>
              </w:rPr>
              <w:t xml:space="preserve">WAYNESBORO COMMUNITY SOLAR </w:t>
            </w:r>
          </w:p>
        </w:tc>
        <w:tc>
          <w:tcPr>
            <w:tcW w:w="1080" w:type="dxa"/>
            <w:shd w:val="clear" w:color="auto" w:fill="auto"/>
            <w:noWrap/>
            <w:vAlign w:val="center"/>
            <w:hideMark/>
          </w:tcPr>
          <w:p w14:paraId="1F710A71"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2.4</w:t>
            </w:r>
          </w:p>
        </w:tc>
        <w:tc>
          <w:tcPr>
            <w:tcW w:w="1152" w:type="dxa"/>
            <w:shd w:val="clear" w:color="auto" w:fill="auto"/>
            <w:noWrap/>
            <w:vAlign w:val="center"/>
            <w:hideMark/>
          </w:tcPr>
          <w:p w14:paraId="4EAA60EC"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hideMark/>
          </w:tcPr>
          <w:p w14:paraId="79552FB2"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6/28/2019</w:t>
            </w:r>
          </w:p>
        </w:tc>
        <w:tc>
          <w:tcPr>
            <w:tcW w:w="1440" w:type="dxa"/>
            <w:shd w:val="clear" w:color="auto" w:fill="auto"/>
            <w:noWrap/>
            <w:vAlign w:val="center"/>
            <w:hideMark/>
          </w:tcPr>
          <w:p w14:paraId="5413CA6E" w14:textId="77777777" w:rsidR="004A5081" w:rsidRPr="00B5494E" w:rsidRDefault="004A5081" w:rsidP="004A5081">
            <w:pPr>
              <w:spacing w:after="0" w:line="240" w:lineRule="auto"/>
              <w:jc w:val="center"/>
              <w:rPr>
                <w:rFonts w:eastAsia="Times New Roman" w:cs="Arial"/>
                <w:sz w:val="18"/>
                <w:szCs w:val="18"/>
              </w:rPr>
            </w:pPr>
            <w:r w:rsidRPr="00B5494E">
              <w:rPr>
                <w:rFonts w:eastAsia="Times New Roman" w:cs="Arial"/>
                <w:sz w:val="18"/>
                <w:szCs w:val="18"/>
              </w:rPr>
              <w:t>12/31/2054</w:t>
            </w:r>
          </w:p>
        </w:tc>
      </w:tr>
      <w:tr w:rsidR="00B5494E" w:rsidRPr="00B5494E" w14:paraId="280D4B3B" w14:textId="77777777" w:rsidTr="00712AB6">
        <w:trPr>
          <w:trHeight w:val="288"/>
        </w:trPr>
        <w:tc>
          <w:tcPr>
            <w:tcW w:w="871" w:type="dxa"/>
            <w:shd w:val="clear" w:color="auto" w:fill="auto"/>
            <w:noWrap/>
            <w:vAlign w:val="center"/>
          </w:tcPr>
          <w:p w14:paraId="2705C8E9" w14:textId="77777777" w:rsidR="009743F3" w:rsidRPr="00B5494E" w:rsidRDefault="009743F3" w:rsidP="00FE5F7E">
            <w:pPr>
              <w:spacing w:after="0" w:line="240" w:lineRule="auto"/>
              <w:jc w:val="center"/>
              <w:rPr>
                <w:rFonts w:eastAsia="Times New Roman" w:cs="Arial"/>
                <w:sz w:val="18"/>
                <w:szCs w:val="18"/>
              </w:rPr>
            </w:pPr>
            <w:r w:rsidRPr="00B5494E">
              <w:rPr>
                <w:rFonts w:eastAsia="Times New Roman" w:cs="Arial"/>
                <w:sz w:val="18"/>
                <w:szCs w:val="18"/>
              </w:rPr>
              <w:t>BESS</w:t>
            </w:r>
          </w:p>
        </w:tc>
        <w:tc>
          <w:tcPr>
            <w:tcW w:w="4608" w:type="dxa"/>
            <w:shd w:val="clear" w:color="auto" w:fill="auto"/>
            <w:vAlign w:val="center"/>
          </w:tcPr>
          <w:p w14:paraId="23F96824" w14:textId="77777777" w:rsidR="009743F3" w:rsidRPr="00B5494E" w:rsidRDefault="009743F3" w:rsidP="004A5081">
            <w:pPr>
              <w:spacing w:after="0" w:line="240" w:lineRule="auto"/>
              <w:rPr>
                <w:rFonts w:eastAsia="Times New Roman" w:cs="Arial"/>
                <w:sz w:val="18"/>
                <w:szCs w:val="18"/>
              </w:rPr>
            </w:pPr>
            <w:r w:rsidRPr="00B5494E">
              <w:rPr>
                <w:rFonts w:eastAsia="Times New Roman" w:cs="Arial"/>
                <w:sz w:val="18"/>
                <w:szCs w:val="18"/>
              </w:rPr>
              <w:t>2019 BESS DEMO</w:t>
            </w:r>
          </w:p>
        </w:tc>
        <w:tc>
          <w:tcPr>
            <w:tcW w:w="1080" w:type="dxa"/>
            <w:shd w:val="clear" w:color="auto" w:fill="auto"/>
            <w:noWrap/>
            <w:vAlign w:val="center"/>
          </w:tcPr>
          <w:p w14:paraId="321CEA39" w14:textId="4B684B3B" w:rsidR="009743F3" w:rsidRPr="00B5494E" w:rsidRDefault="00D910E3" w:rsidP="004A5081">
            <w:pPr>
              <w:spacing w:after="0" w:line="240" w:lineRule="auto"/>
              <w:jc w:val="center"/>
              <w:rPr>
                <w:rFonts w:eastAsia="Times New Roman" w:cs="Arial"/>
                <w:sz w:val="18"/>
                <w:szCs w:val="18"/>
              </w:rPr>
            </w:pPr>
            <w:r w:rsidRPr="00B5494E">
              <w:rPr>
                <w:rFonts w:eastAsia="Times New Roman" w:cs="Arial"/>
                <w:sz w:val="18"/>
                <w:szCs w:val="18"/>
              </w:rPr>
              <w:t>2</w:t>
            </w:r>
          </w:p>
        </w:tc>
        <w:tc>
          <w:tcPr>
            <w:tcW w:w="1152" w:type="dxa"/>
            <w:shd w:val="clear" w:color="auto" w:fill="auto"/>
            <w:noWrap/>
            <w:vAlign w:val="center"/>
          </w:tcPr>
          <w:p w14:paraId="1A524894" w14:textId="77777777"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tcPr>
          <w:p w14:paraId="61B70E43" w14:textId="77777777"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4/2027</w:t>
            </w:r>
          </w:p>
        </w:tc>
        <w:tc>
          <w:tcPr>
            <w:tcW w:w="1440" w:type="dxa"/>
            <w:shd w:val="clear" w:color="auto" w:fill="auto"/>
            <w:noWrap/>
            <w:vAlign w:val="center"/>
          </w:tcPr>
          <w:p w14:paraId="46AAF888" w14:textId="77777777"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4/2037</w:t>
            </w:r>
          </w:p>
        </w:tc>
      </w:tr>
      <w:tr w:rsidR="00B5494E" w:rsidRPr="00B5494E" w14:paraId="16AB2BCE" w14:textId="77777777" w:rsidTr="00712AB6">
        <w:trPr>
          <w:trHeight w:val="288"/>
        </w:trPr>
        <w:tc>
          <w:tcPr>
            <w:tcW w:w="871" w:type="dxa"/>
            <w:shd w:val="clear" w:color="auto" w:fill="auto"/>
            <w:noWrap/>
            <w:vAlign w:val="center"/>
          </w:tcPr>
          <w:p w14:paraId="210BD766" w14:textId="77777777" w:rsidR="009743F3" w:rsidRPr="00B5494E" w:rsidRDefault="009743F3" w:rsidP="00FE5F7E">
            <w:pPr>
              <w:spacing w:after="0" w:line="240" w:lineRule="auto"/>
              <w:jc w:val="center"/>
              <w:rPr>
                <w:rFonts w:eastAsia="Times New Roman" w:cs="Arial"/>
                <w:sz w:val="18"/>
                <w:szCs w:val="18"/>
              </w:rPr>
            </w:pPr>
            <w:r w:rsidRPr="00B5494E">
              <w:rPr>
                <w:rFonts w:eastAsia="Times New Roman" w:cs="Arial"/>
                <w:sz w:val="18"/>
                <w:szCs w:val="18"/>
              </w:rPr>
              <w:t>4-hr BESS</w:t>
            </w:r>
          </w:p>
        </w:tc>
        <w:tc>
          <w:tcPr>
            <w:tcW w:w="4608" w:type="dxa"/>
            <w:shd w:val="clear" w:color="auto" w:fill="auto"/>
            <w:vAlign w:val="center"/>
          </w:tcPr>
          <w:p w14:paraId="5E532A09" w14:textId="77777777" w:rsidR="009743F3" w:rsidRPr="00B5494E" w:rsidRDefault="009743F3" w:rsidP="004A5081">
            <w:pPr>
              <w:spacing w:after="0" w:line="240" w:lineRule="auto"/>
              <w:rPr>
                <w:rFonts w:eastAsia="Times New Roman" w:cs="Arial"/>
                <w:sz w:val="18"/>
                <w:szCs w:val="18"/>
              </w:rPr>
            </w:pPr>
            <w:r w:rsidRPr="00B5494E">
              <w:rPr>
                <w:rFonts w:eastAsia="Times New Roman" w:cs="Arial"/>
                <w:sz w:val="18"/>
                <w:szCs w:val="18"/>
              </w:rPr>
              <w:t>2019 IRP BESS DEMO – FORT STEWART 4 HR BESS</w:t>
            </w:r>
          </w:p>
        </w:tc>
        <w:tc>
          <w:tcPr>
            <w:tcW w:w="1080" w:type="dxa"/>
            <w:shd w:val="clear" w:color="auto" w:fill="auto"/>
            <w:noWrap/>
            <w:vAlign w:val="center"/>
          </w:tcPr>
          <w:p w14:paraId="37808E23" w14:textId="647C4B23" w:rsidR="009743F3" w:rsidRPr="00B5494E" w:rsidRDefault="00E34B8E" w:rsidP="004A5081">
            <w:pPr>
              <w:spacing w:after="0" w:line="240" w:lineRule="auto"/>
              <w:jc w:val="center"/>
              <w:rPr>
                <w:rFonts w:eastAsia="Times New Roman" w:cs="Arial"/>
                <w:sz w:val="18"/>
                <w:szCs w:val="18"/>
              </w:rPr>
            </w:pPr>
            <w:r w:rsidRPr="00B5494E">
              <w:rPr>
                <w:rFonts w:eastAsia="Times New Roman" w:cs="Arial"/>
                <w:sz w:val="18"/>
                <w:szCs w:val="18"/>
              </w:rPr>
              <w:t>13</w:t>
            </w:r>
          </w:p>
        </w:tc>
        <w:tc>
          <w:tcPr>
            <w:tcW w:w="1152" w:type="dxa"/>
            <w:shd w:val="clear" w:color="auto" w:fill="auto"/>
            <w:noWrap/>
            <w:vAlign w:val="center"/>
          </w:tcPr>
          <w:p w14:paraId="59D999A6" w14:textId="77777777"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tcPr>
          <w:p w14:paraId="0BE85358" w14:textId="77777777"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4/2027</w:t>
            </w:r>
          </w:p>
        </w:tc>
        <w:tc>
          <w:tcPr>
            <w:tcW w:w="1440" w:type="dxa"/>
            <w:shd w:val="clear" w:color="auto" w:fill="auto"/>
            <w:noWrap/>
            <w:vAlign w:val="center"/>
          </w:tcPr>
          <w:p w14:paraId="6AD208DE" w14:textId="77777777"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4/2047</w:t>
            </w:r>
          </w:p>
        </w:tc>
      </w:tr>
      <w:tr w:rsidR="00B5494E" w:rsidRPr="00B5494E" w14:paraId="1C984074" w14:textId="77777777" w:rsidTr="00712AB6">
        <w:trPr>
          <w:trHeight w:val="288"/>
        </w:trPr>
        <w:tc>
          <w:tcPr>
            <w:tcW w:w="871" w:type="dxa"/>
            <w:shd w:val="clear" w:color="auto" w:fill="auto"/>
            <w:noWrap/>
            <w:vAlign w:val="center"/>
          </w:tcPr>
          <w:p w14:paraId="3FBC3AC1" w14:textId="77777777" w:rsidR="009743F3" w:rsidRPr="00B5494E" w:rsidRDefault="009743F3" w:rsidP="00FE5F7E">
            <w:pPr>
              <w:spacing w:after="0" w:line="240" w:lineRule="auto"/>
              <w:jc w:val="center"/>
              <w:rPr>
                <w:rFonts w:eastAsia="Times New Roman" w:cs="Arial"/>
                <w:sz w:val="18"/>
                <w:szCs w:val="18"/>
              </w:rPr>
            </w:pPr>
            <w:r w:rsidRPr="00B5494E">
              <w:rPr>
                <w:rFonts w:eastAsia="Times New Roman" w:cs="Arial"/>
                <w:sz w:val="18"/>
                <w:szCs w:val="18"/>
              </w:rPr>
              <w:t>2-hr BESS</w:t>
            </w:r>
          </w:p>
        </w:tc>
        <w:tc>
          <w:tcPr>
            <w:tcW w:w="4608" w:type="dxa"/>
            <w:shd w:val="clear" w:color="auto" w:fill="auto"/>
            <w:vAlign w:val="center"/>
          </w:tcPr>
          <w:p w14:paraId="3326CB71" w14:textId="77777777" w:rsidR="009743F3" w:rsidRPr="00B5494E" w:rsidRDefault="009743F3" w:rsidP="004A5081">
            <w:pPr>
              <w:spacing w:after="0" w:line="240" w:lineRule="auto"/>
              <w:rPr>
                <w:rFonts w:eastAsia="Times New Roman" w:cs="Arial"/>
                <w:smallCaps/>
                <w:sz w:val="18"/>
                <w:szCs w:val="18"/>
              </w:rPr>
            </w:pPr>
            <w:r w:rsidRPr="00B5494E">
              <w:rPr>
                <w:rFonts w:eastAsia="Times New Roman" w:cs="Arial"/>
                <w:sz w:val="18"/>
                <w:szCs w:val="18"/>
              </w:rPr>
              <w:t>2022 IRP MCGRAU FORD 2 HR BATTERY</w:t>
            </w:r>
          </w:p>
        </w:tc>
        <w:tc>
          <w:tcPr>
            <w:tcW w:w="1080" w:type="dxa"/>
            <w:shd w:val="clear" w:color="auto" w:fill="auto"/>
            <w:noWrap/>
            <w:vAlign w:val="center"/>
          </w:tcPr>
          <w:p w14:paraId="725772E8" w14:textId="6A224D74" w:rsidR="009743F3" w:rsidRPr="00B5494E" w:rsidRDefault="00891133" w:rsidP="004A5081">
            <w:pPr>
              <w:spacing w:after="0" w:line="240" w:lineRule="auto"/>
              <w:jc w:val="center"/>
              <w:rPr>
                <w:rFonts w:eastAsia="Times New Roman" w:cs="Arial"/>
                <w:sz w:val="18"/>
                <w:szCs w:val="18"/>
              </w:rPr>
            </w:pPr>
            <w:r w:rsidRPr="00B5494E">
              <w:rPr>
                <w:rFonts w:eastAsia="Times New Roman" w:cs="Arial"/>
                <w:sz w:val="18"/>
                <w:szCs w:val="18"/>
              </w:rPr>
              <w:t>265</w:t>
            </w:r>
          </w:p>
        </w:tc>
        <w:tc>
          <w:tcPr>
            <w:tcW w:w="1152" w:type="dxa"/>
            <w:shd w:val="clear" w:color="auto" w:fill="auto"/>
            <w:noWrap/>
            <w:vAlign w:val="center"/>
          </w:tcPr>
          <w:p w14:paraId="1FE02BB7" w14:textId="276728EF"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tcPr>
          <w:p w14:paraId="75F9C1A7" w14:textId="77777777"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11/2026</w:t>
            </w:r>
          </w:p>
        </w:tc>
        <w:tc>
          <w:tcPr>
            <w:tcW w:w="1440" w:type="dxa"/>
            <w:shd w:val="clear" w:color="auto" w:fill="auto"/>
            <w:noWrap/>
            <w:vAlign w:val="center"/>
          </w:tcPr>
          <w:p w14:paraId="09870A06" w14:textId="77777777"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11/2046</w:t>
            </w:r>
          </w:p>
        </w:tc>
      </w:tr>
      <w:tr w:rsidR="00B5494E" w:rsidRPr="00B5494E" w14:paraId="2CC12558" w14:textId="77777777" w:rsidTr="00712AB6">
        <w:trPr>
          <w:trHeight w:val="288"/>
        </w:trPr>
        <w:tc>
          <w:tcPr>
            <w:tcW w:w="871" w:type="dxa"/>
            <w:shd w:val="clear" w:color="auto" w:fill="auto"/>
            <w:noWrap/>
            <w:vAlign w:val="center"/>
          </w:tcPr>
          <w:p w14:paraId="17ED656E" w14:textId="77777777" w:rsidR="009743F3" w:rsidRPr="00B5494E" w:rsidRDefault="009743F3" w:rsidP="00FE5F7E">
            <w:pPr>
              <w:spacing w:after="0" w:line="240" w:lineRule="auto"/>
              <w:jc w:val="center"/>
              <w:rPr>
                <w:rFonts w:eastAsia="Times New Roman" w:cs="Arial"/>
                <w:sz w:val="18"/>
                <w:szCs w:val="18"/>
              </w:rPr>
            </w:pPr>
            <w:r w:rsidRPr="00B5494E">
              <w:rPr>
                <w:rFonts w:eastAsia="Times New Roman" w:cs="Arial"/>
                <w:sz w:val="18"/>
                <w:szCs w:val="18"/>
              </w:rPr>
              <w:t>4-hr BESS</w:t>
            </w:r>
          </w:p>
        </w:tc>
        <w:tc>
          <w:tcPr>
            <w:tcW w:w="4608" w:type="dxa"/>
            <w:shd w:val="clear" w:color="auto" w:fill="auto"/>
            <w:vAlign w:val="center"/>
          </w:tcPr>
          <w:p w14:paraId="0958E4C9" w14:textId="77777777" w:rsidR="009743F3" w:rsidRPr="00B5494E" w:rsidRDefault="009743F3" w:rsidP="004A5081">
            <w:pPr>
              <w:spacing w:after="0" w:line="240" w:lineRule="auto"/>
              <w:rPr>
                <w:rFonts w:eastAsia="Times New Roman" w:cs="Arial"/>
                <w:smallCaps/>
                <w:sz w:val="18"/>
                <w:szCs w:val="18"/>
              </w:rPr>
            </w:pPr>
            <w:r w:rsidRPr="00B5494E">
              <w:rPr>
                <w:rFonts w:eastAsia="Times New Roman" w:cs="Arial"/>
                <w:sz w:val="18"/>
                <w:szCs w:val="18"/>
              </w:rPr>
              <w:t>2023 IRP UPDATE – HAMMOND</w:t>
            </w:r>
          </w:p>
        </w:tc>
        <w:tc>
          <w:tcPr>
            <w:tcW w:w="1080" w:type="dxa"/>
            <w:shd w:val="clear" w:color="auto" w:fill="auto"/>
            <w:noWrap/>
            <w:vAlign w:val="center"/>
          </w:tcPr>
          <w:p w14:paraId="324DB2DC" w14:textId="332248E2" w:rsidR="009743F3" w:rsidRPr="00B5494E" w:rsidRDefault="00AC6321" w:rsidP="004A5081">
            <w:pPr>
              <w:spacing w:after="0" w:line="240" w:lineRule="auto"/>
              <w:jc w:val="center"/>
              <w:rPr>
                <w:rFonts w:eastAsia="Times New Roman" w:cs="Arial"/>
                <w:sz w:val="18"/>
                <w:szCs w:val="18"/>
              </w:rPr>
            </w:pPr>
            <w:r w:rsidRPr="00B5494E">
              <w:rPr>
                <w:rFonts w:eastAsia="Times New Roman" w:cs="Arial"/>
                <w:sz w:val="18"/>
                <w:szCs w:val="18"/>
              </w:rPr>
              <w:t>57.5</w:t>
            </w:r>
          </w:p>
        </w:tc>
        <w:tc>
          <w:tcPr>
            <w:tcW w:w="1152" w:type="dxa"/>
            <w:shd w:val="clear" w:color="auto" w:fill="auto"/>
            <w:noWrap/>
            <w:vAlign w:val="center"/>
          </w:tcPr>
          <w:p w14:paraId="69D37278" w14:textId="4C054626"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tcPr>
          <w:p w14:paraId="6FDB498C" w14:textId="77777777"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11/2026</w:t>
            </w:r>
          </w:p>
        </w:tc>
        <w:tc>
          <w:tcPr>
            <w:tcW w:w="1440" w:type="dxa"/>
            <w:shd w:val="clear" w:color="auto" w:fill="auto"/>
            <w:noWrap/>
            <w:vAlign w:val="center"/>
          </w:tcPr>
          <w:p w14:paraId="4AA16589" w14:textId="77777777"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12/2046</w:t>
            </w:r>
          </w:p>
        </w:tc>
      </w:tr>
      <w:tr w:rsidR="00B5494E" w:rsidRPr="00B5494E" w14:paraId="201A20DF" w14:textId="77777777" w:rsidTr="00712AB6">
        <w:trPr>
          <w:trHeight w:val="288"/>
        </w:trPr>
        <w:tc>
          <w:tcPr>
            <w:tcW w:w="871" w:type="dxa"/>
            <w:shd w:val="clear" w:color="auto" w:fill="auto"/>
            <w:noWrap/>
            <w:vAlign w:val="center"/>
          </w:tcPr>
          <w:p w14:paraId="08C25C04" w14:textId="77777777" w:rsidR="009743F3" w:rsidRPr="00B5494E" w:rsidRDefault="009743F3" w:rsidP="00FE5F7E">
            <w:pPr>
              <w:spacing w:after="0" w:line="240" w:lineRule="auto"/>
              <w:jc w:val="center"/>
              <w:rPr>
                <w:rFonts w:eastAsia="Times New Roman" w:cs="Arial"/>
                <w:sz w:val="18"/>
                <w:szCs w:val="18"/>
              </w:rPr>
            </w:pPr>
            <w:r w:rsidRPr="00B5494E">
              <w:rPr>
                <w:rFonts w:eastAsia="Times New Roman" w:cs="Arial"/>
                <w:sz w:val="18"/>
                <w:szCs w:val="18"/>
              </w:rPr>
              <w:t>4-hr BESS</w:t>
            </w:r>
          </w:p>
        </w:tc>
        <w:tc>
          <w:tcPr>
            <w:tcW w:w="4608" w:type="dxa"/>
            <w:shd w:val="clear" w:color="auto" w:fill="auto"/>
            <w:vAlign w:val="center"/>
          </w:tcPr>
          <w:p w14:paraId="2350BE07" w14:textId="77777777" w:rsidR="009743F3" w:rsidRPr="00B5494E" w:rsidRDefault="009743F3" w:rsidP="004A5081">
            <w:pPr>
              <w:spacing w:after="0" w:line="240" w:lineRule="auto"/>
              <w:rPr>
                <w:rFonts w:eastAsia="Times New Roman" w:cs="Arial"/>
                <w:smallCaps/>
                <w:sz w:val="18"/>
                <w:szCs w:val="18"/>
              </w:rPr>
            </w:pPr>
            <w:r w:rsidRPr="00B5494E">
              <w:rPr>
                <w:rFonts w:eastAsia="Times New Roman" w:cs="Arial"/>
                <w:sz w:val="18"/>
                <w:szCs w:val="18"/>
              </w:rPr>
              <w:t>2023 IRP UPDATE – MCGRAU FORD PHASE 2</w:t>
            </w:r>
          </w:p>
        </w:tc>
        <w:tc>
          <w:tcPr>
            <w:tcW w:w="1080" w:type="dxa"/>
            <w:shd w:val="clear" w:color="auto" w:fill="auto"/>
            <w:noWrap/>
            <w:vAlign w:val="center"/>
          </w:tcPr>
          <w:p w14:paraId="6B96CB56" w14:textId="11ACF975" w:rsidR="009743F3" w:rsidRPr="00B5494E" w:rsidRDefault="004C2187" w:rsidP="004A5081">
            <w:pPr>
              <w:spacing w:after="0" w:line="240" w:lineRule="auto"/>
              <w:jc w:val="center"/>
              <w:rPr>
                <w:rFonts w:eastAsia="Times New Roman" w:cs="Arial"/>
                <w:sz w:val="18"/>
                <w:szCs w:val="18"/>
              </w:rPr>
            </w:pPr>
            <w:r w:rsidRPr="00B5494E">
              <w:rPr>
                <w:rFonts w:eastAsia="Times New Roman" w:cs="Arial"/>
                <w:sz w:val="18"/>
                <w:szCs w:val="18"/>
              </w:rPr>
              <w:t>265</w:t>
            </w:r>
          </w:p>
        </w:tc>
        <w:tc>
          <w:tcPr>
            <w:tcW w:w="1152" w:type="dxa"/>
            <w:shd w:val="clear" w:color="auto" w:fill="auto"/>
            <w:noWrap/>
            <w:vAlign w:val="center"/>
          </w:tcPr>
          <w:p w14:paraId="1303964F" w14:textId="70769271"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tcPr>
          <w:p w14:paraId="0BAA161D" w14:textId="77777777"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11/2026</w:t>
            </w:r>
          </w:p>
        </w:tc>
        <w:tc>
          <w:tcPr>
            <w:tcW w:w="1440" w:type="dxa"/>
            <w:shd w:val="clear" w:color="auto" w:fill="auto"/>
            <w:noWrap/>
            <w:vAlign w:val="center"/>
          </w:tcPr>
          <w:p w14:paraId="171F1FF8" w14:textId="77777777"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12/2046</w:t>
            </w:r>
          </w:p>
        </w:tc>
      </w:tr>
      <w:tr w:rsidR="00B5494E" w:rsidRPr="00B5494E" w14:paraId="63665AD0" w14:textId="77777777" w:rsidTr="00712AB6">
        <w:trPr>
          <w:trHeight w:val="288"/>
        </w:trPr>
        <w:tc>
          <w:tcPr>
            <w:tcW w:w="871" w:type="dxa"/>
            <w:shd w:val="clear" w:color="auto" w:fill="auto"/>
            <w:noWrap/>
            <w:vAlign w:val="center"/>
          </w:tcPr>
          <w:p w14:paraId="256BD232" w14:textId="77777777" w:rsidR="009743F3" w:rsidRPr="00B5494E" w:rsidRDefault="009743F3" w:rsidP="00FE5F7E">
            <w:pPr>
              <w:spacing w:after="0" w:line="240" w:lineRule="auto"/>
              <w:jc w:val="center"/>
              <w:rPr>
                <w:rFonts w:eastAsia="Times New Roman" w:cs="Arial"/>
                <w:sz w:val="18"/>
                <w:szCs w:val="18"/>
              </w:rPr>
            </w:pPr>
            <w:r w:rsidRPr="00B5494E">
              <w:rPr>
                <w:rFonts w:eastAsia="Times New Roman" w:cs="Arial"/>
                <w:sz w:val="18"/>
                <w:szCs w:val="18"/>
              </w:rPr>
              <w:t>4-hr BESS</w:t>
            </w:r>
          </w:p>
        </w:tc>
        <w:tc>
          <w:tcPr>
            <w:tcW w:w="4608" w:type="dxa"/>
            <w:shd w:val="clear" w:color="auto" w:fill="auto"/>
            <w:vAlign w:val="center"/>
          </w:tcPr>
          <w:p w14:paraId="346B9112" w14:textId="77777777" w:rsidR="009743F3" w:rsidRPr="00B5494E" w:rsidRDefault="009743F3" w:rsidP="004A5081">
            <w:pPr>
              <w:spacing w:after="0" w:line="240" w:lineRule="auto"/>
              <w:rPr>
                <w:rFonts w:eastAsia="Times New Roman" w:cs="Arial"/>
                <w:smallCaps/>
                <w:sz w:val="18"/>
                <w:szCs w:val="18"/>
              </w:rPr>
            </w:pPr>
            <w:r w:rsidRPr="00B5494E">
              <w:rPr>
                <w:rFonts w:eastAsia="Times New Roman" w:cs="Arial"/>
                <w:sz w:val="18"/>
                <w:szCs w:val="18"/>
              </w:rPr>
              <w:t>2023 IRP UPDATE – MOODY AFB</w:t>
            </w:r>
          </w:p>
        </w:tc>
        <w:tc>
          <w:tcPr>
            <w:tcW w:w="1080" w:type="dxa"/>
            <w:shd w:val="clear" w:color="auto" w:fill="auto"/>
            <w:noWrap/>
            <w:vAlign w:val="center"/>
          </w:tcPr>
          <w:p w14:paraId="1DA92F44" w14:textId="48C857CA" w:rsidR="009743F3" w:rsidRPr="00B5494E" w:rsidRDefault="00D7174A" w:rsidP="004A5081">
            <w:pPr>
              <w:spacing w:after="0" w:line="240" w:lineRule="auto"/>
              <w:jc w:val="center"/>
              <w:rPr>
                <w:rFonts w:eastAsia="Times New Roman" w:cs="Arial"/>
                <w:sz w:val="18"/>
                <w:szCs w:val="18"/>
              </w:rPr>
            </w:pPr>
            <w:r w:rsidRPr="00B5494E">
              <w:rPr>
                <w:rFonts w:eastAsia="Times New Roman" w:cs="Arial"/>
                <w:sz w:val="18"/>
                <w:szCs w:val="18"/>
              </w:rPr>
              <w:t>49.5</w:t>
            </w:r>
          </w:p>
        </w:tc>
        <w:tc>
          <w:tcPr>
            <w:tcW w:w="1152" w:type="dxa"/>
            <w:shd w:val="clear" w:color="auto" w:fill="auto"/>
            <w:noWrap/>
            <w:vAlign w:val="center"/>
          </w:tcPr>
          <w:p w14:paraId="7E87015E" w14:textId="2F8EC8C9"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tcPr>
          <w:p w14:paraId="1C4C5FCC" w14:textId="77777777"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11/2026</w:t>
            </w:r>
          </w:p>
        </w:tc>
        <w:tc>
          <w:tcPr>
            <w:tcW w:w="1440" w:type="dxa"/>
            <w:shd w:val="clear" w:color="auto" w:fill="auto"/>
            <w:noWrap/>
            <w:vAlign w:val="center"/>
          </w:tcPr>
          <w:p w14:paraId="3903D746" w14:textId="77777777"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12/2046</w:t>
            </w:r>
          </w:p>
        </w:tc>
      </w:tr>
      <w:tr w:rsidR="00B5494E" w:rsidRPr="00B5494E" w14:paraId="07F06B23" w14:textId="77777777" w:rsidTr="00712AB6">
        <w:trPr>
          <w:trHeight w:val="288"/>
        </w:trPr>
        <w:tc>
          <w:tcPr>
            <w:tcW w:w="871" w:type="dxa"/>
            <w:shd w:val="clear" w:color="auto" w:fill="auto"/>
            <w:noWrap/>
            <w:vAlign w:val="center"/>
          </w:tcPr>
          <w:p w14:paraId="68B6DB37" w14:textId="77777777" w:rsidR="009743F3" w:rsidRPr="00B5494E" w:rsidRDefault="009743F3" w:rsidP="00FE5F7E">
            <w:pPr>
              <w:spacing w:after="0" w:line="240" w:lineRule="auto"/>
              <w:jc w:val="center"/>
              <w:rPr>
                <w:rFonts w:eastAsia="Times New Roman" w:cs="Arial"/>
                <w:sz w:val="18"/>
                <w:szCs w:val="18"/>
              </w:rPr>
            </w:pPr>
            <w:r w:rsidRPr="00B5494E">
              <w:rPr>
                <w:rFonts w:eastAsia="Times New Roman" w:cs="Arial"/>
                <w:sz w:val="18"/>
                <w:szCs w:val="18"/>
              </w:rPr>
              <w:t>4-hr BESS</w:t>
            </w:r>
          </w:p>
        </w:tc>
        <w:tc>
          <w:tcPr>
            <w:tcW w:w="4608" w:type="dxa"/>
            <w:shd w:val="clear" w:color="auto" w:fill="auto"/>
            <w:vAlign w:val="center"/>
          </w:tcPr>
          <w:p w14:paraId="4A04BE46" w14:textId="77777777" w:rsidR="009743F3" w:rsidRPr="00B5494E" w:rsidRDefault="009743F3" w:rsidP="004A5081">
            <w:pPr>
              <w:spacing w:after="0" w:line="240" w:lineRule="auto"/>
              <w:rPr>
                <w:rFonts w:eastAsia="Times New Roman" w:cs="Arial"/>
                <w:smallCaps/>
                <w:sz w:val="18"/>
                <w:szCs w:val="18"/>
              </w:rPr>
            </w:pPr>
            <w:r w:rsidRPr="00B5494E">
              <w:rPr>
                <w:rFonts w:eastAsia="Times New Roman" w:cs="Arial"/>
                <w:sz w:val="18"/>
                <w:szCs w:val="18"/>
              </w:rPr>
              <w:t>2023 IRP UPDATE – ROBINS AFB</w:t>
            </w:r>
          </w:p>
        </w:tc>
        <w:tc>
          <w:tcPr>
            <w:tcW w:w="1080" w:type="dxa"/>
            <w:shd w:val="clear" w:color="auto" w:fill="auto"/>
            <w:noWrap/>
            <w:vAlign w:val="center"/>
          </w:tcPr>
          <w:p w14:paraId="33044F7C" w14:textId="11446AB7" w:rsidR="009743F3" w:rsidRPr="00B5494E" w:rsidRDefault="00D7174A" w:rsidP="004A5081">
            <w:pPr>
              <w:spacing w:after="0" w:line="240" w:lineRule="auto"/>
              <w:jc w:val="center"/>
              <w:rPr>
                <w:rFonts w:eastAsia="Times New Roman" w:cs="Arial"/>
                <w:sz w:val="18"/>
                <w:szCs w:val="18"/>
              </w:rPr>
            </w:pPr>
            <w:r w:rsidRPr="00B5494E">
              <w:rPr>
                <w:rFonts w:eastAsia="Times New Roman" w:cs="Arial"/>
                <w:sz w:val="18"/>
                <w:szCs w:val="18"/>
              </w:rPr>
              <w:t>128</w:t>
            </w:r>
          </w:p>
        </w:tc>
        <w:tc>
          <w:tcPr>
            <w:tcW w:w="1152" w:type="dxa"/>
            <w:shd w:val="clear" w:color="auto" w:fill="auto"/>
            <w:noWrap/>
            <w:vAlign w:val="center"/>
          </w:tcPr>
          <w:p w14:paraId="476A0989" w14:textId="5044C7FA"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tcPr>
          <w:p w14:paraId="49FC9D2B" w14:textId="77777777"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11/2026</w:t>
            </w:r>
          </w:p>
        </w:tc>
        <w:tc>
          <w:tcPr>
            <w:tcW w:w="1440" w:type="dxa"/>
            <w:shd w:val="clear" w:color="auto" w:fill="auto"/>
            <w:noWrap/>
            <w:vAlign w:val="center"/>
          </w:tcPr>
          <w:p w14:paraId="7B2650A3" w14:textId="77777777"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12/2046</w:t>
            </w:r>
          </w:p>
        </w:tc>
      </w:tr>
      <w:tr w:rsidR="00B5494E" w:rsidRPr="00B5494E" w14:paraId="00054AFA" w14:textId="77777777" w:rsidTr="00712AB6">
        <w:trPr>
          <w:trHeight w:val="288"/>
        </w:trPr>
        <w:tc>
          <w:tcPr>
            <w:tcW w:w="871" w:type="dxa"/>
            <w:shd w:val="clear" w:color="auto" w:fill="auto"/>
            <w:noWrap/>
            <w:vAlign w:val="center"/>
          </w:tcPr>
          <w:p w14:paraId="2D4AE32D" w14:textId="77777777" w:rsidR="009743F3" w:rsidRPr="00B5494E" w:rsidRDefault="009743F3" w:rsidP="00FE5F7E">
            <w:pPr>
              <w:spacing w:after="0" w:line="240" w:lineRule="auto"/>
              <w:jc w:val="center"/>
              <w:rPr>
                <w:rFonts w:eastAsia="Times New Roman" w:cs="Arial"/>
                <w:sz w:val="18"/>
                <w:szCs w:val="18"/>
              </w:rPr>
            </w:pPr>
            <w:r w:rsidRPr="00B5494E">
              <w:rPr>
                <w:rFonts w:eastAsia="Times New Roman" w:cs="Arial"/>
                <w:sz w:val="18"/>
                <w:szCs w:val="18"/>
              </w:rPr>
              <w:t>4-hr BESS</w:t>
            </w:r>
          </w:p>
        </w:tc>
        <w:tc>
          <w:tcPr>
            <w:tcW w:w="4608" w:type="dxa"/>
            <w:shd w:val="clear" w:color="auto" w:fill="auto"/>
            <w:vAlign w:val="center"/>
          </w:tcPr>
          <w:p w14:paraId="2CF9F770" w14:textId="77777777" w:rsidR="009743F3" w:rsidRPr="00B5494E" w:rsidRDefault="009743F3" w:rsidP="004A5081">
            <w:pPr>
              <w:spacing w:after="0" w:line="240" w:lineRule="auto"/>
              <w:rPr>
                <w:rFonts w:eastAsia="Times New Roman" w:cs="Arial"/>
                <w:smallCaps/>
                <w:sz w:val="18"/>
                <w:szCs w:val="18"/>
              </w:rPr>
            </w:pPr>
            <w:r w:rsidRPr="00B5494E">
              <w:rPr>
                <w:rFonts w:eastAsia="Times New Roman" w:cs="Arial"/>
                <w:sz w:val="18"/>
                <w:szCs w:val="18"/>
              </w:rPr>
              <w:t xml:space="preserve">MOSSY BRANCH </w:t>
            </w:r>
          </w:p>
        </w:tc>
        <w:tc>
          <w:tcPr>
            <w:tcW w:w="1080" w:type="dxa"/>
            <w:shd w:val="clear" w:color="auto" w:fill="auto"/>
            <w:noWrap/>
            <w:vAlign w:val="center"/>
          </w:tcPr>
          <w:p w14:paraId="0C963F1C" w14:textId="77777777"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65.0</w:t>
            </w:r>
          </w:p>
        </w:tc>
        <w:tc>
          <w:tcPr>
            <w:tcW w:w="1152" w:type="dxa"/>
            <w:shd w:val="clear" w:color="auto" w:fill="auto"/>
            <w:noWrap/>
            <w:vAlign w:val="center"/>
          </w:tcPr>
          <w:p w14:paraId="7AFFCA38" w14:textId="20C38879"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100%</w:t>
            </w:r>
          </w:p>
        </w:tc>
        <w:tc>
          <w:tcPr>
            <w:tcW w:w="1152" w:type="dxa"/>
            <w:shd w:val="clear" w:color="auto" w:fill="auto"/>
            <w:noWrap/>
            <w:vAlign w:val="center"/>
          </w:tcPr>
          <w:p w14:paraId="41FDB743" w14:textId="77777777"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10/4/2024</w:t>
            </w:r>
          </w:p>
        </w:tc>
        <w:tc>
          <w:tcPr>
            <w:tcW w:w="1440" w:type="dxa"/>
            <w:shd w:val="clear" w:color="auto" w:fill="auto"/>
            <w:noWrap/>
            <w:vAlign w:val="center"/>
          </w:tcPr>
          <w:p w14:paraId="3D6C54FD" w14:textId="77777777" w:rsidR="009743F3" w:rsidRPr="00B5494E" w:rsidRDefault="009743F3" w:rsidP="004A5081">
            <w:pPr>
              <w:spacing w:after="0" w:line="240" w:lineRule="auto"/>
              <w:jc w:val="center"/>
              <w:rPr>
                <w:rFonts w:eastAsia="Times New Roman" w:cs="Arial"/>
                <w:sz w:val="18"/>
                <w:szCs w:val="18"/>
              </w:rPr>
            </w:pPr>
            <w:r w:rsidRPr="00B5494E">
              <w:rPr>
                <w:rFonts w:eastAsia="Times New Roman" w:cs="Arial"/>
                <w:sz w:val="18"/>
                <w:szCs w:val="18"/>
              </w:rPr>
              <w:t>9/30/2044</w:t>
            </w:r>
          </w:p>
        </w:tc>
      </w:tr>
    </w:tbl>
    <w:p w14:paraId="11426A51" w14:textId="278BC577" w:rsidR="00E0029E" w:rsidRDefault="00E0029E" w:rsidP="00F70AE2"/>
    <w:p w14:paraId="382327A5" w14:textId="77777777" w:rsidR="00E0029E" w:rsidRDefault="00E0029E">
      <w:r>
        <w:br w:type="page"/>
      </w:r>
    </w:p>
    <w:p w14:paraId="2FF3658E" w14:textId="71AD6D3F" w:rsidR="00F70AE2" w:rsidRDefault="00773998" w:rsidP="00404692">
      <w:pPr>
        <w:pStyle w:val="Heading2"/>
      </w:pPr>
      <w:bookmarkStart w:id="87" w:name="_Toc189122802"/>
      <w:r>
        <w:lastRenderedPageBreak/>
        <w:t>C</w:t>
      </w:r>
      <w:r w:rsidR="00404692">
        <w:t xml:space="preserve">.4 </w:t>
      </w:r>
      <w:r w:rsidR="00170095">
        <w:t>–</w:t>
      </w:r>
      <w:r w:rsidR="00496457">
        <w:t xml:space="preserve"> </w:t>
      </w:r>
      <w:r w:rsidR="004715CA">
        <w:t>Power Purchase Agreements</w:t>
      </w:r>
      <w:r w:rsidR="00496457">
        <w:t xml:space="preserve"> – Conventional</w:t>
      </w:r>
      <w:bookmarkEnd w:id="87"/>
    </w:p>
    <w:tbl>
      <w:tblPr>
        <w:tblW w:w="10512" w:type="dxa"/>
        <w:tblInd w:w="-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3553"/>
        <w:gridCol w:w="1276"/>
        <w:gridCol w:w="972"/>
        <w:gridCol w:w="1204"/>
        <w:gridCol w:w="967"/>
        <w:gridCol w:w="1498"/>
      </w:tblGrid>
      <w:tr w:rsidR="008767D8" w14:paraId="7AE2A5FE" w14:textId="77777777" w:rsidTr="00860829">
        <w:trPr>
          <w:trHeight w:val="941"/>
        </w:trPr>
        <w:tc>
          <w:tcPr>
            <w:tcW w:w="1042" w:type="dxa"/>
            <w:shd w:val="clear" w:color="auto" w:fill="808080" w:themeFill="background1" w:themeFillShade="80"/>
            <w:vAlign w:val="center"/>
            <w:hideMark/>
          </w:tcPr>
          <w:p w14:paraId="3BEBE34C" w14:textId="77777777" w:rsidR="007F21B4" w:rsidRPr="00147E5A" w:rsidRDefault="007F21B4" w:rsidP="004911AE">
            <w:pPr>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Fuel Type</w:t>
            </w:r>
          </w:p>
        </w:tc>
        <w:tc>
          <w:tcPr>
            <w:tcW w:w="3553" w:type="dxa"/>
            <w:shd w:val="clear" w:color="auto" w:fill="808080" w:themeFill="background1" w:themeFillShade="80"/>
            <w:vAlign w:val="center"/>
            <w:hideMark/>
          </w:tcPr>
          <w:p w14:paraId="637BBB7D" w14:textId="77777777" w:rsidR="007F21B4" w:rsidRPr="00147E5A" w:rsidRDefault="007F21B4" w:rsidP="004911AE">
            <w:pPr>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Resource Name</w:t>
            </w:r>
          </w:p>
        </w:tc>
        <w:tc>
          <w:tcPr>
            <w:tcW w:w="1276" w:type="dxa"/>
            <w:shd w:val="clear" w:color="auto" w:fill="808080" w:themeFill="background1" w:themeFillShade="80"/>
            <w:vAlign w:val="center"/>
            <w:hideMark/>
          </w:tcPr>
          <w:p w14:paraId="1CD4A54C" w14:textId="77777777" w:rsidR="007F21B4" w:rsidRPr="00147E5A" w:rsidRDefault="007F21B4" w:rsidP="004911AE">
            <w:pPr>
              <w:spacing w:after="0" w:line="240" w:lineRule="auto"/>
              <w:jc w:val="center"/>
              <w:rPr>
                <w:rFonts w:eastAsia="Times New Roman" w:cs="Arial"/>
                <w:b/>
                <w:bCs/>
                <w:color w:val="FFFFFF" w:themeColor="background1"/>
                <w:sz w:val="18"/>
                <w:szCs w:val="18"/>
              </w:rPr>
            </w:pPr>
            <w:r w:rsidRPr="00147E5A">
              <w:rPr>
                <w:rFonts w:eastAsia="Times New Roman" w:cs="Arial"/>
                <w:b/>
                <w:color w:val="FFFFFF" w:themeColor="background1"/>
                <w:sz w:val="18"/>
                <w:szCs w:val="18"/>
              </w:rPr>
              <w:t>2022 Summer Retail Capacity (MW)</w:t>
            </w:r>
            <w:r w:rsidRPr="00147E5A">
              <w:rPr>
                <w:rFonts w:eastAsia="Times New Roman" w:cs="Arial"/>
                <w:b/>
                <w:color w:val="FFFFFF" w:themeColor="background1"/>
                <w:sz w:val="18"/>
                <w:szCs w:val="18"/>
                <w:vertAlign w:val="superscript"/>
              </w:rPr>
              <w:t>A</w:t>
            </w:r>
          </w:p>
        </w:tc>
        <w:tc>
          <w:tcPr>
            <w:tcW w:w="972" w:type="dxa"/>
            <w:shd w:val="clear" w:color="auto" w:fill="808080" w:themeFill="background1" w:themeFillShade="80"/>
            <w:vAlign w:val="center"/>
          </w:tcPr>
          <w:p w14:paraId="24D603E4" w14:textId="77777777" w:rsidR="007F21B4" w:rsidRPr="00147E5A" w:rsidRDefault="007F21B4" w:rsidP="004911AE">
            <w:pPr>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2022 Winter Retail Capacity (MW)</w:t>
            </w:r>
            <w:r w:rsidRPr="00147E5A">
              <w:rPr>
                <w:rFonts w:eastAsia="Times New Roman" w:cs="Arial"/>
                <w:b/>
                <w:bCs/>
                <w:color w:val="FFFFFF" w:themeColor="background1"/>
                <w:sz w:val="18"/>
                <w:szCs w:val="18"/>
                <w:vertAlign w:val="superscript"/>
              </w:rPr>
              <w:t>A</w:t>
            </w:r>
          </w:p>
        </w:tc>
        <w:tc>
          <w:tcPr>
            <w:tcW w:w="1204" w:type="dxa"/>
            <w:shd w:val="clear" w:color="auto" w:fill="808080" w:themeFill="background1" w:themeFillShade="80"/>
            <w:vAlign w:val="center"/>
            <w:hideMark/>
          </w:tcPr>
          <w:p w14:paraId="41600CE8" w14:textId="77777777" w:rsidR="007F21B4" w:rsidRPr="00147E5A" w:rsidRDefault="007F21B4" w:rsidP="004911AE">
            <w:pPr>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PPA Start Date</w:t>
            </w:r>
          </w:p>
        </w:tc>
        <w:tc>
          <w:tcPr>
            <w:tcW w:w="967" w:type="dxa"/>
            <w:shd w:val="clear" w:color="auto" w:fill="808080" w:themeFill="background1" w:themeFillShade="80"/>
            <w:vAlign w:val="center"/>
            <w:hideMark/>
          </w:tcPr>
          <w:p w14:paraId="1CDBFA46" w14:textId="77777777" w:rsidR="007F21B4" w:rsidRPr="00147E5A" w:rsidRDefault="007F21B4" w:rsidP="004911AE">
            <w:pPr>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PPA Term Length</w:t>
            </w:r>
          </w:p>
        </w:tc>
        <w:tc>
          <w:tcPr>
            <w:tcW w:w="1498" w:type="dxa"/>
            <w:shd w:val="clear" w:color="auto" w:fill="808080" w:themeFill="background1" w:themeFillShade="80"/>
            <w:vAlign w:val="center"/>
            <w:hideMark/>
          </w:tcPr>
          <w:p w14:paraId="3E1D08AD" w14:textId="77777777" w:rsidR="007F21B4" w:rsidRPr="00147E5A" w:rsidRDefault="007F21B4" w:rsidP="004911AE">
            <w:pPr>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PPA End Date</w:t>
            </w:r>
          </w:p>
        </w:tc>
      </w:tr>
      <w:tr w:rsidR="00B5494E" w:rsidRPr="00B5494E" w14:paraId="7E822F9B" w14:textId="77777777" w:rsidTr="00860829">
        <w:trPr>
          <w:trHeight w:val="286"/>
        </w:trPr>
        <w:tc>
          <w:tcPr>
            <w:tcW w:w="1042" w:type="dxa"/>
            <w:shd w:val="clear" w:color="auto" w:fill="auto"/>
            <w:noWrap/>
            <w:vAlign w:val="center"/>
          </w:tcPr>
          <w:p w14:paraId="6406F69C"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 Gas </w:t>
            </w:r>
          </w:p>
        </w:tc>
        <w:tc>
          <w:tcPr>
            <w:tcW w:w="3553" w:type="dxa"/>
            <w:shd w:val="clear" w:color="auto" w:fill="auto"/>
            <w:noWrap/>
            <w:vAlign w:val="center"/>
          </w:tcPr>
          <w:p w14:paraId="7A2FA9E4"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ADDISON 1 (WEST GA) </w:t>
            </w:r>
          </w:p>
        </w:tc>
        <w:tc>
          <w:tcPr>
            <w:tcW w:w="1276" w:type="dxa"/>
            <w:shd w:val="clear" w:color="auto" w:fill="auto"/>
            <w:noWrap/>
            <w:vAlign w:val="center"/>
          </w:tcPr>
          <w:p w14:paraId="11958D43" w14:textId="579CA483"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w:t>
            </w:r>
            <w:r w:rsidR="007A37DA" w:rsidRPr="00B5494E">
              <w:rPr>
                <w:rFonts w:eastAsia="Times New Roman" w:cs="Arial"/>
                <w:sz w:val="18"/>
                <w:szCs w:val="18"/>
              </w:rPr>
              <w:t>53</w:t>
            </w:r>
            <w:r w:rsidRPr="00B5494E">
              <w:rPr>
                <w:rFonts w:eastAsia="Times New Roman" w:cs="Arial"/>
                <w:sz w:val="18"/>
                <w:szCs w:val="18"/>
              </w:rPr>
              <w:t>.5</w:t>
            </w:r>
          </w:p>
        </w:tc>
        <w:tc>
          <w:tcPr>
            <w:tcW w:w="972" w:type="dxa"/>
            <w:vAlign w:val="center"/>
          </w:tcPr>
          <w:p w14:paraId="3158F984" w14:textId="277ABA89"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w:t>
            </w:r>
            <w:r w:rsidR="00F52C02" w:rsidRPr="00B5494E">
              <w:rPr>
                <w:rFonts w:eastAsia="Times New Roman" w:cs="Arial"/>
                <w:sz w:val="18"/>
                <w:szCs w:val="18"/>
              </w:rPr>
              <w:t>8</w:t>
            </w:r>
            <w:r w:rsidR="001B233E" w:rsidRPr="00B5494E">
              <w:rPr>
                <w:rFonts w:eastAsia="Times New Roman" w:cs="Arial"/>
                <w:sz w:val="18"/>
                <w:szCs w:val="18"/>
              </w:rPr>
              <w:t>5.9</w:t>
            </w:r>
          </w:p>
        </w:tc>
        <w:tc>
          <w:tcPr>
            <w:tcW w:w="1204" w:type="dxa"/>
            <w:shd w:val="clear" w:color="auto" w:fill="auto"/>
            <w:noWrap/>
            <w:vAlign w:val="center"/>
          </w:tcPr>
          <w:p w14:paraId="3D68FCF1"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1/1/2015</w:t>
            </w:r>
          </w:p>
        </w:tc>
        <w:tc>
          <w:tcPr>
            <w:tcW w:w="967" w:type="dxa"/>
            <w:shd w:val="clear" w:color="auto" w:fill="auto"/>
            <w:noWrap/>
            <w:vAlign w:val="center"/>
          </w:tcPr>
          <w:p w14:paraId="7FBC8808"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15</w:t>
            </w:r>
          </w:p>
        </w:tc>
        <w:tc>
          <w:tcPr>
            <w:tcW w:w="1498" w:type="dxa"/>
            <w:shd w:val="clear" w:color="auto" w:fill="auto"/>
            <w:noWrap/>
            <w:vAlign w:val="center"/>
          </w:tcPr>
          <w:p w14:paraId="7EBB9CFA"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5/31/2030</w:t>
            </w:r>
          </w:p>
        </w:tc>
      </w:tr>
      <w:tr w:rsidR="00B5494E" w:rsidRPr="00B5494E" w14:paraId="75A3F62E" w14:textId="77777777" w:rsidTr="00860829">
        <w:trPr>
          <w:trHeight w:val="286"/>
        </w:trPr>
        <w:tc>
          <w:tcPr>
            <w:tcW w:w="1042" w:type="dxa"/>
            <w:shd w:val="clear" w:color="auto" w:fill="auto"/>
            <w:noWrap/>
            <w:vAlign w:val="center"/>
            <w:hideMark/>
          </w:tcPr>
          <w:p w14:paraId="63695933"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 Gas </w:t>
            </w:r>
          </w:p>
        </w:tc>
        <w:tc>
          <w:tcPr>
            <w:tcW w:w="3553" w:type="dxa"/>
            <w:shd w:val="clear" w:color="auto" w:fill="auto"/>
            <w:noWrap/>
            <w:vAlign w:val="center"/>
            <w:hideMark/>
          </w:tcPr>
          <w:p w14:paraId="5B8FD829"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ADDISON 3 (WEST GA) </w:t>
            </w:r>
          </w:p>
        </w:tc>
        <w:tc>
          <w:tcPr>
            <w:tcW w:w="1276" w:type="dxa"/>
            <w:shd w:val="clear" w:color="auto" w:fill="auto"/>
            <w:noWrap/>
            <w:vAlign w:val="center"/>
            <w:hideMark/>
          </w:tcPr>
          <w:p w14:paraId="3864868B"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148.5</w:t>
            </w:r>
          </w:p>
        </w:tc>
        <w:tc>
          <w:tcPr>
            <w:tcW w:w="972" w:type="dxa"/>
            <w:vAlign w:val="center"/>
          </w:tcPr>
          <w:p w14:paraId="038A60AF" w14:textId="2A52DC15"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w:t>
            </w:r>
            <w:r w:rsidR="00F52C02" w:rsidRPr="00B5494E">
              <w:rPr>
                <w:rFonts w:eastAsia="Times New Roman" w:cs="Arial"/>
                <w:sz w:val="18"/>
                <w:szCs w:val="18"/>
              </w:rPr>
              <w:t>8</w:t>
            </w:r>
            <w:r w:rsidR="00845B34" w:rsidRPr="00B5494E">
              <w:rPr>
                <w:rFonts w:eastAsia="Times New Roman" w:cs="Arial"/>
                <w:sz w:val="18"/>
                <w:szCs w:val="18"/>
              </w:rPr>
              <w:t>0.9</w:t>
            </w:r>
          </w:p>
        </w:tc>
        <w:tc>
          <w:tcPr>
            <w:tcW w:w="1204" w:type="dxa"/>
            <w:shd w:val="clear" w:color="auto" w:fill="auto"/>
            <w:noWrap/>
            <w:vAlign w:val="center"/>
            <w:hideMark/>
          </w:tcPr>
          <w:p w14:paraId="6EABD969"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1/1/2015</w:t>
            </w:r>
          </w:p>
        </w:tc>
        <w:tc>
          <w:tcPr>
            <w:tcW w:w="967" w:type="dxa"/>
            <w:shd w:val="clear" w:color="auto" w:fill="auto"/>
            <w:noWrap/>
            <w:vAlign w:val="center"/>
            <w:hideMark/>
          </w:tcPr>
          <w:p w14:paraId="51C0880E"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15</w:t>
            </w:r>
          </w:p>
        </w:tc>
        <w:tc>
          <w:tcPr>
            <w:tcW w:w="1498" w:type="dxa"/>
            <w:shd w:val="clear" w:color="auto" w:fill="auto"/>
            <w:noWrap/>
            <w:vAlign w:val="center"/>
            <w:hideMark/>
          </w:tcPr>
          <w:p w14:paraId="6230651D"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5/31/2030</w:t>
            </w:r>
          </w:p>
        </w:tc>
      </w:tr>
      <w:tr w:rsidR="00B5494E" w:rsidRPr="00B5494E" w14:paraId="3C7FD336" w14:textId="77777777" w:rsidTr="00860829">
        <w:trPr>
          <w:trHeight w:val="286"/>
        </w:trPr>
        <w:tc>
          <w:tcPr>
            <w:tcW w:w="1042" w:type="dxa"/>
            <w:shd w:val="clear" w:color="auto" w:fill="auto"/>
            <w:noWrap/>
            <w:vAlign w:val="center"/>
          </w:tcPr>
          <w:p w14:paraId="2E282B16"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 Gas</w:t>
            </w:r>
          </w:p>
        </w:tc>
        <w:tc>
          <w:tcPr>
            <w:tcW w:w="3553" w:type="dxa"/>
            <w:shd w:val="clear" w:color="auto" w:fill="auto"/>
            <w:noWrap/>
            <w:vAlign w:val="center"/>
          </w:tcPr>
          <w:p w14:paraId="5609C5E1"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caps/>
                <w:sz w:val="18"/>
                <w:szCs w:val="18"/>
              </w:rPr>
              <w:t>Dahlberg 1, 3, 5</w:t>
            </w:r>
          </w:p>
        </w:tc>
        <w:tc>
          <w:tcPr>
            <w:tcW w:w="1276" w:type="dxa"/>
            <w:shd w:val="clear" w:color="auto" w:fill="auto"/>
            <w:noWrap/>
            <w:vAlign w:val="center"/>
          </w:tcPr>
          <w:p w14:paraId="4FF92F3D" w14:textId="35E4A85F"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22</w:t>
            </w:r>
            <w:r w:rsidR="0051511A" w:rsidRPr="00B5494E">
              <w:rPr>
                <w:rFonts w:eastAsia="Times New Roman" w:cs="Arial"/>
                <w:sz w:val="18"/>
                <w:szCs w:val="18"/>
              </w:rPr>
              <w:t>4</w:t>
            </w:r>
            <w:r w:rsidR="00E115BB" w:rsidRPr="00B5494E">
              <w:rPr>
                <w:rFonts w:eastAsia="Times New Roman" w:cs="Arial"/>
                <w:sz w:val="18"/>
                <w:szCs w:val="18"/>
              </w:rPr>
              <w:t>.1</w:t>
            </w:r>
          </w:p>
        </w:tc>
        <w:tc>
          <w:tcPr>
            <w:tcW w:w="972" w:type="dxa"/>
            <w:vAlign w:val="center"/>
          </w:tcPr>
          <w:p w14:paraId="25962395" w14:textId="7A337804"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2</w:t>
            </w:r>
            <w:r w:rsidR="00CD4916" w:rsidRPr="00B5494E">
              <w:rPr>
                <w:rFonts w:eastAsia="Times New Roman" w:cs="Arial"/>
                <w:sz w:val="18"/>
                <w:szCs w:val="18"/>
              </w:rPr>
              <w:t>6</w:t>
            </w:r>
            <w:r w:rsidR="006F56D1" w:rsidRPr="00B5494E">
              <w:rPr>
                <w:rFonts w:eastAsia="Times New Roman" w:cs="Arial"/>
                <w:sz w:val="18"/>
                <w:szCs w:val="18"/>
              </w:rPr>
              <w:t>1.6</w:t>
            </w:r>
          </w:p>
        </w:tc>
        <w:tc>
          <w:tcPr>
            <w:tcW w:w="1204" w:type="dxa"/>
            <w:shd w:val="clear" w:color="auto" w:fill="auto"/>
            <w:noWrap/>
            <w:vAlign w:val="center"/>
          </w:tcPr>
          <w:p w14:paraId="0BDFDE9A"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1/1/2028</w:t>
            </w:r>
          </w:p>
        </w:tc>
        <w:tc>
          <w:tcPr>
            <w:tcW w:w="967" w:type="dxa"/>
            <w:shd w:val="clear" w:color="auto" w:fill="auto"/>
            <w:noWrap/>
            <w:vAlign w:val="center"/>
          </w:tcPr>
          <w:p w14:paraId="266B7AC3"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10</w:t>
            </w:r>
          </w:p>
        </w:tc>
        <w:tc>
          <w:tcPr>
            <w:tcW w:w="1498" w:type="dxa"/>
            <w:shd w:val="clear" w:color="auto" w:fill="auto"/>
            <w:noWrap/>
            <w:vAlign w:val="center"/>
          </w:tcPr>
          <w:p w14:paraId="045142E4"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12/31/2037</w:t>
            </w:r>
          </w:p>
        </w:tc>
      </w:tr>
      <w:tr w:rsidR="00B5494E" w:rsidRPr="00B5494E" w14:paraId="08B0E36F" w14:textId="77777777" w:rsidTr="00860829">
        <w:trPr>
          <w:trHeight w:val="286"/>
        </w:trPr>
        <w:tc>
          <w:tcPr>
            <w:tcW w:w="1042" w:type="dxa"/>
            <w:shd w:val="clear" w:color="auto" w:fill="auto"/>
            <w:noWrap/>
            <w:vAlign w:val="center"/>
            <w:hideMark/>
          </w:tcPr>
          <w:p w14:paraId="0ED682CE"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 Gas </w:t>
            </w:r>
          </w:p>
        </w:tc>
        <w:tc>
          <w:tcPr>
            <w:tcW w:w="3553" w:type="dxa"/>
            <w:shd w:val="clear" w:color="auto" w:fill="auto"/>
            <w:noWrap/>
            <w:vAlign w:val="center"/>
            <w:hideMark/>
          </w:tcPr>
          <w:p w14:paraId="5664D78D"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DAHLBERG 2 </w:t>
            </w:r>
          </w:p>
        </w:tc>
        <w:tc>
          <w:tcPr>
            <w:tcW w:w="1276" w:type="dxa"/>
            <w:shd w:val="clear" w:color="auto" w:fill="auto"/>
            <w:noWrap/>
            <w:vAlign w:val="center"/>
            <w:hideMark/>
          </w:tcPr>
          <w:p w14:paraId="75AE1755" w14:textId="6428B3FA"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74.</w:t>
            </w:r>
            <w:r w:rsidR="002304F0" w:rsidRPr="00B5494E">
              <w:rPr>
                <w:rFonts w:eastAsia="Times New Roman" w:cs="Arial"/>
                <w:sz w:val="18"/>
                <w:szCs w:val="18"/>
              </w:rPr>
              <w:t>1</w:t>
            </w:r>
          </w:p>
        </w:tc>
        <w:tc>
          <w:tcPr>
            <w:tcW w:w="972" w:type="dxa"/>
            <w:vAlign w:val="center"/>
          </w:tcPr>
          <w:p w14:paraId="32C21349" w14:textId="67AD8BC5"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8</w:t>
            </w:r>
            <w:r w:rsidR="00102707" w:rsidRPr="00B5494E">
              <w:rPr>
                <w:rFonts w:eastAsia="Times New Roman" w:cs="Arial"/>
                <w:sz w:val="18"/>
                <w:szCs w:val="18"/>
              </w:rPr>
              <w:t>8</w:t>
            </w:r>
            <w:r w:rsidR="000E0BAD" w:rsidRPr="00B5494E">
              <w:rPr>
                <w:rFonts w:eastAsia="Times New Roman" w:cs="Arial"/>
                <w:sz w:val="18"/>
                <w:szCs w:val="18"/>
              </w:rPr>
              <w:t>.4</w:t>
            </w:r>
          </w:p>
        </w:tc>
        <w:tc>
          <w:tcPr>
            <w:tcW w:w="1204" w:type="dxa"/>
            <w:shd w:val="clear" w:color="auto" w:fill="auto"/>
            <w:noWrap/>
            <w:vAlign w:val="center"/>
            <w:hideMark/>
          </w:tcPr>
          <w:p w14:paraId="5A6AB7A7"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6/1/2010</w:t>
            </w:r>
          </w:p>
        </w:tc>
        <w:tc>
          <w:tcPr>
            <w:tcW w:w="967" w:type="dxa"/>
            <w:shd w:val="clear" w:color="auto" w:fill="auto"/>
            <w:noWrap/>
            <w:vAlign w:val="center"/>
            <w:hideMark/>
          </w:tcPr>
          <w:p w14:paraId="4B145D3B"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15</w:t>
            </w:r>
          </w:p>
        </w:tc>
        <w:tc>
          <w:tcPr>
            <w:tcW w:w="1498" w:type="dxa"/>
            <w:shd w:val="clear" w:color="auto" w:fill="auto"/>
            <w:noWrap/>
            <w:vAlign w:val="center"/>
            <w:hideMark/>
          </w:tcPr>
          <w:p w14:paraId="674978EC"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5/31/2025</w:t>
            </w:r>
          </w:p>
        </w:tc>
      </w:tr>
      <w:tr w:rsidR="00B5494E" w:rsidRPr="00B5494E" w14:paraId="43A6384C" w14:textId="77777777" w:rsidTr="00860829">
        <w:trPr>
          <w:trHeight w:val="286"/>
        </w:trPr>
        <w:tc>
          <w:tcPr>
            <w:tcW w:w="1042" w:type="dxa"/>
            <w:shd w:val="clear" w:color="auto" w:fill="auto"/>
            <w:noWrap/>
            <w:vAlign w:val="center"/>
          </w:tcPr>
          <w:p w14:paraId="0511C9CF"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 Gas</w:t>
            </w:r>
          </w:p>
        </w:tc>
        <w:tc>
          <w:tcPr>
            <w:tcW w:w="3553" w:type="dxa"/>
            <w:shd w:val="clear" w:color="auto" w:fill="auto"/>
            <w:noWrap/>
            <w:vAlign w:val="center"/>
          </w:tcPr>
          <w:p w14:paraId="1677AB52"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caps/>
                <w:sz w:val="18"/>
                <w:szCs w:val="18"/>
              </w:rPr>
              <w:t>Dahlberg 2 &amp; 6</w:t>
            </w:r>
          </w:p>
        </w:tc>
        <w:tc>
          <w:tcPr>
            <w:tcW w:w="1276" w:type="dxa"/>
            <w:shd w:val="clear" w:color="auto" w:fill="auto"/>
            <w:noWrap/>
            <w:vAlign w:val="center"/>
          </w:tcPr>
          <w:p w14:paraId="07F42735" w14:textId="5D5E8C10"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w:t>
            </w:r>
            <w:r w:rsidR="00EC08B0" w:rsidRPr="00B5494E">
              <w:rPr>
                <w:rFonts w:eastAsia="Times New Roman" w:cs="Arial"/>
                <w:sz w:val="18"/>
                <w:szCs w:val="18"/>
              </w:rPr>
              <w:t>49</w:t>
            </w:r>
            <w:r w:rsidR="00875311" w:rsidRPr="00B5494E">
              <w:rPr>
                <w:rFonts w:eastAsia="Times New Roman" w:cs="Arial"/>
                <w:sz w:val="18"/>
                <w:szCs w:val="18"/>
              </w:rPr>
              <w:t>.2</w:t>
            </w:r>
          </w:p>
        </w:tc>
        <w:tc>
          <w:tcPr>
            <w:tcW w:w="972" w:type="dxa"/>
            <w:vAlign w:val="center"/>
          </w:tcPr>
          <w:p w14:paraId="3C90DB7E" w14:textId="318B3A0D"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17</w:t>
            </w:r>
            <w:r w:rsidR="003B13C0" w:rsidRPr="00B5494E">
              <w:rPr>
                <w:rFonts w:eastAsia="Times New Roman" w:cs="Arial"/>
                <w:sz w:val="18"/>
                <w:szCs w:val="18"/>
              </w:rPr>
              <w:t>5</w:t>
            </w:r>
            <w:r w:rsidR="005C0101" w:rsidRPr="00B5494E">
              <w:rPr>
                <w:rFonts w:eastAsia="Times New Roman" w:cs="Arial"/>
                <w:sz w:val="18"/>
                <w:szCs w:val="18"/>
              </w:rPr>
              <w:t>.1</w:t>
            </w:r>
          </w:p>
        </w:tc>
        <w:tc>
          <w:tcPr>
            <w:tcW w:w="1204" w:type="dxa"/>
            <w:shd w:val="clear" w:color="auto" w:fill="auto"/>
            <w:noWrap/>
            <w:vAlign w:val="center"/>
          </w:tcPr>
          <w:p w14:paraId="1C41564E"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6/1/2025</w:t>
            </w:r>
          </w:p>
        </w:tc>
        <w:tc>
          <w:tcPr>
            <w:tcW w:w="967" w:type="dxa"/>
            <w:shd w:val="clear" w:color="auto" w:fill="auto"/>
            <w:noWrap/>
            <w:vAlign w:val="center"/>
          </w:tcPr>
          <w:p w14:paraId="1198A689"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10</w:t>
            </w:r>
          </w:p>
        </w:tc>
        <w:tc>
          <w:tcPr>
            <w:tcW w:w="1498" w:type="dxa"/>
            <w:shd w:val="clear" w:color="auto" w:fill="auto"/>
            <w:noWrap/>
            <w:vAlign w:val="center"/>
          </w:tcPr>
          <w:p w14:paraId="28399217"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5/31/2035</w:t>
            </w:r>
          </w:p>
        </w:tc>
      </w:tr>
      <w:tr w:rsidR="00B5494E" w:rsidRPr="00B5494E" w14:paraId="626B78D5" w14:textId="77777777" w:rsidTr="00860829">
        <w:trPr>
          <w:trHeight w:val="286"/>
        </w:trPr>
        <w:tc>
          <w:tcPr>
            <w:tcW w:w="1042" w:type="dxa"/>
            <w:shd w:val="clear" w:color="auto" w:fill="auto"/>
            <w:noWrap/>
            <w:vAlign w:val="center"/>
            <w:hideMark/>
          </w:tcPr>
          <w:p w14:paraId="5ACAA170"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 Gas </w:t>
            </w:r>
          </w:p>
        </w:tc>
        <w:tc>
          <w:tcPr>
            <w:tcW w:w="3553" w:type="dxa"/>
            <w:shd w:val="clear" w:color="auto" w:fill="auto"/>
            <w:noWrap/>
            <w:vAlign w:val="center"/>
            <w:hideMark/>
          </w:tcPr>
          <w:p w14:paraId="2AA019C2"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DAHLBERG 4 </w:t>
            </w:r>
          </w:p>
        </w:tc>
        <w:tc>
          <w:tcPr>
            <w:tcW w:w="1276" w:type="dxa"/>
            <w:shd w:val="clear" w:color="auto" w:fill="auto"/>
            <w:noWrap/>
            <w:vAlign w:val="center"/>
            <w:hideMark/>
          </w:tcPr>
          <w:p w14:paraId="5B08F9AC" w14:textId="7B1609E2"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73.</w:t>
            </w:r>
            <w:r w:rsidR="004A259A" w:rsidRPr="00B5494E">
              <w:rPr>
                <w:rFonts w:eastAsia="Times New Roman" w:cs="Arial"/>
                <w:sz w:val="18"/>
                <w:szCs w:val="18"/>
              </w:rPr>
              <w:t>9</w:t>
            </w:r>
          </w:p>
        </w:tc>
        <w:tc>
          <w:tcPr>
            <w:tcW w:w="972" w:type="dxa"/>
            <w:vAlign w:val="center"/>
          </w:tcPr>
          <w:p w14:paraId="025F1F4B" w14:textId="178617EB"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8</w:t>
            </w:r>
            <w:r w:rsidR="004E15CE" w:rsidRPr="00B5494E">
              <w:rPr>
                <w:rFonts w:eastAsia="Times New Roman" w:cs="Arial"/>
                <w:sz w:val="18"/>
                <w:szCs w:val="18"/>
              </w:rPr>
              <w:t>7.1</w:t>
            </w:r>
          </w:p>
        </w:tc>
        <w:tc>
          <w:tcPr>
            <w:tcW w:w="1204" w:type="dxa"/>
            <w:shd w:val="clear" w:color="auto" w:fill="auto"/>
            <w:noWrap/>
            <w:vAlign w:val="center"/>
            <w:hideMark/>
          </w:tcPr>
          <w:p w14:paraId="164031A0"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1/1/2015</w:t>
            </w:r>
          </w:p>
        </w:tc>
        <w:tc>
          <w:tcPr>
            <w:tcW w:w="967" w:type="dxa"/>
            <w:shd w:val="clear" w:color="auto" w:fill="auto"/>
            <w:noWrap/>
            <w:vAlign w:val="center"/>
            <w:hideMark/>
          </w:tcPr>
          <w:p w14:paraId="37BC9581"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15</w:t>
            </w:r>
          </w:p>
        </w:tc>
        <w:tc>
          <w:tcPr>
            <w:tcW w:w="1498" w:type="dxa"/>
            <w:shd w:val="clear" w:color="auto" w:fill="auto"/>
            <w:noWrap/>
            <w:vAlign w:val="center"/>
            <w:hideMark/>
          </w:tcPr>
          <w:p w14:paraId="58C04031"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5/31/2030</w:t>
            </w:r>
          </w:p>
        </w:tc>
      </w:tr>
      <w:tr w:rsidR="00B5494E" w:rsidRPr="00B5494E" w14:paraId="7C59C927" w14:textId="77777777" w:rsidTr="00860829">
        <w:trPr>
          <w:trHeight w:val="286"/>
        </w:trPr>
        <w:tc>
          <w:tcPr>
            <w:tcW w:w="1042" w:type="dxa"/>
            <w:shd w:val="clear" w:color="auto" w:fill="auto"/>
            <w:noWrap/>
            <w:vAlign w:val="center"/>
            <w:hideMark/>
          </w:tcPr>
          <w:p w14:paraId="500765D6"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 Gas </w:t>
            </w:r>
          </w:p>
        </w:tc>
        <w:tc>
          <w:tcPr>
            <w:tcW w:w="3553" w:type="dxa"/>
            <w:shd w:val="clear" w:color="auto" w:fill="auto"/>
            <w:noWrap/>
            <w:vAlign w:val="center"/>
            <w:hideMark/>
          </w:tcPr>
          <w:p w14:paraId="46DA9025"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DAHLBERG 6 </w:t>
            </w:r>
          </w:p>
        </w:tc>
        <w:tc>
          <w:tcPr>
            <w:tcW w:w="1276" w:type="dxa"/>
            <w:shd w:val="clear" w:color="auto" w:fill="auto"/>
            <w:noWrap/>
            <w:vAlign w:val="center"/>
            <w:hideMark/>
          </w:tcPr>
          <w:p w14:paraId="49D8A745" w14:textId="6C5A9879"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7</w:t>
            </w:r>
            <w:r w:rsidR="00B401A3" w:rsidRPr="00B5494E">
              <w:rPr>
                <w:rFonts w:eastAsia="Times New Roman" w:cs="Arial"/>
                <w:sz w:val="18"/>
                <w:szCs w:val="18"/>
              </w:rPr>
              <w:t>5.1</w:t>
            </w:r>
          </w:p>
        </w:tc>
        <w:tc>
          <w:tcPr>
            <w:tcW w:w="972" w:type="dxa"/>
            <w:vAlign w:val="center"/>
          </w:tcPr>
          <w:p w14:paraId="1795D504" w14:textId="30C76436"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8</w:t>
            </w:r>
            <w:r w:rsidR="00750EB1" w:rsidRPr="00B5494E">
              <w:rPr>
                <w:rFonts w:eastAsia="Times New Roman" w:cs="Arial"/>
                <w:sz w:val="18"/>
                <w:szCs w:val="18"/>
              </w:rPr>
              <w:t>7.7</w:t>
            </w:r>
          </w:p>
        </w:tc>
        <w:tc>
          <w:tcPr>
            <w:tcW w:w="1204" w:type="dxa"/>
            <w:shd w:val="clear" w:color="auto" w:fill="auto"/>
            <w:noWrap/>
            <w:vAlign w:val="center"/>
            <w:hideMark/>
          </w:tcPr>
          <w:p w14:paraId="6A19B0D9"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6/1/2010</w:t>
            </w:r>
          </w:p>
        </w:tc>
        <w:tc>
          <w:tcPr>
            <w:tcW w:w="967" w:type="dxa"/>
            <w:shd w:val="clear" w:color="auto" w:fill="auto"/>
            <w:noWrap/>
            <w:vAlign w:val="center"/>
            <w:hideMark/>
          </w:tcPr>
          <w:p w14:paraId="76A27016"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15</w:t>
            </w:r>
          </w:p>
        </w:tc>
        <w:tc>
          <w:tcPr>
            <w:tcW w:w="1498" w:type="dxa"/>
            <w:shd w:val="clear" w:color="auto" w:fill="auto"/>
            <w:noWrap/>
            <w:vAlign w:val="center"/>
            <w:hideMark/>
          </w:tcPr>
          <w:p w14:paraId="50B2F47A"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5/31/2025</w:t>
            </w:r>
          </w:p>
        </w:tc>
      </w:tr>
      <w:tr w:rsidR="00B5494E" w:rsidRPr="00B5494E" w14:paraId="01A16470" w14:textId="77777777" w:rsidTr="00860829">
        <w:trPr>
          <w:trHeight w:val="286"/>
        </w:trPr>
        <w:tc>
          <w:tcPr>
            <w:tcW w:w="1042" w:type="dxa"/>
            <w:shd w:val="clear" w:color="auto" w:fill="auto"/>
            <w:noWrap/>
            <w:vAlign w:val="center"/>
            <w:hideMark/>
          </w:tcPr>
          <w:p w14:paraId="1B86DF65"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 Gas </w:t>
            </w:r>
          </w:p>
        </w:tc>
        <w:tc>
          <w:tcPr>
            <w:tcW w:w="3553" w:type="dxa"/>
            <w:shd w:val="clear" w:color="auto" w:fill="auto"/>
            <w:noWrap/>
            <w:vAlign w:val="center"/>
            <w:hideMark/>
          </w:tcPr>
          <w:p w14:paraId="2034F3D8"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DAHLBERG 8 </w:t>
            </w:r>
          </w:p>
        </w:tc>
        <w:tc>
          <w:tcPr>
            <w:tcW w:w="1276" w:type="dxa"/>
            <w:shd w:val="clear" w:color="auto" w:fill="auto"/>
            <w:noWrap/>
            <w:vAlign w:val="center"/>
            <w:hideMark/>
          </w:tcPr>
          <w:p w14:paraId="2A7B6A41" w14:textId="58DDAE01"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74.</w:t>
            </w:r>
            <w:r w:rsidR="00970F2E" w:rsidRPr="00B5494E">
              <w:rPr>
                <w:rFonts w:eastAsia="Times New Roman" w:cs="Arial"/>
                <w:sz w:val="18"/>
                <w:szCs w:val="18"/>
              </w:rPr>
              <w:t>2</w:t>
            </w:r>
          </w:p>
        </w:tc>
        <w:tc>
          <w:tcPr>
            <w:tcW w:w="972" w:type="dxa"/>
            <w:vAlign w:val="center"/>
          </w:tcPr>
          <w:p w14:paraId="5BA80FB6" w14:textId="666DD6A5"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8</w:t>
            </w:r>
            <w:r w:rsidR="00FC66A6" w:rsidRPr="00B5494E">
              <w:rPr>
                <w:rFonts w:eastAsia="Times New Roman" w:cs="Arial"/>
                <w:sz w:val="18"/>
                <w:szCs w:val="18"/>
              </w:rPr>
              <w:t>6.2</w:t>
            </w:r>
          </w:p>
        </w:tc>
        <w:tc>
          <w:tcPr>
            <w:tcW w:w="1204" w:type="dxa"/>
            <w:shd w:val="clear" w:color="auto" w:fill="auto"/>
            <w:noWrap/>
            <w:vAlign w:val="center"/>
            <w:hideMark/>
          </w:tcPr>
          <w:p w14:paraId="596F99A0"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6/1/2010</w:t>
            </w:r>
          </w:p>
        </w:tc>
        <w:tc>
          <w:tcPr>
            <w:tcW w:w="967" w:type="dxa"/>
            <w:shd w:val="clear" w:color="auto" w:fill="auto"/>
            <w:noWrap/>
            <w:vAlign w:val="center"/>
            <w:hideMark/>
          </w:tcPr>
          <w:p w14:paraId="2965672B"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15</w:t>
            </w:r>
          </w:p>
        </w:tc>
        <w:tc>
          <w:tcPr>
            <w:tcW w:w="1498" w:type="dxa"/>
            <w:shd w:val="clear" w:color="auto" w:fill="auto"/>
            <w:noWrap/>
            <w:vAlign w:val="center"/>
            <w:hideMark/>
          </w:tcPr>
          <w:p w14:paraId="3233A082"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5/31/2025</w:t>
            </w:r>
          </w:p>
        </w:tc>
      </w:tr>
      <w:tr w:rsidR="00B5494E" w:rsidRPr="00B5494E" w14:paraId="24FC9158" w14:textId="77777777" w:rsidTr="00860829">
        <w:trPr>
          <w:trHeight w:val="286"/>
        </w:trPr>
        <w:tc>
          <w:tcPr>
            <w:tcW w:w="1042" w:type="dxa"/>
            <w:shd w:val="clear" w:color="auto" w:fill="auto"/>
            <w:noWrap/>
            <w:vAlign w:val="center"/>
          </w:tcPr>
          <w:p w14:paraId="2796BB8F"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 Gas</w:t>
            </w:r>
          </w:p>
        </w:tc>
        <w:tc>
          <w:tcPr>
            <w:tcW w:w="3553" w:type="dxa"/>
            <w:shd w:val="clear" w:color="auto" w:fill="auto"/>
            <w:noWrap/>
            <w:vAlign w:val="center"/>
          </w:tcPr>
          <w:p w14:paraId="5CA6307E"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caps/>
                <w:sz w:val="18"/>
                <w:szCs w:val="18"/>
              </w:rPr>
              <w:t>Dahlberg 8-10</w:t>
            </w:r>
          </w:p>
        </w:tc>
        <w:tc>
          <w:tcPr>
            <w:tcW w:w="1276" w:type="dxa"/>
            <w:shd w:val="clear" w:color="auto" w:fill="auto"/>
            <w:noWrap/>
            <w:vAlign w:val="center"/>
          </w:tcPr>
          <w:p w14:paraId="6E9F4B6B" w14:textId="10B5198F"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22</w:t>
            </w:r>
            <w:r w:rsidR="000F0CE5" w:rsidRPr="00B5494E">
              <w:rPr>
                <w:rFonts w:eastAsia="Times New Roman" w:cs="Arial"/>
                <w:sz w:val="18"/>
                <w:szCs w:val="18"/>
              </w:rPr>
              <w:t>4.</w:t>
            </w:r>
            <w:r w:rsidR="00784C97" w:rsidRPr="00B5494E">
              <w:rPr>
                <w:rFonts w:eastAsia="Times New Roman" w:cs="Arial"/>
                <w:sz w:val="18"/>
                <w:szCs w:val="18"/>
              </w:rPr>
              <w:t>5</w:t>
            </w:r>
          </w:p>
        </w:tc>
        <w:tc>
          <w:tcPr>
            <w:tcW w:w="972" w:type="dxa"/>
            <w:vAlign w:val="center"/>
          </w:tcPr>
          <w:p w14:paraId="701D30C5" w14:textId="25D6439A"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2</w:t>
            </w:r>
            <w:r w:rsidR="0050378D" w:rsidRPr="00B5494E">
              <w:rPr>
                <w:rFonts w:eastAsia="Times New Roman" w:cs="Arial"/>
                <w:sz w:val="18"/>
                <w:szCs w:val="18"/>
              </w:rPr>
              <w:t>62</w:t>
            </w:r>
            <w:r w:rsidR="00CD475F" w:rsidRPr="00B5494E">
              <w:rPr>
                <w:rFonts w:eastAsia="Times New Roman" w:cs="Arial"/>
                <w:sz w:val="18"/>
                <w:szCs w:val="18"/>
              </w:rPr>
              <w:t>.3</w:t>
            </w:r>
          </w:p>
        </w:tc>
        <w:tc>
          <w:tcPr>
            <w:tcW w:w="1204" w:type="dxa"/>
            <w:shd w:val="clear" w:color="auto" w:fill="auto"/>
            <w:noWrap/>
            <w:vAlign w:val="center"/>
          </w:tcPr>
          <w:p w14:paraId="2AE4DACC"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6/1/2025</w:t>
            </w:r>
          </w:p>
        </w:tc>
        <w:tc>
          <w:tcPr>
            <w:tcW w:w="967" w:type="dxa"/>
            <w:shd w:val="clear" w:color="auto" w:fill="auto"/>
            <w:noWrap/>
            <w:vAlign w:val="center"/>
          </w:tcPr>
          <w:p w14:paraId="28AA86DF"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10</w:t>
            </w:r>
          </w:p>
        </w:tc>
        <w:tc>
          <w:tcPr>
            <w:tcW w:w="1498" w:type="dxa"/>
            <w:shd w:val="clear" w:color="auto" w:fill="auto"/>
            <w:noWrap/>
            <w:vAlign w:val="center"/>
          </w:tcPr>
          <w:p w14:paraId="3104ECC8"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5/31/2035</w:t>
            </w:r>
          </w:p>
        </w:tc>
      </w:tr>
      <w:tr w:rsidR="00B5494E" w:rsidRPr="00B5494E" w14:paraId="5F513538" w14:textId="77777777" w:rsidTr="00860829">
        <w:trPr>
          <w:trHeight w:val="286"/>
        </w:trPr>
        <w:tc>
          <w:tcPr>
            <w:tcW w:w="1042" w:type="dxa"/>
            <w:shd w:val="clear" w:color="auto" w:fill="auto"/>
            <w:noWrap/>
            <w:vAlign w:val="center"/>
          </w:tcPr>
          <w:p w14:paraId="0860AAE6"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 Gas </w:t>
            </w:r>
          </w:p>
        </w:tc>
        <w:tc>
          <w:tcPr>
            <w:tcW w:w="3553" w:type="dxa"/>
            <w:shd w:val="clear" w:color="auto" w:fill="auto"/>
            <w:noWrap/>
            <w:vAlign w:val="center"/>
          </w:tcPr>
          <w:p w14:paraId="7F88E96E"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DAHLBERG 10 </w:t>
            </w:r>
          </w:p>
        </w:tc>
        <w:tc>
          <w:tcPr>
            <w:tcW w:w="1276" w:type="dxa"/>
            <w:shd w:val="clear" w:color="auto" w:fill="auto"/>
            <w:noWrap/>
            <w:vAlign w:val="center"/>
          </w:tcPr>
          <w:p w14:paraId="427023C9"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75.2</w:t>
            </w:r>
          </w:p>
        </w:tc>
        <w:tc>
          <w:tcPr>
            <w:tcW w:w="972" w:type="dxa"/>
            <w:vAlign w:val="center"/>
          </w:tcPr>
          <w:p w14:paraId="6319B58D"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89</w:t>
            </w:r>
          </w:p>
        </w:tc>
        <w:tc>
          <w:tcPr>
            <w:tcW w:w="1204" w:type="dxa"/>
            <w:shd w:val="clear" w:color="auto" w:fill="auto"/>
            <w:noWrap/>
            <w:vAlign w:val="center"/>
          </w:tcPr>
          <w:p w14:paraId="6C56D2C3"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6/1/2010</w:t>
            </w:r>
          </w:p>
        </w:tc>
        <w:tc>
          <w:tcPr>
            <w:tcW w:w="967" w:type="dxa"/>
            <w:shd w:val="clear" w:color="auto" w:fill="auto"/>
            <w:noWrap/>
            <w:vAlign w:val="center"/>
          </w:tcPr>
          <w:p w14:paraId="59E07C4C"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15</w:t>
            </w:r>
          </w:p>
        </w:tc>
        <w:tc>
          <w:tcPr>
            <w:tcW w:w="1498" w:type="dxa"/>
            <w:shd w:val="clear" w:color="auto" w:fill="auto"/>
            <w:noWrap/>
            <w:vAlign w:val="center"/>
          </w:tcPr>
          <w:p w14:paraId="140D5A63"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5/31/2025</w:t>
            </w:r>
          </w:p>
        </w:tc>
      </w:tr>
      <w:tr w:rsidR="00B5494E" w:rsidRPr="00B5494E" w14:paraId="6413D4CA" w14:textId="77777777" w:rsidTr="00860829">
        <w:trPr>
          <w:trHeight w:val="286"/>
        </w:trPr>
        <w:tc>
          <w:tcPr>
            <w:tcW w:w="1042" w:type="dxa"/>
            <w:shd w:val="clear" w:color="auto" w:fill="auto"/>
            <w:noWrap/>
            <w:vAlign w:val="center"/>
            <w:hideMark/>
          </w:tcPr>
          <w:p w14:paraId="49739A75"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 Gas </w:t>
            </w:r>
          </w:p>
        </w:tc>
        <w:tc>
          <w:tcPr>
            <w:tcW w:w="3553" w:type="dxa"/>
            <w:shd w:val="clear" w:color="auto" w:fill="auto"/>
            <w:noWrap/>
            <w:vAlign w:val="center"/>
            <w:hideMark/>
          </w:tcPr>
          <w:p w14:paraId="72F950AB"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EXELON HEARD 1 </w:t>
            </w:r>
          </w:p>
        </w:tc>
        <w:tc>
          <w:tcPr>
            <w:tcW w:w="1276" w:type="dxa"/>
            <w:shd w:val="clear" w:color="auto" w:fill="auto"/>
            <w:noWrap/>
            <w:vAlign w:val="center"/>
            <w:hideMark/>
          </w:tcPr>
          <w:p w14:paraId="6198ABFA"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157.5</w:t>
            </w:r>
          </w:p>
        </w:tc>
        <w:tc>
          <w:tcPr>
            <w:tcW w:w="972" w:type="dxa"/>
            <w:vAlign w:val="center"/>
          </w:tcPr>
          <w:p w14:paraId="390A7967"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157.5</w:t>
            </w:r>
          </w:p>
        </w:tc>
        <w:tc>
          <w:tcPr>
            <w:tcW w:w="1204" w:type="dxa"/>
            <w:shd w:val="clear" w:color="auto" w:fill="auto"/>
            <w:noWrap/>
            <w:vAlign w:val="center"/>
            <w:hideMark/>
          </w:tcPr>
          <w:p w14:paraId="61E02741"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6/1/2010</w:t>
            </w:r>
          </w:p>
        </w:tc>
        <w:tc>
          <w:tcPr>
            <w:tcW w:w="967" w:type="dxa"/>
            <w:shd w:val="clear" w:color="auto" w:fill="auto"/>
            <w:noWrap/>
            <w:vAlign w:val="center"/>
            <w:hideMark/>
          </w:tcPr>
          <w:p w14:paraId="6F4EC359"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20</w:t>
            </w:r>
          </w:p>
        </w:tc>
        <w:tc>
          <w:tcPr>
            <w:tcW w:w="1498" w:type="dxa"/>
            <w:shd w:val="clear" w:color="auto" w:fill="auto"/>
            <w:noWrap/>
            <w:vAlign w:val="center"/>
            <w:hideMark/>
          </w:tcPr>
          <w:p w14:paraId="3BA92C43"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5/31/2030</w:t>
            </w:r>
          </w:p>
        </w:tc>
      </w:tr>
      <w:tr w:rsidR="00B5494E" w:rsidRPr="00B5494E" w14:paraId="2E872016" w14:textId="77777777" w:rsidTr="00860829">
        <w:trPr>
          <w:trHeight w:val="286"/>
        </w:trPr>
        <w:tc>
          <w:tcPr>
            <w:tcW w:w="1042" w:type="dxa"/>
            <w:shd w:val="clear" w:color="auto" w:fill="auto"/>
            <w:noWrap/>
            <w:vAlign w:val="center"/>
            <w:hideMark/>
          </w:tcPr>
          <w:p w14:paraId="67D72A0A"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 Gas </w:t>
            </w:r>
          </w:p>
        </w:tc>
        <w:tc>
          <w:tcPr>
            <w:tcW w:w="3553" w:type="dxa"/>
            <w:shd w:val="clear" w:color="auto" w:fill="auto"/>
            <w:noWrap/>
            <w:vAlign w:val="center"/>
            <w:hideMark/>
          </w:tcPr>
          <w:p w14:paraId="4474A79C"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EXELON HEARD 2 </w:t>
            </w:r>
          </w:p>
        </w:tc>
        <w:tc>
          <w:tcPr>
            <w:tcW w:w="1276" w:type="dxa"/>
            <w:shd w:val="clear" w:color="auto" w:fill="auto"/>
            <w:noWrap/>
            <w:vAlign w:val="center"/>
            <w:hideMark/>
          </w:tcPr>
          <w:p w14:paraId="4A4EEDAE"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157.5</w:t>
            </w:r>
          </w:p>
        </w:tc>
        <w:tc>
          <w:tcPr>
            <w:tcW w:w="972" w:type="dxa"/>
            <w:vAlign w:val="center"/>
          </w:tcPr>
          <w:p w14:paraId="5100F62A"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157.5</w:t>
            </w:r>
          </w:p>
        </w:tc>
        <w:tc>
          <w:tcPr>
            <w:tcW w:w="1204" w:type="dxa"/>
            <w:shd w:val="clear" w:color="auto" w:fill="auto"/>
            <w:noWrap/>
            <w:vAlign w:val="center"/>
            <w:hideMark/>
          </w:tcPr>
          <w:p w14:paraId="2CF08DD0"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6/1/2010</w:t>
            </w:r>
          </w:p>
        </w:tc>
        <w:tc>
          <w:tcPr>
            <w:tcW w:w="967" w:type="dxa"/>
            <w:shd w:val="clear" w:color="auto" w:fill="auto"/>
            <w:noWrap/>
            <w:vAlign w:val="center"/>
            <w:hideMark/>
          </w:tcPr>
          <w:p w14:paraId="237D3543"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20</w:t>
            </w:r>
          </w:p>
        </w:tc>
        <w:tc>
          <w:tcPr>
            <w:tcW w:w="1498" w:type="dxa"/>
            <w:shd w:val="clear" w:color="auto" w:fill="auto"/>
            <w:noWrap/>
            <w:vAlign w:val="center"/>
            <w:hideMark/>
          </w:tcPr>
          <w:p w14:paraId="157116DF"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5/31/2030</w:t>
            </w:r>
          </w:p>
        </w:tc>
      </w:tr>
      <w:tr w:rsidR="00B5494E" w:rsidRPr="00B5494E" w14:paraId="4CED3D55" w14:textId="77777777" w:rsidTr="00860829">
        <w:trPr>
          <w:trHeight w:val="286"/>
        </w:trPr>
        <w:tc>
          <w:tcPr>
            <w:tcW w:w="1042" w:type="dxa"/>
            <w:shd w:val="clear" w:color="auto" w:fill="auto"/>
            <w:noWrap/>
            <w:vAlign w:val="center"/>
            <w:hideMark/>
          </w:tcPr>
          <w:p w14:paraId="10E6B2E1"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 Gas </w:t>
            </w:r>
          </w:p>
        </w:tc>
        <w:tc>
          <w:tcPr>
            <w:tcW w:w="3553" w:type="dxa"/>
            <w:shd w:val="clear" w:color="auto" w:fill="auto"/>
            <w:noWrap/>
            <w:vAlign w:val="center"/>
            <w:hideMark/>
          </w:tcPr>
          <w:p w14:paraId="7D690EC4"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EXELON HEARD 3 </w:t>
            </w:r>
          </w:p>
        </w:tc>
        <w:tc>
          <w:tcPr>
            <w:tcW w:w="1276" w:type="dxa"/>
            <w:shd w:val="clear" w:color="auto" w:fill="auto"/>
            <w:noWrap/>
            <w:vAlign w:val="center"/>
            <w:hideMark/>
          </w:tcPr>
          <w:p w14:paraId="42687BC6"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157.5</w:t>
            </w:r>
          </w:p>
        </w:tc>
        <w:tc>
          <w:tcPr>
            <w:tcW w:w="972" w:type="dxa"/>
            <w:vAlign w:val="center"/>
          </w:tcPr>
          <w:p w14:paraId="3D613D76"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157.5</w:t>
            </w:r>
          </w:p>
        </w:tc>
        <w:tc>
          <w:tcPr>
            <w:tcW w:w="1204" w:type="dxa"/>
            <w:shd w:val="clear" w:color="auto" w:fill="auto"/>
            <w:noWrap/>
            <w:vAlign w:val="center"/>
            <w:hideMark/>
          </w:tcPr>
          <w:p w14:paraId="567FAC3C"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6/1/2010</w:t>
            </w:r>
          </w:p>
        </w:tc>
        <w:tc>
          <w:tcPr>
            <w:tcW w:w="967" w:type="dxa"/>
            <w:shd w:val="clear" w:color="auto" w:fill="auto"/>
            <w:noWrap/>
            <w:vAlign w:val="center"/>
            <w:hideMark/>
          </w:tcPr>
          <w:p w14:paraId="7AFF67DD"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20</w:t>
            </w:r>
          </w:p>
        </w:tc>
        <w:tc>
          <w:tcPr>
            <w:tcW w:w="1498" w:type="dxa"/>
            <w:shd w:val="clear" w:color="auto" w:fill="auto"/>
            <w:noWrap/>
            <w:vAlign w:val="center"/>
            <w:hideMark/>
          </w:tcPr>
          <w:p w14:paraId="334082F8"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5/31/2030</w:t>
            </w:r>
          </w:p>
        </w:tc>
      </w:tr>
      <w:tr w:rsidR="00B5494E" w:rsidRPr="00B5494E" w14:paraId="31B0315A" w14:textId="77777777" w:rsidTr="00860829">
        <w:trPr>
          <w:trHeight w:val="286"/>
        </w:trPr>
        <w:tc>
          <w:tcPr>
            <w:tcW w:w="1042" w:type="dxa"/>
            <w:shd w:val="clear" w:color="auto" w:fill="auto"/>
            <w:noWrap/>
            <w:vAlign w:val="center"/>
            <w:hideMark/>
          </w:tcPr>
          <w:p w14:paraId="4456CC88"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 Gas </w:t>
            </w:r>
          </w:p>
        </w:tc>
        <w:tc>
          <w:tcPr>
            <w:tcW w:w="3553" w:type="dxa"/>
            <w:shd w:val="clear" w:color="auto" w:fill="auto"/>
            <w:noWrap/>
            <w:vAlign w:val="center"/>
            <w:hideMark/>
          </w:tcPr>
          <w:p w14:paraId="50F15166"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EXELON HEARD 4 </w:t>
            </w:r>
          </w:p>
        </w:tc>
        <w:tc>
          <w:tcPr>
            <w:tcW w:w="1276" w:type="dxa"/>
            <w:shd w:val="clear" w:color="auto" w:fill="auto"/>
            <w:noWrap/>
            <w:vAlign w:val="center"/>
            <w:hideMark/>
          </w:tcPr>
          <w:p w14:paraId="54CCA7A5"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157.5</w:t>
            </w:r>
          </w:p>
        </w:tc>
        <w:tc>
          <w:tcPr>
            <w:tcW w:w="972" w:type="dxa"/>
            <w:vAlign w:val="center"/>
          </w:tcPr>
          <w:p w14:paraId="4A484CDE"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157.5</w:t>
            </w:r>
          </w:p>
        </w:tc>
        <w:tc>
          <w:tcPr>
            <w:tcW w:w="1204" w:type="dxa"/>
            <w:shd w:val="clear" w:color="auto" w:fill="auto"/>
            <w:noWrap/>
            <w:vAlign w:val="center"/>
            <w:hideMark/>
          </w:tcPr>
          <w:p w14:paraId="52B9B804"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6/1/2010</w:t>
            </w:r>
          </w:p>
        </w:tc>
        <w:tc>
          <w:tcPr>
            <w:tcW w:w="967" w:type="dxa"/>
            <w:shd w:val="clear" w:color="auto" w:fill="auto"/>
            <w:noWrap/>
            <w:vAlign w:val="center"/>
            <w:hideMark/>
          </w:tcPr>
          <w:p w14:paraId="39D5435A"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20</w:t>
            </w:r>
          </w:p>
        </w:tc>
        <w:tc>
          <w:tcPr>
            <w:tcW w:w="1498" w:type="dxa"/>
            <w:shd w:val="clear" w:color="auto" w:fill="auto"/>
            <w:noWrap/>
            <w:vAlign w:val="center"/>
            <w:hideMark/>
          </w:tcPr>
          <w:p w14:paraId="45859BA0"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5/31/2030</w:t>
            </w:r>
          </w:p>
        </w:tc>
      </w:tr>
      <w:tr w:rsidR="00B5494E" w:rsidRPr="00B5494E" w14:paraId="1A7E31CA" w14:textId="77777777" w:rsidTr="00860829">
        <w:trPr>
          <w:trHeight w:val="286"/>
        </w:trPr>
        <w:tc>
          <w:tcPr>
            <w:tcW w:w="1042" w:type="dxa"/>
            <w:shd w:val="clear" w:color="auto" w:fill="auto"/>
            <w:noWrap/>
            <w:vAlign w:val="center"/>
            <w:hideMark/>
          </w:tcPr>
          <w:p w14:paraId="4F621692"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 Gas </w:t>
            </w:r>
          </w:p>
        </w:tc>
        <w:tc>
          <w:tcPr>
            <w:tcW w:w="3553" w:type="dxa"/>
            <w:shd w:val="clear" w:color="auto" w:fill="auto"/>
            <w:noWrap/>
            <w:vAlign w:val="center"/>
            <w:hideMark/>
          </w:tcPr>
          <w:p w14:paraId="0108C6D2"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EXELON HEARD 5 </w:t>
            </w:r>
          </w:p>
        </w:tc>
        <w:tc>
          <w:tcPr>
            <w:tcW w:w="1276" w:type="dxa"/>
            <w:shd w:val="clear" w:color="auto" w:fill="auto"/>
            <w:noWrap/>
            <w:vAlign w:val="center"/>
            <w:hideMark/>
          </w:tcPr>
          <w:p w14:paraId="48C0095B"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157.5</w:t>
            </w:r>
          </w:p>
        </w:tc>
        <w:tc>
          <w:tcPr>
            <w:tcW w:w="972" w:type="dxa"/>
            <w:vAlign w:val="center"/>
          </w:tcPr>
          <w:p w14:paraId="0A33C234"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157.5</w:t>
            </w:r>
          </w:p>
        </w:tc>
        <w:tc>
          <w:tcPr>
            <w:tcW w:w="1204" w:type="dxa"/>
            <w:shd w:val="clear" w:color="auto" w:fill="auto"/>
            <w:noWrap/>
            <w:vAlign w:val="center"/>
            <w:hideMark/>
          </w:tcPr>
          <w:p w14:paraId="7EADF12B"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6/1/2010</w:t>
            </w:r>
          </w:p>
        </w:tc>
        <w:tc>
          <w:tcPr>
            <w:tcW w:w="967" w:type="dxa"/>
            <w:shd w:val="clear" w:color="auto" w:fill="auto"/>
            <w:noWrap/>
            <w:vAlign w:val="center"/>
            <w:hideMark/>
          </w:tcPr>
          <w:p w14:paraId="720A0C3C"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20</w:t>
            </w:r>
          </w:p>
        </w:tc>
        <w:tc>
          <w:tcPr>
            <w:tcW w:w="1498" w:type="dxa"/>
            <w:shd w:val="clear" w:color="auto" w:fill="auto"/>
            <w:noWrap/>
            <w:vAlign w:val="center"/>
            <w:hideMark/>
          </w:tcPr>
          <w:p w14:paraId="06843F54"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5/31/2030</w:t>
            </w:r>
          </w:p>
        </w:tc>
      </w:tr>
      <w:tr w:rsidR="00B5494E" w:rsidRPr="00B5494E" w14:paraId="53491622" w14:textId="77777777" w:rsidTr="00860829">
        <w:trPr>
          <w:trHeight w:val="286"/>
        </w:trPr>
        <w:tc>
          <w:tcPr>
            <w:tcW w:w="1042" w:type="dxa"/>
            <w:shd w:val="clear" w:color="auto" w:fill="auto"/>
            <w:noWrap/>
            <w:vAlign w:val="center"/>
            <w:hideMark/>
          </w:tcPr>
          <w:p w14:paraId="7648D5AA"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 Gas </w:t>
            </w:r>
          </w:p>
        </w:tc>
        <w:tc>
          <w:tcPr>
            <w:tcW w:w="3553" w:type="dxa"/>
            <w:shd w:val="clear" w:color="auto" w:fill="auto"/>
            <w:noWrap/>
            <w:vAlign w:val="center"/>
            <w:hideMark/>
          </w:tcPr>
          <w:p w14:paraId="6339DF4E"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EXELON HEARD 6 </w:t>
            </w:r>
          </w:p>
        </w:tc>
        <w:tc>
          <w:tcPr>
            <w:tcW w:w="1276" w:type="dxa"/>
            <w:shd w:val="clear" w:color="auto" w:fill="auto"/>
            <w:noWrap/>
            <w:vAlign w:val="center"/>
            <w:hideMark/>
          </w:tcPr>
          <w:p w14:paraId="3E38999D"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157.5</w:t>
            </w:r>
          </w:p>
        </w:tc>
        <w:tc>
          <w:tcPr>
            <w:tcW w:w="972" w:type="dxa"/>
            <w:vAlign w:val="center"/>
          </w:tcPr>
          <w:p w14:paraId="1C69F38E"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157.5</w:t>
            </w:r>
          </w:p>
        </w:tc>
        <w:tc>
          <w:tcPr>
            <w:tcW w:w="1204" w:type="dxa"/>
            <w:shd w:val="clear" w:color="auto" w:fill="auto"/>
            <w:noWrap/>
            <w:vAlign w:val="center"/>
            <w:hideMark/>
          </w:tcPr>
          <w:p w14:paraId="27B1480F"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6/1/2010</w:t>
            </w:r>
          </w:p>
        </w:tc>
        <w:tc>
          <w:tcPr>
            <w:tcW w:w="967" w:type="dxa"/>
            <w:shd w:val="clear" w:color="auto" w:fill="auto"/>
            <w:noWrap/>
            <w:vAlign w:val="center"/>
            <w:hideMark/>
          </w:tcPr>
          <w:p w14:paraId="57262723"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20</w:t>
            </w:r>
          </w:p>
        </w:tc>
        <w:tc>
          <w:tcPr>
            <w:tcW w:w="1498" w:type="dxa"/>
            <w:shd w:val="clear" w:color="auto" w:fill="auto"/>
            <w:noWrap/>
            <w:vAlign w:val="center"/>
            <w:hideMark/>
          </w:tcPr>
          <w:p w14:paraId="6DB852B0"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5/31/2030</w:t>
            </w:r>
          </w:p>
        </w:tc>
      </w:tr>
      <w:tr w:rsidR="00B5494E" w:rsidRPr="00B5494E" w14:paraId="2442B8DD" w14:textId="77777777" w:rsidTr="00860829">
        <w:trPr>
          <w:trHeight w:val="286"/>
        </w:trPr>
        <w:tc>
          <w:tcPr>
            <w:tcW w:w="1042" w:type="dxa"/>
            <w:shd w:val="clear" w:color="auto" w:fill="auto"/>
            <w:noWrap/>
            <w:vAlign w:val="center"/>
            <w:hideMark/>
          </w:tcPr>
          <w:p w14:paraId="35E2FB48"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 Gas </w:t>
            </w:r>
          </w:p>
        </w:tc>
        <w:tc>
          <w:tcPr>
            <w:tcW w:w="3553" w:type="dxa"/>
            <w:shd w:val="clear" w:color="auto" w:fill="auto"/>
            <w:noWrap/>
            <w:vAlign w:val="center"/>
            <w:hideMark/>
          </w:tcPr>
          <w:p w14:paraId="5FCEC655"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HARRIS 1 </w:t>
            </w:r>
          </w:p>
        </w:tc>
        <w:tc>
          <w:tcPr>
            <w:tcW w:w="1276" w:type="dxa"/>
            <w:shd w:val="clear" w:color="auto" w:fill="auto"/>
            <w:noWrap/>
            <w:vAlign w:val="center"/>
            <w:hideMark/>
          </w:tcPr>
          <w:p w14:paraId="1A9B882B"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640.6</w:t>
            </w:r>
          </w:p>
        </w:tc>
        <w:tc>
          <w:tcPr>
            <w:tcW w:w="972" w:type="dxa"/>
            <w:vAlign w:val="center"/>
          </w:tcPr>
          <w:p w14:paraId="5BC39291"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667.7</w:t>
            </w:r>
          </w:p>
        </w:tc>
        <w:tc>
          <w:tcPr>
            <w:tcW w:w="1204" w:type="dxa"/>
            <w:shd w:val="clear" w:color="auto" w:fill="auto"/>
            <w:noWrap/>
            <w:vAlign w:val="center"/>
            <w:hideMark/>
          </w:tcPr>
          <w:p w14:paraId="78DAA04F"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6/1/2016</w:t>
            </w:r>
          </w:p>
        </w:tc>
        <w:tc>
          <w:tcPr>
            <w:tcW w:w="967" w:type="dxa"/>
            <w:shd w:val="clear" w:color="auto" w:fill="auto"/>
            <w:noWrap/>
            <w:vAlign w:val="center"/>
            <w:hideMark/>
          </w:tcPr>
          <w:p w14:paraId="7644FC85"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14</w:t>
            </w:r>
          </w:p>
        </w:tc>
        <w:tc>
          <w:tcPr>
            <w:tcW w:w="1498" w:type="dxa"/>
            <w:shd w:val="clear" w:color="auto" w:fill="auto"/>
            <w:noWrap/>
            <w:vAlign w:val="center"/>
            <w:hideMark/>
          </w:tcPr>
          <w:p w14:paraId="4F98640A"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5/31/2030</w:t>
            </w:r>
          </w:p>
        </w:tc>
      </w:tr>
      <w:tr w:rsidR="00B5494E" w:rsidRPr="00B5494E" w14:paraId="6B9166CA" w14:textId="77777777" w:rsidTr="00860829">
        <w:trPr>
          <w:trHeight w:val="286"/>
        </w:trPr>
        <w:tc>
          <w:tcPr>
            <w:tcW w:w="1042" w:type="dxa"/>
            <w:shd w:val="clear" w:color="auto" w:fill="auto"/>
            <w:noWrap/>
            <w:vAlign w:val="center"/>
          </w:tcPr>
          <w:p w14:paraId="2EBAB8F9"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 Gas</w:t>
            </w:r>
          </w:p>
        </w:tc>
        <w:tc>
          <w:tcPr>
            <w:tcW w:w="3553" w:type="dxa"/>
            <w:shd w:val="clear" w:color="auto" w:fill="auto"/>
            <w:noWrap/>
            <w:vAlign w:val="center"/>
          </w:tcPr>
          <w:p w14:paraId="4C56F542"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caps/>
                <w:sz w:val="18"/>
                <w:szCs w:val="18"/>
              </w:rPr>
              <w:t>HARRIS 2</w:t>
            </w:r>
          </w:p>
        </w:tc>
        <w:tc>
          <w:tcPr>
            <w:tcW w:w="1276" w:type="dxa"/>
            <w:shd w:val="clear" w:color="auto" w:fill="auto"/>
            <w:noWrap/>
            <w:vAlign w:val="center"/>
          </w:tcPr>
          <w:p w14:paraId="3F0BC5C9"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660.4</w:t>
            </w:r>
          </w:p>
        </w:tc>
        <w:tc>
          <w:tcPr>
            <w:tcW w:w="972" w:type="dxa"/>
            <w:vAlign w:val="center"/>
          </w:tcPr>
          <w:p w14:paraId="41AF7D92"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689.5</w:t>
            </w:r>
          </w:p>
        </w:tc>
        <w:tc>
          <w:tcPr>
            <w:tcW w:w="1204" w:type="dxa"/>
            <w:shd w:val="clear" w:color="auto" w:fill="auto"/>
            <w:noWrap/>
            <w:vAlign w:val="center"/>
          </w:tcPr>
          <w:p w14:paraId="047123CF"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12/1/2024</w:t>
            </w:r>
          </w:p>
        </w:tc>
        <w:tc>
          <w:tcPr>
            <w:tcW w:w="967" w:type="dxa"/>
            <w:shd w:val="clear" w:color="auto" w:fill="auto"/>
            <w:noWrap/>
            <w:vAlign w:val="center"/>
          </w:tcPr>
          <w:p w14:paraId="0377608B"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10</w:t>
            </w:r>
          </w:p>
        </w:tc>
        <w:tc>
          <w:tcPr>
            <w:tcW w:w="1498" w:type="dxa"/>
            <w:shd w:val="clear" w:color="auto" w:fill="auto"/>
            <w:noWrap/>
            <w:vAlign w:val="center"/>
          </w:tcPr>
          <w:p w14:paraId="15BF6BA5"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11/30/2034</w:t>
            </w:r>
          </w:p>
        </w:tc>
      </w:tr>
      <w:tr w:rsidR="00B5494E" w:rsidRPr="00B5494E" w14:paraId="2C4AE524" w14:textId="77777777" w:rsidTr="00860829">
        <w:trPr>
          <w:trHeight w:val="286"/>
        </w:trPr>
        <w:tc>
          <w:tcPr>
            <w:tcW w:w="1042" w:type="dxa"/>
            <w:shd w:val="clear" w:color="auto" w:fill="auto"/>
            <w:noWrap/>
            <w:vAlign w:val="center"/>
            <w:hideMark/>
          </w:tcPr>
          <w:p w14:paraId="44214905"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 Gas </w:t>
            </w:r>
          </w:p>
        </w:tc>
        <w:tc>
          <w:tcPr>
            <w:tcW w:w="3553" w:type="dxa"/>
            <w:shd w:val="clear" w:color="auto" w:fill="auto"/>
            <w:noWrap/>
            <w:vAlign w:val="center"/>
            <w:hideMark/>
          </w:tcPr>
          <w:p w14:paraId="4BFB258C"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MID-GEORGIA COGEN </w:t>
            </w:r>
          </w:p>
        </w:tc>
        <w:tc>
          <w:tcPr>
            <w:tcW w:w="1276" w:type="dxa"/>
            <w:shd w:val="clear" w:color="auto" w:fill="auto"/>
            <w:noWrap/>
            <w:vAlign w:val="center"/>
            <w:hideMark/>
          </w:tcPr>
          <w:p w14:paraId="7CDC58CD"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300.0</w:t>
            </w:r>
          </w:p>
        </w:tc>
        <w:tc>
          <w:tcPr>
            <w:tcW w:w="972" w:type="dxa"/>
            <w:vAlign w:val="center"/>
          </w:tcPr>
          <w:p w14:paraId="2C47B4B9"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300</w:t>
            </w:r>
          </w:p>
        </w:tc>
        <w:tc>
          <w:tcPr>
            <w:tcW w:w="1204" w:type="dxa"/>
            <w:shd w:val="clear" w:color="auto" w:fill="auto"/>
            <w:noWrap/>
            <w:vAlign w:val="center"/>
            <w:hideMark/>
          </w:tcPr>
          <w:p w14:paraId="55ECE79C"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6/1/1998</w:t>
            </w:r>
          </w:p>
        </w:tc>
        <w:tc>
          <w:tcPr>
            <w:tcW w:w="967" w:type="dxa"/>
            <w:shd w:val="clear" w:color="auto" w:fill="auto"/>
            <w:noWrap/>
            <w:vAlign w:val="center"/>
            <w:hideMark/>
          </w:tcPr>
          <w:p w14:paraId="7C7E33AB"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30</w:t>
            </w:r>
          </w:p>
        </w:tc>
        <w:tc>
          <w:tcPr>
            <w:tcW w:w="1498" w:type="dxa"/>
            <w:shd w:val="clear" w:color="auto" w:fill="auto"/>
            <w:noWrap/>
            <w:vAlign w:val="center"/>
            <w:hideMark/>
          </w:tcPr>
          <w:p w14:paraId="10912BD3"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5/31/2028</w:t>
            </w:r>
          </w:p>
        </w:tc>
      </w:tr>
      <w:tr w:rsidR="00B5494E" w:rsidRPr="00B5494E" w14:paraId="588C1869" w14:textId="77777777" w:rsidTr="00860829">
        <w:trPr>
          <w:trHeight w:val="286"/>
        </w:trPr>
        <w:tc>
          <w:tcPr>
            <w:tcW w:w="1042" w:type="dxa"/>
            <w:shd w:val="clear" w:color="auto" w:fill="auto"/>
            <w:noWrap/>
            <w:vAlign w:val="center"/>
          </w:tcPr>
          <w:p w14:paraId="55DA8906"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 Gas</w:t>
            </w:r>
          </w:p>
        </w:tc>
        <w:tc>
          <w:tcPr>
            <w:tcW w:w="3553" w:type="dxa"/>
            <w:shd w:val="clear" w:color="auto" w:fill="auto"/>
            <w:noWrap/>
            <w:vAlign w:val="center"/>
          </w:tcPr>
          <w:p w14:paraId="3BC78671"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caps/>
                <w:sz w:val="18"/>
                <w:szCs w:val="18"/>
              </w:rPr>
              <w:t>Monroe 1 &amp; 2</w:t>
            </w:r>
          </w:p>
        </w:tc>
        <w:tc>
          <w:tcPr>
            <w:tcW w:w="1276" w:type="dxa"/>
            <w:shd w:val="clear" w:color="auto" w:fill="auto"/>
            <w:noWrap/>
            <w:vAlign w:val="center"/>
          </w:tcPr>
          <w:p w14:paraId="707D8007"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309</w:t>
            </w:r>
          </w:p>
        </w:tc>
        <w:tc>
          <w:tcPr>
            <w:tcW w:w="972" w:type="dxa"/>
            <w:vAlign w:val="center"/>
          </w:tcPr>
          <w:p w14:paraId="19A58ABA"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360</w:t>
            </w:r>
          </w:p>
        </w:tc>
        <w:tc>
          <w:tcPr>
            <w:tcW w:w="1204" w:type="dxa"/>
            <w:shd w:val="clear" w:color="auto" w:fill="auto"/>
            <w:noWrap/>
            <w:vAlign w:val="center"/>
          </w:tcPr>
          <w:p w14:paraId="7EC7B08C"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12/1/2024</w:t>
            </w:r>
          </w:p>
        </w:tc>
        <w:tc>
          <w:tcPr>
            <w:tcW w:w="967" w:type="dxa"/>
            <w:shd w:val="clear" w:color="auto" w:fill="auto"/>
            <w:noWrap/>
            <w:vAlign w:val="center"/>
          </w:tcPr>
          <w:p w14:paraId="4DCCE6CA"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15</w:t>
            </w:r>
          </w:p>
        </w:tc>
        <w:tc>
          <w:tcPr>
            <w:tcW w:w="1498" w:type="dxa"/>
            <w:shd w:val="clear" w:color="auto" w:fill="auto"/>
            <w:noWrap/>
            <w:vAlign w:val="center"/>
          </w:tcPr>
          <w:p w14:paraId="48BEBE01"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11/30/2039</w:t>
            </w:r>
          </w:p>
        </w:tc>
      </w:tr>
      <w:tr w:rsidR="00B5494E" w:rsidRPr="00B5494E" w14:paraId="37F90726" w14:textId="77777777" w:rsidTr="00860829">
        <w:trPr>
          <w:trHeight w:val="286"/>
        </w:trPr>
        <w:tc>
          <w:tcPr>
            <w:tcW w:w="1042" w:type="dxa"/>
            <w:shd w:val="clear" w:color="auto" w:fill="auto"/>
            <w:noWrap/>
            <w:vAlign w:val="center"/>
          </w:tcPr>
          <w:p w14:paraId="170B5398"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sz w:val="18"/>
                <w:szCs w:val="18"/>
              </w:rPr>
              <w:t xml:space="preserve"> Gas </w:t>
            </w:r>
          </w:p>
        </w:tc>
        <w:tc>
          <w:tcPr>
            <w:tcW w:w="3553" w:type="dxa"/>
            <w:shd w:val="clear" w:color="auto" w:fill="auto"/>
            <w:noWrap/>
            <w:vAlign w:val="center"/>
          </w:tcPr>
          <w:p w14:paraId="2892BA1F" w14:textId="77777777" w:rsidR="007F21B4" w:rsidRPr="00B5494E" w:rsidRDefault="007F21B4" w:rsidP="004911AE">
            <w:pPr>
              <w:spacing w:after="0" w:line="240" w:lineRule="auto"/>
              <w:rPr>
                <w:rFonts w:eastAsia="Times New Roman" w:cs="Arial"/>
                <w:sz w:val="18"/>
                <w:szCs w:val="18"/>
              </w:rPr>
            </w:pPr>
            <w:r w:rsidRPr="00B5494E">
              <w:rPr>
                <w:rFonts w:eastAsia="Times New Roman" w:cs="Arial"/>
                <w:caps/>
                <w:sz w:val="18"/>
                <w:szCs w:val="18"/>
              </w:rPr>
              <w:t>Wansley 7</w:t>
            </w:r>
          </w:p>
        </w:tc>
        <w:tc>
          <w:tcPr>
            <w:tcW w:w="1276" w:type="dxa"/>
            <w:shd w:val="clear" w:color="auto" w:fill="auto"/>
            <w:noWrap/>
            <w:vAlign w:val="center"/>
          </w:tcPr>
          <w:p w14:paraId="1FFB112E"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597.9</w:t>
            </w:r>
          </w:p>
        </w:tc>
        <w:tc>
          <w:tcPr>
            <w:tcW w:w="972" w:type="dxa"/>
            <w:vAlign w:val="center"/>
          </w:tcPr>
          <w:p w14:paraId="7DCEC3FC"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621.7</w:t>
            </w:r>
          </w:p>
        </w:tc>
        <w:tc>
          <w:tcPr>
            <w:tcW w:w="1204" w:type="dxa"/>
            <w:shd w:val="clear" w:color="auto" w:fill="auto"/>
            <w:noWrap/>
            <w:vAlign w:val="center"/>
          </w:tcPr>
          <w:p w14:paraId="0041962F"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12/1/2024</w:t>
            </w:r>
          </w:p>
        </w:tc>
        <w:tc>
          <w:tcPr>
            <w:tcW w:w="967" w:type="dxa"/>
            <w:shd w:val="clear" w:color="auto" w:fill="auto"/>
            <w:noWrap/>
            <w:vAlign w:val="center"/>
          </w:tcPr>
          <w:p w14:paraId="6F2B3175"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10</w:t>
            </w:r>
          </w:p>
        </w:tc>
        <w:tc>
          <w:tcPr>
            <w:tcW w:w="1498" w:type="dxa"/>
            <w:shd w:val="clear" w:color="auto" w:fill="auto"/>
            <w:noWrap/>
            <w:vAlign w:val="center"/>
          </w:tcPr>
          <w:p w14:paraId="67155209" w14:textId="77777777" w:rsidR="007F21B4" w:rsidRPr="00B5494E" w:rsidRDefault="007F21B4" w:rsidP="004911AE">
            <w:pPr>
              <w:spacing w:after="0" w:line="240" w:lineRule="auto"/>
              <w:jc w:val="center"/>
              <w:rPr>
                <w:rFonts w:eastAsia="Times New Roman" w:cs="Arial"/>
                <w:sz w:val="18"/>
                <w:szCs w:val="18"/>
              </w:rPr>
            </w:pPr>
            <w:r w:rsidRPr="00B5494E">
              <w:rPr>
                <w:rFonts w:eastAsia="Times New Roman" w:cs="Arial"/>
                <w:sz w:val="18"/>
                <w:szCs w:val="18"/>
              </w:rPr>
              <w:t>11/30/2034</w:t>
            </w:r>
          </w:p>
        </w:tc>
      </w:tr>
    </w:tbl>
    <w:p w14:paraId="21A304A8" w14:textId="521AB809" w:rsidR="007F21B4" w:rsidRDefault="007F21B4" w:rsidP="004715CA"/>
    <w:p w14:paraId="66130A35" w14:textId="77777777" w:rsidR="007F21B4" w:rsidRDefault="007F21B4">
      <w:r>
        <w:br w:type="page"/>
      </w:r>
    </w:p>
    <w:p w14:paraId="7BED1A66" w14:textId="524CB7C5" w:rsidR="004715CA" w:rsidRDefault="00773998" w:rsidP="00FC3442">
      <w:pPr>
        <w:pStyle w:val="Heading2"/>
      </w:pPr>
      <w:bookmarkStart w:id="88" w:name="_Toc189122803"/>
      <w:r>
        <w:lastRenderedPageBreak/>
        <w:t>C</w:t>
      </w:r>
      <w:r w:rsidR="00FC3442">
        <w:t>.5 – Power Purchase Agreements – Renewables and Storage</w:t>
      </w:r>
      <w:bookmarkEnd w:id="88"/>
    </w:p>
    <w:tbl>
      <w:tblPr>
        <w:tblW w:w="10521" w:type="dxa"/>
        <w:tblInd w:w="-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0" w:type="dxa"/>
        </w:tblCellMar>
        <w:tblLook w:val="04A0" w:firstRow="1" w:lastRow="0" w:firstColumn="1" w:lastColumn="0" w:noHBand="0" w:noVBand="1"/>
      </w:tblPr>
      <w:tblGrid>
        <w:gridCol w:w="873"/>
        <w:gridCol w:w="3479"/>
        <w:gridCol w:w="1048"/>
        <w:gridCol w:w="1080"/>
        <w:gridCol w:w="1047"/>
        <w:gridCol w:w="2178"/>
        <w:gridCol w:w="816"/>
      </w:tblGrid>
      <w:tr w:rsidR="00B21ADF" w14:paraId="3B17AE6C" w14:textId="77777777" w:rsidTr="00860829">
        <w:trPr>
          <w:trHeight w:val="688"/>
        </w:trPr>
        <w:tc>
          <w:tcPr>
            <w:tcW w:w="873" w:type="dxa"/>
            <w:shd w:val="clear" w:color="auto" w:fill="808080" w:themeFill="background1" w:themeFillShade="80"/>
            <w:vAlign w:val="center"/>
            <w:hideMark/>
          </w:tcPr>
          <w:p w14:paraId="5D992C01" w14:textId="77777777" w:rsidR="001C7D23" w:rsidRPr="00147E5A" w:rsidRDefault="001C7D23" w:rsidP="004911AE">
            <w:pPr>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 xml:space="preserve">Fuel </w:t>
            </w:r>
            <w:r w:rsidRPr="00147E5A">
              <w:rPr>
                <w:rFonts w:eastAsia="Times New Roman" w:cs="Arial"/>
                <w:b/>
                <w:bCs/>
                <w:color w:val="FFFFFF" w:themeColor="background1"/>
                <w:sz w:val="18"/>
                <w:szCs w:val="18"/>
              </w:rPr>
              <w:br/>
              <w:t>Type</w:t>
            </w:r>
          </w:p>
        </w:tc>
        <w:tc>
          <w:tcPr>
            <w:tcW w:w="3479" w:type="dxa"/>
            <w:shd w:val="clear" w:color="auto" w:fill="808080" w:themeFill="background1" w:themeFillShade="80"/>
            <w:vAlign w:val="center"/>
            <w:hideMark/>
          </w:tcPr>
          <w:p w14:paraId="5839FEAC" w14:textId="77777777" w:rsidR="001C7D23" w:rsidRPr="00147E5A" w:rsidRDefault="001C7D23" w:rsidP="004911AE">
            <w:pPr>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Resource Name</w:t>
            </w:r>
          </w:p>
        </w:tc>
        <w:tc>
          <w:tcPr>
            <w:tcW w:w="1048" w:type="dxa"/>
            <w:shd w:val="clear" w:color="auto" w:fill="808080" w:themeFill="background1" w:themeFillShade="80"/>
            <w:vAlign w:val="center"/>
            <w:hideMark/>
          </w:tcPr>
          <w:p w14:paraId="43EC044B" w14:textId="77777777" w:rsidR="001C7D23" w:rsidRPr="00147E5A" w:rsidRDefault="001C7D23" w:rsidP="004911AE">
            <w:pPr>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Nominal Capability (MW)</w:t>
            </w:r>
            <w:r w:rsidRPr="00147E5A">
              <w:rPr>
                <w:rFonts w:eastAsia="Times New Roman" w:cs="Arial"/>
                <w:b/>
                <w:bCs/>
                <w:color w:val="FFFFFF" w:themeColor="background1"/>
                <w:sz w:val="18"/>
                <w:szCs w:val="18"/>
                <w:vertAlign w:val="superscript"/>
              </w:rPr>
              <w:t>C</w:t>
            </w:r>
          </w:p>
        </w:tc>
        <w:tc>
          <w:tcPr>
            <w:tcW w:w="1080" w:type="dxa"/>
            <w:shd w:val="clear" w:color="auto" w:fill="808080" w:themeFill="background1" w:themeFillShade="80"/>
            <w:vAlign w:val="center"/>
            <w:hideMark/>
          </w:tcPr>
          <w:p w14:paraId="506D9C18" w14:textId="77777777" w:rsidR="001C7D23" w:rsidRPr="00147E5A" w:rsidRDefault="001C7D23" w:rsidP="004911AE">
            <w:pPr>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PPA Start Date</w:t>
            </w:r>
          </w:p>
        </w:tc>
        <w:tc>
          <w:tcPr>
            <w:tcW w:w="1047" w:type="dxa"/>
            <w:shd w:val="clear" w:color="auto" w:fill="808080" w:themeFill="background1" w:themeFillShade="80"/>
            <w:vAlign w:val="center"/>
            <w:hideMark/>
          </w:tcPr>
          <w:p w14:paraId="180A1F4F" w14:textId="77777777" w:rsidR="001C7D23" w:rsidRPr="00147E5A" w:rsidRDefault="001C7D23" w:rsidP="004911AE">
            <w:pPr>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PPA Term Length</w:t>
            </w:r>
          </w:p>
        </w:tc>
        <w:tc>
          <w:tcPr>
            <w:tcW w:w="2178" w:type="dxa"/>
            <w:shd w:val="clear" w:color="auto" w:fill="808080" w:themeFill="background1" w:themeFillShade="80"/>
            <w:vAlign w:val="center"/>
            <w:hideMark/>
          </w:tcPr>
          <w:p w14:paraId="575FE454" w14:textId="77777777" w:rsidR="001C7D23" w:rsidRPr="00147E5A" w:rsidRDefault="001C7D23" w:rsidP="004911AE">
            <w:pPr>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PPA End Date</w:t>
            </w:r>
          </w:p>
        </w:tc>
        <w:tc>
          <w:tcPr>
            <w:tcW w:w="816" w:type="dxa"/>
            <w:shd w:val="clear" w:color="auto" w:fill="808080" w:themeFill="background1" w:themeFillShade="80"/>
            <w:vAlign w:val="center"/>
          </w:tcPr>
          <w:p w14:paraId="14C74110" w14:textId="77777777" w:rsidR="001C7D23" w:rsidRPr="00147E5A" w:rsidRDefault="001C7D23" w:rsidP="004911AE">
            <w:pPr>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 of Projects</w:t>
            </w:r>
          </w:p>
        </w:tc>
      </w:tr>
      <w:tr w:rsidR="00B5494E" w:rsidRPr="00B5494E" w14:paraId="78064F6E" w14:textId="77777777" w:rsidTr="00860829">
        <w:trPr>
          <w:trHeight w:val="433"/>
        </w:trPr>
        <w:tc>
          <w:tcPr>
            <w:tcW w:w="873" w:type="dxa"/>
            <w:shd w:val="clear" w:color="auto" w:fill="auto"/>
            <w:noWrap/>
            <w:vAlign w:val="center"/>
            <w:hideMark/>
          </w:tcPr>
          <w:p w14:paraId="168B3423"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Biomass</w:t>
            </w:r>
          </w:p>
        </w:tc>
        <w:tc>
          <w:tcPr>
            <w:tcW w:w="3479" w:type="dxa"/>
            <w:shd w:val="clear" w:color="auto" w:fill="FFFFFF" w:themeFill="background1"/>
            <w:vAlign w:val="center"/>
            <w:hideMark/>
          </w:tcPr>
          <w:p w14:paraId="755BE074" w14:textId="6743EFDC" w:rsidR="001C7D23" w:rsidRPr="00B5494E" w:rsidRDefault="001C7D23" w:rsidP="004911AE">
            <w:pPr>
              <w:spacing w:after="0" w:line="240" w:lineRule="auto"/>
              <w:rPr>
                <w:rFonts w:eastAsia="Times New Roman"/>
                <w:sz w:val="18"/>
                <w:szCs w:val="18"/>
              </w:rPr>
            </w:pPr>
            <w:r w:rsidRPr="00B5494E">
              <w:rPr>
                <w:sz w:val="18"/>
                <w:szCs w:val="18"/>
              </w:rPr>
              <w:t>20</w:t>
            </w:r>
            <w:r w:rsidR="00B572AD" w:rsidRPr="00B5494E">
              <w:rPr>
                <w:sz w:val="18"/>
                <w:szCs w:val="18"/>
              </w:rPr>
              <w:t>22</w:t>
            </w:r>
            <w:r w:rsidRPr="00B5494E">
              <w:rPr>
                <w:sz w:val="18"/>
                <w:szCs w:val="18"/>
              </w:rPr>
              <w:t xml:space="preserve"> IRP BIOMASS</w:t>
            </w:r>
            <w:r w:rsidR="00880E1B" w:rsidRPr="00B5494E">
              <w:rPr>
                <w:sz w:val="18"/>
                <w:szCs w:val="18"/>
              </w:rPr>
              <w:t xml:space="preserve"> - AGE</w:t>
            </w:r>
            <w:r w:rsidRPr="00B5494E">
              <w:rPr>
                <w:sz w:val="18"/>
                <w:szCs w:val="18"/>
              </w:rPr>
              <w:t xml:space="preserve"> </w:t>
            </w:r>
          </w:p>
        </w:tc>
        <w:tc>
          <w:tcPr>
            <w:tcW w:w="1048" w:type="dxa"/>
            <w:shd w:val="clear" w:color="auto" w:fill="FFFFFF" w:themeFill="background1"/>
            <w:noWrap/>
            <w:vAlign w:val="center"/>
            <w:hideMark/>
          </w:tcPr>
          <w:p w14:paraId="60BEB5C1" w14:textId="2684DB6E" w:rsidR="001C7D23" w:rsidRPr="00B5494E" w:rsidRDefault="00F43D41" w:rsidP="004911AE">
            <w:pPr>
              <w:spacing w:after="0" w:line="240" w:lineRule="auto"/>
              <w:jc w:val="center"/>
              <w:rPr>
                <w:rFonts w:eastAsia="Times New Roman"/>
                <w:sz w:val="18"/>
                <w:szCs w:val="18"/>
              </w:rPr>
            </w:pPr>
            <w:r w:rsidRPr="00B5494E">
              <w:rPr>
                <w:sz w:val="18"/>
                <w:szCs w:val="18"/>
              </w:rPr>
              <w:t>70</w:t>
            </w:r>
          </w:p>
        </w:tc>
        <w:tc>
          <w:tcPr>
            <w:tcW w:w="1080" w:type="dxa"/>
            <w:shd w:val="clear" w:color="auto" w:fill="FFFFFF" w:themeFill="background1"/>
            <w:noWrap/>
            <w:vAlign w:val="center"/>
            <w:hideMark/>
          </w:tcPr>
          <w:p w14:paraId="0F4F9172" w14:textId="36DA3202" w:rsidR="001C7D23" w:rsidRPr="00B5494E" w:rsidRDefault="00880E1B" w:rsidP="004911AE">
            <w:pPr>
              <w:spacing w:after="0" w:line="240" w:lineRule="auto"/>
              <w:jc w:val="center"/>
              <w:rPr>
                <w:rFonts w:eastAsia="Times New Roman" w:cstheme="minorHAnsi"/>
                <w:sz w:val="18"/>
                <w:szCs w:val="18"/>
              </w:rPr>
            </w:pPr>
            <w:r w:rsidRPr="00B5494E">
              <w:rPr>
                <w:rFonts w:cstheme="minorHAnsi"/>
                <w:sz w:val="18"/>
                <w:szCs w:val="18"/>
              </w:rPr>
              <w:t>1</w:t>
            </w:r>
            <w:r w:rsidR="00F311AF" w:rsidRPr="00B5494E">
              <w:rPr>
                <w:rFonts w:cstheme="minorHAnsi"/>
                <w:sz w:val="18"/>
                <w:szCs w:val="18"/>
              </w:rPr>
              <w:t>1</w:t>
            </w:r>
            <w:r w:rsidR="001C7D23" w:rsidRPr="00B5494E">
              <w:rPr>
                <w:rFonts w:cstheme="minorHAnsi"/>
                <w:sz w:val="18"/>
                <w:szCs w:val="18"/>
              </w:rPr>
              <w:t>/</w:t>
            </w:r>
            <w:r w:rsidR="00F311AF" w:rsidRPr="00B5494E">
              <w:rPr>
                <w:rFonts w:cstheme="minorHAnsi"/>
                <w:sz w:val="18"/>
                <w:szCs w:val="18"/>
              </w:rPr>
              <w:t>30</w:t>
            </w:r>
            <w:r w:rsidR="001C7D23" w:rsidRPr="00B5494E">
              <w:rPr>
                <w:rFonts w:cstheme="minorHAnsi"/>
                <w:sz w:val="18"/>
                <w:szCs w:val="18"/>
              </w:rPr>
              <w:t>/20</w:t>
            </w:r>
            <w:r w:rsidR="00F311AF" w:rsidRPr="00B5494E">
              <w:rPr>
                <w:rFonts w:cstheme="minorHAnsi"/>
                <w:sz w:val="18"/>
                <w:szCs w:val="18"/>
              </w:rPr>
              <w:t>29</w:t>
            </w:r>
          </w:p>
        </w:tc>
        <w:tc>
          <w:tcPr>
            <w:tcW w:w="1047" w:type="dxa"/>
            <w:shd w:val="clear" w:color="auto" w:fill="FFFFFF" w:themeFill="background1"/>
            <w:noWrap/>
            <w:vAlign w:val="center"/>
            <w:hideMark/>
          </w:tcPr>
          <w:p w14:paraId="7A8B7E34" w14:textId="48BE3B4C" w:rsidR="001C7D23" w:rsidRPr="00B5494E" w:rsidRDefault="00880E1B" w:rsidP="004911AE">
            <w:pPr>
              <w:spacing w:after="0" w:line="240" w:lineRule="auto"/>
              <w:jc w:val="center"/>
              <w:rPr>
                <w:rFonts w:eastAsia="Times New Roman" w:cstheme="minorHAnsi"/>
                <w:sz w:val="18"/>
                <w:szCs w:val="18"/>
              </w:rPr>
            </w:pPr>
            <w:r w:rsidRPr="00B5494E">
              <w:rPr>
                <w:rFonts w:cstheme="minorHAnsi"/>
                <w:sz w:val="18"/>
                <w:szCs w:val="18"/>
              </w:rPr>
              <w:t>3</w:t>
            </w:r>
            <w:r w:rsidR="001C7D23" w:rsidRPr="00B5494E">
              <w:rPr>
                <w:rFonts w:cstheme="minorHAnsi"/>
                <w:sz w:val="18"/>
                <w:szCs w:val="18"/>
              </w:rPr>
              <w:t>0</w:t>
            </w:r>
          </w:p>
        </w:tc>
        <w:tc>
          <w:tcPr>
            <w:tcW w:w="2178" w:type="dxa"/>
            <w:shd w:val="clear" w:color="auto" w:fill="FFFFFF" w:themeFill="background1"/>
            <w:noWrap/>
            <w:vAlign w:val="center"/>
            <w:hideMark/>
          </w:tcPr>
          <w:p w14:paraId="54758F25" w14:textId="0DB5340E" w:rsidR="001C7D23" w:rsidRPr="00B5494E" w:rsidRDefault="00880E1B" w:rsidP="004911AE">
            <w:pPr>
              <w:spacing w:after="0" w:line="240" w:lineRule="auto"/>
              <w:jc w:val="center"/>
              <w:rPr>
                <w:rFonts w:eastAsia="Times New Roman" w:cstheme="minorHAnsi"/>
                <w:sz w:val="18"/>
                <w:szCs w:val="18"/>
              </w:rPr>
            </w:pPr>
            <w:r w:rsidRPr="00B5494E">
              <w:rPr>
                <w:rFonts w:cstheme="minorHAnsi"/>
                <w:sz w:val="18"/>
                <w:szCs w:val="18"/>
              </w:rPr>
              <w:t>1</w:t>
            </w:r>
            <w:r w:rsidR="00CE49E8" w:rsidRPr="00B5494E">
              <w:rPr>
                <w:rFonts w:cstheme="minorHAnsi"/>
                <w:sz w:val="18"/>
                <w:szCs w:val="18"/>
              </w:rPr>
              <w:t>1</w:t>
            </w:r>
            <w:r w:rsidR="001C7D23" w:rsidRPr="00B5494E">
              <w:rPr>
                <w:rFonts w:cstheme="minorHAnsi"/>
                <w:sz w:val="18"/>
                <w:szCs w:val="18"/>
              </w:rPr>
              <w:t>/</w:t>
            </w:r>
            <w:r w:rsidR="00CE49E8" w:rsidRPr="00B5494E">
              <w:rPr>
                <w:rFonts w:cstheme="minorHAnsi"/>
                <w:sz w:val="18"/>
                <w:szCs w:val="18"/>
              </w:rPr>
              <w:t>29</w:t>
            </w:r>
            <w:r w:rsidR="001C7D23" w:rsidRPr="00B5494E">
              <w:rPr>
                <w:rFonts w:cstheme="minorHAnsi"/>
                <w:sz w:val="18"/>
                <w:szCs w:val="18"/>
              </w:rPr>
              <w:t>/20</w:t>
            </w:r>
            <w:r w:rsidR="00CE49E8" w:rsidRPr="00B5494E">
              <w:rPr>
                <w:rFonts w:cstheme="minorHAnsi"/>
                <w:sz w:val="18"/>
                <w:szCs w:val="18"/>
              </w:rPr>
              <w:t>59</w:t>
            </w:r>
          </w:p>
        </w:tc>
        <w:tc>
          <w:tcPr>
            <w:tcW w:w="816" w:type="dxa"/>
            <w:shd w:val="clear" w:color="auto" w:fill="FFFFFF" w:themeFill="background1"/>
            <w:vAlign w:val="center"/>
          </w:tcPr>
          <w:p w14:paraId="3D015AD4"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0B8F184E" w14:textId="77777777" w:rsidTr="00860829">
        <w:trPr>
          <w:trHeight w:val="433"/>
        </w:trPr>
        <w:tc>
          <w:tcPr>
            <w:tcW w:w="873" w:type="dxa"/>
            <w:shd w:val="clear" w:color="auto" w:fill="FFFFFF" w:themeFill="background1"/>
            <w:noWrap/>
            <w:vAlign w:val="center"/>
            <w:hideMark/>
          </w:tcPr>
          <w:p w14:paraId="252215B1" w14:textId="77777777" w:rsidR="001C7D23" w:rsidRPr="00B5494E" w:rsidRDefault="001C7D23" w:rsidP="004911AE">
            <w:pPr>
              <w:spacing w:after="0" w:line="240" w:lineRule="auto"/>
              <w:jc w:val="center"/>
              <w:rPr>
                <w:rFonts w:eastAsia="Times New Roman" w:cstheme="minorHAnsi"/>
                <w:sz w:val="18"/>
                <w:szCs w:val="18"/>
              </w:rPr>
            </w:pPr>
            <w:r w:rsidRPr="00B5494E">
              <w:rPr>
                <w:rFonts w:eastAsia="Times New Roman" w:cstheme="minorHAnsi"/>
                <w:sz w:val="18"/>
                <w:szCs w:val="18"/>
              </w:rPr>
              <w:t>Biomass</w:t>
            </w:r>
          </w:p>
        </w:tc>
        <w:tc>
          <w:tcPr>
            <w:tcW w:w="3479" w:type="dxa"/>
            <w:shd w:val="clear" w:color="auto" w:fill="FFFFFF" w:themeFill="background1"/>
            <w:vAlign w:val="center"/>
            <w:hideMark/>
          </w:tcPr>
          <w:p w14:paraId="27A6DBFA" w14:textId="77777777" w:rsidR="001C7D23" w:rsidRPr="00B5494E" w:rsidRDefault="001C7D23" w:rsidP="004911AE">
            <w:pPr>
              <w:spacing w:after="0" w:line="240" w:lineRule="auto"/>
              <w:rPr>
                <w:rFonts w:eastAsia="Times New Roman" w:cstheme="minorHAnsi"/>
                <w:sz w:val="18"/>
                <w:szCs w:val="18"/>
              </w:rPr>
            </w:pPr>
            <w:r w:rsidRPr="00B5494E">
              <w:rPr>
                <w:rFonts w:eastAsia="Times New Roman" w:cstheme="minorHAnsi"/>
                <w:sz w:val="18"/>
                <w:szCs w:val="18"/>
              </w:rPr>
              <w:t>ALBANY RENEWABLE ENERGY</w:t>
            </w:r>
          </w:p>
        </w:tc>
        <w:tc>
          <w:tcPr>
            <w:tcW w:w="1048" w:type="dxa"/>
            <w:shd w:val="clear" w:color="auto" w:fill="FFFFFF" w:themeFill="background1"/>
            <w:noWrap/>
            <w:vAlign w:val="center"/>
            <w:hideMark/>
          </w:tcPr>
          <w:p w14:paraId="4751D3E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49.5</w:t>
            </w:r>
          </w:p>
        </w:tc>
        <w:tc>
          <w:tcPr>
            <w:tcW w:w="1080" w:type="dxa"/>
            <w:shd w:val="clear" w:color="auto" w:fill="FFFFFF" w:themeFill="background1"/>
            <w:noWrap/>
            <w:vAlign w:val="center"/>
            <w:hideMark/>
          </w:tcPr>
          <w:p w14:paraId="293ADC5F"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6/1/2017</w:t>
            </w:r>
          </w:p>
        </w:tc>
        <w:tc>
          <w:tcPr>
            <w:tcW w:w="1047" w:type="dxa"/>
            <w:shd w:val="clear" w:color="auto" w:fill="FFFFFF" w:themeFill="background1"/>
            <w:noWrap/>
            <w:vAlign w:val="center"/>
            <w:hideMark/>
          </w:tcPr>
          <w:p w14:paraId="5224FCBB"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7000721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5/31/2037</w:t>
            </w:r>
          </w:p>
        </w:tc>
        <w:tc>
          <w:tcPr>
            <w:tcW w:w="816" w:type="dxa"/>
            <w:shd w:val="clear" w:color="auto" w:fill="FFFFFF" w:themeFill="background1"/>
            <w:vAlign w:val="center"/>
          </w:tcPr>
          <w:p w14:paraId="5C24D1BD"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48425108" w14:textId="77777777" w:rsidTr="00860829">
        <w:trPr>
          <w:trHeight w:val="433"/>
        </w:trPr>
        <w:tc>
          <w:tcPr>
            <w:tcW w:w="873" w:type="dxa"/>
            <w:shd w:val="clear" w:color="auto" w:fill="FFFFFF" w:themeFill="background1"/>
            <w:noWrap/>
            <w:vAlign w:val="center"/>
            <w:hideMark/>
          </w:tcPr>
          <w:p w14:paraId="0BA4173F" w14:textId="77777777" w:rsidR="001C7D23" w:rsidRPr="00B5494E" w:rsidRDefault="001C7D23" w:rsidP="004911AE">
            <w:pPr>
              <w:spacing w:after="0" w:line="240" w:lineRule="auto"/>
              <w:jc w:val="center"/>
              <w:rPr>
                <w:rFonts w:eastAsia="Times New Roman" w:cstheme="minorHAnsi"/>
                <w:sz w:val="18"/>
                <w:szCs w:val="18"/>
              </w:rPr>
            </w:pPr>
            <w:r w:rsidRPr="00B5494E">
              <w:rPr>
                <w:rFonts w:eastAsia="Times New Roman" w:cstheme="minorHAnsi"/>
                <w:sz w:val="18"/>
                <w:szCs w:val="18"/>
              </w:rPr>
              <w:t>Biomass</w:t>
            </w:r>
          </w:p>
        </w:tc>
        <w:tc>
          <w:tcPr>
            <w:tcW w:w="3479" w:type="dxa"/>
            <w:shd w:val="clear" w:color="auto" w:fill="FFFFFF" w:themeFill="background1"/>
            <w:vAlign w:val="center"/>
            <w:hideMark/>
          </w:tcPr>
          <w:p w14:paraId="311C7420" w14:textId="77777777" w:rsidR="001C7D23" w:rsidRPr="00B5494E" w:rsidRDefault="001C7D23" w:rsidP="004911AE">
            <w:pPr>
              <w:spacing w:after="0" w:line="240" w:lineRule="auto"/>
              <w:rPr>
                <w:rFonts w:eastAsia="Times New Roman" w:cstheme="minorHAnsi"/>
                <w:sz w:val="18"/>
                <w:szCs w:val="18"/>
              </w:rPr>
            </w:pPr>
            <w:r w:rsidRPr="00B5494E">
              <w:rPr>
                <w:rFonts w:eastAsia="Times New Roman" w:cstheme="minorHAnsi"/>
                <w:sz w:val="18"/>
                <w:szCs w:val="18"/>
              </w:rPr>
              <w:t>GEORGIA RENEWABLE POWER FRANKLIN LLC</w:t>
            </w:r>
          </w:p>
        </w:tc>
        <w:tc>
          <w:tcPr>
            <w:tcW w:w="1048" w:type="dxa"/>
            <w:shd w:val="clear" w:color="auto" w:fill="FFFFFF" w:themeFill="background1"/>
            <w:noWrap/>
            <w:vAlign w:val="center"/>
            <w:hideMark/>
          </w:tcPr>
          <w:p w14:paraId="2B9FB7DC"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58</w:t>
            </w:r>
          </w:p>
        </w:tc>
        <w:tc>
          <w:tcPr>
            <w:tcW w:w="1080" w:type="dxa"/>
            <w:shd w:val="clear" w:color="auto" w:fill="FFFFFF" w:themeFill="background1"/>
            <w:noWrap/>
            <w:vAlign w:val="center"/>
            <w:hideMark/>
          </w:tcPr>
          <w:p w14:paraId="295D2A4C"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12/14/2019</w:t>
            </w:r>
          </w:p>
        </w:tc>
        <w:tc>
          <w:tcPr>
            <w:tcW w:w="1047" w:type="dxa"/>
            <w:shd w:val="clear" w:color="auto" w:fill="FFFFFF" w:themeFill="background1"/>
            <w:noWrap/>
            <w:vAlign w:val="center"/>
            <w:hideMark/>
          </w:tcPr>
          <w:p w14:paraId="762C620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27</w:t>
            </w:r>
          </w:p>
        </w:tc>
        <w:tc>
          <w:tcPr>
            <w:tcW w:w="2178" w:type="dxa"/>
            <w:shd w:val="clear" w:color="auto" w:fill="FFFFFF" w:themeFill="background1"/>
            <w:noWrap/>
            <w:vAlign w:val="center"/>
            <w:hideMark/>
          </w:tcPr>
          <w:p w14:paraId="1FB8834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5/31/2047</w:t>
            </w:r>
          </w:p>
        </w:tc>
        <w:tc>
          <w:tcPr>
            <w:tcW w:w="816" w:type="dxa"/>
            <w:shd w:val="clear" w:color="auto" w:fill="FFFFFF" w:themeFill="background1"/>
            <w:vAlign w:val="center"/>
          </w:tcPr>
          <w:p w14:paraId="0490F637"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0B5BB8A8" w14:textId="77777777" w:rsidTr="00860829">
        <w:trPr>
          <w:trHeight w:val="433"/>
        </w:trPr>
        <w:tc>
          <w:tcPr>
            <w:tcW w:w="873" w:type="dxa"/>
            <w:shd w:val="clear" w:color="auto" w:fill="FFFFFF" w:themeFill="background1"/>
            <w:noWrap/>
            <w:vAlign w:val="center"/>
            <w:hideMark/>
          </w:tcPr>
          <w:p w14:paraId="332B6A76" w14:textId="77777777" w:rsidR="001C7D23" w:rsidRPr="00B5494E" w:rsidRDefault="001C7D23" w:rsidP="004911AE">
            <w:pPr>
              <w:spacing w:after="0" w:line="240" w:lineRule="auto"/>
              <w:jc w:val="center"/>
              <w:rPr>
                <w:rFonts w:eastAsia="Times New Roman" w:cstheme="minorHAnsi"/>
                <w:sz w:val="18"/>
                <w:szCs w:val="18"/>
              </w:rPr>
            </w:pPr>
            <w:r w:rsidRPr="00B5494E">
              <w:rPr>
                <w:rFonts w:eastAsia="Times New Roman" w:cstheme="minorHAnsi"/>
                <w:sz w:val="18"/>
                <w:szCs w:val="18"/>
              </w:rPr>
              <w:t>Biomass</w:t>
            </w:r>
          </w:p>
        </w:tc>
        <w:tc>
          <w:tcPr>
            <w:tcW w:w="3479" w:type="dxa"/>
            <w:shd w:val="clear" w:color="auto" w:fill="FFFFFF" w:themeFill="background1"/>
            <w:vAlign w:val="center"/>
            <w:hideMark/>
          </w:tcPr>
          <w:p w14:paraId="23A00071" w14:textId="77777777" w:rsidR="001C7D23" w:rsidRPr="00B5494E" w:rsidRDefault="001C7D23" w:rsidP="004911AE">
            <w:pPr>
              <w:spacing w:after="0" w:line="240" w:lineRule="auto"/>
              <w:rPr>
                <w:rFonts w:eastAsia="Times New Roman" w:cstheme="minorHAnsi"/>
                <w:sz w:val="18"/>
                <w:szCs w:val="18"/>
              </w:rPr>
            </w:pPr>
            <w:r w:rsidRPr="00B5494E">
              <w:rPr>
                <w:rFonts w:eastAsia="Times New Roman" w:cstheme="minorHAnsi"/>
                <w:sz w:val="18"/>
                <w:szCs w:val="18"/>
              </w:rPr>
              <w:t>GEORGIA RENEWABLE POWER MADISON</w:t>
            </w:r>
          </w:p>
        </w:tc>
        <w:tc>
          <w:tcPr>
            <w:tcW w:w="1048" w:type="dxa"/>
            <w:shd w:val="clear" w:color="auto" w:fill="FFFFFF" w:themeFill="background1"/>
            <w:noWrap/>
            <w:vAlign w:val="center"/>
            <w:hideMark/>
          </w:tcPr>
          <w:p w14:paraId="4C3DC52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58</w:t>
            </w:r>
          </w:p>
        </w:tc>
        <w:tc>
          <w:tcPr>
            <w:tcW w:w="1080" w:type="dxa"/>
            <w:shd w:val="clear" w:color="auto" w:fill="FFFFFF" w:themeFill="background1"/>
            <w:noWrap/>
            <w:vAlign w:val="center"/>
            <w:hideMark/>
          </w:tcPr>
          <w:p w14:paraId="78C0EAF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12/14/2019</w:t>
            </w:r>
          </w:p>
        </w:tc>
        <w:tc>
          <w:tcPr>
            <w:tcW w:w="1047" w:type="dxa"/>
            <w:shd w:val="clear" w:color="auto" w:fill="FFFFFF" w:themeFill="background1"/>
            <w:noWrap/>
            <w:vAlign w:val="center"/>
            <w:hideMark/>
          </w:tcPr>
          <w:p w14:paraId="1C02ED5C"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27</w:t>
            </w:r>
          </w:p>
        </w:tc>
        <w:tc>
          <w:tcPr>
            <w:tcW w:w="2178" w:type="dxa"/>
            <w:shd w:val="clear" w:color="auto" w:fill="FFFFFF" w:themeFill="background1"/>
            <w:noWrap/>
            <w:vAlign w:val="center"/>
            <w:hideMark/>
          </w:tcPr>
          <w:p w14:paraId="37589DF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5/31/2047</w:t>
            </w:r>
          </w:p>
        </w:tc>
        <w:tc>
          <w:tcPr>
            <w:tcW w:w="816" w:type="dxa"/>
            <w:shd w:val="clear" w:color="auto" w:fill="FFFFFF" w:themeFill="background1"/>
            <w:vAlign w:val="center"/>
          </w:tcPr>
          <w:p w14:paraId="5DB1DC42"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2B09A3C7" w14:textId="77777777" w:rsidTr="00860829">
        <w:trPr>
          <w:trHeight w:val="433"/>
        </w:trPr>
        <w:tc>
          <w:tcPr>
            <w:tcW w:w="873" w:type="dxa"/>
            <w:shd w:val="clear" w:color="auto" w:fill="FFFFFF" w:themeFill="background1"/>
            <w:noWrap/>
            <w:vAlign w:val="center"/>
            <w:hideMark/>
          </w:tcPr>
          <w:p w14:paraId="58C7AEFD" w14:textId="77777777" w:rsidR="001C7D23" w:rsidRPr="00B5494E" w:rsidRDefault="001C7D23" w:rsidP="004911AE">
            <w:pPr>
              <w:spacing w:after="0" w:line="240" w:lineRule="auto"/>
              <w:jc w:val="center"/>
              <w:rPr>
                <w:rFonts w:eastAsia="Times New Roman" w:cstheme="minorHAnsi"/>
                <w:sz w:val="18"/>
                <w:szCs w:val="18"/>
              </w:rPr>
            </w:pPr>
            <w:r w:rsidRPr="00B5494E">
              <w:rPr>
                <w:rFonts w:eastAsia="Times New Roman" w:cstheme="minorHAnsi"/>
                <w:sz w:val="18"/>
                <w:szCs w:val="18"/>
              </w:rPr>
              <w:t>Biomass</w:t>
            </w:r>
          </w:p>
        </w:tc>
        <w:tc>
          <w:tcPr>
            <w:tcW w:w="3479" w:type="dxa"/>
            <w:shd w:val="clear" w:color="auto" w:fill="FFFFFF" w:themeFill="background1"/>
            <w:vAlign w:val="center"/>
            <w:hideMark/>
          </w:tcPr>
          <w:p w14:paraId="7F911552" w14:textId="77777777" w:rsidR="001C7D23" w:rsidRPr="00B5494E" w:rsidRDefault="001C7D23" w:rsidP="004911AE">
            <w:pPr>
              <w:spacing w:after="0" w:line="240" w:lineRule="auto"/>
              <w:rPr>
                <w:rFonts w:eastAsia="Times New Roman" w:cstheme="minorHAnsi"/>
                <w:sz w:val="18"/>
                <w:szCs w:val="18"/>
              </w:rPr>
            </w:pPr>
            <w:r w:rsidRPr="00B5494E">
              <w:rPr>
                <w:rFonts w:eastAsia="Times New Roman" w:cstheme="minorHAnsi"/>
                <w:sz w:val="18"/>
                <w:szCs w:val="18"/>
              </w:rPr>
              <w:t>GREEN POWER SOLUTIONS</w:t>
            </w:r>
          </w:p>
        </w:tc>
        <w:tc>
          <w:tcPr>
            <w:tcW w:w="1048" w:type="dxa"/>
            <w:shd w:val="clear" w:color="auto" w:fill="FFFFFF" w:themeFill="background1"/>
            <w:noWrap/>
            <w:vAlign w:val="center"/>
            <w:hideMark/>
          </w:tcPr>
          <w:p w14:paraId="7BEBDCD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29</w:t>
            </w:r>
          </w:p>
        </w:tc>
        <w:tc>
          <w:tcPr>
            <w:tcW w:w="1080" w:type="dxa"/>
            <w:shd w:val="clear" w:color="auto" w:fill="FFFFFF" w:themeFill="background1"/>
            <w:noWrap/>
            <w:vAlign w:val="center"/>
            <w:hideMark/>
          </w:tcPr>
          <w:p w14:paraId="22839C8A"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6/1/2015</w:t>
            </w:r>
          </w:p>
        </w:tc>
        <w:tc>
          <w:tcPr>
            <w:tcW w:w="1047" w:type="dxa"/>
            <w:shd w:val="clear" w:color="auto" w:fill="FFFFFF" w:themeFill="background1"/>
            <w:noWrap/>
            <w:vAlign w:val="center"/>
            <w:hideMark/>
          </w:tcPr>
          <w:p w14:paraId="2E1926C9"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15F1BFE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5/31/2035</w:t>
            </w:r>
          </w:p>
        </w:tc>
        <w:tc>
          <w:tcPr>
            <w:tcW w:w="816" w:type="dxa"/>
            <w:shd w:val="clear" w:color="auto" w:fill="FFFFFF" w:themeFill="background1"/>
            <w:vAlign w:val="center"/>
          </w:tcPr>
          <w:p w14:paraId="765B639E"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7589597F" w14:textId="77777777" w:rsidTr="00860829">
        <w:trPr>
          <w:trHeight w:val="433"/>
        </w:trPr>
        <w:tc>
          <w:tcPr>
            <w:tcW w:w="873" w:type="dxa"/>
            <w:shd w:val="clear" w:color="auto" w:fill="FFFFFF" w:themeFill="background1"/>
            <w:noWrap/>
            <w:vAlign w:val="center"/>
            <w:hideMark/>
          </w:tcPr>
          <w:p w14:paraId="2BDCDB0B" w14:textId="77777777" w:rsidR="001C7D23" w:rsidRPr="00B5494E" w:rsidRDefault="001C7D23" w:rsidP="004911AE">
            <w:pPr>
              <w:spacing w:after="0" w:line="240" w:lineRule="auto"/>
              <w:jc w:val="center"/>
              <w:rPr>
                <w:rFonts w:eastAsia="Times New Roman" w:cstheme="minorHAnsi"/>
                <w:sz w:val="18"/>
                <w:szCs w:val="18"/>
              </w:rPr>
            </w:pPr>
            <w:r w:rsidRPr="00B5494E">
              <w:rPr>
                <w:rFonts w:eastAsia="Times New Roman" w:cstheme="minorHAnsi"/>
                <w:sz w:val="18"/>
                <w:szCs w:val="18"/>
              </w:rPr>
              <w:t>Biomass</w:t>
            </w:r>
          </w:p>
        </w:tc>
        <w:tc>
          <w:tcPr>
            <w:tcW w:w="3479" w:type="dxa"/>
            <w:shd w:val="clear" w:color="auto" w:fill="FFFFFF" w:themeFill="background1"/>
            <w:vAlign w:val="center"/>
            <w:hideMark/>
          </w:tcPr>
          <w:p w14:paraId="52CBEEFD" w14:textId="77777777" w:rsidR="001C7D23" w:rsidRPr="00B5494E" w:rsidRDefault="001C7D23" w:rsidP="004911AE">
            <w:pPr>
              <w:spacing w:after="0" w:line="240" w:lineRule="auto"/>
              <w:rPr>
                <w:rFonts w:eastAsia="Times New Roman" w:cstheme="minorHAnsi"/>
                <w:sz w:val="18"/>
                <w:szCs w:val="18"/>
              </w:rPr>
            </w:pPr>
            <w:r w:rsidRPr="00B5494E">
              <w:rPr>
                <w:rFonts w:eastAsia="Times New Roman" w:cstheme="minorHAnsi"/>
                <w:sz w:val="18"/>
                <w:szCs w:val="18"/>
              </w:rPr>
              <w:t>INTERNATIONAL PAPER - FLINT RIVER</w:t>
            </w:r>
          </w:p>
        </w:tc>
        <w:tc>
          <w:tcPr>
            <w:tcW w:w="1048" w:type="dxa"/>
            <w:shd w:val="clear" w:color="auto" w:fill="FFFFFF" w:themeFill="background1"/>
            <w:noWrap/>
            <w:vAlign w:val="center"/>
            <w:hideMark/>
          </w:tcPr>
          <w:p w14:paraId="749C5060" w14:textId="356F021B"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w:t>
            </w:r>
            <w:r w:rsidR="00254FAF" w:rsidRPr="00B5494E">
              <w:rPr>
                <w:rFonts w:cstheme="minorHAnsi"/>
                <w:sz w:val="18"/>
                <w:szCs w:val="18"/>
              </w:rPr>
              <w:t>6.9</w:t>
            </w:r>
          </w:p>
        </w:tc>
        <w:tc>
          <w:tcPr>
            <w:tcW w:w="1080" w:type="dxa"/>
            <w:shd w:val="clear" w:color="auto" w:fill="FFFFFF" w:themeFill="background1"/>
            <w:noWrap/>
            <w:vAlign w:val="center"/>
            <w:hideMark/>
          </w:tcPr>
          <w:p w14:paraId="2BC4655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6/1/2015</w:t>
            </w:r>
          </w:p>
        </w:tc>
        <w:tc>
          <w:tcPr>
            <w:tcW w:w="1047" w:type="dxa"/>
            <w:shd w:val="clear" w:color="auto" w:fill="FFFFFF" w:themeFill="background1"/>
            <w:noWrap/>
            <w:vAlign w:val="center"/>
            <w:hideMark/>
          </w:tcPr>
          <w:p w14:paraId="28718F9B"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22</w:t>
            </w:r>
          </w:p>
        </w:tc>
        <w:tc>
          <w:tcPr>
            <w:tcW w:w="2178" w:type="dxa"/>
            <w:shd w:val="clear" w:color="auto" w:fill="FFFFFF" w:themeFill="background1"/>
            <w:noWrap/>
            <w:vAlign w:val="center"/>
            <w:hideMark/>
          </w:tcPr>
          <w:p w14:paraId="279EF996" w14:textId="68B443B8" w:rsidR="001C7D23" w:rsidRPr="00B5494E" w:rsidRDefault="00023317" w:rsidP="004911AE">
            <w:pPr>
              <w:spacing w:after="0" w:line="240" w:lineRule="auto"/>
              <w:jc w:val="center"/>
              <w:rPr>
                <w:rFonts w:eastAsia="Times New Roman" w:cstheme="minorHAnsi"/>
                <w:sz w:val="18"/>
                <w:szCs w:val="18"/>
              </w:rPr>
            </w:pPr>
            <w:r w:rsidRPr="00B5494E">
              <w:rPr>
                <w:rFonts w:cstheme="minorHAnsi"/>
                <w:sz w:val="18"/>
                <w:szCs w:val="18"/>
              </w:rPr>
              <w:t>10</w:t>
            </w:r>
            <w:r w:rsidR="001C7D23" w:rsidRPr="00B5494E">
              <w:rPr>
                <w:rFonts w:cstheme="minorHAnsi"/>
                <w:sz w:val="18"/>
                <w:szCs w:val="18"/>
              </w:rPr>
              <w:t>/</w:t>
            </w:r>
            <w:r w:rsidRPr="00B5494E">
              <w:rPr>
                <w:rFonts w:cstheme="minorHAnsi"/>
                <w:sz w:val="18"/>
                <w:szCs w:val="18"/>
              </w:rPr>
              <w:t>7</w:t>
            </w:r>
            <w:r w:rsidR="001C7D23" w:rsidRPr="00B5494E">
              <w:rPr>
                <w:rFonts w:cstheme="minorHAnsi"/>
                <w:sz w:val="18"/>
                <w:szCs w:val="18"/>
              </w:rPr>
              <w:t>/203</w:t>
            </w:r>
            <w:r w:rsidR="00254FAF" w:rsidRPr="00B5494E">
              <w:rPr>
                <w:rFonts w:cstheme="minorHAnsi"/>
                <w:sz w:val="18"/>
                <w:szCs w:val="18"/>
              </w:rPr>
              <w:t>6</w:t>
            </w:r>
          </w:p>
        </w:tc>
        <w:tc>
          <w:tcPr>
            <w:tcW w:w="816" w:type="dxa"/>
            <w:shd w:val="clear" w:color="auto" w:fill="FFFFFF" w:themeFill="background1"/>
            <w:vAlign w:val="center"/>
          </w:tcPr>
          <w:p w14:paraId="18D9C5E3"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3CFD1D77" w14:textId="77777777" w:rsidTr="00860829">
        <w:trPr>
          <w:trHeight w:val="433"/>
        </w:trPr>
        <w:tc>
          <w:tcPr>
            <w:tcW w:w="873" w:type="dxa"/>
            <w:shd w:val="clear" w:color="auto" w:fill="FFFFFF" w:themeFill="background1"/>
            <w:noWrap/>
            <w:vAlign w:val="center"/>
            <w:hideMark/>
          </w:tcPr>
          <w:p w14:paraId="313B5AA5" w14:textId="77777777" w:rsidR="001C7D23" w:rsidRPr="00B5494E" w:rsidRDefault="001C7D23" w:rsidP="004911AE">
            <w:pPr>
              <w:spacing w:after="0" w:line="240" w:lineRule="auto"/>
              <w:jc w:val="center"/>
              <w:rPr>
                <w:rFonts w:eastAsia="Times New Roman" w:cstheme="minorHAnsi"/>
                <w:sz w:val="18"/>
                <w:szCs w:val="18"/>
              </w:rPr>
            </w:pPr>
            <w:r w:rsidRPr="00B5494E">
              <w:rPr>
                <w:rFonts w:eastAsia="Times New Roman" w:cstheme="minorHAnsi"/>
                <w:sz w:val="18"/>
                <w:szCs w:val="18"/>
              </w:rPr>
              <w:t>Biomass</w:t>
            </w:r>
          </w:p>
        </w:tc>
        <w:tc>
          <w:tcPr>
            <w:tcW w:w="3479" w:type="dxa"/>
            <w:shd w:val="clear" w:color="auto" w:fill="FFFFFF" w:themeFill="background1"/>
            <w:vAlign w:val="center"/>
            <w:hideMark/>
          </w:tcPr>
          <w:p w14:paraId="4D112902" w14:textId="66A182A0" w:rsidR="001C7D23" w:rsidRPr="00B5494E" w:rsidRDefault="001C7D23" w:rsidP="004911AE">
            <w:pPr>
              <w:spacing w:after="0" w:line="240" w:lineRule="auto"/>
              <w:rPr>
                <w:rFonts w:eastAsia="Times New Roman" w:cstheme="minorHAnsi"/>
                <w:sz w:val="18"/>
                <w:szCs w:val="18"/>
              </w:rPr>
            </w:pPr>
            <w:r w:rsidRPr="00B5494E">
              <w:rPr>
                <w:rFonts w:eastAsia="Times New Roman"/>
                <w:sz w:val="18"/>
                <w:szCs w:val="18"/>
              </w:rPr>
              <w:t>INTERNATIONAL PAPER - PORT WENTWORTH</w:t>
            </w:r>
            <w:r w:rsidR="00E67C52" w:rsidRPr="00B5494E">
              <w:rPr>
                <w:rStyle w:val="FootnoteReference"/>
                <w:rFonts w:eastAsia="Times New Roman" w:cstheme="minorHAnsi"/>
                <w:sz w:val="18"/>
                <w:szCs w:val="18"/>
              </w:rPr>
              <w:footnoteReference w:id="46"/>
            </w:r>
          </w:p>
        </w:tc>
        <w:tc>
          <w:tcPr>
            <w:tcW w:w="1048" w:type="dxa"/>
            <w:shd w:val="clear" w:color="auto" w:fill="FFFFFF" w:themeFill="background1"/>
            <w:noWrap/>
            <w:vAlign w:val="center"/>
            <w:hideMark/>
          </w:tcPr>
          <w:p w14:paraId="265F0CFE" w14:textId="2CF7F43D"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w:t>
            </w:r>
            <w:r w:rsidR="00254FAF" w:rsidRPr="00B5494E">
              <w:rPr>
                <w:rFonts w:cstheme="minorHAnsi"/>
                <w:sz w:val="18"/>
                <w:szCs w:val="18"/>
              </w:rPr>
              <w:t>9.5</w:t>
            </w:r>
          </w:p>
        </w:tc>
        <w:tc>
          <w:tcPr>
            <w:tcW w:w="1080" w:type="dxa"/>
            <w:shd w:val="clear" w:color="auto" w:fill="FFFFFF" w:themeFill="background1"/>
            <w:noWrap/>
            <w:vAlign w:val="center"/>
            <w:hideMark/>
          </w:tcPr>
          <w:p w14:paraId="278228E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4/13/2017</w:t>
            </w:r>
          </w:p>
        </w:tc>
        <w:tc>
          <w:tcPr>
            <w:tcW w:w="1047" w:type="dxa"/>
            <w:shd w:val="clear" w:color="auto" w:fill="FFFFFF" w:themeFill="background1"/>
            <w:noWrap/>
            <w:vAlign w:val="center"/>
            <w:hideMark/>
          </w:tcPr>
          <w:p w14:paraId="47678AA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6A3EB148" w14:textId="6696E194" w:rsidR="001C7D23" w:rsidRPr="00B5494E" w:rsidRDefault="00552389" w:rsidP="004911AE">
            <w:pPr>
              <w:spacing w:after="0" w:line="240" w:lineRule="auto"/>
              <w:jc w:val="center"/>
              <w:rPr>
                <w:rFonts w:eastAsia="Times New Roman" w:cstheme="minorHAnsi"/>
                <w:sz w:val="18"/>
                <w:szCs w:val="18"/>
              </w:rPr>
            </w:pPr>
            <w:r w:rsidRPr="00B5494E">
              <w:rPr>
                <w:rFonts w:cstheme="minorHAnsi"/>
                <w:sz w:val="18"/>
                <w:szCs w:val="18"/>
              </w:rPr>
              <w:t>5</w:t>
            </w:r>
            <w:r w:rsidR="001C7D23" w:rsidRPr="00B5494E">
              <w:rPr>
                <w:rFonts w:cstheme="minorHAnsi"/>
                <w:sz w:val="18"/>
                <w:szCs w:val="18"/>
              </w:rPr>
              <w:t>/31/2037</w:t>
            </w:r>
          </w:p>
        </w:tc>
        <w:tc>
          <w:tcPr>
            <w:tcW w:w="816" w:type="dxa"/>
            <w:shd w:val="clear" w:color="auto" w:fill="FFFFFF" w:themeFill="background1"/>
            <w:vAlign w:val="center"/>
          </w:tcPr>
          <w:p w14:paraId="02241317"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478244EB" w14:textId="77777777" w:rsidTr="00860829">
        <w:trPr>
          <w:trHeight w:val="433"/>
        </w:trPr>
        <w:tc>
          <w:tcPr>
            <w:tcW w:w="873" w:type="dxa"/>
            <w:shd w:val="clear" w:color="auto" w:fill="FFFFFF" w:themeFill="background1"/>
            <w:noWrap/>
            <w:vAlign w:val="center"/>
            <w:hideMark/>
          </w:tcPr>
          <w:p w14:paraId="55603C57" w14:textId="77777777" w:rsidR="001C7D23" w:rsidRPr="00B5494E" w:rsidRDefault="001C7D23" w:rsidP="004911AE">
            <w:pPr>
              <w:spacing w:after="0" w:line="240" w:lineRule="auto"/>
              <w:jc w:val="center"/>
              <w:rPr>
                <w:rFonts w:eastAsia="Times New Roman" w:cstheme="minorHAnsi"/>
                <w:sz w:val="18"/>
                <w:szCs w:val="18"/>
              </w:rPr>
            </w:pPr>
            <w:r w:rsidRPr="00B5494E">
              <w:rPr>
                <w:rFonts w:eastAsia="Times New Roman" w:cstheme="minorHAnsi"/>
                <w:sz w:val="18"/>
                <w:szCs w:val="18"/>
              </w:rPr>
              <w:t>Biomass</w:t>
            </w:r>
          </w:p>
        </w:tc>
        <w:tc>
          <w:tcPr>
            <w:tcW w:w="3479" w:type="dxa"/>
            <w:shd w:val="clear" w:color="auto" w:fill="FFFFFF" w:themeFill="background1"/>
            <w:vAlign w:val="center"/>
            <w:hideMark/>
          </w:tcPr>
          <w:p w14:paraId="67F7CBD7" w14:textId="77777777" w:rsidR="001C7D23" w:rsidRPr="00B5494E" w:rsidRDefault="001C7D23" w:rsidP="004911AE">
            <w:pPr>
              <w:spacing w:after="0" w:line="240" w:lineRule="auto"/>
              <w:rPr>
                <w:rFonts w:eastAsia="Times New Roman" w:cstheme="minorHAnsi"/>
                <w:sz w:val="18"/>
                <w:szCs w:val="18"/>
              </w:rPr>
            </w:pPr>
            <w:r w:rsidRPr="00B5494E">
              <w:rPr>
                <w:rFonts w:eastAsia="Times New Roman" w:cstheme="minorHAnsi"/>
                <w:sz w:val="18"/>
                <w:szCs w:val="18"/>
              </w:rPr>
              <w:t>PIEDMONT GREEN POWER</w:t>
            </w:r>
          </w:p>
        </w:tc>
        <w:tc>
          <w:tcPr>
            <w:tcW w:w="1048" w:type="dxa"/>
            <w:shd w:val="clear" w:color="auto" w:fill="FFFFFF" w:themeFill="background1"/>
            <w:noWrap/>
            <w:vAlign w:val="center"/>
            <w:hideMark/>
          </w:tcPr>
          <w:p w14:paraId="2853E913"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55</w:t>
            </w:r>
          </w:p>
        </w:tc>
        <w:tc>
          <w:tcPr>
            <w:tcW w:w="1080" w:type="dxa"/>
            <w:shd w:val="clear" w:color="auto" w:fill="FFFFFF" w:themeFill="background1"/>
            <w:noWrap/>
            <w:vAlign w:val="center"/>
            <w:hideMark/>
          </w:tcPr>
          <w:p w14:paraId="36213BF2" w14:textId="7C57FBC7" w:rsidR="001C7D23" w:rsidRPr="00B5494E" w:rsidRDefault="00C10ED7" w:rsidP="004911AE">
            <w:pPr>
              <w:spacing w:after="0" w:line="240" w:lineRule="auto"/>
              <w:jc w:val="center"/>
              <w:rPr>
                <w:rFonts w:eastAsia="Times New Roman" w:cstheme="minorHAnsi"/>
                <w:sz w:val="18"/>
                <w:szCs w:val="18"/>
              </w:rPr>
            </w:pPr>
            <w:r w:rsidRPr="00B5494E">
              <w:rPr>
                <w:rFonts w:cstheme="minorHAnsi"/>
                <w:sz w:val="18"/>
                <w:szCs w:val="18"/>
              </w:rPr>
              <w:t>4</w:t>
            </w:r>
            <w:r w:rsidR="001C7D23" w:rsidRPr="00B5494E">
              <w:rPr>
                <w:rFonts w:cstheme="minorHAnsi"/>
                <w:sz w:val="18"/>
                <w:szCs w:val="18"/>
              </w:rPr>
              <w:t>/1</w:t>
            </w:r>
            <w:r w:rsidR="00B95756" w:rsidRPr="00B5494E">
              <w:rPr>
                <w:rFonts w:cstheme="minorHAnsi"/>
                <w:sz w:val="18"/>
                <w:szCs w:val="18"/>
              </w:rPr>
              <w:t>9</w:t>
            </w:r>
            <w:r w:rsidR="001C7D23" w:rsidRPr="00B5494E">
              <w:rPr>
                <w:rFonts w:cstheme="minorHAnsi"/>
                <w:sz w:val="18"/>
                <w:szCs w:val="18"/>
              </w:rPr>
              <w:t>/201</w:t>
            </w:r>
            <w:r w:rsidR="007E1329" w:rsidRPr="00B5494E">
              <w:rPr>
                <w:rFonts w:cstheme="minorHAnsi"/>
                <w:sz w:val="18"/>
                <w:szCs w:val="18"/>
              </w:rPr>
              <w:t>3</w:t>
            </w:r>
          </w:p>
        </w:tc>
        <w:tc>
          <w:tcPr>
            <w:tcW w:w="1047" w:type="dxa"/>
            <w:shd w:val="clear" w:color="auto" w:fill="FFFFFF" w:themeFill="background1"/>
            <w:noWrap/>
            <w:vAlign w:val="center"/>
            <w:hideMark/>
          </w:tcPr>
          <w:p w14:paraId="340575AD"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5080419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9/30/2032</w:t>
            </w:r>
          </w:p>
        </w:tc>
        <w:tc>
          <w:tcPr>
            <w:tcW w:w="816" w:type="dxa"/>
            <w:shd w:val="clear" w:color="auto" w:fill="FFFFFF" w:themeFill="background1"/>
            <w:vAlign w:val="center"/>
          </w:tcPr>
          <w:p w14:paraId="63622715"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2F5A1E57" w14:textId="77777777" w:rsidTr="00860829">
        <w:trPr>
          <w:trHeight w:val="433"/>
        </w:trPr>
        <w:tc>
          <w:tcPr>
            <w:tcW w:w="873" w:type="dxa"/>
            <w:shd w:val="clear" w:color="auto" w:fill="FFFFFF" w:themeFill="background1"/>
            <w:noWrap/>
            <w:vAlign w:val="center"/>
            <w:hideMark/>
          </w:tcPr>
          <w:p w14:paraId="6B9AC19C"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LFG</w:t>
            </w:r>
          </w:p>
        </w:tc>
        <w:tc>
          <w:tcPr>
            <w:tcW w:w="3479" w:type="dxa"/>
            <w:shd w:val="clear" w:color="auto" w:fill="FFFFFF" w:themeFill="background1"/>
            <w:vAlign w:val="center"/>
            <w:hideMark/>
          </w:tcPr>
          <w:p w14:paraId="2B028080"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COCA-COLA</w:t>
            </w:r>
          </w:p>
        </w:tc>
        <w:tc>
          <w:tcPr>
            <w:tcW w:w="1048" w:type="dxa"/>
            <w:shd w:val="clear" w:color="auto" w:fill="FFFFFF" w:themeFill="background1"/>
            <w:noWrap/>
            <w:vAlign w:val="center"/>
            <w:hideMark/>
          </w:tcPr>
          <w:p w14:paraId="1A0867AC"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6.3</w:t>
            </w:r>
          </w:p>
        </w:tc>
        <w:tc>
          <w:tcPr>
            <w:tcW w:w="1080" w:type="dxa"/>
            <w:shd w:val="clear" w:color="auto" w:fill="FFFFFF" w:themeFill="background1"/>
            <w:noWrap/>
            <w:vAlign w:val="center"/>
            <w:hideMark/>
          </w:tcPr>
          <w:p w14:paraId="4F7DFBAA"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12/1/2015</w:t>
            </w:r>
          </w:p>
        </w:tc>
        <w:tc>
          <w:tcPr>
            <w:tcW w:w="1047" w:type="dxa"/>
            <w:shd w:val="clear" w:color="auto" w:fill="FFFFFF" w:themeFill="background1"/>
            <w:noWrap/>
            <w:vAlign w:val="center"/>
            <w:hideMark/>
          </w:tcPr>
          <w:p w14:paraId="2F2C7BDB"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589844E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11/30/2035</w:t>
            </w:r>
          </w:p>
        </w:tc>
        <w:tc>
          <w:tcPr>
            <w:tcW w:w="816" w:type="dxa"/>
            <w:shd w:val="clear" w:color="auto" w:fill="FFFFFF" w:themeFill="background1"/>
            <w:vAlign w:val="center"/>
          </w:tcPr>
          <w:p w14:paraId="6497D1D7"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7B870850" w14:textId="77777777" w:rsidTr="00860829">
        <w:trPr>
          <w:trHeight w:val="433"/>
        </w:trPr>
        <w:tc>
          <w:tcPr>
            <w:tcW w:w="873" w:type="dxa"/>
            <w:shd w:val="clear" w:color="auto" w:fill="FFFFFF" w:themeFill="background1"/>
            <w:noWrap/>
            <w:vAlign w:val="center"/>
            <w:hideMark/>
          </w:tcPr>
          <w:p w14:paraId="2F4AC56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LFG</w:t>
            </w:r>
          </w:p>
        </w:tc>
        <w:tc>
          <w:tcPr>
            <w:tcW w:w="3479" w:type="dxa"/>
            <w:shd w:val="clear" w:color="auto" w:fill="FFFFFF" w:themeFill="background1"/>
            <w:vAlign w:val="center"/>
            <w:hideMark/>
          </w:tcPr>
          <w:p w14:paraId="6283B311"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CONYERS RENEWABLE ENERGY</w:t>
            </w:r>
          </w:p>
        </w:tc>
        <w:tc>
          <w:tcPr>
            <w:tcW w:w="1048" w:type="dxa"/>
            <w:shd w:val="clear" w:color="auto" w:fill="FFFFFF" w:themeFill="background1"/>
            <w:noWrap/>
            <w:vAlign w:val="center"/>
            <w:hideMark/>
          </w:tcPr>
          <w:p w14:paraId="71798B48" w14:textId="77777777" w:rsidR="001C7D23" w:rsidRPr="00B5494E" w:rsidRDefault="001C7D23" w:rsidP="004911AE">
            <w:pPr>
              <w:spacing w:after="0" w:line="240" w:lineRule="auto"/>
              <w:jc w:val="center"/>
              <w:rPr>
                <w:rFonts w:eastAsia="Times New Roman"/>
                <w:sz w:val="18"/>
                <w:szCs w:val="18"/>
              </w:rPr>
            </w:pPr>
            <w:r w:rsidRPr="00B5494E">
              <w:rPr>
                <w:sz w:val="18"/>
                <w:szCs w:val="18"/>
              </w:rPr>
              <w:t>3.1</w:t>
            </w:r>
          </w:p>
        </w:tc>
        <w:tc>
          <w:tcPr>
            <w:tcW w:w="1080" w:type="dxa"/>
            <w:shd w:val="clear" w:color="auto" w:fill="FFFFFF" w:themeFill="background1"/>
            <w:noWrap/>
            <w:vAlign w:val="center"/>
            <w:hideMark/>
          </w:tcPr>
          <w:p w14:paraId="5EE14FE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4/25/2018</w:t>
            </w:r>
          </w:p>
        </w:tc>
        <w:tc>
          <w:tcPr>
            <w:tcW w:w="1047" w:type="dxa"/>
            <w:shd w:val="clear" w:color="auto" w:fill="FFFFFF" w:themeFill="background1"/>
            <w:noWrap/>
            <w:vAlign w:val="center"/>
            <w:hideMark/>
          </w:tcPr>
          <w:p w14:paraId="04C234FF"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19</w:t>
            </w:r>
          </w:p>
        </w:tc>
        <w:tc>
          <w:tcPr>
            <w:tcW w:w="2178" w:type="dxa"/>
            <w:shd w:val="clear" w:color="auto" w:fill="FFFFFF" w:themeFill="background1"/>
            <w:noWrap/>
            <w:vAlign w:val="center"/>
            <w:hideMark/>
          </w:tcPr>
          <w:p w14:paraId="2977CE5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5/31/2037</w:t>
            </w:r>
          </w:p>
        </w:tc>
        <w:tc>
          <w:tcPr>
            <w:tcW w:w="816" w:type="dxa"/>
            <w:shd w:val="clear" w:color="auto" w:fill="FFFFFF" w:themeFill="background1"/>
            <w:vAlign w:val="center"/>
          </w:tcPr>
          <w:p w14:paraId="74339FD1"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245326E8" w14:textId="77777777" w:rsidTr="00860829">
        <w:trPr>
          <w:trHeight w:val="433"/>
        </w:trPr>
        <w:tc>
          <w:tcPr>
            <w:tcW w:w="873" w:type="dxa"/>
            <w:shd w:val="clear" w:color="auto" w:fill="FFFFFF" w:themeFill="background1"/>
            <w:noWrap/>
            <w:vAlign w:val="center"/>
            <w:hideMark/>
          </w:tcPr>
          <w:p w14:paraId="0656DAC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LFG</w:t>
            </w:r>
          </w:p>
        </w:tc>
        <w:tc>
          <w:tcPr>
            <w:tcW w:w="3479" w:type="dxa"/>
            <w:shd w:val="clear" w:color="auto" w:fill="FFFFFF" w:themeFill="background1"/>
            <w:vAlign w:val="center"/>
            <w:hideMark/>
          </w:tcPr>
          <w:p w14:paraId="4D13C58E"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MAS GEORGIA LFG - OAK GROVE</w:t>
            </w:r>
          </w:p>
        </w:tc>
        <w:tc>
          <w:tcPr>
            <w:tcW w:w="1048" w:type="dxa"/>
            <w:shd w:val="clear" w:color="auto" w:fill="FFFFFF" w:themeFill="background1"/>
            <w:noWrap/>
            <w:vAlign w:val="center"/>
            <w:hideMark/>
          </w:tcPr>
          <w:p w14:paraId="0A8EBA7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6.2</w:t>
            </w:r>
          </w:p>
        </w:tc>
        <w:tc>
          <w:tcPr>
            <w:tcW w:w="1080" w:type="dxa"/>
            <w:shd w:val="clear" w:color="auto" w:fill="FFFFFF" w:themeFill="background1"/>
            <w:noWrap/>
            <w:vAlign w:val="center"/>
            <w:hideMark/>
          </w:tcPr>
          <w:p w14:paraId="2093636F" w14:textId="0A68C716" w:rsidR="001C7D23" w:rsidRPr="00B5494E" w:rsidRDefault="006429C2" w:rsidP="004911AE">
            <w:pPr>
              <w:spacing w:after="0" w:line="240" w:lineRule="auto"/>
              <w:jc w:val="center"/>
              <w:rPr>
                <w:rFonts w:eastAsia="Times New Roman" w:cstheme="minorHAnsi"/>
                <w:sz w:val="18"/>
                <w:szCs w:val="18"/>
              </w:rPr>
            </w:pPr>
            <w:r w:rsidRPr="00B5494E">
              <w:rPr>
                <w:rFonts w:cstheme="minorHAnsi"/>
                <w:sz w:val="18"/>
                <w:szCs w:val="18"/>
              </w:rPr>
              <w:t>8</w:t>
            </w:r>
            <w:r w:rsidR="001C7D23" w:rsidRPr="00B5494E">
              <w:rPr>
                <w:rFonts w:cstheme="minorHAnsi"/>
                <w:sz w:val="18"/>
                <w:szCs w:val="18"/>
              </w:rPr>
              <w:t>/</w:t>
            </w:r>
            <w:r w:rsidRPr="00B5494E">
              <w:rPr>
                <w:rFonts w:cstheme="minorHAnsi"/>
                <w:sz w:val="18"/>
                <w:szCs w:val="18"/>
              </w:rPr>
              <w:t>2</w:t>
            </w:r>
            <w:r w:rsidR="001C7D23" w:rsidRPr="00B5494E">
              <w:rPr>
                <w:rFonts w:cstheme="minorHAnsi"/>
                <w:sz w:val="18"/>
                <w:szCs w:val="18"/>
              </w:rPr>
              <w:t>/2016</w:t>
            </w:r>
          </w:p>
        </w:tc>
        <w:tc>
          <w:tcPr>
            <w:tcW w:w="1047" w:type="dxa"/>
            <w:shd w:val="clear" w:color="auto" w:fill="FFFFFF" w:themeFill="background1"/>
            <w:noWrap/>
            <w:vAlign w:val="center"/>
            <w:hideMark/>
          </w:tcPr>
          <w:p w14:paraId="515A5FC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1318656E" w14:textId="7D893DE3" w:rsidR="001C7D23" w:rsidRPr="00B5494E" w:rsidRDefault="00F30D02" w:rsidP="004911AE">
            <w:pPr>
              <w:spacing w:after="0" w:line="240" w:lineRule="auto"/>
              <w:jc w:val="center"/>
              <w:rPr>
                <w:rFonts w:eastAsia="Times New Roman" w:cstheme="minorHAnsi"/>
                <w:sz w:val="18"/>
                <w:szCs w:val="18"/>
              </w:rPr>
            </w:pPr>
            <w:r w:rsidRPr="00B5494E">
              <w:rPr>
                <w:rFonts w:cstheme="minorHAnsi"/>
                <w:sz w:val="18"/>
                <w:szCs w:val="18"/>
              </w:rPr>
              <w:t>5</w:t>
            </w:r>
            <w:r w:rsidR="001C7D23" w:rsidRPr="00B5494E">
              <w:rPr>
                <w:rFonts w:cstheme="minorHAnsi"/>
                <w:sz w:val="18"/>
                <w:szCs w:val="18"/>
              </w:rPr>
              <w:t>/3</w:t>
            </w:r>
            <w:r w:rsidRPr="00B5494E">
              <w:rPr>
                <w:rFonts w:cstheme="minorHAnsi"/>
                <w:sz w:val="18"/>
                <w:szCs w:val="18"/>
              </w:rPr>
              <w:t>1</w:t>
            </w:r>
            <w:r w:rsidR="001C7D23" w:rsidRPr="00B5494E">
              <w:rPr>
                <w:rFonts w:cstheme="minorHAnsi"/>
                <w:sz w:val="18"/>
                <w:szCs w:val="18"/>
              </w:rPr>
              <w:t>/2036</w:t>
            </w:r>
          </w:p>
        </w:tc>
        <w:tc>
          <w:tcPr>
            <w:tcW w:w="816" w:type="dxa"/>
            <w:shd w:val="clear" w:color="auto" w:fill="FFFFFF" w:themeFill="background1"/>
            <w:vAlign w:val="center"/>
          </w:tcPr>
          <w:p w14:paraId="29F7D92C"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2BF0F140" w14:textId="77777777" w:rsidTr="00860829">
        <w:trPr>
          <w:trHeight w:val="433"/>
        </w:trPr>
        <w:tc>
          <w:tcPr>
            <w:tcW w:w="873" w:type="dxa"/>
            <w:shd w:val="clear" w:color="auto" w:fill="FFFFFF" w:themeFill="background1"/>
            <w:noWrap/>
            <w:vAlign w:val="center"/>
            <w:hideMark/>
          </w:tcPr>
          <w:p w14:paraId="2508556B"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LFG</w:t>
            </w:r>
          </w:p>
        </w:tc>
        <w:tc>
          <w:tcPr>
            <w:tcW w:w="3479" w:type="dxa"/>
            <w:shd w:val="clear" w:color="auto" w:fill="FFFFFF" w:themeFill="background1"/>
            <w:vAlign w:val="center"/>
            <w:hideMark/>
          </w:tcPr>
          <w:p w14:paraId="4BC1BA1E"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MAS GEORGIA LFG - PINE RIDGE</w:t>
            </w:r>
          </w:p>
        </w:tc>
        <w:tc>
          <w:tcPr>
            <w:tcW w:w="1048" w:type="dxa"/>
            <w:shd w:val="clear" w:color="auto" w:fill="FFFFFF" w:themeFill="background1"/>
            <w:noWrap/>
            <w:vAlign w:val="center"/>
            <w:hideMark/>
          </w:tcPr>
          <w:p w14:paraId="620DFF5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6.3</w:t>
            </w:r>
          </w:p>
        </w:tc>
        <w:tc>
          <w:tcPr>
            <w:tcW w:w="1080" w:type="dxa"/>
            <w:shd w:val="clear" w:color="auto" w:fill="FFFFFF" w:themeFill="background1"/>
            <w:noWrap/>
            <w:vAlign w:val="center"/>
            <w:hideMark/>
          </w:tcPr>
          <w:p w14:paraId="4E09A2C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6/1/2016</w:t>
            </w:r>
          </w:p>
        </w:tc>
        <w:tc>
          <w:tcPr>
            <w:tcW w:w="1047" w:type="dxa"/>
            <w:shd w:val="clear" w:color="auto" w:fill="FFFFFF" w:themeFill="background1"/>
            <w:noWrap/>
            <w:vAlign w:val="center"/>
            <w:hideMark/>
          </w:tcPr>
          <w:p w14:paraId="62B62433"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0097A10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5/31/2036</w:t>
            </w:r>
          </w:p>
        </w:tc>
        <w:tc>
          <w:tcPr>
            <w:tcW w:w="816" w:type="dxa"/>
            <w:shd w:val="clear" w:color="auto" w:fill="FFFFFF" w:themeFill="background1"/>
            <w:vAlign w:val="center"/>
          </w:tcPr>
          <w:p w14:paraId="540A5879"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7ADCE332" w14:textId="77777777" w:rsidTr="00860829">
        <w:trPr>
          <w:trHeight w:val="433"/>
        </w:trPr>
        <w:tc>
          <w:tcPr>
            <w:tcW w:w="873" w:type="dxa"/>
            <w:shd w:val="clear" w:color="auto" w:fill="FFFFFF" w:themeFill="background1"/>
            <w:noWrap/>
            <w:vAlign w:val="center"/>
            <w:hideMark/>
          </w:tcPr>
          <w:p w14:paraId="5563FAA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LFG</w:t>
            </w:r>
          </w:p>
        </w:tc>
        <w:tc>
          <w:tcPr>
            <w:tcW w:w="3479" w:type="dxa"/>
            <w:shd w:val="clear" w:color="auto" w:fill="FFFFFF" w:themeFill="background1"/>
            <w:vAlign w:val="center"/>
            <w:hideMark/>
          </w:tcPr>
          <w:p w14:paraId="77934FF9"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MAS GEORGIA LFG - RICHLAND CREEK</w:t>
            </w:r>
          </w:p>
        </w:tc>
        <w:tc>
          <w:tcPr>
            <w:tcW w:w="1048" w:type="dxa"/>
            <w:shd w:val="clear" w:color="auto" w:fill="FFFFFF" w:themeFill="background1"/>
            <w:noWrap/>
            <w:vAlign w:val="center"/>
            <w:hideMark/>
          </w:tcPr>
          <w:p w14:paraId="697000F6" w14:textId="34041ADC"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10.</w:t>
            </w:r>
            <w:r w:rsidR="00F17DDA" w:rsidRPr="00B5494E">
              <w:rPr>
                <w:rFonts w:cstheme="minorHAnsi"/>
                <w:sz w:val="18"/>
                <w:szCs w:val="18"/>
              </w:rPr>
              <w:t>5</w:t>
            </w:r>
          </w:p>
        </w:tc>
        <w:tc>
          <w:tcPr>
            <w:tcW w:w="1080" w:type="dxa"/>
            <w:shd w:val="clear" w:color="auto" w:fill="FFFFFF" w:themeFill="background1"/>
            <w:noWrap/>
            <w:vAlign w:val="center"/>
            <w:hideMark/>
          </w:tcPr>
          <w:p w14:paraId="08E1C0CD"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12/1/2016</w:t>
            </w:r>
          </w:p>
        </w:tc>
        <w:tc>
          <w:tcPr>
            <w:tcW w:w="1047" w:type="dxa"/>
            <w:shd w:val="clear" w:color="auto" w:fill="FFFFFF" w:themeFill="background1"/>
            <w:noWrap/>
            <w:vAlign w:val="center"/>
            <w:hideMark/>
          </w:tcPr>
          <w:p w14:paraId="57AE2D5F"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500F787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11/30/2036</w:t>
            </w:r>
          </w:p>
        </w:tc>
        <w:tc>
          <w:tcPr>
            <w:tcW w:w="816" w:type="dxa"/>
            <w:shd w:val="clear" w:color="auto" w:fill="FFFFFF" w:themeFill="background1"/>
            <w:vAlign w:val="center"/>
          </w:tcPr>
          <w:p w14:paraId="7C8E5196"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41B73C94" w14:textId="77777777" w:rsidTr="00860829">
        <w:trPr>
          <w:trHeight w:val="433"/>
        </w:trPr>
        <w:tc>
          <w:tcPr>
            <w:tcW w:w="873" w:type="dxa"/>
            <w:shd w:val="clear" w:color="auto" w:fill="FFFFFF" w:themeFill="background1"/>
            <w:noWrap/>
            <w:vAlign w:val="center"/>
            <w:hideMark/>
          </w:tcPr>
          <w:p w14:paraId="0704F12D"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LFG</w:t>
            </w:r>
          </w:p>
        </w:tc>
        <w:tc>
          <w:tcPr>
            <w:tcW w:w="3479" w:type="dxa"/>
            <w:shd w:val="clear" w:color="auto" w:fill="FFFFFF" w:themeFill="background1"/>
            <w:vAlign w:val="center"/>
            <w:hideMark/>
          </w:tcPr>
          <w:p w14:paraId="63A4F023" w14:textId="3954A936" w:rsidR="001C7D23" w:rsidRPr="00B5494E" w:rsidRDefault="00E10F5C" w:rsidP="004911AE">
            <w:pPr>
              <w:spacing w:after="0" w:line="240" w:lineRule="auto"/>
              <w:rPr>
                <w:rFonts w:eastAsia="Times New Roman" w:cstheme="minorHAnsi"/>
                <w:sz w:val="18"/>
                <w:szCs w:val="18"/>
              </w:rPr>
            </w:pPr>
            <w:r w:rsidRPr="00B5494E">
              <w:rPr>
                <w:rFonts w:cstheme="minorHAnsi"/>
                <w:sz w:val="18"/>
                <w:szCs w:val="18"/>
              </w:rPr>
              <w:t xml:space="preserve">WM </w:t>
            </w:r>
            <w:r w:rsidR="00B472C1" w:rsidRPr="00B5494E">
              <w:rPr>
                <w:rFonts w:cstheme="minorHAnsi"/>
                <w:sz w:val="18"/>
                <w:szCs w:val="18"/>
              </w:rPr>
              <w:t>RENEWABLE ENERGY LLC</w:t>
            </w:r>
          </w:p>
        </w:tc>
        <w:tc>
          <w:tcPr>
            <w:tcW w:w="1048" w:type="dxa"/>
            <w:shd w:val="clear" w:color="auto" w:fill="FFFFFF" w:themeFill="background1"/>
            <w:noWrap/>
            <w:vAlign w:val="center"/>
            <w:hideMark/>
          </w:tcPr>
          <w:p w14:paraId="499D4FAC"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6</w:t>
            </w:r>
          </w:p>
        </w:tc>
        <w:tc>
          <w:tcPr>
            <w:tcW w:w="1080" w:type="dxa"/>
            <w:shd w:val="clear" w:color="auto" w:fill="FFFFFF" w:themeFill="background1"/>
            <w:noWrap/>
            <w:vAlign w:val="center"/>
            <w:hideMark/>
          </w:tcPr>
          <w:p w14:paraId="330654F9" w14:textId="588958A3" w:rsidR="001C7D23" w:rsidRPr="00B5494E" w:rsidRDefault="000E1564" w:rsidP="004911AE">
            <w:pPr>
              <w:spacing w:after="0" w:line="240" w:lineRule="auto"/>
              <w:jc w:val="center"/>
              <w:rPr>
                <w:rFonts w:eastAsia="Times New Roman" w:cstheme="minorHAnsi"/>
                <w:sz w:val="18"/>
                <w:szCs w:val="18"/>
              </w:rPr>
            </w:pPr>
            <w:r w:rsidRPr="00B5494E">
              <w:rPr>
                <w:rFonts w:cstheme="minorHAnsi"/>
                <w:sz w:val="18"/>
                <w:szCs w:val="18"/>
              </w:rPr>
              <w:t>6</w:t>
            </w:r>
            <w:r w:rsidR="001C7D23" w:rsidRPr="00B5494E">
              <w:rPr>
                <w:rFonts w:cstheme="minorHAnsi"/>
                <w:sz w:val="18"/>
                <w:szCs w:val="18"/>
              </w:rPr>
              <w:t>/</w:t>
            </w:r>
            <w:r w:rsidRPr="00B5494E">
              <w:rPr>
                <w:rFonts w:cstheme="minorHAnsi"/>
                <w:sz w:val="18"/>
                <w:szCs w:val="18"/>
              </w:rPr>
              <w:t>1</w:t>
            </w:r>
            <w:r w:rsidR="001C7D23" w:rsidRPr="00B5494E">
              <w:rPr>
                <w:rFonts w:cstheme="minorHAnsi"/>
                <w:sz w:val="18"/>
                <w:szCs w:val="18"/>
              </w:rPr>
              <w:t>/201</w:t>
            </w:r>
            <w:r w:rsidRPr="00B5494E">
              <w:rPr>
                <w:rFonts w:cstheme="minorHAnsi"/>
                <w:sz w:val="18"/>
                <w:szCs w:val="18"/>
              </w:rPr>
              <w:t>0</w:t>
            </w:r>
          </w:p>
        </w:tc>
        <w:tc>
          <w:tcPr>
            <w:tcW w:w="1047" w:type="dxa"/>
            <w:shd w:val="clear" w:color="auto" w:fill="FFFFFF" w:themeFill="background1"/>
            <w:noWrap/>
            <w:vAlign w:val="center"/>
            <w:hideMark/>
          </w:tcPr>
          <w:p w14:paraId="14F6A5FB" w14:textId="281A3816"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w:t>
            </w:r>
            <w:r w:rsidR="00405377" w:rsidRPr="00B5494E">
              <w:rPr>
                <w:rFonts w:cstheme="minorHAnsi"/>
                <w:sz w:val="18"/>
                <w:szCs w:val="18"/>
              </w:rPr>
              <w:t>7</w:t>
            </w:r>
          </w:p>
        </w:tc>
        <w:tc>
          <w:tcPr>
            <w:tcW w:w="2178" w:type="dxa"/>
            <w:shd w:val="clear" w:color="auto" w:fill="FFFFFF" w:themeFill="background1"/>
            <w:noWrap/>
            <w:vAlign w:val="center"/>
            <w:hideMark/>
          </w:tcPr>
          <w:p w14:paraId="554A59A3"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5/31/2037</w:t>
            </w:r>
          </w:p>
        </w:tc>
        <w:tc>
          <w:tcPr>
            <w:tcW w:w="816" w:type="dxa"/>
            <w:shd w:val="clear" w:color="auto" w:fill="FFFFFF" w:themeFill="background1"/>
            <w:vAlign w:val="center"/>
          </w:tcPr>
          <w:p w14:paraId="205D98AF"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1FF5C611" w14:textId="77777777" w:rsidTr="00860829">
        <w:trPr>
          <w:trHeight w:val="433"/>
        </w:trPr>
        <w:tc>
          <w:tcPr>
            <w:tcW w:w="873" w:type="dxa"/>
            <w:shd w:val="clear" w:color="auto" w:fill="FFFFFF" w:themeFill="background1"/>
            <w:noWrap/>
            <w:vAlign w:val="center"/>
          </w:tcPr>
          <w:p w14:paraId="2D9BCCCA"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Wind</w:t>
            </w:r>
          </w:p>
        </w:tc>
        <w:tc>
          <w:tcPr>
            <w:tcW w:w="3479" w:type="dxa"/>
            <w:shd w:val="clear" w:color="auto" w:fill="FFFFFF" w:themeFill="background1"/>
            <w:vAlign w:val="center"/>
          </w:tcPr>
          <w:p w14:paraId="4D0C1EC0"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BLUE CANYON</w:t>
            </w:r>
          </w:p>
        </w:tc>
        <w:tc>
          <w:tcPr>
            <w:tcW w:w="1048" w:type="dxa"/>
            <w:shd w:val="clear" w:color="auto" w:fill="FFFFFF" w:themeFill="background1"/>
            <w:noWrap/>
            <w:vAlign w:val="center"/>
          </w:tcPr>
          <w:p w14:paraId="65047C8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250</w:t>
            </w:r>
          </w:p>
        </w:tc>
        <w:tc>
          <w:tcPr>
            <w:tcW w:w="1080" w:type="dxa"/>
            <w:shd w:val="clear" w:color="auto" w:fill="FFFFFF" w:themeFill="background1"/>
            <w:noWrap/>
            <w:vAlign w:val="center"/>
          </w:tcPr>
          <w:p w14:paraId="7829F32C"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1/1/2016</w:t>
            </w:r>
          </w:p>
        </w:tc>
        <w:tc>
          <w:tcPr>
            <w:tcW w:w="1047" w:type="dxa"/>
            <w:shd w:val="clear" w:color="auto" w:fill="FFFFFF" w:themeFill="background1"/>
            <w:noWrap/>
            <w:vAlign w:val="center"/>
          </w:tcPr>
          <w:p w14:paraId="7C62DEA9"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tcPr>
          <w:p w14:paraId="7804E703"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12/31/2035</w:t>
            </w:r>
          </w:p>
        </w:tc>
        <w:tc>
          <w:tcPr>
            <w:tcW w:w="816" w:type="dxa"/>
            <w:shd w:val="clear" w:color="auto" w:fill="FFFFFF" w:themeFill="background1"/>
            <w:vAlign w:val="center"/>
          </w:tcPr>
          <w:p w14:paraId="6F1F5466"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2</w:t>
            </w:r>
          </w:p>
        </w:tc>
      </w:tr>
      <w:tr w:rsidR="00B5494E" w:rsidRPr="00B5494E" w14:paraId="78E932D5" w14:textId="77777777" w:rsidTr="00860829">
        <w:trPr>
          <w:trHeight w:val="433"/>
        </w:trPr>
        <w:tc>
          <w:tcPr>
            <w:tcW w:w="873" w:type="dxa"/>
            <w:shd w:val="clear" w:color="auto" w:fill="FFFFFF" w:themeFill="background1"/>
            <w:noWrap/>
            <w:vAlign w:val="center"/>
            <w:hideMark/>
          </w:tcPr>
          <w:p w14:paraId="32BC3B2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7A359A0F"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CLASSIC 210 MW - DG S1320</w:t>
            </w:r>
          </w:p>
        </w:tc>
        <w:tc>
          <w:tcPr>
            <w:tcW w:w="1048" w:type="dxa"/>
            <w:shd w:val="clear" w:color="auto" w:fill="FFFFFF" w:themeFill="background1"/>
            <w:noWrap/>
            <w:vAlign w:val="center"/>
            <w:hideMark/>
          </w:tcPr>
          <w:p w14:paraId="7564245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0.8</w:t>
            </w:r>
          </w:p>
        </w:tc>
        <w:tc>
          <w:tcPr>
            <w:tcW w:w="1080" w:type="dxa"/>
            <w:shd w:val="clear" w:color="auto" w:fill="FFFFFF" w:themeFill="background1"/>
            <w:noWrap/>
            <w:vAlign w:val="center"/>
            <w:hideMark/>
          </w:tcPr>
          <w:p w14:paraId="1DD1FC7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5/1/2013</w:t>
            </w:r>
          </w:p>
        </w:tc>
        <w:tc>
          <w:tcPr>
            <w:tcW w:w="1047" w:type="dxa"/>
            <w:shd w:val="clear" w:color="auto" w:fill="FFFFFF" w:themeFill="background1"/>
            <w:noWrap/>
            <w:vAlign w:val="center"/>
            <w:hideMark/>
          </w:tcPr>
          <w:p w14:paraId="1BCE1368"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4BCB3188"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4/30/2033</w:t>
            </w:r>
          </w:p>
        </w:tc>
        <w:tc>
          <w:tcPr>
            <w:tcW w:w="816" w:type="dxa"/>
            <w:shd w:val="clear" w:color="auto" w:fill="FFFFFF" w:themeFill="background1"/>
            <w:vAlign w:val="center"/>
          </w:tcPr>
          <w:p w14:paraId="4D380373"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10</w:t>
            </w:r>
          </w:p>
        </w:tc>
      </w:tr>
      <w:tr w:rsidR="00B5494E" w:rsidRPr="00B5494E" w14:paraId="190618E5" w14:textId="77777777" w:rsidTr="00860829">
        <w:trPr>
          <w:trHeight w:val="433"/>
        </w:trPr>
        <w:tc>
          <w:tcPr>
            <w:tcW w:w="873" w:type="dxa"/>
            <w:shd w:val="clear" w:color="auto" w:fill="FFFFFF" w:themeFill="background1"/>
            <w:noWrap/>
            <w:vAlign w:val="center"/>
            <w:hideMark/>
          </w:tcPr>
          <w:p w14:paraId="2550105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0B8F8FEF"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CLASSIC 210 MW - DG S1420</w:t>
            </w:r>
          </w:p>
        </w:tc>
        <w:tc>
          <w:tcPr>
            <w:tcW w:w="1048" w:type="dxa"/>
            <w:shd w:val="clear" w:color="auto" w:fill="FFFFFF" w:themeFill="background1"/>
            <w:noWrap/>
            <w:vAlign w:val="center"/>
            <w:hideMark/>
          </w:tcPr>
          <w:p w14:paraId="1D916B6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9.3</w:t>
            </w:r>
          </w:p>
        </w:tc>
        <w:tc>
          <w:tcPr>
            <w:tcW w:w="1080" w:type="dxa"/>
            <w:shd w:val="clear" w:color="auto" w:fill="FFFFFF" w:themeFill="background1"/>
            <w:noWrap/>
            <w:vAlign w:val="center"/>
            <w:hideMark/>
          </w:tcPr>
          <w:p w14:paraId="6ED18B3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5/1/2014</w:t>
            </w:r>
          </w:p>
        </w:tc>
        <w:tc>
          <w:tcPr>
            <w:tcW w:w="1047" w:type="dxa"/>
            <w:shd w:val="clear" w:color="auto" w:fill="FFFFFF" w:themeFill="background1"/>
            <w:noWrap/>
            <w:vAlign w:val="center"/>
            <w:hideMark/>
          </w:tcPr>
          <w:p w14:paraId="77D64CB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7349E803"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4/30/2034</w:t>
            </w:r>
          </w:p>
        </w:tc>
        <w:tc>
          <w:tcPr>
            <w:tcW w:w="816" w:type="dxa"/>
            <w:shd w:val="clear" w:color="auto" w:fill="FFFFFF" w:themeFill="background1"/>
            <w:vAlign w:val="center"/>
          </w:tcPr>
          <w:p w14:paraId="7556ABB4"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25</w:t>
            </w:r>
          </w:p>
        </w:tc>
      </w:tr>
      <w:tr w:rsidR="00B5494E" w:rsidRPr="00B5494E" w14:paraId="71017FDF" w14:textId="77777777" w:rsidTr="00860829">
        <w:trPr>
          <w:trHeight w:val="433"/>
        </w:trPr>
        <w:tc>
          <w:tcPr>
            <w:tcW w:w="873" w:type="dxa"/>
            <w:shd w:val="clear" w:color="auto" w:fill="FFFFFF" w:themeFill="background1"/>
            <w:noWrap/>
            <w:vAlign w:val="center"/>
            <w:hideMark/>
          </w:tcPr>
          <w:p w14:paraId="19F5D073"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064A9BA8"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CLASSIC 210 MW - DG S1520</w:t>
            </w:r>
          </w:p>
        </w:tc>
        <w:tc>
          <w:tcPr>
            <w:tcW w:w="1048" w:type="dxa"/>
            <w:shd w:val="clear" w:color="auto" w:fill="FFFFFF" w:themeFill="background1"/>
            <w:noWrap/>
            <w:vAlign w:val="center"/>
            <w:hideMark/>
          </w:tcPr>
          <w:p w14:paraId="77422144" w14:textId="57C06D1D"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28.</w:t>
            </w:r>
            <w:r w:rsidR="008B0F7A" w:rsidRPr="00B5494E">
              <w:rPr>
                <w:rFonts w:cstheme="minorHAnsi"/>
                <w:sz w:val="18"/>
                <w:szCs w:val="18"/>
              </w:rPr>
              <w:t>6</w:t>
            </w:r>
          </w:p>
        </w:tc>
        <w:tc>
          <w:tcPr>
            <w:tcW w:w="1080" w:type="dxa"/>
            <w:shd w:val="clear" w:color="auto" w:fill="FFFFFF" w:themeFill="background1"/>
            <w:noWrap/>
            <w:vAlign w:val="center"/>
            <w:hideMark/>
          </w:tcPr>
          <w:p w14:paraId="3F033878"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5/1/2015</w:t>
            </w:r>
          </w:p>
        </w:tc>
        <w:tc>
          <w:tcPr>
            <w:tcW w:w="1047" w:type="dxa"/>
            <w:shd w:val="clear" w:color="auto" w:fill="FFFFFF" w:themeFill="background1"/>
            <w:noWrap/>
            <w:vAlign w:val="center"/>
            <w:hideMark/>
          </w:tcPr>
          <w:p w14:paraId="799A3CB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2D18329D"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4/30/2035</w:t>
            </w:r>
          </w:p>
        </w:tc>
        <w:tc>
          <w:tcPr>
            <w:tcW w:w="816" w:type="dxa"/>
            <w:shd w:val="clear" w:color="auto" w:fill="FFFFFF" w:themeFill="background1"/>
            <w:vAlign w:val="center"/>
          </w:tcPr>
          <w:p w14:paraId="145A8DE0"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108</w:t>
            </w:r>
          </w:p>
        </w:tc>
      </w:tr>
      <w:tr w:rsidR="00B5494E" w:rsidRPr="00B5494E" w14:paraId="5DEB207E" w14:textId="77777777" w:rsidTr="00860829">
        <w:trPr>
          <w:trHeight w:val="433"/>
        </w:trPr>
        <w:tc>
          <w:tcPr>
            <w:tcW w:w="873" w:type="dxa"/>
            <w:shd w:val="clear" w:color="auto" w:fill="FFFFFF" w:themeFill="background1"/>
            <w:noWrap/>
            <w:vAlign w:val="center"/>
            <w:hideMark/>
          </w:tcPr>
          <w:p w14:paraId="6193826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72FD7A28"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CLASSIC 210 MW - DG S1620</w:t>
            </w:r>
          </w:p>
        </w:tc>
        <w:tc>
          <w:tcPr>
            <w:tcW w:w="1048" w:type="dxa"/>
            <w:shd w:val="clear" w:color="auto" w:fill="FFFFFF" w:themeFill="background1"/>
            <w:noWrap/>
            <w:vAlign w:val="center"/>
            <w:hideMark/>
          </w:tcPr>
          <w:p w14:paraId="0144563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2.4</w:t>
            </w:r>
          </w:p>
        </w:tc>
        <w:tc>
          <w:tcPr>
            <w:tcW w:w="1080" w:type="dxa"/>
            <w:shd w:val="clear" w:color="auto" w:fill="FFFFFF" w:themeFill="background1"/>
            <w:noWrap/>
            <w:vAlign w:val="center"/>
            <w:hideMark/>
          </w:tcPr>
          <w:p w14:paraId="35ABE48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5/1/2016</w:t>
            </w:r>
          </w:p>
        </w:tc>
        <w:tc>
          <w:tcPr>
            <w:tcW w:w="1047" w:type="dxa"/>
            <w:shd w:val="clear" w:color="auto" w:fill="FFFFFF" w:themeFill="background1"/>
            <w:noWrap/>
            <w:vAlign w:val="center"/>
            <w:hideMark/>
          </w:tcPr>
          <w:p w14:paraId="1E6AEE81"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074C998B"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4/30/2036</w:t>
            </w:r>
          </w:p>
        </w:tc>
        <w:tc>
          <w:tcPr>
            <w:tcW w:w="816" w:type="dxa"/>
            <w:shd w:val="clear" w:color="auto" w:fill="FFFFFF" w:themeFill="background1"/>
            <w:vAlign w:val="center"/>
          </w:tcPr>
          <w:p w14:paraId="20AB1256"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5</w:t>
            </w:r>
          </w:p>
        </w:tc>
      </w:tr>
      <w:tr w:rsidR="00B5494E" w:rsidRPr="00B5494E" w14:paraId="4166E6C0" w14:textId="77777777" w:rsidTr="00860829">
        <w:trPr>
          <w:trHeight w:val="433"/>
        </w:trPr>
        <w:tc>
          <w:tcPr>
            <w:tcW w:w="873" w:type="dxa"/>
            <w:shd w:val="clear" w:color="auto" w:fill="FFFFFF" w:themeFill="background1"/>
            <w:noWrap/>
            <w:vAlign w:val="center"/>
            <w:hideMark/>
          </w:tcPr>
          <w:p w14:paraId="204A64E8"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610DD7AB"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CLASSIC 210 MW - DG W1420</w:t>
            </w:r>
          </w:p>
        </w:tc>
        <w:tc>
          <w:tcPr>
            <w:tcW w:w="1048" w:type="dxa"/>
            <w:shd w:val="clear" w:color="auto" w:fill="FFFFFF" w:themeFill="background1"/>
            <w:noWrap/>
            <w:vAlign w:val="center"/>
            <w:hideMark/>
          </w:tcPr>
          <w:p w14:paraId="6B17AE95" w14:textId="40BAE86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17.</w:t>
            </w:r>
            <w:r w:rsidR="009E7FA0" w:rsidRPr="00B5494E">
              <w:rPr>
                <w:rFonts w:cstheme="minorHAnsi"/>
                <w:sz w:val="18"/>
                <w:szCs w:val="18"/>
              </w:rPr>
              <w:t>0</w:t>
            </w:r>
          </w:p>
        </w:tc>
        <w:tc>
          <w:tcPr>
            <w:tcW w:w="1080" w:type="dxa"/>
            <w:shd w:val="clear" w:color="auto" w:fill="FFFFFF" w:themeFill="background1"/>
            <w:noWrap/>
            <w:vAlign w:val="center"/>
            <w:hideMark/>
          </w:tcPr>
          <w:p w14:paraId="069186D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1/1/2014</w:t>
            </w:r>
          </w:p>
        </w:tc>
        <w:tc>
          <w:tcPr>
            <w:tcW w:w="1047" w:type="dxa"/>
            <w:shd w:val="clear" w:color="auto" w:fill="FFFFFF" w:themeFill="background1"/>
            <w:noWrap/>
            <w:vAlign w:val="center"/>
            <w:hideMark/>
          </w:tcPr>
          <w:p w14:paraId="17ED96A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10B879C1"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12/31/2033</w:t>
            </w:r>
          </w:p>
        </w:tc>
        <w:tc>
          <w:tcPr>
            <w:tcW w:w="816" w:type="dxa"/>
            <w:shd w:val="clear" w:color="auto" w:fill="FFFFFF" w:themeFill="background1"/>
            <w:vAlign w:val="center"/>
          </w:tcPr>
          <w:p w14:paraId="10239DBC"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50</w:t>
            </w:r>
          </w:p>
        </w:tc>
      </w:tr>
      <w:tr w:rsidR="00B5494E" w:rsidRPr="00B5494E" w14:paraId="3933FC68" w14:textId="77777777" w:rsidTr="00860829">
        <w:trPr>
          <w:trHeight w:val="433"/>
        </w:trPr>
        <w:tc>
          <w:tcPr>
            <w:tcW w:w="873" w:type="dxa"/>
            <w:shd w:val="clear" w:color="auto" w:fill="FFFFFF" w:themeFill="background1"/>
            <w:noWrap/>
            <w:vAlign w:val="center"/>
            <w:hideMark/>
          </w:tcPr>
          <w:p w14:paraId="23AF2918"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11C8534A"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CLASSIC 210 MW - DG W1520</w:t>
            </w:r>
          </w:p>
        </w:tc>
        <w:tc>
          <w:tcPr>
            <w:tcW w:w="1048" w:type="dxa"/>
            <w:shd w:val="clear" w:color="auto" w:fill="FFFFFF" w:themeFill="background1"/>
            <w:noWrap/>
            <w:vAlign w:val="center"/>
            <w:hideMark/>
          </w:tcPr>
          <w:p w14:paraId="4D3001FE" w14:textId="5C549583"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18.</w:t>
            </w:r>
            <w:r w:rsidR="00F970C3" w:rsidRPr="00B5494E">
              <w:rPr>
                <w:rFonts w:cstheme="minorHAnsi"/>
                <w:sz w:val="18"/>
                <w:szCs w:val="18"/>
              </w:rPr>
              <w:t>5</w:t>
            </w:r>
          </w:p>
        </w:tc>
        <w:tc>
          <w:tcPr>
            <w:tcW w:w="1080" w:type="dxa"/>
            <w:shd w:val="clear" w:color="auto" w:fill="FFFFFF" w:themeFill="background1"/>
            <w:noWrap/>
            <w:vAlign w:val="center"/>
            <w:hideMark/>
          </w:tcPr>
          <w:p w14:paraId="45C94B6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1/1/2015</w:t>
            </w:r>
          </w:p>
        </w:tc>
        <w:tc>
          <w:tcPr>
            <w:tcW w:w="1047" w:type="dxa"/>
            <w:shd w:val="clear" w:color="auto" w:fill="FFFFFF" w:themeFill="background1"/>
            <w:noWrap/>
            <w:vAlign w:val="center"/>
            <w:hideMark/>
          </w:tcPr>
          <w:p w14:paraId="565DCDD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67AE5F69"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12/31/2034</w:t>
            </w:r>
          </w:p>
        </w:tc>
        <w:tc>
          <w:tcPr>
            <w:tcW w:w="816" w:type="dxa"/>
            <w:shd w:val="clear" w:color="auto" w:fill="FFFFFF" w:themeFill="background1"/>
            <w:vAlign w:val="center"/>
          </w:tcPr>
          <w:p w14:paraId="278F22BA"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70</w:t>
            </w:r>
          </w:p>
        </w:tc>
      </w:tr>
      <w:tr w:rsidR="00B5494E" w:rsidRPr="00B5494E" w14:paraId="1DE5D4E6" w14:textId="77777777" w:rsidTr="00860829">
        <w:trPr>
          <w:trHeight w:val="433"/>
        </w:trPr>
        <w:tc>
          <w:tcPr>
            <w:tcW w:w="873" w:type="dxa"/>
            <w:shd w:val="clear" w:color="auto" w:fill="FFFFFF" w:themeFill="background1"/>
            <w:noWrap/>
            <w:vAlign w:val="center"/>
            <w:hideMark/>
          </w:tcPr>
          <w:p w14:paraId="1A66FC8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7BF252E1"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CLASSIC 210 MW - DG W1620</w:t>
            </w:r>
          </w:p>
        </w:tc>
        <w:tc>
          <w:tcPr>
            <w:tcW w:w="1048" w:type="dxa"/>
            <w:shd w:val="clear" w:color="auto" w:fill="FFFFFF" w:themeFill="background1"/>
            <w:noWrap/>
            <w:vAlign w:val="center"/>
            <w:hideMark/>
          </w:tcPr>
          <w:p w14:paraId="1A62766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1.4</w:t>
            </w:r>
          </w:p>
        </w:tc>
        <w:tc>
          <w:tcPr>
            <w:tcW w:w="1080" w:type="dxa"/>
            <w:shd w:val="clear" w:color="auto" w:fill="FFFFFF" w:themeFill="background1"/>
            <w:noWrap/>
            <w:vAlign w:val="center"/>
            <w:hideMark/>
          </w:tcPr>
          <w:p w14:paraId="4E65203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1/1/2016</w:t>
            </w:r>
          </w:p>
        </w:tc>
        <w:tc>
          <w:tcPr>
            <w:tcW w:w="1047" w:type="dxa"/>
            <w:shd w:val="clear" w:color="auto" w:fill="FFFFFF" w:themeFill="background1"/>
            <w:noWrap/>
            <w:vAlign w:val="center"/>
            <w:hideMark/>
          </w:tcPr>
          <w:p w14:paraId="1891ACCF"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279F37F9"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12/31/2035</w:t>
            </w:r>
          </w:p>
        </w:tc>
        <w:tc>
          <w:tcPr>
            <w:tcW w:w="816" w:type="dxa"/>
            <w:shd w:val="clear" w:color="auto" w:fill="FFFFFF" w:themeFill="background1"/>
            <w:vAlign w:val="center"/>
          </w:tcPr>
          <w:p w14:paraId="22331CD5"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7</w:t>
            </w:r>
          </w:p>
        </w:tc>
      </w:tr>
      <w:tr w:rsidR="00B5494E" w:rsidRPr="00B5494E" w14:paraId="6A7B6910" w14:textId="77777777" w:rsidTr="00860829">
        <w:trPr>
          <w:trHeight w:val="433"/>
        </w:trPr>
        <w:tc>
          <w:tcPr>
            <w:tcW w:w="873" w:type="dxa"/>
            <w:shd w:val="clear" w:color="auto" w:fill="FFFFFF" w:themeFill="background1"/>
            <w:noWrap/>
            <w:vAlign w:val="center"/>
            <w:hideMark/>
          </w:tcPr>
          <w:p w14:paraId="152533E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4F44EF2C"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 xml:space="preserve">ASI CLASSIC 210 MW - US 1: DUBLIN SOLAR CENTER </w:t>
            </w:r>
          </w:p>
        </w:tc>
        <w:tc>
          <w:tcPr>
            <w:tcW w:w="1048" w:type="dxa"/>
            <w:shd w:val="clear" w:color="auto" w:fill="FFFFFF" w:themeFill="background1"/>
            <w:noWrap/>
            <w:vAlign w:val="center"/>
            <w:hideMark/>
          </w:tcPr>
          <w:p w14:paraId="2298450D"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4.1</w:t>
            </w:r>
          </w:p>
        </w:tc>
        <w:tc>
          <w:tcPr>
            <w:tcW w:w="1080" w:type="dxa"/>
            <w:shd w:val="clear" w:color="auto" w:fill="FFFFFF" w:themeFill="background1"/>
            <w:noWrap/>
            <w:vAlign w:val="center"/>
            <w:hideMark/>
          </w:tcPr>
          <w:p w14:paraId="469DC3F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4/23/2015</w:t>
            </w:r>
          </w:p>
        </w:tc>
        <w:tc>
          <w:tcPr>
            <w:tcW w:w="1047" w:type="dxa"/>
            <w:shd w:val="clear" w:color="auto" w:fill="FFFFFF" w:themeFill="background1"/>
            <w:noWrap/>
            <w:vAlign w:val="center"/>
            <w:hideMark/>
          </w:tcPr>
          <w:p w14:paraId="2D729B3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20B95C5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4/22/2035</w:t>
            </w:r>
          </w:p>
        </w:tc>
        <w:tc>
          <w:tcPr>
            <w:tcW w:w="816" w:type="dxa"/>
            <w:shd w:val="clear" w:color="auto" w:fill="FFFFFF" w:themeFill="background1"/>
            <w:vAlign w:val="center"/>
          </w:tcPr>
          <w:p w14:paraId="0217EA12"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19C58F88" w14:textId="77777777" w:rsidTr="00860829">
        <w:trPr>
          <w:trHeight w:val="433"/>
        </w:trPr>
        <w:tc>
          <w:tcPr>
            <w:tcW w:w="873" w:type="dxa"/>
            <w:shd w:val="clear" w:color="auto" w:fill="FFFFFF" w:themeFill="background1"/>
            <w:noWrap/>
            <w:vAlign w:val="center"/>
            <w:hideMark/>
          </w:tcPr>
          <w:p w14:paraId="1B7A715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435A0D7D"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CLASSIC 210 MW - US 1: RICHLAND SOLAR CENTER</w:t>
            </w:r>
          </w:p>
        </w:tc>
        <w:tc>
          <w:tcPr>
            <w:tcW w:w="1048" w:type="dxa"/>
            <w:shd w:val="clear" w:color="auto" w:fill="FFFFFF" w:themeFill="background1"/>
            <w:noWrap/>
            <w:vAlign w:val="center"/>
            <w:hideMark/>
          </w:tcPr>
          <w:p w14:paraId="70C43ED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20.0</w:t>
            </w:r>
          </w:p>
        </w:tc>
        <w:tc>
          <w:tcPr>
            <w:tcW w:w="1080" w:type="dxa"/>
            <w:shd w:val="clear" w:color="auto" w:fill="FFFFFF" w:themeFill="background1"/>
            <w:noWrap/>
            <w:vAlign w:val="center"/>
            <w:hideMark/>
          </w:tcPr>
          <w:p w14:paraId="33AA999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12/14/2015</w:t>
            </w:r>
          </w:p>
        </w:tc>
        <w:tc>
          <w:tcPr>
            <w:tcW w:w="1047" w:type="dxa"/>
            <w:shd w:val="clear" w:color="auto" w:fill="FFFFFF" w:themeFill="background1"/>
            <w:noWrap/>
            <w:vAlign w:val="center"/>
            <w:hideMark/>
          </w:tcPr>
          <w:p w14:paraId="32D207A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3E7C391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12/13/2035</w:t>
            </w:r>
          </w:p>
        </w:tc>
        <w:tc>
          <w:tcPr>
            <w:tcW w:w="816" w:type="dxa"/>
            <w:shd w:val="clear" w:color="auto" w:fill="FFFFFF" w:themeFill="background1"/>
            <w:vAlign w:val="center"/>
          </w:tcPr>
          <w:p w14:paraId="3EA6A2EF"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4CEACC06" w14:textId="77777777" w:rsidTr="00860829">
        <w:trPr>
          <w:trHeight w:val="433"/>
        </w:trPr>
        <w:tc>
          <w:tcPr>
            <w:tcW w:w="873" w:type="dxa"/>
            <w:shd w:val="clear" w:color="auto" w:fill="FFFFFF" w:themeFill="background1"/>
            <w:noWrap/>
            <w:vAlign w:val="center"/>
            <w:hideMark/>
          </w:tcPr>
          <w:p w14:paraId="4B200CAD"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lastRenderedPageBreak/>
              <w:t>Solar</w:t>
            </w:r>
          </w:p>
        </w:tc>
        <w:tc>
          <w:tcPr>
            <w:tcW w:w="3479" w:type="dxa"/>
            <w:shd w:val="clear" w:color="auto" w:fill="FFFFFF" w:themeFill="background1"/>
            <w:vAlign w:val="center"/>
            <w:hideMark/>
          </w:tcPr>
          <w:p w14:paraId="27933280"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CLASSIC 210 MW - US 1: RINCON SOLAR CENTER</w:t>
            </w:r>
          </w:p>
        </w:tc>
        <w:tc>
          <w:tcPr>
            <w:tcW w:w="1048" w:type="dxa"/>
            <w:shd w:val="clear" w:color="auto" w:fill="FFFFFF" w:themeFill="background1"/>
            <w:noWrap/>
            <w:vAlign w:val="center"/>
            <w:hideMark/>
          </w:tcPr>
          <w:p w14:paraId="5505105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16.0</w:t>
            </w:r>
          </w:p>
        </w:tc>
        <w:tc>
          <w:tcPr>
            <w:tcW w:w="1080" w:type="dxa"/>
            <w:shd w:val="clear" w:color="auto" w:fill="FFFFFF" w:themeFill="background1"/>
            <w:noWrap/>
            <w:vAlign w:val="center"/>
            <w:hideMark/>
          </w:tcPr>
          <w:p w14:paraId="3E4FFFF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12/16/2016</w:t>
            </w:r>
          </w:p>
        </w:tc>
        <w:tc>
          <w:tcPr>
            <w:tcW w:w="1047" w:type="dxa"/>
            <w:shd w:val="clear" w:color="auto" w:fill="FFFFFF" w:themeFill="background1"/>
            <w:noWrap/>
            <w:vAlign w:val="center"/>
            <w:hideMark/>
          </w:tcPr>
          <w:p w14:paraId="1E1C83D3"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46F9F33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12/15/2036</w:t>
            </w:r>
          </w:p>
        </w:tc>
        <w:tc>
          <w:tcPr>
            <w:tcW w:w="816" w:type="dxa"/>
            <w:shd w:val="clear" w:color="auto" w:fill="FFFFFF" w:themeFill="background1"/>
            <w:vAlign w:val="center"/>
          </w:tcPr>
          <w:p w14:paraId="7DF57733"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4E609617" w14:textId="77777777" w:rsidTr="00860829">
        <w:trPr>
          <w:trHeight w:val="433"/>
        </w:trPr>
        <w:tc>
          <w:tcPr>
            <w:tcW w:w="873" w:type="dxa"/>
            <w:shd w:val="clear" w:color="auto" w:fill="FFFFFF" w:themeFill="background1"/>
            <w:noWrap/>
            <w:vAlign w:val="center"/>
            <w:hideMark/>
          </w:tcPr>
          <w:p w14:paraId="66A1DC9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6A997C74"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CLASSIC 210 MW - US 2: BUTLER SOLAR FARM</w:t>
            </w:r>
          </w:p>
        </w:tc>
        <w:tc>
          <w:tcPr>
            <w:tcW w:w="1048" w:type="dxa"/>
            <w:shd w:val="clear" w:color="auto" w:fill="FFFFFF" w:themeFill="background1"/>
            <w:noWrap/>
            <w:vAlign w:val="center"/>
            <w:hideMark/>
          </w:tcPr>
          <w:p w14:paraId="1D484CED"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20.0</w:t>
            </w:r>
          </w:p>
        </w:tc>
        <w:tc>
          <w:tcPr>
            <w:tcW w:w="1080" w:type="dxa"/>
            <w:shd w:val="clear" w:color="auto" w:fill="FFFFFF" w:themeFill="background1"/>
            <w:noWrap/>
            <w:vAlign w:val="center"/>
            <w:hideMark/>
          </w:tcPr>
          <w:p w14:paraId="79BBF151"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2/12/2016</w:t>
            </w:r>
          </w:p>
        </w:tc>
        <w:tc>
          <w:tcPr>
            <w:tcW w:w="1047" w:type="dxa"/>
            <w:shd w:val="clear" w:color="auto" w:fill="FFFFFF" w:themeFill="background1"/>
            <w:noWrap/>
            <w:vAlign w:val="center"/>
            <w:hideMark/>
          </w:tcPr>
          <w:p w14:paraId="3A25ACBC"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526068F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2/11/2036</w:t>
            </w:r>
          </w:p>
        </w:tc>
        <w:tc>
          <w:tcPr>
            <w:tcW w:w="816" w:type="dxa"/>
            <w:shd w:val="clear" w:color="auto" w:fill="FFFFFF" w:themeFill="background1"/>
            <w:vAlign w:val="center"/>
          </w:tcPr>
          <w:p w14:paraId="57A775D7"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18231222" w14:textId="77777777" w:rsidTr="00860829">
        <w:trPr>
          <w:trHeight w:val="433"/>
        </w:trPr>
        <w:tc>
          <w:tcPr>
            <w:tcW w:w="873" w:type="dxa"/>
            <w:shd w:val="clear" w:color="auto" w:fill="FFFFFF" w:themeFill="background1"/>
            <w:noWrap/>
            <w:vAlign w:val="center"/>
            <w:hideMark/>
          </w:tcPr>
          <w:p w14:paraId="6A6ADA2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203FF64B"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 xml:space="preserve">ASI CLASSIC 210 MW - US 2: DECATUR COUNTY SOLAR </w:t>
            </w:r>
          </w:p>
        </w:tc>
        <w:tc>
          <w:tcPr>
            <w:tcW w:w="1048" w:type="dxa"/>
            <w:shd w:val="clear" w:color="auto" w:fill="FFFFFF" w:themeFill="background1"/>
            <w:noWrap/>
            <w:vAlign w:val="center"/>
            <w:hideMark/>
          </w:tcPr>
          <w:p w14:paraId="50D852D8"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18.9</w:t>
            </w:r>
          </w:p>
        </w:tc>
        <w:tc>
          <w:tcPr>
            <w:tcW w:w="1080" w:type="dxa"/>
            <w:shd w:val="clear" w:color="auto" w:fill="FFFFFF" w:themeFill="background1"/>
            <w:noWrap/>
            <w:vAlign w:val="center"/>
            <w:hideMark/>
          </w:tcPr>
          <w:p w14:paraId="15EEF9C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1/1/2016</w:t>
            </w:r>
          </w:p>
        </w:tc>
        <w:tc>
          <w:tcPr>
            <w:tcW w:w="1047" w:type="dxa"/>
            <w:shd w:val="clear" w:color="auto" w:fill="FFFFFF" w:themeFill="background1"/>
            <w:noWrap/>
            <w:vAlign w:val="center"/>
            <w:hideMark/>
          </w:tcPr>
          <w:p w14:paraId="0BF0B11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2BC7885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12/31/2035</w:t>
            </w:r>
          </w:p>
        </w:tc>
        <w:tc>
          <w:tcPr>
            <w:tcW w:w="816" w:type="dxa"/>
            <w:shd w:val="clear" w:color="auto" w:fill="FFFFFF" w:themeFill="background1"/>
            <w:vAlign w:val="center"/>
          </w:tcPr>
          <w:p w14:paraId="20C74808"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507061F3" w14:textId="77777777" w:rsidTr="00860829">
        <w:trPr>
          <w:trHeight w:val="433"/>
        </w:trPr>
        <w:tc>
          <w:tcPr>
            <w:tcW w:w="873" w:type="dxa"/>
            <w:shd w:val="clear" w:color="auto" w:fill="FFFFFF" w:themeFill="background1"/>
            <w:noWrap/>
            <w:vAlign w:val="center"/>
            <w:hideMark/>
          </w:tcPr>
          <w:p w14:paraId="147B50CF"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59D7E05A"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 xml:space="preserve">ASI CLASSIC 210 MW - US 2: HECATE ENERGY </w:t>
            </w:r>
          </w:p>
        </w:tc>
        <w:tc>
          <w:tcPr>
            <w:tcW w:w="1048" w:type="dxa"/>
            <w:shd w:val="clear" w:color="auto" w:fill="FFFFFF" w:themeFill="background1"/>
            <w:noWrap/>
            <w:vAlign w:val="center"/>
            <w:hideMark/>
          </w:tcPr>
          <w:p w14:paraId="49C6BDA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20.0</w:t>
            </w:r>
          </w:p>
        </w:tc>
        <w:tc>
          <w:tcPr>
            <w:tcW w:w="1080" w:type="dxa"/>
            <w:shd w:val="clear" w:color="auto" w:fill="FFFFFF" w:themeFill="background1"/>
            <w:noWrap/>
            <w:vAlign w:val="center"/>
            <w:hideMark/>
          </w:tcPr>
          <w:p w14:paraId="68668B2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11/14/2016</w:t>
            </w:r>
          </w:p>
        </w:tc>
        <w:tc>
          <w:tcPr>
            <w:tcW w:w="1047" w:type="dxa"/>
            <w:shd w:val="clear" w:color="auto" w:fill="FFFFFF" w:themeFill="background1"/>
            <w:noWrap/>
            <w:vAlign w:val="center"/>
            <w:hideMark/>
          </w:tcPr>
          <w:p w14:paraId="40F54F0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1DE6978B"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11/13/2036</w:t>
            </w:r>
          </w:p>
        </w:tc>
        <w:tc>
          <w:tcPr>
            <w:tcW w:w="816" w:type="dxa"/>
            <w:shd w:val="clear" w:color="auto" w:fill="FFFFFF" w:themeFill="background1"/>
            <w:vAlign w:val="center"/>
          </w:tcPr>
          <w:p w14:paraId="32505F9A"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0BD4D526" w14:textId="77777777" w:rsidTr="00860829">
        <w:trPr>
          <w:trHeight w:val="433"/>
        </w:trPr>
        <w:tc>
          <w:tcPr>
            <w:tcW w:w="873" w:type="dxa"/>
            <w:shd w:val="clear" w:color="auto" w:fill="FFFFFF" w:themeFill="background1"/>
            <w:noWrap/>
            <w:vAlign w:val="center"/>
            <w:hideMark/>
          </w:tcPr>
          <w:p w14:paraId="026A7A4D"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49E29957"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CLASSIC 210 MW - US 2: SOLAR GLYNN</w:t>
            </w:r>
          </w:p>
        </w:tc>
        <w:tc>
          <w:tcPr>
            <w:tcW w:w="1048" w:type="dxa"/>
            <w:shd w:val="clear" w:color="auto" w:fill="FFFFFF" w:themeFill="background1"/>
            <w:noWrap/>
            <w:vAlign w:val="center"/>
            <w:hideMark/>
          </w:tcPr>
          <w:p w14:paraId="15216F6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17.7</w:t>
            </w:r>
          </w:p>
        </w:tc>
        <w:tc>
          <w:tcPr>
            <w:tcW w:w="1080" w:type="dxa"/>
            <w:shd w:val="clear" w:color="auto" w:fill="FFFFFF" w:themeFill="background1"/>
            <w:noWrap/>
            <w:vAlign w:val="center"/>
            <w:hideMark/>
          </w:tcPr>
          <w:p w14:paraId="3EBAC5BD"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12/1/2016</w:t>
            </w:r>
          </w:p>
        </w:tc>
        <w:tc>
          <w:tcPr>
            <w:tcW w:w="1047" w:type="dxa"/>
            <w:shd w:val="clear" w:color="auto" w:fill="FFFFFF" w:themeFill="background1"/>
            <w:noWrap/>
            <w:vAlign w:val="center"/>
            <w:hideMark/>
          </w:tcPr>
          <w:p w14:paraId="1E40B3E9"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3342B9BA"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11/30/2036</w:t>
            </w:r>
          </w:p>
        </w:tc>
        <w:tc>
          <w:tcPr>
            <w:tcW w:w="816" w:type="dxa"/>
            <w:shd w:val="clear" w:color="auto" w:fill="FFFFFF" w:themeFill="background1"/>
            <w:vAlign w:val="center"/>
          </w:tcPr>
          <w:p w14:paraId="21DBE45F"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0612940F" w14:textId="77777777" w:rsidTr="00860829">
        <w:trPr>
          <w:trHeight w:val="433"/>
        </w:trPr>
        <w:tc>
          <w:tcPr>
            <w:tcW w:w="873" w:type="dxa"/>
            <w:shd w:val="clear" w:color="auto" w:fill="FFFFFF" w:themeFill="background1"/>
            <w:noWrap/>
            <w:vAlign w:val="center"/>
            <w:hideMark/>
          </w:tcPr>
          <w:p w14:paraId="7F01D4F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0453F07C"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PRIME 525 MW - DG S1625</w:t>
            </w:r>
          </w:p>
        </w:tc>
        <w:tc>
          <w:tcPr>
            <w:tcW w:w="1048" w:type="dxa"/>
            <w:shd w:val="clear" w:color="auto" w:fill="FFFFFF" w:themeFill="background1"/>
            <w:noWrap/>
            <w:vAlign w:val="center"/>
            <w:hideMark/>
          </w:tcPr>
          <w:p w14:paraId="233D7621" w14:textId="21700A56"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0.</w:t>
            </w:r>
            <w:r w:rsidR="009909AC" w:rsidRPr="00B5494E">
              <w:rPr>
                <w:rFonts w:cstheme="minorHAnsi"/>
                <w:sz w:val="18"/>
                <w:szCs w:val="18"/>
              </w:rPr>
              <w:t>1</w:t>
            </w:r>
          </w:p>
        </w:tc>
        <w:tc>
          <w:tcPr>
            <w:tcW w:w="1080" w:type="dxa"/>
            <w:shd w:val="clear" w:color="auto" w:fill="FFFFFF" w:themeFill="background1"/>
            <w:noWrap/>
            <w:vAlign w:val="center"/>
            <w:hideMark/>
          </w:tcPr>
          <w:p w14:paraId="07E9827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5/1/2016</w:t>
            </w:r>
          </w:p>
        </w:tc>
        <w:tc>
          <w:tcPr>
            <w:tcW w:w="1047" w:type="dxa"/>
            <w:shd w:val="clear" w:color="auto" w:fill="FFFFFF" w:themeFill="background1"/>
            <w:noWrap/>
            <w:vAlign w:val="center"/>
            <w:hideMark/>
          </w:tcPr>
          <w:p w14:paraId="243FDF9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25</w:t>
            </w:r>
          </w:p>
        </w:tc>
        <w:tc>
          <w:tcPr>
            <w:tcW w:w="2178" w:type="dxa"/>
            <w:shd w:val="clear" w:color="auto" w:fill="FFFFFF" w:themeFill="background1"/>
            <w:noWrap/>
            <w:vAlign w:val="center"/>
            <w:hideMark/>
          </w:tcPr>
          <w:p w14:paraId="41713FBB"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4/30/2041</w:t>
            </w:r>
          </w:p>
        </w:tc>
        <w:tc>
          <w:tcPr>
            <w:tcW w:w="816" w:type="dxa"/>
            <w:shd w:val="clear" w:color="auto" w:fill="FFFFFF" w:themeFill="background1"/>
            <w:vAlign w:val="center"/>
          </w:tcPr>
          <w:p w14:paraId="30A6B24A"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3</w:t>
            </w:r>
          </w:p>
        </w:tc>
      </w:tr>
      <w:tr w:rsidR="00B5494E" w:rsidRPr="00B5494E" w14:paraId="2B4F46C4" w14:textId="77777777" w:rsidTr="00860829">
        <w:trPr>
          <w:trHeight w:val="433"/>
        </w:trPr>
        <w:tc>
          <w:tcPr>
            <w:tcW w:w="873" w:type="dxa"/>
            <w:shd w:val="clear" w:color="auto" w:fill="FFFFFF" w:themeFill="background1"/>
            <w:noWrap/>
            <w:vAlign w:val="center"/>
            <w:hideMark/>
          </w:tcPr>
          <w:p w14:paraId="11C6A86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0D36CCDD"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PRIME 525 MW - DG S1635</w:t>
            </w:r>
          </w:p>
        </w:tc>
        <w:tc>
          <w:tcPr>
            <w:tcW w:w="1048" w:type="dxa"/>
            <w:shd w:val="clear" w:color="auto" w:fill="FFFFFF" w:themeFill="background1"/>
            <w:noWrap/>
            <w:vAlign w:val="center"/>
            <w:hideMark/>
          </w:tcPr>
          <w:p w14:paraId="0A5DE72C"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0.3</w:t>
            </w:r>
          </w:p>
        </w:tc>
        <w:tc>
          <w:tcPr>
            <w:tcW w:w="1080" w:type="dxa"/>
            <w:shd w:val="clear" w:color="auto" w:fill="FFFFFF" w:themeFill="background1"/>
            <w:noWrap/>
            <w:vAlign w:val="center"/>
            <w:hideMark/>
          </w:tcPr>
          <w:p w14:paraId="4F7A2EE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5/1/2016</w:t>
            </w:r>
          </w:p>
        </w:tc>
        <w:tc>
          <w:tcPr>
            <w:tcW w:w="1047" w:type="dxa"/>
            <w:shd w:val="clear" w:color="auto" w:fill="FFFFFF" w:themeFill="background1"/>
            <w:noWrap/>
            <w:vAlign w:val="center"/>
            <w:hideMark/>
          </w:tcPr>
          <w:p w14:paraId="1D65CB9A"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35</w:t>
            </w:r>
          </w:p>
        </w:tc>
        <w:tc>
          <w:tcPr>
            <w:tcW w:w="2178" w:type="dxa"/>
            <w:shd w:val="clear" w:color="auto" w:fill="FFFFFF" w:themeFill="background1"/>
            <w:noWrap/>
            <w:vAlign w:val="center"/>
            <w:hideMark/>
          </w:tcPr>
          <w:p w14:paraId="6540A69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4/30/2051</w:t>
            </w:r>
          </w:p>
        </w:tc>
        <w:tc>
          <w:tcPr>
            <w:tcW w:w="816" w:type="dxa"/>
            <w:shd w:val="clear" w:color="auto" w:fill="FFFFFF" w:themeFill="background1"/>
            <w:vAlign w:val="center"/>
          </w:tcPr>
          <w:p w14:paraId="7C42D76C"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6</w:t>
            </w:r>
          </w:p>
        </w:tc>
      </w:tr>
      <w:tr w:rsidR="00B5494E" w:rsidRPr="00B5494E" w14:paraId="78EB9A2F" w14:textId="77777777" w:rsidTr="00860829">
        <w:trPr>
          <w:trHeight w:val="433"/>
        </w:trPr>
        <w:tc>
          <w:tcPr>
            <w:tcW w:w="873" w:type="dxa"/>
            <w:shd w:val="clear" w:color="auto" w:fill="FFFFFF" w:themeFill="background1"/>
            <w:noWrap/>
            <w:vAlign w:val="center"/>
            <w:hideMark/>
          </w:tcPr>
          <w:p w14:paraId="1B5AA2D9"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7F2629E8"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PRIME 525 MW - DG S1725</w:t>
            </w:r>
          </w:p>
        </w:tc>
        <w:tc>
          <w:tcPr>
            <w:tcW w:w="1048" w:type="dxa"/>
            <w:shd w:val="clear" w:color="auto" w:fill="FFFFFF" w:themeFill="background1"/>
            <w:noWrap/>
            <w:vAlign w:val="center"/>
            <w:hideMark/>
          </w:tcPr>
          <w:p w14:paraId="7622A9A1"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4.0</w:t>
            </w:r>
          </w:p>
        </w:tc>
        <w:tc>
          <w:tcPr>
            <w:tcW w:w="1080" w:type="dxa"/>
            <w:shd w:val="clear" w:color="auto" w:fill="FFFFFF" w:themeFill="background1"/>
            <w:noWrap/>
            <w:vAlign w:val="center"/>
            <w:hideMark/>
          </w:tcPr>
          <w:p w14:paraId="2AD28B89"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5/1/2017</w:t>
            </w:r>
          </w:p>
        </w:tc>
        <w:tc>
          <w:tcPr>
            <w:tcW w:w="1047" w:type="dxa"/>
            <w:shd w:val="clear" w:color="auto" w:fill="FFFFFF" w:themeFill="background1"/>
            <w:noWrap/>
            <w:vAlign w:val="center"/>
            <w:hideMark/>
          </w:tcPr>
          <w:p w14:paraId="6A3FDEF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25</w:t>
            </w:r>
          </w:p>
        </w:tc>
        <w:tc>
          <w:tcPr>
            <w:tcW w:w="2178" w:type="dxa"/>
            <w:shd w:val="clear" w:color="auto" w:fill="FFFFFF" w:themeFill="background1"/>
            <w:noWrap/>
            <w:vAlign w:val="center"/>
            <w:hideMark/>
          </w:tcPr>
          <w:p w14:paraId="2F595531"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4/30/2042</w:t>
            </w:r>
          </w:p>
        </w:tc>
        <w:tc>
          <w:tcPr>
            <w:tcW w:w="816" w:type="dxa"/>
            <w:shd w:val="clear" w:color="auto" w:fill="FFFFFF" w:themeFill="background1"/>
            <w:vAlign w:val="center"/>
          </w:tcPr>
          <w:p w14:paraId="1125F9C4"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5</w:t>
            </w:r>
          </w:p>
        </w:tc>
      </w:tr>
      <w:tr w:rsidR="00B5494E" w:rsidRPr="00B5494E" w14:paraId="29F1AC51" w14:textId="77777777" w:rsidTr="00860829">
        <w:trPr>
          <w:trHeight w:val="433"/>
        </w:trPr>
        <w:tc>
          <w:tcPr>
            <w:tcW w:w="873" w:type="dxa"/>
            <w:shd w:val="clear" w:color="auto" w:fill="FFFFFF" w:themeFill="background1"/>
            <w:noWrap/>
            <w:vAlign w:val="center"/>
            <w:hideMark/>
          </w:tcPr>
          <w:p w14:paraId="0186EFF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30AFB590"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PRIME 525 MW - DG S1730</w:t>
            </w:r>
          </w:p>
        </w:tc>
        <w:tc>
          <w:tcPr>
            <w:tcW w:w="1048" w:type="dxa"/>
            <w:shd w:val="clear" w:color="auto" w:fill="FFFFFF" w:themeFill="background1"/>
            <w:noWrap/>
            <w:vAlign w:val="center"/>
            <w:hideMark/>
          </w:tcPr>
          <w:p w14:paraId="5FD513F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6.1</w:t>
            </w:r>
          </w:p>
        </w:tc>
        <w:tc>
          <w:tcPr>
            <w:tcW w:w="1080" w:type="dxa"/>
            <w:shd w:val="clear" w:color="auto" w:fill="FFFFFF" w:themeFill="background1"/>
            <w:noWrap/>
            <w:vAlign w:val="center"/>
            <w:hideMark/>
          </w:tcPr>
          <w:p w14:paraId="0C6B574A"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5/1/2017</w:t>
            </w:r>
          </w:p>
        </w:tc>
        <w:tc>
          <w:tcPr>
            <w:tcW w:w="1047" w:type="dxa"/>
            <w:shd w:val="clear" w:color="auto" w:fill="FFFFFF" w:themeFill="background1"/>
            <w:noWrap/>
            <w:vAlign w:val="center"/>
            <w:hideMark/>
          </w:tcPr>
          <w:p w14:paraId="0D00736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6556D3E8"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4/30/2047</w:t>
            </w:r>
          </w:p>
        </w:tc>
        <w:tc>
          <w:tcPr>
            <w:tcW w:w="816" w:type="dxa"/>
            <w:shd w:val="clear" w:color="auto" w:fill="FFFFFF" w:themeFill="background1"/>
            <w:vAlign w:val="center"/>
          </w:tcPr>
          <w:p w14:paraId="4F0C67A9"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6</w:t>
            </w:r>
          </w:p>
        </w:tc>
      </w:tr>
      <w:tr w:rsidR="00B5494E" w:rsidRPr="00B5494E" w14:paraId="598AB3FA" w14:textId="77777777" w:rsidTr="00860829">
        <w:trPr>
          <w:trHeight w:val="433"/>
        </w:trPr>
        <w:tc>
          <w:tcPr>
            <w:tcW w:w="873" w:type="dxa"/>
            <w:shd w:val="clear" w:color="auto" w:fill="FFFFFF" w:themeFill="background1"/>
            <w:noWrap/>
            <w:vAlign w:val="center"/>
            <w:hideMark/>
          </w:tcPr>
          <w:p w14:paraId="376C64CF"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54643AAE"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PRIME 525 MW - DG S1735</w:t>
            </w:r>
          </w:p>
        </w:tc>
        <w:tc>
          <w:tcPr>
            <w:tcW w:w="1048" w:type="dxa"/>
            <w:shd w:val="clear" w:color="auto" w:fill="FFFFFF" w:themeFill="background1"/>
            <w:noWrap/>
            <w:vAlign w:val="center"/>
            <w:hideMark/>
          </w:tcPr>
          <w:p w14:paraId="242C0B1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7.0</w:t>
            </w:r>
          </w:p>
        </w:tc>
        <w:tc>
          <w:tcPr>
            <w:tcW w:w="1080" w:type="dxa"/>
            <w:shd w:val="clear" w:color="auto" w:fill="FFFFFF" w:themeFill="background1"/>
            <w:noWrap/>
            <w:vAlign w:val="center"/>
            <w:hideMark/>
          </w:tcPr>
          <w:p w14:paraId="48B33293"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5/1/2017</w:t>
            </w:r>
          </w:p>
        </w:tc>
        <w:tc>
          <w:tcPr>
            <w:tcW w:w="1047" w:type="dxa"/>
            <w:shd w:val="clear" w:color="auto" w:fill="FFFFFF" w:themeFill="background1"/>
            <w:noWrap/>
            <w:vAlign w:val="center"/>
            <w:hideMark/>
          </w:tcPr>
          <w:p w14:paraId="1DA7FF7B"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35</w:t>
            </w:r>
          </w:p>
        </w:tc>
        <w:tc>
          <w:tcPr>
            <w:tcW w:w="2178" w:type="dxa"/>
            <w:shd w:val="clear" w:color="auto" w:fill="FFFFFF" w:themeFill="background1"/>
            <w:noWrap/>
            <w:vAlign w:val="center"/>
            <w:hideMark/>
          </w:tcPr>
          <w:p w14:paraId="5100CF8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4/30/2052</w:t>
            </w:r>
          </w:p>
        </w:tc>
        <w:tc>
          <w:tcPr>
            <w:tcW w:w="816" w:type="dxa"/>
            <w:shd w:val="clear" w:color="auto" w:fill="FFFFFF" w:themeFill="background1"/>
            <w:vAlign w:val="center"/>
          </w:tcPr>
          <w:p w14:paraId="272535B9"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16</w:t>
            </w:r>
          </w:p>
        </w:tc>
      </w:tr>
      <w:tr w:rsidR="00B5494E" w:rsidRPr="00B5494E" w14:paraId="52200E80" w14:textId="77777777" w:rsidTr="00860829">
        <w:trPr>
          <w:trHeight w:val="433"/>
        </w:trPr>
        <w:tc>
          <w:tcPr>
            <w:tcW w:w="873" w:type="dxa"/>
            <w:shd w:val="clear" w:color="auto" w:fill="FFFFFF" w:themeFill="background1"/>
            <w:noWrap/>
            <w:vAlign w:val="center"/>
            <w:hideMark/>
          </w:tcPr>
          <w:p w14:paraId="3927596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359CDD18"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PRIME 525 MW - DG S1815</w:t>
            </w:r>
          </w:p>
        </w:tc>
        <w:tc>
          <w:tcPr>
            <w:tcW w:w="1048" w:type="dxa"/>
            <w:shd w:val="clear" w:color="auto" w:fill="FFFFFF" w:themeFill="background1"/>
            <w:noWrap/>
            <w:vAlign w:val="center"/>
            <w:hideMark/>
          </w:tcPr>
          <w:p w14:paraId="5DDAA90D"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0.2</w:t>
            </w:r>
          </w:p>
        </w:tc>
        <w:tc>
          <w:tcPr>
            <w:tcW w:w="1080" w:type="dxa"/>
            <w:shd w:val="clear" w:color="auto" w:fill="FFFFFF" w:themeFill="background1"/>
            <w:noWrap/>
            <w:vAlign w:val="center"/>
            <w:hideMark/>
          </w:tcPr>
          <w:p w14:paraId="28942E91"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5/1/2018</w:t>
            </w:r>
          </w:p>
        </w:tc>
        <w:tc>
          <w:tcPr>
            <w:tcW w:w="1047" w:type="dxa"/>
            <w:shd w:val="clear" w:color="auto" w:fill="FFFFFF" w:themeFill="background1"/>
            <w:noWrap/>
            <w:vAlign w:val="center"/>
            <w:hideMark/>
          </w:tcPr>
          <w:p w14:paraId="57CB3828"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15</w:t>
            </w:r>
          </w:p>
        </w:tc>
        <w:tc>
          <w:tcPr>
            <w:tcW w:w="2178" w:type="dxa"/>
            <w:shd w:val="clear" w:color="auto" w:fill="FFFFFF" w:themeFill="background1"/>
            <w:noWrap/>
            <w:vAlign w:val="center"/>
            <w:hideMark/>
          </w:tcPr>
          <w:p w14:paraId="2A363B5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4/30/2033</w:t>
            </w:r>
          </w:p>
        </w:tc>
        <w:tc>
          <w:tcPr>
            <w:tcW w:w="816" w:type="dxa"/>
            <w:shd w:val="clear" w:color="auto" w:fill="FFFFFF" w:themeFill="background1"/>
            <w:vAlign w:val="center"/>
          </w:tcPr>
          <w:p w14:paraId="7D8E2B4C"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3</w:t>
            </w:r>
          </w:p>
        </w:tc>
      </w:tr>
      <w:tr w:rsidR="00B5494E" w:rsidRPr="00B5494E" w14:paraId="6487BE9F" w14:textId="77777777" w:rsidTr="00860829">
        <w:trPr>
          <w:trHeight w:val="433"/>
        </w:trPr>
        <w:tc>
          <w:tcPr>
            <w:tcW w:w="873" w:type="dxa"/>
            <w:shd w:val="clear" w:color="auto" w:fill="FFFFFF" w:themeFill="background1"/>
            <w:noWrap/>
            <w:vAlign w:val="center"/>
            <w:hideMark/>
          </w:tcPr>
          <w:p w14:paraId="32D92323"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4F25B900"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PRIME 525 MW - DG S1820</w:t>
            </w:r>
          </w:p>
        </w:tc>
        <w:tc>
          <w:tcPr>
            <w:tcW w:w="1048" w:type="dxa"/>
            <w:shd w:val="clear" w:color="auto" w:fill="FFFFFF" w:themeFill="background1"/>
            <w:noWrap/>
            <w:vAlign w:val="center"/>
            <w:hideMark/>
          </w:tcPr>
          <w:p w14:paraId="7537132F"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0.0</w:t>
            </w:r>
          </w:p>
        </w:tc>
        <w:tc>
          <w:tcPr>
            <w:tcW w:w="1080" w:type="dxa"/>
            <w:shd w:val="clear" w:color="auto" w:fill="FFFFFF" w:themeFill="background1"/>
            <w:noWrap/>
            <w:vAlign w:val="center"/>
            <w:hideMark/>
          </w:tcPr>
          <w:p w14:paraId="5CE7D84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5/1/2018</w:t>
            </w:r>
          </w:p>
        </w:tc>
        <w:tc>
          <w:tcPr>
            <w:tcW w:w="1047" w:type="dxa"/>
            <w:shd w:val="clear" w:color="auto" w:fill="FFFFFF" w:themeFill="background1"/>
            <w:noWrap/>
            <w:vAlign w:val="center"/>
            <w:hideMark/>
          </w:tcPr>
          <w:p w14:paraId="4560EC5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3257A99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4/30/2038</w:t>
            </w:r>
          </w:p>
        </w:tc>
        <w:tc>
          <w:tcPr>
            <w:tcW w:w="816" w:type="dxa"/>
            <w:shd w:val="clear" w:color="auto" w:fill="FFFFFF" w:themeFill="background1"/>
            <w:vAlign w:val="center"/>
          </w:tcPr>
          <w:p w14:paraId="6810B8A0"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2</w:t>
            </w:r>
          </w:p>
        </w:tc>
      </w:tr>
      <w:tr w:rsidR="00B5494E" w:rsidRPr="00B5494E" w14:paraId="04226F5F" w14:textId="77777777" w:rsidTr="00860829">
        <w:trPr>
          <w:trHeight w:val="433"/>
        </w:trPr>
        <w:tc>
          <w:tcPr>
            <w:tcW w:w="873" w:type="dxa"/>
            <w:shd w:val="clear" w:color="auto" w:fill="FFFFFF" w:themeFill="background1"/>
            <w:noWrap/>
            <w:vAlign w:val="center"/>
          </w:tcPr>
          <w:p w14:paraId="0ACD7A7D" w14:textId="21E178FE" w:rsidR="009A144D" w:rsidRPr="00B5494E" w:rsidRDefault="009A144D" w:rsidP="004911AE">
            <w:pPr>
              <w:spacing w:after="0" w:line="240" w:lineRule="auto"/>
              <w:jc w:val="center"/>
              <w:rPr>
                <w:rFonts w:cstheme="minorHAnsi"/>
                <w:sz w:val="18"/>
                <w:szCs w:val="18"/>
              </w:rPr>
            </w:pPr>
            <w:r w:rsidRPr="00B5494E">
              <w:rPr>
                <w:rFonts w:cstheme="minorHAnsi"/>
                <w:sz w:val="18"/>
                <w:szCs w:val="18"/>
              </w:rPr>
              <w:t>Solar</w:t>
            </w:r>
          </w:p>
        </w:tc>
        <w:tc>
          <w:tcPr>
            <w:tcW w:w="3479" w:type="dxa"/>
            <w:shd w:val="clear" w:color="auto" w:fill="FFFFFF" w:themeFill="background1"/>
            <w:vAlign w:val="center"/>
          </w:tcPr>
          <w:p w14:paraId="07E0B1D4" w14:textId="29B16D48" w:rsidR="009A144D" w:rsidRPr="00B5494E" w:rsidRDefault="009A144D" w:rsidP="004911AE">
            <w:pPr>
              <w:spacing w:after="0" w:line="240" w:lineRule="auto"/>
              <w:rPr>
                <w:rFonts w:cstheme="minorHAnsi"/>
                <w:sz w:val="18"/>
                <w:szCs w:val="18"/>
              </w:rPr>
            </w:pPr>
            <w:r w:rsidRPr="00B5494E">
              <w:rPr>
                <w:rFonts w:cstheme="minorHAnsi"/>
                <w:sz w:val="18"/>
                <w:szCs w:val="18"/>
              </w:rPr>
              <w:t xml:space="preserve">ASI PRIME </w:t>
            </w:r>
            <w:r w:rsidR="00404707" w:rsidRPr="00B5494E">
              <w:rPr>
                <w:rFonts w:cstheme="minorHAnsi"/>
                <w:sz w:val="18"/>
                <w:szCs w:val="18"/>
              </w:rPr>
              <w:t>525 MW – DG S</w:t>
            </w:r>
            <w:r w:rsidR="004321F5" w:rsidRPr="00B5494E">
              <w:rPr>
                <w:rFonts w:cstheme="minorHAnsi"/>
                <w:sz w:val="18"/>
                <w:szCs w:val="18"/>
              </w:rPr>
              <w:t>1825</w:t>
            </w:r>
          </w:p>
        </w:tc>
        <w:tc>
          <w:tcPr>
            <w:tcW w:w="1048" w:type="dxa"/>
            <w:shd w:val="clear" w:color="auto" w:fill="FFFFFF" w:themeFill="background1"/>
            <w:noWrap/>
            <w:vAlign w:val="center"/>
          </w:tcPr>
          <w:p w14:paraId="5212D021" w14:textId="76652FB0" w:rsidR="009A144D" w:rsidRPr="00B5494E" w:rsidRDefault="004321F5" w:rsidP="004911AE">
            <w:pPr>
              <w:spacing w:after="0" w:line="240" w:lineRule="auto"/>
              <w:jc w:val="center"/>
              <w:rPr>
                <w:rFonts w:cstheme="minorHAnsi"/>
                <w:sz w:val="18"/>
                <w:szCs w:val="18"/>
              </w:rPr>
            </w:pPr>
            <w:r w:rsidRPr="00B5494E">
              <w:rPr>
                <w:rFonts w:cstheme="minorHAnsi"/>
                <w:sz w:val="18"/>
                <w:szCs w:val="18"/>
              </w:rPr>
              <w:t>0.3</w:t>
            </w:r>
          </w:p>
        </w:tc>
        <w:tc>
          <w:tcPr>
            <w:tcW w:w="1080" w:type="dxa"/>
            <w:shd w:val="clear" w:color="auto" w:fill="FFFFFF" w:themeFill="background1"/>
            <w:noWrap/>
            <w:vAlign w:val="center"/>
          </w:tcPr>
          <w:p w14:paraId="36C77215" w14:textId="5FE8E1A0" w:rsidR="009A144D" w:rsidRPr="00B5494E" w:rsidRDefault="00D2578E" w:rsidP="004911AE">
            <w:pPr>
              <w:spacing w:after="0" w:line="240" w:lineRule="auto"/>
              <w:jc w:val="center"/>
              <w:rPr>
                <w:rFonts w:cstheme="minorHAnsi"/>
                <w:sz w:val="18"/>
                <w:szCs w:val="18"/>
              </w:rPr>
            </w:pPr>
            <w:r w:rsidRPr="00B5494E">
              <w:rPr>
                <w:rFonts w:cstheme="minorHAnsi"/>
                <w:sz w:val="18"/>
                <w:szCs w:val="18"/>
              </w:rPr>
              <w:t>5/1/2018</w:t>
            </w:r>
          </w:p>
        </w:tc>
        <w:tc>
          <w:tcPr>
            <w:tcW w:w="1047" w:type="dxa"/>
            <w:shd w:val="clear" w:color="auto" w:fill="FFFFFF" w:themeFill="background1"/>
            <w:noWrap/>
            <w:vAlign w:val="center"/>
          </w:tcPr>
          <w:p w14:paraId="1C705F48" w14:textId="1D6DC193" w:rsidR="009A144D" w:rsidRPr="00B5494E" w:rsidRDefault="00002457" w:rsidP="004911AE">
            <w:pPr>
              <w:spacing w:after="0" w:line="240" w:lineRule="auto"/>
              <w:jc w:val="center"/>
              <w:rPr>
                <w:rFonts w:cstheme="minorHAnsi"/>
                <w:sz w:val="18"/>
                <w:szCs w:val="18"/>
              </w:rPr>
            </w:pPr>
            <w:r w:rsidRPr="00B5494E">
              <w:rPr>
                <w:rFonts w:cstheme="minorHAnsi"/>
                <w:sz w:val="18"/>
                <w:szCs w:val="18"/>
              </w:rPr>
              <w:t>25</w:t>
            </w:r>
          </w:p>
        </w:tc>
        <w:tc>
          <w:tcPr>
            <w:tcW w:w="2178" w:type="dxa"/>
            <w:shd w:val="clear" w:color="auto" w:fill="FFFFFF" w:themeFill="background1"/>
            <w:noWrap/>
            <w:vAlign w:val="center"/>
          </w:tcPr>
          <w:p w14:paraId="1E0403DB" w14:textId="73226DAC" w:rsidR="009A144D" w:rsidRPr="00B5494E" w:rsidRDefault="00002457" w:rsidP="004911AE">
            <w:pPr>
              <w:spacing w:after="0" w:line="240" w:lineRule="auto"/>
              <w:jc w:val="center"/>
              <w:rPr>
                <w:rFonts w:cstheme="minorHAnsi"/>
                <w:sz w:val="18"/>
                <w:szCs w:val="18"/>
              </w:rPr>
            </w:pPr>
            <w:r w:rsidRPr="00B5494E">
              <w:rPr>
                <w:rFonts w:cstheme="minorHAnsi"/>
                <w:sz w:val="18"/>
                <w:szCs w:val="18"/>
              </w:rPr>
              <w:t>4/30/2043</w:t>
            </w:r>
          </w:p>
        </w:tc>
        <w:tc>
          <w:tcPr>
            <w:tcW w:w="816" w:type="dxa"/>
            <w:shd w:val="clear" w:color="auto" w:fill="FFFFFF" w:themeFill="background1"/>
            <w:vAlign w:val="center"/>
          </w:tcPr>
          <w:p w14:paraId="1B14B2F7" w14:textId="77777777" w:rsidR="009A144D" w:rsidRPr="00B5494E" w:rsidRDefault="009A144D" w:rsidP="004911AE">
            <w:pPr>
              <w:spacing w:after="0" w:line="240" w:lineRule="auto"/>
              <w:jc w:val="center"/>
              <w:rPr>
                <w:rFonts w:cstheme="minorHAnsi"/>
                <w:sz w:val="18"/>
                <w:szCs w:val="18"/>
              </w:rPr>
            </w:pPr>
          </w:p>
        </w:tc>
      </w:tr>
      <w:tr w:rsidR="00B5494E" w:rsidRPr="00B5494E" w14:paraId="04B0D66D" w14:textId="77777777" w:rsidTr="00860829">
        <w:trPr>
          <w:trHeight w:val="433"/>
        </w:trPr>
        <w:tc>
          <w:tcPr>
            <w:tcW w:w="873" w:type="dxa"/>
            <w:shd w:val="clear" w:color="auto" w:fill="FFFFFF" w:themeFill="background1"/>
            <w:noWrap/>
            <w:vAlign w:val="center"/>
            <w:hideMark/>
          </w:tcPr>
          <w:p w14:paraId="46A8B433"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5115EB95"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PRIME 525 MW - DG S1835</w:t>
            </w:r>
          </w:p>
        </w:tc>
        <w:tc>
          <w:tcPr>
            <w:tcW w:w="1048" w:type="dxa"/>
            <w:shd w:val="clear" w:color="auto" w:fill="FFFFFF" w:themeFill="background1"/>
            <w:noWrap/>
            <w:vAlign w:val="center"/>
            <w:hideMark/>
          </w:tcPr>
          <w:p w14:paraId="50FB91EA"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0.1</w:t>
            </w:r>
          </w:p>
        </w:tc>
        <w:tc>
          <w:tcPr>
            <w:tcW w:w="1080" w:type="dxa"/>
            <w:shd w:val="clear" w:color="auto" w:fill="FFFFFF" w:themeFill="background1"/>
            <w:noWrap/>
            <w:vAlign w:val="center"/>
            <w:hideMark/>
          </w:tcPr>
          <w:p w14:paraId="5E198F3B"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5/1/2018</w:t>
            </w:r>
          </w:p>
        </w:tc>
        <w:tc>
          <w:tcPr>
            <w:tcW w:w="1047" w:type="dxa"/>
            <w:shd w:val="clear" w:color="auto" w:fill="FFFFFF" w:themeFill="background1"/>
            <w:noWrap/>
            <w:vAlign w:val="center"/>
            <w:hideMark/>
          </w:tcPr>
          <w:p w14:paraId="1598A061" w14:textId="3C11B242" w:rsidR="001C7D23" w:rsidRPr="00B5494E" w:rsidRDefault="00346473" w:rsidP="004911AE">
            <w:pPr>
              <w:spacing w:after="0" w:line="240" w:lineRule="auto"/>
              <w:jc w:val="center"/>
              <w:rPr>
                <w:rFonts w:eastAsia="Times New Roman" w:cstheme="minorHAnsi"/>
                <w:sz w:val="18"/>
                <w:szCs w:val="18"/>
              </w:rPr>
            </w:pPr>
            <w:r w:rsidRPr="00B5494E">
              <w:rPr>
                <w:rFonts w:cstheme="minorHAnsi"/>
                <w:sz w:val="18"/>
                <w:szCs w:val="18"/>
              </w:rPr>
              <w:t>2</w:t>
            </w:r>
            <w:r w:rsidR="001C7D23" w:rsidRPr="00B5494E">
              <w:rPr>
                <w:rFonts w:cstheme="minorHAnsi"/>
                <w:sz w:val="18"/>
                <w:szCs w:val="18"/>
              </w:rPr>
              <w:t>5</w:t>
            </w:r>
          </w:p>
        </w:tc>
        <w:tc>
          <w:tcPr>
            <w:tcW w:w="2178" w:type="dxa"/>
            <w:shd w:val="clear" w:color="auto" w:fill="FFFFFF" w:themeFill="background1"/>
            <w:noWrap/>
            <w:vAlign w:val="center"/>
            <w:hideMark/>
          </w:tcPr>
          <w:p w14:paraId="1B4D69D4" w14:textId="1BAEC62B"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4/30/20</w:t>
            </w:r>
            <w:r w:rsidR="00346473" w:rsidRPr="00B5494E">
              <w:rPr>
                <w:rFonts w:cstheme="minorHAnsi"/>
                <w:sz w:val="18"/>
                <w:szCs w:val="18"/>
              </w:rPr>
              <w:t>4</w:t>
            </w:r>
            <w:r w:rsidRPr="00B5494E">
              <w:rPr>
                <w:rFonts w:cstheme="minorHAnsi"/>
                <w:sz w:val="18"/>
                <w:szCs w:val="18"/>
              </w:rPr>
              <w:t>3</w:t>
            </w:r>
          </w:p>
        </w:tc>
        <w:tc>
          <w:tcPr>
            <w:tcW w:w="816" w:type="dxa"/>
            <w:shd w:val="clear" w:color="auto" w:fill="FFFFFF" w:themeFill="background1"/>
            <w:vAlign w:val="center"/>
          </w:tcPr>
          <w:p w14:paraId="03E1B386"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3</w:t>
            </w:r>
          </w:p>
        </w:tc>
      </w:tr>
      <w:tr w:rsidR="00B5494E" w:rsidRPr="00B5494E" w14:paraId="28279ECA" w14:textId="77777777" w:rsidTr="00860829">
        <w:trPr>
          <w:trHeight w:val="433"/>
        </w:trPr>
        <w:tc>
          <w:tcPr>
            <w:tcW w:w="873" w:type="dxa"/>
            <w:shd w:val="clear" w:color="auto" w:fill="FFFFFF" w:themeFill="background1"/>
            <w:noWrap/>
            <w:vAlign w:val="center"/>
            <w:hideMark/>
          </w:tcPr>
          <w:p w14:paraId="0F1ED6A9"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2D1DDAAD"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PRIME 525 MW - DG W1725</w:t>
            </w:r>
          </w:p>
        </w:tc>
        <w:tc>
          <w:tcPr>
            <w:tcW w:w="1048" w:type="dxa"/>
            <w:shd w:val="clear" w:color="auto" w:fill="FFFFFF" w:themeFill="background1"/>
            <w:noWrap/>
            <w:vAlign w:val="center"/>
            <w:hideMark/>
          </w:tcPr>
          <w:p w14:paraId="6D5AEB0C" w14:textId="4A780E36"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13.</w:t>
            </w:r>
            <w:r w:rsidR="00F55911" w:rsidRPr="00B5494E">
              <w:rPr>
                <w:rFonts w:cstheme="minorHAnsi"/>
                <w:sz w:val="18"/>
                <w:szCs w:val="18"/>
              </w:rPr>
              <w:t>6</w:t>
            </w:r>
          </w:p>
        </w:tc>
        <w:tc>
          <w:tcPr>
            <w:tcW w:w="1080" w:type="dxa"/>
            <w:shd w:val="clear" w:color="auto" w:fill="FFFFFF" w:themeFill="background1"/>
            <w:noWrap/>
            <w:vAlign w:val="center"/>
            <w:hideMark/>
          </w:tcPr>
          <w:p w14:paraId="53F8212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1/1/2017</w:t>
            </w:r>
          </w:p>
        </w:tc>
        <w:tc>
          <w:tcPr>
            <w:tcW w:w="1047" w:type="dxa"/>
            <w:shd w:val="clear" w:color="auto" w:fill="FFFFFF" w:themeFill="background1"/>
            <w:noWrap/>
            <w:vAlign w:val="center"/>
            <w:hideMark/>
          </w:tcPr>
          <w:p w14:paraId="711C76F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25</w:t>
            </w:r>
          </w:p>
        </w:tc>
        <w:tc>
          <w:tcPr>
            <w:tcW w:w="2178" w:type="dxa"/>
            <w:shd w:val="clear" w:color="auto" w:fill="FFFFFF" w:themeFill="background1"/>
            <w:noWrap/>
            <w:vAlign w:val="center"/>
            <w:hideMark/>
          </w:tcPr>
          <w:p w14:paraId="6C0C922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12/31/2041</w:t>
            </w:r>
          </w:p>
        </w:tc>
        <w:tc>
          <w:tcPr>
            <w:tcW w:w="816" w:type="dxa"/>
            <w:shd w:val="clear" w:color="auto" w:fill="FFFFFF" w:themeFill="background1"/>
            <w:vAlign w:val="center"/>
          </w:tcPr>
          <w:p w14:paraId="394F0961"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32</w:t>
            </w:r>
          </w:p>
        </w:tc>
      </w:tr>
      <w:tr w:rsidR="00B5494E" w:rsidRPr="00B5494E" w14:paraId="360D5A5A" w14:textId="77777777" w:rsidTr="00860829">
        <w:trPr>
          <w:trHeight w:val="433"/>
        </w:trPr>
        <w:tc>
          <w:tcPr>
            <w:tcW w:w="873" w:type="dxa"/>
            <w:shd w:val="clear" w:color="auto" w:fill="FFFFFF" w:themeFill="background1"/>
            <w:noWrap/>
            <w:vAlign w:val="center"/>
            <w:hideMark/>
          </w:tcPr>
          <w:p w14:paraId="130368FA"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04DEFE23"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PRIME 525 MW - DG W1730</w:t>
            </w:r>
          </w:p>
        </w:tc>
        <w:tc>
          <w:tcPr>
            <w:tcW w:w="1048" w:type="dxa"/>
            <w:shd w:val="clear" w:color="auto" w:fill="FFFFFF" w:themeFill="background1"/>
            <w:noWrap/>
            <w:vAlign w:val="center"/>
            <w:hideMark/>
          </w:tcPr>
          <w:p w14:paraId="79C84AD8"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6.1</w:t>
            </w:r>
          </w:p>
        </w:tc>
        <w:tc>
          <w:tcPr>
            <w:tcW w:w="1080" w:type="dxa"/>
            <w:shd w:val="clear" w:color="auto" w:fill="FFFFFF" w:themeFill="background1"/>
            <w:noWrap/>
            <w:vAlign w:val="center"/>
            <w:hideMark/>
          </w:tcPr>
          <w:p w14:paraId="13EC414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1/1/2017</w:t>
            </w:r>
          </w:p>
        </w:tc>
        <w:tc>
          <w:tcPr>
            <w:tcW w:w="1047" w:type="dxa"/>
            <w:shd w:val="clear" w:color="auto" w:fill="FFFFFF" w:themeFill="background1"/>
            <w:noWrap/>
            <w:vAlign w:val="center"/>
            <w:hideMark/>
          </w:tcPr>
          <w:p w14:paraId="6990D73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749C7EEA"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12/31/2046</w:t>
            </w:r>
          </w:p>
        </w:tc>
        <w:tc>
          <w:tcPr>
            <w:tcW w:w="816" w:type="dxa"/>
            <w:shd w:val="clear" w:color="auto" w:fill="FFFFFF" w:themeFill="background1"/>
            <w:vAlign w:val="center"/>
          </w:tcPr>
          <w:p w14:paraId="32BDCA79"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16</w:t>
            </w:r>
          </w:p>
        </w:tc>
      </w:tr>
      <w:tr w:rsidR="00B5494E" w:rsidRPr="00B5494E" w14:paraId="22D1972C" w14:textId="77777777" w:rsidTr="00860829">
        <w:trPr>
          <w:trHeight w:val="433"/>
        </w:trPr>
        <w:tc>
          <w:tcPr>
            <w:tcW w:w="873" w:type="dxa"/>
            <w:shd w:val="clear" w:color="auto" w:fill="FFFFFF" w:themeFill="background1"/>
            <w:noWrap/>
            <w:vAlign w:val="center"/>
            <w:hideMark/>
          </w:tcPr>
          <w:p w14:paraId="394FF2BB"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4B1FC713"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PRIME 525 MW - DG W1735</w:t>
            </w:r>
          </w:p>
        </w:tc>
        <w:tc>
          <w:tcPr>
            <w:tcW w:w="1048" w:type="dxa"/>
            <w:shd w:val="clear" w:color="auto" w:fill="FFFFFF" w:themeFill="background1"/>
            <w:noWrap/>
            <w:vAlign w:val="center"/>
            <w:hideMark/>
          </w:tcPr>
          <w:p w14:paraId="1D25074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1.9</w:t>
            </w:r>
          </w:p>
        </w:tc>
        <w:tc>
          <w:tcPr>
            <w:tcW w:w="1080" w:type="dxa"/>
            <w:shd w:val="clear" w:color="auto" w:fill="FFFFFF" w:themeFill="background1"/>
            <w:noWrap/>
            <w:vAlign w:val="center"/>
            <w:hideMark/>
          </w:tcPr>
          <w:p w14:paraId="3094434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1/1/2017</w:t>
            </w:r>
          </w:p>
        </w:tc>
        <w:tc>
          <w:tcPr>
            <w:tcW w:w="1047" w:type="dxa"/>
            <w:shd w:val="clear" w:color="auto" w:fill="FFFFFF" w:themeFill="background1"/>
            <w:noWrap/>
            <w:vAlign w:val="center"/>
            <w:hideMark/>
          </w:tcPr>
          <w:p w14:paraId="42E5952B"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35</w:t>
            </w:r>
          </w:p>
        </w:tc>
        <w:tc>
          <w:tcPr>
            <w:tcW w:w="2178" w:type="dxa"/>
            <w:shd w:val="clear" w:color="auto" w:fill="FFFFFF" w:themeFill="background1"/>
            <w:noWrap/>
            <w:vAlign w:val="center"/>
            <w:hideMark/>
          </w:tcPr>
          <w:p w14:paraId="7C986A0F"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12/31/2051</w:t>
            </w:r>
          </w:p>
        </w:tc>
        <w:tc>
          <w:tcPr>
            <w:tcW w:w="816" w:type="dxa"/>
            <w:shd w:val="clear" w:color="auto" w:fill="FFFFFF" w:themeFill="background1"/>
            <w:vAlign w:val="center"/>
          </w:tcPr>
          <w:p w14:paraId="7E29C0AD"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10</w:t>
            </w:r>
          </w:p>
        </w:tc>
      </w:tr>
      <w:tr w:rsidR="00B5494E" w:rsidRPr="00B5494E" w14:paraId="7B8FE14C" w14:textId="77777777" w:rsidTr="00860829">
        <w:trPr>
          <w:trHeight w:val="433"/>
        </w:trPr>
        <w:tc>
          <w:tcPr>
            <w:tcW w:w="873" w:type="dxa"/>
            <w:shd w:val="clear" w:color="auto" w:fill="FFFFFF" w:themeFill="background1"/>
            <w:noWrap/>
            <w:vAlign w:val="center"/>
            <w:hideMark/>
          </w:tcPr>
          <w:p w14:paraId="5DA1433B"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0E9D1CE2"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PRIME 525 MW - DG W1815</w:t>
            </w:r>
          </w:p>
        </w:tc>
        <w:tc>
          <w:tcPr>
            <w:tcW w:w="1048" w:type="dxa"/>
            <w:shd w:val="clear" w:color="auto" w:fill="FFFFFF" w:themeFill="background1"/>
            <w:noWrap/>
            <w:vAlign w:val="center"/>
            <w:hideMark/>
          </w:tcPr>
          <w:p w14:paraId="3C69B38A" w14:textId="517E270D"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0.</w:t>
            </w:r>
            <w:r w:rsidR="007D001A" w:rsidRPr="00B5494E">
              <w:rPr>
                <w:rFonts w:cstheme="minorHAnsi"/>
                <w:sz w:val="18"/>
                <w:szCs w:val="18"/>
              </w:rPr>
              <w:t>5</w:t>
            </w:r>
          </w:p>
        </w:tc>
        <w:tc>
          <w:tcPr>
            <w:tcW w:w="1080" w:type="dxa"/>
            <w:shd w:val="clear" w:color="auto" w:fill="FFFFFF" w:themeFill="background1"/>
            <w:noWrap/>
            <w:vAlign w:val="center"/>
            <w:hideMark/>
          </w:tcPr>
          <w:p w14:paraId="3E1979C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1/1/2018</w:t>
            </w:r>
          </w:p>
        </w:tc>
        <w:tc>
          <w:tcPr>
            <w:tcW w:w="1047" w:type="dxa"/>
            <w:shd w:val="clear" w:color="auto" w:fill="FFFFFF" w:themeFill="background1"/>
            <w:noWrap/>
            <w:vAlign w:val="center"/>
            <w:hideMark/>
          </w:tcPr>
          <w:p w14:paraId="72613CBA"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15</w:t>
            </w:r>
          </w:p>
        </w:tc>
        <w:tc>
          <w:tcPr>
            <w:tcW w:w="2178" w:type="dxa"/>
            <w:shd w:val="clear" w:color="auto" w:fill="FFFFFF" w:themeFill="background1"/>
            <w:noWrap/>
            <w:vAlign w:val="center"/>
            <w:hideMark/>
          </w:tcPr>
          <w:p w14:paraId="17639453"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12/31/2032</w:t>
            </w:r>
          </w:p>
        </w:tc>
        <w:tc>
          <w:tcPr>
            <w:tcW w:w="816" w:type="dxa"/>
            <w:shd w:val="clear" w:color="auto" w:fill="FFFFFF" w:themeFill="background1"/>
            <w:vAlign w:val="center"/>
          </w:tcPr>
          <w:p w14:paraId="623DE53B"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15</w:t>
            </w:r>
          </w:p>
        </w:tc>
      </w:tr>
      <w:tr w:rsidR="00B5494E" w:rsidRPr="00B5494E" w14:paraId="49B30B03" w14:textId="77777777" w:rsidTr="00860829">
        <w:trPr>
          <w:trHeight w:val="433"/>
        </w:trPr>
        <w:tc>
          <w:tcPr>
            <w:tcW w:w="873" w:type="dxa"/>
            <w:shd w:val="clear" w:color="auto" w:fill="FFFFFF" w:themeFill="background1"/>
            <w:noWrap/>
            <w:vAlign w:val="center"/>
            <w:hideMark/>
          </w:tcPr>
          <w:p w14:paraId="59C30AC8"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2A818355"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PRIME 525 MW - DG W1820</w:t>
            </w:r>
          </w:p>
        </w:tc>
        <w:tc>
          <w:tcPr>
            <w:tcW w:w="1048" w:type="dxa"/>
            <w:shd w:val="clear" w:color="auto" w:fill="FFFFFF" w:themeFill="background1"/>
            <w:noWrap/>
            <w:vAlign w:val="center"/>
            <w:hideMark/>
          </w:tcPr>
          <w:p w14:paraId="45982434" w14:textId="6FACFE01"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0.</w:t>
            </w:r>
            <w:r w:rsidR="00D7240C" w:rsidRPr="00B5494E">
              <w:rPr>
                <w:rFonts w:cstheme="minorHAnsi"/>
                <w:sz w:val="18"/>
                <w:szCs w:val="18"/>
              </w:rPr>
              <w:t>3</w:t>
            </w:r>
          </w:p>
        </w:tc>
        <w:tc>
          <w:tcPr>
            <w:tcW w:w="1080" w:type="dxa"/>
            <w:shd w:val="clear" w:color="auto" w:fill="FFFFFF" w:themeFill="background1"/>
            <w:noWrap/>
            <w:vAlign w:val="center"/>
            <w:hideMark/>
          </w:tcPr>
          <w:p w14:paraId="78B1ADF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1/1/2018</w:t>
            </w:r>
          </w:p>
        </w:tc>
        <w:tc>
          <w:tcPr>
            <w:tcW w:w="1047" w:type="dxa"/>
            <w:shd w:val="clear" w:color="auto" w:fill="FFFFFF" w:themeFill="background1"/>
            <w:noWrap/>
            <w:vAlign w:val="center"/>
            <w:hideMark/>
          </w:tcPr>
          <w:p w14:paraId="536AC23A"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41AA1698"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12/31/2037</w:t>
            </w:r>
          </w:p>
        </w:tc>
        <w:tc>
          <w:tcPr>
            <w:tcW w:w="816" w:type="dxa"/>
            <w:shd w:val="clear" w:color="auto" w:fill="FFFFFF" w:themeFill="background1"/>
            <w:vAlign w:val="center"/>
          </w:tcPr>
          <w:p w14:paraId="353191CC"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10</w:t>
            </w:r>
          </w:p>
        </w:tc>
      </w:tr>
      <w:tr w:rsidR="00B5494E" w:rsidRPr="00B5494E" w14:paraId="131CC9C3" w14:textId="77777777" w:rsidTr="00860829">
        <w:trPr>
          <w:trHeight w:val="433"/>
        </w:trPr>
        <w:tc>
          <w:tcPr>
            <w:tcW w:w="873" w:type="dxa"/>
            <w:shd w:val="clear" w:color="auto" w:fill="FFFFFF" w:themeFill="background1"/>
            <w:noWrap/>
            <w:vAlign w:val="center"/>
            <w:hideMark/>
          </w:tcPr>
          <w:p w14:paraId="74BA4C0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2A029B01"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PRIME 525 MW - DG W1825</w:t>
            </w:r>
          </w:p>
        </w:tc>
        <w:tc>
          <w:tcPr>
            <w:tcW w:w="1048" w:type="dxa"/>
            <w:shd w:val="clear" w:color="auto" w:fill="FFFFFF" w:themeFill="background1"/>
            <w:noWrap/>
            <w:vAlign w:val="center"/>
            <w:hideMark/>
          </w:tcPr>
          <w:p w14:paraId="41014AB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9.2</w:t>
            </w:r>
          </w:p>
        </w:tc>
        <w:tc>
          <w:tcPr>
            <w:tcW w:w="1080" w:type="dxa"/>
            <w:shd w:val="clear" w:color="auto" w:fill="FFFFFF" w:themeFill="background1"/>
            <w:noWrap/>
            <w:vAlign w:val="center"/>
            <w:hideMark/>
          </w:tcPr>
          <w:p w14:paraId="699BD75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1/1/2018</w:t>
            </w:r>
          </w:p>
        </w:tc>
        <w:tc>
          <w:tcPr>
            <w:tcW w:w="1047" w:type="dxa"/>
            <w:shd w:val="clear" w:color="auto" w:fill="FFFFFF" w:themeFill="background1"/>
            <w:noWrap/>
            <w:vAlign w:val="center"/>
            <w:hideMark/>
          </w:tcPr>
          <w:p w14:paraId="1AA04F4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25</w:t>
            </w:r>
          </w:p>
        </w:tc>
        <w:tc>
          <w:tcPr>
            <w:tcW w:w="2178" w:type="dxa"/>
            <w:shd w:val="clear" w:color="auto" w:fill="FFFFFF" w:themeFill="background1"/>
            <w:noWrap/>
            <w:vAlign w:val="center"/>
            <w:hideMark/>
          </w:tcPr>
          <w:p w14:paraId="130D9B7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12/31/2042</w:t>
            </w:r>
          </w:p>
        </w:tc>
        <w:tc>
          <w:tcPr>
            <w:tcW w:w="816" w:type="dxa"/>
            <w:shd w:val="clear" w:color="auto" w:fill="FFFFFF" w:themeFill="background1"/>
            <w:vAlign w:val="center"/>
          </w:tcPr>
          <w:p w14:paraId="0C116A04"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13</w:t>
            </w:r>
          </w:p>
        </w:tc>
      </w:tr>
      <w:tr w:rsidR="00B5494E" w:rsidRPr="00B5494E" w14:paraId="7A169F6B" w14:textId="77777777" w:rsidTr="00860829">
        <w:trPr>
          <w:trHeight w:val="433"/>
        </w:trPr>
        <w:tc>
          <w:tcPr>
            <w:tcW w:w="873" w:type="dxa"/>
            <w:shd w:val="clear" w:color="auto" w:fill="FFFFFF" w:themeFill="background1"/>
            <w:noWrap/>
            <w:vAlign w:val="center"/>
            <w:hideMark/>
          </w:tcPr>
          <w:p w14:paraId="5274FB0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6CD03148"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PRIME 525 MW - DG W1830</w:t>
            </w:r>
          </w:p>
        </w:tc>
        <w:tc>
          <w:tcPr>
            <w:tcW w:w="1048" w:type="dxa"/>
            <w:shd w:val="clear" w:color="auto" w:fill="FFFFFF" w:themeFill="background1"/>
            <w:noWrap/>
            <w:vAlign w:val="center"/>
            <w:hideMark/>
          </w:tcPr>
          <w:p w14:paraId="09FF9843" w14:textId="41DDD0EA"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22.</w:t>
            </w:r>
            <w:r w:rsidR="001530F3" w:rsidRPr="00B5494E">
              <w:rPr>
                <w:rFonts w:cstheme="minorHAnsi"/>
                <w:sz w:val="18"/>
                <w:szCs w:val="18"/>
              </w:rPr>
              <w:t>4</w:t>
            </w:r>
          </w:p>
        </w:tc>
        <w:tc>
          <w:tcPr>
            <w:tcW w:w="1080" w:type="dxa"/>
            <w:shd w:val="clear" w:color="auto" w:fill="FFFFFF" w:themeFill="background1"/>
            <w:noWrap/>
            <w:vAlign w:val="center"/>
            <w:hideMark/>
          </w:tcPr>
          <w:p w14:paraId="2D80F49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1/1/2018</w:t>
            </w:r>
          </w:p>
        </w:tc>
        <w:tc>
          <w:tcPr>
            <w:tcW w:w="1047" w:type="dxa"/>
            <w:shd w:val="clear" w:color="auto" w:fill="FFFFFF" w:themeFill="background1"/>
            <w:noWrap/>
            <w:vAlign w:val="center"/>
            <w:hideMark/>
          </w:tcPr>
          <w:p w14:paraId="473526AB"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5D193CB8"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12/31/2047</w:t>
            </w:r>
          </w:p>
        </w:tc>
        <w:tc>
          <w:tcPr>
            <w:tcW w:w="816" w:type="dxa"/>
            <w:shd w:val="clear" w:color="auto" w:fill="FFFFFF" w:themeFill="background1"/>
            <w:vAlign w:val="center"/>
          </w:tcPr>
          <w:p w14:paraId="2C3B4D70"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21</w:t>
            </w:r>
          </w:p>
        </w:tc>
      </w:tr>
      <w:tr w:rsidR="00B5494E" w:rsidRPr="00B5494E" w14:paraId="07422CA5" w14:textId="77777777" w:rsidTr="00860829">
        <w:trPr>
          <w:trHeight w:val="433"/>
        </w:trPr>
        <w:tc>
          <w:tcPr>
            <w:tcW w:w="873" w:type="dxa"/>
            <w:shd w:val="clear" w:color="auto" w:fill="FFFFFF" w:themeFill="background1"/>
            <w:noWrap/>
            <w:vAlign w:val="center"/>
            <w:hideMark/>
          </w:tcPr>
          <w:p w14:paraId="50EED4FD"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756DD755"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PRIME 525 MW - DG W1835</w:t>
            </w:r>
          </w:p>
        </w:tc>
        <w:tc>
          <w:tcPr>
            <w:tcW w:w="1048" w:type="dxa"/>
            <w:shd w:val="clear" w:color="auto" w:fill="FFFFFF" w:themeFill="background1"/>
            <w:noWrap/>
            <w:vAlign w:val="center"/>
            <w:hideMark/>
          </w:tcPr>
          <w:p w14:paraId="11EAC78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6.3</w:t>
            </w:r>
          </w:p>
        </w:tc>
        <w:tc>
          <w:tcPr>
            <w:tcW w:w="1080" w:type="dxa"/>
            <w:shd w:val="clear" w:color="auto" w:fill="FFFFFF" w:themeFill="background1"/>
            <w:noWrap/>
            <w:vAlign w:val="center"/>
            <w:hideMark/>
          </w:tcPr>
          <w:p w14:paraId="76F52C0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1/1/2018</w:t>
            </w:r>
          </w:p>
        </w:tc>
        <w:tc>
          <w:tcPr>
            <w:tcW w:w="1047" w:type="dxa"/>
            <w:shd w:val="clear" w:color="auto" w:fill="FFFFFF" w:themeFill="background1"/>
            <w:noWrap/>
            <w:vAlign w:val="center"/>
            <w:hideMark/>
          </w:tcPr>
          <w:p w14:paraId="36A70C4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35</w:t>
            </w:r>
          </w:p>
        </w:tc>
        <w:tc>
          <w:tcPr>
            <w:tcW w:w="2178" w:type="dxa"/>
            <w:shd w:val="clear" w:color="auto" w:fill="FFFFFF" w:themeFill="background1"/>
            <w:noWrap/>
            <w:vAlign w:val="center"/>
            <w:hideMark/>
          </w:tcPr>
          <w:p w14:paraId="418E7321"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12/31/2052</w:t>
            </w:r>
          </w:p>
        </w:tc>
        <w:tc>
          <w:tcPr>
            <w:tcW w:w="816" w:type="dxa"/>
            <w:shd w:val="clear" w:color="auto" w:fill="FFFFFF" w:themeFill="background1"/>
            <w:vAlign w:val="center"/>
          </w:tcPr>
          <w:p w14:paraId="10E39E72"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27</w:t>
            </w:r>
          </w:p>
        </w:tc>
      </w:tr>
      <w:tr w:rsidR="00B5494E" w:rsidRPr="00B5494E" w14:paraId="649E93C0" w14:textId="77777777" w:rsidTr="00860829">
        <w:trPr>
          <w:trHeight w:val="433"/>
        </w:trPr>
        <w:tc>
          <w:tcPr>
            <w:tcW w:w="873" w:type="dxa"/>
            <w:shd w:val="clear" w:color="auto" w:fill="FFFFFF" w:themeFill="background1"/>
            <w:noWrap/>
            <w:vAlign w:val="center"/>
            <w:hideMark/>
          </w:tcPr>
          <w:p w14:paraId="10B7766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6945492B"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PRIME 525 MW - US 1: BUTLER SOLAR</w:t>
            </w:r>
          </w:p>
        </w:tc>
        <w:tc>
          <w:tcPr>
            <w:tcW w:w="1048" w:type="dxa"/>
            <w:shd w:val="clear" w:color="auto" w:fill="FFFFFF" w:themeFill="background1"/>
            <w:noWrap/>
            <w:vAlign w:val="center"/>
            <w:hideMark/>
          </w:tcPr>
          <w:p w14:paraId="2214DFF9"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100.0</w:t>
            </w:r>
          </w:p>
        </w:tc>
        <w:tc>
          <w:tcPr>
            <w:tcW w:w="1080" w:type="dxa"/>
            <w:shd w:val="clear" w:color="auto" w:fill="FFFFFF" w:themeFill="background1"/>
            <w:noWrap/>
            <w:vAlign w:val="center"/>
            <w:hideMark/>
          </w:tcPr>
          <w:p w14:paraId="15E115C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12/13/2016</w:t>
            </w:r>
          </w:p>
        </w:tc>
        <w:tc>
          <w:tcPr>
            <w:tcW w:w="1047" w:type="dxa"/>
            <w:shd w:val="clear" w:color="auto" w:fill="FFFFFF" w:themeFill="background1"/>
            <w:noWrap/>
            <w:vAlign w:val="center"/>
            <w:hideMark/>
          </w:tcPr>
          <w:p w14:paraId="770CF6E3"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476857E1"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12/12/2046</w:t>
            </w:r>
          </w:p>
        </w:tc>
        <w:tc>
          <w:tcPr>
            <w:tcW w:w="816" w:type="dxa"/>
            <w:shd w:val="clear" w:color="auto" w:fill="FFFFFF" w:themeFill="background1"/>
            <w:vAlign w:val="center"/>
          </w:tcPr>
          <w:p w14:paraId="09001E7F"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259DCF92" w14:textId="77777777" w:rsidTr="00860829">
        <w:trPr>
          <w:trHeight w:val="433"/>
        </w:trPr>
        <w:tc>
          <w:tcPr>
            <w:tcW w:w="873" w:type="dxa"/>
            <w:shd w:val="clear" w:color="auto" w:fill="FFFFFF" w:themeFill="background1"/>
            <w:noWrap/>
            <w:vAlign w:val="center"/>
            <w:hideMark/>
          </w:tcPr>
          <w:p w14:paraId="32970DA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67F2D45E"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 xml:space="preserve">ASI PRIME 525 MW - US 1: DECATUR PARKWAY SOLAR </w:t>
            </w:r>
          </w:p>
        </w:tc>
        <w:tc>
          <w:tcPr>
            <w:tcW w:w="1048" w:type="dxa"/>
            <w:shd w:val="clear" w:color="auto" w:fill="FFFFFF" w:themeFill="background1"/>
            <w:noWrap/>
            <w:vAlign w:val="center"/>
            <w:hideMark/>
          </w:tcPr>
          <w:p w14:paraId="69CA162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79.9</w:t>
            </w:r>
          </w:p>
        </w:tc>
        <w:tc>
          <w:tcPr>
            <w:tcW w:w="1080" w:type="dxa"/>
            <w:shd w:val="clear" w:color="auto" w:fill="FFFFFF" w:themeFill="background1"/>
            <w:noWrap/>
            <w:vAlign w:val="center"/>
            <w:hideMark/>
          </w:tcPr>
          <w:p w14:paraId="08C0C79D"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1/1/2016</w:t>
            </w:r>
          </w:p>
        </w:tc>
        <w:tc>
          <w:tcPr>
            <w:tcW w:w="1047" w:type="dxa"/>
            <w:shd w:val="clear" w:color="auto" w:fill="FFFFFF" w:themeFill="background1"/>
            <w:noWrap/>
            <w:vAlign w:val="center"/>
            <w:hideMark/>
          </w:tcPr>
          <w:p w14:paraId="66B685A9"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25</w:t>
            </w:r>
          </w:p>
        </w:tc>
        <w:tc>
          <w:tcPr>
            <w:tcW w:w="2178" w:type="dxa"/>
            <w:shd w:val="clear" w:color="auto" w:fill="FFFFFF" w:themeFill="background1"/>
            <w:noWrap/>
            <w:vAlign w:val="center"/>
            <w:hideMark/>
          </w:tcPr>
          <w:p w14:paraId="0332840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12/31/2040</w:t>
            </w:r>
          </w:p>
        </w:tc>
        <w:tc>
          <w:tcPr>
            <w:tcW w:w="816" w:type="dxa"/>
            <w:shd w:val="clear" w:color="auto" w:fill="FFFFFF" w:themeFill="background1"/>
            <w:vAlign w:val="center"/>
          </w:tcPr>
          <w:p w14:paraId="43FEEB83"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43567A84" w14:textId="77777777" w:rsidTr="00860829">
        <w:trPr>
          <w:trHeight w:val="433"/>
        </w:trPr>
        <w:tc>
          <w:tcPr>
            <w:tcW w:w="873" w:type="dxa"/>
            <w:shd w:val="clear" w:color="auto" w:fill="FFFFFF" w:themeFill="background1"/>
            <w:vAlign w:val="center"/>
            <w:hideMark/>
          </w:tcPr>
          <w:p w14:paraId="3230C96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14AAC165"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PRIME 525 MW - US 1: PAWPAW SOLAR</w:t>
            </w:r>
          </w:p>
        </w:tc>
        <w:tc>
          <w:tcPr>
            <w:tcW w:w="1048" w:type="dxa"/>
            <w:shd w:val="clear" w:color="auto" w:fill="FFFFFF" w:themeFill="background1"/>
            <w:noWrap/>
            <w:vAlign w:val="center"/>
            <w:hideMark/>
          </w:tcPr>
          <w:p w14:paraId="75C9FEC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30.0</w:t>
            </w:r>
          </w:p>
        </w:tc>
        <w:tc>
          <w:tcPr>
            <w:tcW w:w="1080" w:type="dxa"/>
            <w:shd w:val="clear" w:color="auto" w:fill="FFFFFF" w:themeFill="background1"/>
            <w:noWrap/>
            <w:vAlign w:val="center"/>
            <w:hideMark/>
          </w:tcPr>
          <w:p w14:paraId="6140163F"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3/11/2016</w:t>
            </w:r>
          </w:p>
        </w:tc>
        <w:tc>
          <w:tcPr>
            <w:tcW w:w="1047" w:type="dxa"/>
            <w:shd w:val="clear" w:color="auto" w:fill="FFFFFF" w:themeFill="background1"/>
            <w:noWrap/>
            <w:vAlign w:val="center"/>
            <w:hideMark/>
          </w:tcPr>
          <w:p w14:paraId="72A255C3"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58C102BD"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3/10/2046</w:t>
            </w:r>
          </w:p>
        </w:tc>
        <w:tc>
          <w:tcPr>
            <w:tcW w:w="816" w:type="dxa"/>
            <w:shd w:val="clear" w:color="auto" w:fill="FFFFFF" w:themeFill="background1"/>
            <w:vAlign w:val="center"/>
          </w:tcPr>
          <w:p w14:paraId="7F92F1E2"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59D5A348" w14:textId="77777777" w:rsidTr="00860829">
        <w:trPr>
          <w:trHeight w:val="433"/>
        </w:trPr>
        <w:tc>
          <w:tcPr>
            <w:tcW w:w="873" w:type="dxa"/>
            <w:shd w:val="clear" w:color="auto" w:fill="FFFFFF" w:themeFill="background1"/>
            <w:vAlign w:val="center"/>
            <w:hideMark/>
          </w:tcPr>
          <w:p w14:paraId="67A6E6E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08F51AAA"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PRIME 525 MW - US 2: LIVE OAK SOLAR</w:t>
            </w:r>
          </w:p>
        </w:tc>
        <w:tc>
          <w:tcPr>
            <w:tcW w:w="1048" w:type="dxa"/>
            <w:shd w:val="clear" w:color="auto" w:fill="FFFFFF" w:themeFill="background1"/>
            <w:noWrap/>
            <w:vAlign w:val="center"/>
            <w:hideMark/>
          </w:tcPr>
          <w:p w14:paraId="3E0CB111"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51.0</w:t>
            </w:r>
          </w:p>
        </w:tc>
        <w:tc>
          <w:tcPr>
            <w:tcW w:w="1080" w:type="dxa"/>
            <w:shd w:val="clear" w:color="auto" w:fill="FFFFFF" w:themeFill="background1"/>
            <w:noWrap/>
            <w:vAlign w:val="center"/>
            <w:hideMark/>
          </w:tcPr>
          <w:p w14:paraId="07F1B3B1"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1/1/2017</w:t>
            </w:r>
          </w:p>
        </w:tc>
        <w:tc>
          <w:tcPr>
            <w:tcW w:w="1047" w:type="dxa"/>
            <w:shd w:val="clear" w:color="auto" w:fill="FFFFFF" w:themeFill="background1"/>
            <w:noWrap/>
            <w:vAlign w:val="center"/>
            <w:hideMark/>
          </w:tcPr>
          <w:p w14:paraId="5E8750F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0839C809"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12/31/2046</w:t>
            </w:r>
          </w:p>
        </w:tc>
        <w:tc>
          <w:tcPr>
            <w:tcW w:w="816" w:type="dxa"/>
            <w:shd w:val="clear" w:color="auto" w:fill="FFFFFF" w:themeFill="background1"/>
            <w:vAlign w:val="center"/>
          </w:tcPr>
          <w:p w14:paraId="2BBBAC81"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6D2D1158" w14:textId="77777777" w:rsidTr="00860829">
        <w:trPr>
          <w:trHeight w:val="433"/>
        </w:trPr>
        <w:tc>
          <w:tcPr>
            <w:tcW w:w="873" w:type="dxa"/>
            <w:shd w:val="clear" w:color="auto" w:fill="FFFFFF" w:themeFill="background1"/>
            <w:noWrap/>
            <w:vAlign w:val="center"/>
            <w:hideMark/>
          </w:tcPr>
          <w:p w14:paraId="73E5F9DD"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58AF8506"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PRIME 525 MW - US 2: WHITE OAK SOLAR</w:t>
            </w:r>
          </w:p>
        </w:tc>
        <w:tc>
          <w:tcPr>
            <w:tcW w:w="1048" w:type="dxa"/>
            <w:shd w:val="clear" w:color="auto" w:fill="FFFFFF" w:themeFill="background1"/>
            <w:noWrap/>
            <w:vAlign w:val="center"/>
            <w:hideMark/>
          </w:tcPr>
          <w:p w14:paraId="608F2D31"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76.5</w:t>
            </w:r>
          </w:p>
        </w:tc>
        <w:tc>
          <w:tcPr>
            <w:tcW w:w="1080" w:type="dxa"/>
            <w:shd w:val="clear" w:color="auto" w:fill="FFFFFF" w:themeFill="background1"/>
            <w:noWrap/>
            <w:vAlign w:val="center"/>
            <w:hideMark/>
          </w:tcPr>
          <w:p w14:paraId="6FC58DDC"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1/1/2017</w:t>
            </w:r>
          </w:p>
        </w:tc>
        <w:tc>
          <w:tcPr>
            <w:tcW w:w="1047" w:type="dxa"/>
            <w:shd w:val="clear" w:color="auto" w:fill="FFFFFF" w:themeFill="background1"/>
            <w:noWrap/>
            <w:vAlign w:val="center"/>
            <w:hideMark/>
          </w:tcPr>
          <w:p w14:paraId="08E021B1"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1979450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12/31/2046</w:t>
            </w:r>
          </w:p>
        </w:tc>
        <w:tc>
          <w:tcPr>
            <w:tcW w:w="816" w:type="dxa"/>
            <w:shd w:val="clear" w:color="auto" w:fill="FFFFFF" w:themeFill="background1"/>
            <w:vAlign w:val="center"/>
          </w:tcPr>
          <w:p w14:paraId="5C596964"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7815B910" w14:textId="77777777" w:rsidTr="00860829">
        <w:trPr>
          <w:trHeight w:val="433"/>
        </w:trPr>
        <w:tc>
          <w:tcPr>
            <w:tcW w:w="873" w:type="dxa"/>
            <w:shd w:val="clear" w:color="auto" w:fill="FFFFFF" w:themeFill="background1"/>
            <w:vAlign w:val="center"/>
            <w:hideMark/>
          </w:tcPr>
          <w:p w14:paraId="74FF4C0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0113F06D"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ASI PRIME 525 MW - US 2: WHITE PINE SOLAR</w:t>
            </w:r>
          </w:p>
        </w:tc>
        <w:tc>
          <w:tcPr>
            <w:tcW w:w="1048" w:type="dxa"/>
            <w:shd w:val="clear" w:color="auto" w:fill="FFFFFF" w:themeFill="background1"/>
            <w:noWrap/>
            <w:vAlign w:val="center"/>
            <w:hideMark/>
          </w:tcPr>
          <w:p w14:paraId="74FB374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101.3</w:t>
            </w:r>
          </w:p>
        </w:tc>
        <w:tc>
          <w:tcPr>
            <w:tcW w:w="1080" w:type="dxa"/>
            <w:shd w:val="clear" w:color="auto" w:fill="FFFFFF" w:themeFill="background1"/>
            <w:noWrap/>
            <w:vAlign w:val="center"/>
            <w:hideMark/>
          </w:tcPr>
          <w:p w14:paraId="648462AD"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1/1/2017</w:t>
            </w:r>
          </w:p>
        </w:tc>
        <w:tc>
          <w:tcPr>
            <w:tcW w:w="1047" w:type="dxa"/>
            <w:shd w:val="clear" w:color="auto" w:fill="FFFFFF" w:themeFill="background1"/>
            <w:noWrap/>
            <w:vAlign w:val="center"/>
            <w:hideMark/>
          </w:tcPr>
          <w:p w14:paraId="45CA81F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04E85831"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12/31/2046</w:t>
            </w:r>
          </w:p>
        </w:tc>
        <w:tc>
          <w:tcPr>
            <w:tcW w:w="816" w:type="dxa"/>
            <w:shd w:val="clear" w:color="auto" w:fill="FFFFFF" w:themeFill="background1"/>
            <w:vAlign w:val="center"/>
          </w:tcPr>
          <w:p w14:paraId="608C0E84"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22FFE8B8" w14:textId="77777777" w:rsidTr="00860829">
        <w:trPr>
          <w:trHeight w:val="433"/>
        </w:trPr>
        <w:tc>
          <w:tcPr>
            <w:tcW w:w="873" w:type="dxa"/>
            <w:shd w:val="clear" w:color="auto" w:fill="FFFFFF" w:themeFill="background1"/>
            <w:vAlign w:val="center"/>
            <w:hideMark/>
          </w:tcPr>
          <w:p w14:paraId="7469963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11B4C27B"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AXIUM US SOLAR HOLDINGS (SD&amp;D)</w:t>
            </w:r>
          </w:p>
        </w:tc>
        <w:tc>
          <w:tcPr>
            <w:tcW w:w="1048" w:type="dxa"/>
            <w:shd w:val="clear" w:color="auto" w:fill="FFFFFF" w:themeFill="background1"/>
            <w:noWrap/>
            <w:vAlign w:val="center"/>
            <w:hideMark/>
          </w:tcPr>
          <w:p w14:paraId="5E959DF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1.0</w:t>
            </w:r>
          </w:p>
        </w:tc>
        <w:tc>
          <w:tcPr>
            <w:tcW w:w="1080" w:type="dxa"/>
            <w:shd w:val="clear" w:color="auto" w:fill="FFFFFF" w:themeFill="background1"/>
            <w:noWrap/>
            <w:vAlign w:val="center"/>
            <w:hideMark/>
          </w:tcPr>
          <w:p w14:paraId="2CD99F7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6/1/2012</w:t>
            </w:r>
          </w:p>
        </w:tc>
        <w:tc>
          <w:tcPr>
            <w:tcW w:w="1047" w:type="dxa"/>
            <w:shd w:val="clear" w:color="auto" w:fill="FFFFFF" w:themeFill="background1"/>
            <w:noWrap/>
            <w:vAlign w:val="center"/>
            <w:hideMark/>
          </w:tcPr>
          <w:p w14:paraId="33C75B71"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15</w:t>
            </w:r>
          </w:p>
        </w:tc>
        <w:tc>
          <w:tcPr>
            <w:tcW w:w="2178" w:type="dxa"/>
            <w:shd w:val="clear" w:color="auto" w:fill="FFFFFF" w:themeFill="background1"/>
            <w:noWrap/>
            <w:vAlign w:val="center"/>
            <w:hideMark/>
          </w:tcPr>
          <w:p w14:paraId="020BD54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5/31/2027</w:t>
            </w:r>
          </w:p>
        </w:tc>
        <w:tc>
          <w:tcPr>
            <w:tcW w:w="816" w:type="dxa"/>
            <w:shd w:val="clear" w:color="auto" w:fill="FFFFFF" w:themeFill="background1"/>
            <w:vAlign w:val="center"/>
          </w:tcPr>
          <w:p w14:paraId="1B017C07"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4367E05D" w14:textId="77777777" w:rsidTr="00860829">
        <w:trPr>
          <w:trHeight w:val="433"/>
        </w:trPr>
        <w:tc>
          <w:tcPr>
            <w:tcW w:w="873" w:type="dxa"/>
            <w:shd w:val="clear" w:color="auto" w:fill="FFFFFF" w:themeFill="background1"/>
            <w:vAlign w:val="center"/>
            <w:hideMark/>
          </w:tcPr>
          <w:p w14:paraId="4E8FB2F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lastRenderedPageBreak/>
              <w:t>Solar</w:t>
            </w:r>
          </w:p>
        </w:tc>
        <w:tc>
          <w:tcPr>
            <w:tcW w:w="3479" w:type="dxa"/>
            <w:shd w:val="clear" w:color="auto" w:fill="FFFFFF" w:themeFill="background1"/>
            <w:vAlign w:val="center"/>
            <w:hideMark/>
          </w:tcPr>
          <w:p w14:paraId="79D15238"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LSS 50 MW - HSH PEMBROOKE</w:t>
            </w:r>
          </w:p>
        </w:tc>
        <w:tc>
          <w:tcPr>
            <w:tcW w:w="1048" w:type="dxa"/>
            <w:shd w:val="clear" w:color="auto" w:fill="FFFFFF" w:themeFill="background1"/>
            <w:noWrap/>
            <w:vAlign w:val="center"/>
            <w:hideMark/>
          </w:tcPr>
          <w:p w14:paraId="6E4C19CA"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1.0</w:t>
            </w:r>
          </w:p>
        </w:tc>
        <w:tc>
          <w:tcPr>
            <w:tcW w:w="1080" w:type="dxa"/>
            <w:shd w:val="clear" w:color="auto" w:fill="FFFFFF" w:themeFill="background1"/>
            <w:noWrap/>
            <w:vAlign w:val="center"/>
            <w:hideMark/>
          </w:tcPr>
          <w:p w14:paraId="7886468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6/3/2015</w:t>
            </w:r>
          </w:p>
        </w:tc>
        <w:tc>
          <w:tcPr>
            <w:tcW w:w="1047" w:type="dxa"/>
            <w:shd w:val="clear" w:color="auto" w:fill="FFFFFF" w:themeFill="background1"/>
            <w:noWrap/>
            <w:vAlign w:val="center"/>
            <w:hideMark/>
          </w:tcPr>
          <w:p w14:paraId="524BA0E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3A686FE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6/2/2035</w:t>
            </w:r>
          </w:p>
        </w:tc>
        <w:tc>
          <w:tcPr>
            <w:tcW w:w="816" w:type="dxa"/>
            <w:shd w:val="clear" w:color="auto" w:fill="FFFFFF" w:themeFill="background1"/>
            <w:vAlign w:val="center"/>
          </w:tcPr>
          <w:p w14:paraId="539983F3"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5EF3FE6B" w14:textId="77777777" w:rsidTr="00860829">
        <w:trPr>
          <w:trHeight w:val="433"/>
        </w:trPr>
        <w:tc>
          <w:tcPr>
            <w:tcW w:w="873" w:type="dxa"/>
            <w:shd w:val="clear" w:color="auto" w:fill="FFFFFF" w:themeFill="background1"/>
            <w:vAlign w:val="center"/>
            <w:hideMark/>
          </w:tcPr>
          <w:p w14:paraId="0317168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27C7B1C7"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LSS 50 MW - SIMON SOLAR FARM</w:t>
            </w:r>
          </w:p>
        </w:tc>
        <w:tc>
          <w:tcPr>
            <w:tcW w:w="1048" w:type="dxa"/>
            <w:shd w:val="clear" w:color="auto" w:fill="FFFFFF" w:themeFill="background1"/>
            <w:noWrap/>
            <w:vAlign w:val="center"/>
            <w:hideMark/>
          </w:tcPr>
          <w:p w14:paraId="32FBE16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30.0</w:t>
            </w:r>
          </w:p>
        </w:tc>
        <w:tc>
          <w:tcPr>
            <w:tcW w:w="1080" w:type="dxa"/>
            <w:shd w:val="clear" w:color="auto" w:fill="FFFFFF" w:themeFill="background1"/>
            <w:noWrap/>
            <w:vAlign w:val="center"/>
            <w:hideMark/>
          </w:tcPr>
          <w:p w14:paraId="04023F0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6/1/2015</w:t>
            </w:r>
          </w:p>
        </w:tc>
        <w:tc>
          <w:tcPr>
            <w:tcW w:w="1047" w:type="dxa"/>
            <w:shd w:val="clear" w:color="auto" w:fill="FFFFFF" w:themeFill="background1"/>
            <w:noWrap/>
            <w:vAlign w:val="center"/>
            <w:hideMark/>
          </w:tcPr>
          <w:p w14:paraId="65389B8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47B3556C"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5/31/2035</w:t>
            </w:r>
          </w:p>
        </w:tc>
        <w:tc>
          <w:tcPr>
            <w:tcW w:w="816" w:type="dxa"/>
            <w:shd w:val="clear" w:color="auto" w:fill="FFFFFF" w:themeFill="background1"/>
            <w:vAlign w:val="center"/>
          </w:tcPr>
          <w:p w14:paraId="45E0DFBC"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622185B7" w14:textId="77777777" w:rsidTr="00860829">
        <w:trPr>
          <w:trHeight w:val="433"/>
        </w:trPr>
        <w:tc>
          <w:tcPr>
            <w:tcW w:w="873" w:type="dxa"/>
            <w:shd w:val="clear" w:color="auto" w:fill="FFFFFF" w:themeFill="background1"/>
            <w:noWrap/>
            <w:vAlign w:val="center"/>
            <w:hideMark/>
          </w:tcPr>
          <w:p w14:paraId="517447E1"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74F669FD" w14:textId="77777777" w:rsidR="001C7D23" w:rsidRPr="00B5494E" w:rsidRDefault="001C7D23" w:rsidP="004911AE">
            <w:pPr>
              <w:spacing w:after="0" w:line="240" w:lineRule="auto"/>
              <w:rPr>
                <w:rFonts w:eastAsia="Times New Roman" w:cstheme="minorHAnsi"/>
                <w:sz w:val="18"/>
                <w:szCs w:val="18"/>
              </w:rPr>
            </w:pPr>
            <w:r w:rsidRPr="00B5494E">
              <w:rPr>
                <w:rFonts w:cstheme="minorHAnsi"/>
                <w:sz w:val="18"/>
                <w:szCs w:val="18"/>
              </w:rPr>
              <w:t>LSS 50 MW - SOLAR D&amp;D CAMILLA</w:t>
            </w:r>
          </w:p>
        </w:tc>
        <w:tc>
          <w:tcPr>
            <w:tcW w:w="1048" w:type="dxa"/>
            <w:shd w:val="clear" w:color="auto" w:fill="FFFFFF" w:themeFill="background1"/>
            <w:noWrap/>
            <w:vAlign w:val="center"/>
            <w:hideMark/>
          </w:tcPr>
          <w:p w14:paraId="2C4CF44A"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16.0</w:t>
            </w:r>
          </w:p>
        </w:tc>
        <w:tc>
          <w:tcPr>
            <w:tcW w:w="1080" w:type="dxa"/>
            <w:shd w:val="clear" w:color="auto" w:fill="FFFFFF" w:themeFill="background1"/>
            <w:noWrap/>
            <w:vAlign w:val="center"/>
            <w:hideMark/>
          </w:tcPr>
          <w:p w14:paraId="1F448B9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6/1/2015</w:t>
            </w:r>
          </w:p>
        </w:tc>
        <w:tc>
          <w:tcPr>
            <w:tcW w:w="1047" w:type="dxa"/>
            <w:shd w:val="clear" w:color="auto" w:fill="FFFFFF" w:themeFill="background1"/>
            <w:noWrap/>
            <w:vAlign w:val="center"/>
            <w:hideMark/>
          </w:tcPr>
          <w:p w14:paraId="23AB9EA9"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09F27078"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5/31/2035</w:t>
            </w:r>
          </w:p>
        </w:tc>
        <w:tc>
          <w:tcPr>
            <w:tcW w:w="816" w:type="dxa"/>
            <w:shd w:val="clear" w:color="auto" w:fill="FFFFFF" w:themeFill="background1"/>
            <w:vAlign w:val="center"/>
          </w:tcPr>
          <w:p w14:paraId="34D1727A"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5F40D21D" w14:textId="77777777" w:rsidTr="00860829">
        <w:trPr>
          <w:trHeight w:val="433"/>
        </w:trPr>
        <w:tc>
          <w:tcPr>
            <w:tcW w:w="873" w:type="dxa"/>
            <w:shd w:val="clear" w:color="auto" w:fill="FFFFFF" w:themeFill="background1"/>
            <w:noWrap/>
            <w:vAlign w:val="center"/>
            <w:hideMark/>
          </w:tcPr>
          <w:p w14:paraId="3B139DB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7A954B77" w14:textId="77777777" w:rsidR="001C7D23" w:rsidRPr="00B5494E" w:rsidRDefault="001C7D23" w:rsidP="004911AE">
            <w:pPr>
              <w:spacing w:after="0" w:line="240" w:lineRule="auto"/>
              <w:rPr>
                <w:rFonts w:eastAsia="Times New Roman" w:cstheme="minorHAnsi"/>
                <w:caps/>
                <w:sz w:val="18"/>
                <w:szCs w:val="18"/>
              </w:rPr>
            </w:pPr>
            <w:r w:rsidRPr="00B5494E">
              <w:rPr>
                <w:rFonts w:cstheme="minorHAnsi"/>
                <w:caps/>
                <w:sz w:val="18"/>
                <w:szCs w:val="18"/>
              </w:rPr>
              <w:t>LSS 50 MW - SOLAR D&amp;D CAMP (MERIWETHER COUNTY)</w:t>
            </w:r>
          </w:p>
        </w:tc>
        <w:tc>
          <w:tcPr>
            <w:tcW w:w="1048" w:type="dxa"/>
            <w:shd w:val="clear" w:color="auto" w:fill="FFFFFF" w:themeFill="background1"/>
            <w:noWrap/>
            <w:vAlign w:val="center"/>
            <w:hideMark/>
          </w:tcPr>
          <w:p w14:paraId="4C7D0EF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1080" w:type="dxa"/>
            <w:shd w:val="clear" w:color="auto" w:fill="FFFFFF" w:themeFill="background1"/>
            <w:noWrap/>
            <w:vAlign w:val="center"/>
            <w:hideMark/>
          </w:tcPr>
          <w:p w14:paraId="74B3E19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6/1/2015</w:t>
            </w:r>
          </w:p>
        </w:tc>
        <w:tc>
          <w:tcPr>
            <w:tcW w:w="1047" w:type="dxa"/>
            <w:shd w:val="clear" w:color="auto" w:fill="FFFFFF" w:themeFill="background1"/>
            <w:noWrap/>
            <w:vAlign w:val="center"/>
            <w:hideMark/>
          </w:tcPr>
          <w:p w14:paraId="33E218C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03DC4EE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5/31/2035</w:t>
            </w:r>
          </w:p>
        </w:tc>
        <w:tc>
          <w:tcPr>
            <w:tcW w:w="816" w:type="dxa"/>
            <w:shd w:val="clear" w:color="auto" w:fill="FFFFFF" w:themeFill="background1"/>
            <w:vAlign w:val="center"/>
          </w:tcPr>
          <w:p w14:paraId="35CB9C88"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488B3835" w14:textId="77777777" w:rsidTr="00860829">
        <w:trPr>
          <w:trHeight w:val="433"/>
        </w:trPr>
        <w:tc>
          <w:tcPr>
            <w:tcW w:w="873" w:type="dxa"/>
            <w:shd w:val="clear" w:color="auto" w:fill="FFFFFF" w:themeFill="background1"/>
            <w:noWrap/>
            <w:vAlign w:val="center"/>
            <w:hideMark/>
          </w:tcPr>
          <w:p w14:paraId="54C9920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53F3FB2C" w14:textId="77777777" w:rsidR="001C7D23" w:rsidRPr="00B5494E" w:rsidRDefault="001C7D23" w:rsidP="004911AE">
            <w:pPr>
              <w:spacing w:after="0" w:line="240" w:lineRule="auto"/>
              <w:rPr>
                <w:rFonts w:eastAsia="Times New Roman" w:cstheme="minorHAnsi"/>
                <w:caps/>
                <w:sz w:val="18"/>
                <w:szCs w:val="18"/>
              </w:rPr>
            </w:pPr>
            <w:r w:rsidRPr="00B5494E">
              <w:rPr>
                <w:rFonts w:cstheme="minorHAnsi"/>
                <w:caps/>
                <w:sz w:val="18"/>
                <w:szCs w:val="18"/>
              </w:rPr>
              <w:t>REDI 1400 MW - C&amp;I: DOUGHERTY COUNTY SOLAR</w:t>
            </w:r>
          </w:p>
        </w:tc>
        <w:tc>
          <w:tcPr>
            <w:tcW w:w="1048" w:type="dxa"/>
            <w:shd w:val="clear" w:color="auto" w:fill="FFFFFF" w:themeFill="background1"/>
            <w:noWrap/>
            <w:vAlign w:val="center"/>
            <w:hideMark/>
          </w:tcPr>
          <w:p w14:paraId="51F79EA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120.0</w:t>
            </w:r>
          </w:p>
        </w:tc>
        <w:tc>
          <w:tcPr>
            <w:tcW w:w="1080" w:type="dxa"/>
            <w:shd w:val="clear" w:color="auto" w:fill="FFFFFF" w:themeFill="background1"/>
            <w:noWrap/>
            <w:vAlign w:val="center"/>
            <w:hideMark/>
          </w:tcPr>
          <w:p w14:paraId="238E341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12/11/2019</w:t>
            </w:r>
          </w:p>
        </w:tc>
        <w:tc>
          <w:tcPr>
            <w:tcW w:w="1047" w:type="dxa"/>
            <w:shd w:val="clear" w:color="auto" w:fill="FFFFFF" w:themeFill="background1"/>
            <w:noWrap/>
            <w:vAlign w:val="center"/>
            <w:hideMark/>
          </w:tcPr>
          <w:p w14:paraId="21709AB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77EC21D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12/10/2049</w:t>
            </w:r>
          </w:p>
        </w:tc>
        <w:tc>
          <w:tcPr>
            <w:tcW w:w="816" w:type="dxa"/>
            <w:shd w:val="clear" w:color="auto" w:fill="FFFFFF" w:themeFill="background1"/>
            <w:vAlign w:val="center"/>
          </w:tcPr>
          <w:p w14:paraId="38DB1A42"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153C9819" w14:textId="77777777" w:rsidTr="00860829">
        <w:trPr>
          <w:trHeight w:val="433"/>
        </w:trPr>
        <w:tc>
          <w:tcPr>
            <w:tcW w:w="873" w:type="dxa"/>
            <w:shd w:val="clear" w:color="auto" w:fill="FFFFFF" w:themeFill="background1"/>
            <w:noWrap/>
            <w:vAlign w:val="center"/>
            <w:hideMark/>
          </w:tcPr>
          <w:p w14:paraId="1FF8281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0E27B8BB" w14:textId="77777777" w:rsidR="001C7D23" w:rsidRPr="00B5494E" w:rsidRDefault="001C7D23" w:rsidP="004911AE">
            <w:pPr>
              <w:spacing w:after="0" w:line="240" w:lineRule="auto"/>
              <w:rPr>
                <w:rFonts w:eastAsia="Times New Roman" w:cstheme="minorHAnsi"/>
                <w:caps/>
                <w:sz w:val="18"/>
                <w:szCs w:val="18"/>
              </w:rPr>
            </w:pPr>
            <w:r w:rsidRPr="00B5494E">
              <w:rPr>
                <w:rFonts w:cstheme="minorHAnsi"/>
                <w:caps/>
                <w:sz w:val="18"/>
                <w:szCs w:val="18"/>
              </w:rPr>
              <w:t>REDI 1400 MW - C&amp;I: TANGLEWOOD SOLAR</w:t>
            </w:r>
          </w:p>
        </w:tc>
        <w:tc>
          <w:tcPr>
            <w:tcW w:w="1048" w:type="dxa"/>
            <w:shd w:val="clear" w:color="auto" w:fill="FFFFFF" w:themeFill="background1"/>
            <w:noWrap/>
            <w:vAlign w:val="center"/>
            <w:hideMark/>
          </w:tcPr>
          <w:p w14:paraId="24E6896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57.5</w:t>
            </w:r>
          </w:p>
        </w:tc>
        <w:tc>
          <w:tcPr>
            <w:tcW w:w="1080" w:type="dxa"/>
            <w:shd w:val="clear" w:color="auto" w:fill="FFFFFF" w:themeFill="background1"/>
            <w:noWrap/>
            <w:vAlign w:val="center"/>
            <w:hideMark/>
          </w:tcPr>
          <w:p w14:paraId="3B31A8A8"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3/12/2020</w:t>
            </w:r>
          </w:p>
        </w:tc>
        <w:tc>
          <w:tcPr>
            <w:tcW w:w="1047" w:type="dxa"/>
            <w:shd w:val="clear" w:color="auto" w:fill="FFFFFF" w:themeFill="background1"/>
            <w:noWrap/>
            <w:vAlign w:val="center"/>
            <w:hideMark/>
          </w:tcPr>
          <w:p w14:paraId="7B1FFB03"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14ED94F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3/11/2050</w:t>
            </w:r>
          </w:p>
        </w:tc>
        <w:tc>
          <w:tcPr>
            <w:tcW w:w="816" w:type="dxa"/>
            <w:shd w:val="clear" w:color="auto" w:fill="FFFFFF" w:themeFill="background1"/>
            <w:vAlign w:val="center"/>
          </w:tcPr>
          <w:p w14:paraId="79784002"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5ED7F60E" w14:textId="77777777" w:rsidTr="00860829">
        <w:trPr>
          <w:trHeight w:val="433"/>
        </w:trPr>
        <w:tc>
          <w:tcPr>
            <w:tcW w:w="873" w:type="dxa"/>
            <w:shd w:val="clear" w:color="auto" w:fill="FFFFFF" w:themeFill="background1"/>
            <w:noWrap/>
            <w:vAlign w:val="center"/>
            <w:hideMark/>
          </w:tcPr>
          <w:p w14:paraId="50A3A4DD"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30F88B73" w14:textId="77777777" w:rsidR="001C7D23" w:rsidRPr="00B5494E" w:rsidRDefault="001C7D23" w:rsidP="004911AE">
            <w:pPr>
              <w:spacing w:after="0" w:line="240" w:lineRule="auto"/>
              <w:rPr>
                <w:rFonts w:eastAsia="Times New Roman" w:cstheme="minorHAnsi"/>
                <w:caps/>
                <w:sz w:val="18"/>
                <w:szCs w:val="18"/>
              </w:rPr>
            </w:pPr>
            <w:r w:rsidRPr="00B5494E">
              <w:rPr>
                <w:rFonts w:cstheme="minorHAnsi"/>
                <w:caps/>
                <w:sz w:val="18"/>
                <w:szCs w:val="18"/>
              </w:rPr>
              <w:t>REDI 1400 MW - DG CS S1920</w:t>
            </w:r>
          </w:p>
        </w:tc>
        <w:tc>
          <w:tcPr>
            <w:tcW w:w="1048" w:type="dxa"/>
            <w:shd w:val="clear" w:color="auto" w:fill="FFFFFF" w:themeFill="background1"/>
            <w:noWrap/>
            <w:vAlign w:val="center"/>
            <w:hideMark/>
          </w:tcPr>
          <w:p w14:paraId="4A0A9A76" w14:textId="6FA26FE2" w:rsidR="001C7D23" w:rsidRPr="00B5494E" w:rsidRDefault="006F2158" w:rsidP="004911AE">
            <w:pPr>
              <w:spacing w:after="0" w:line="240" w:lineRule="auto"/>
              <w:jc w:val="center"/>
              <w:rPr>
                <w:rFonts w:eastAsia="Times New Roman" w:cstheme="minorHAnsi"/>
                <w:sz w:val="18"/>
                <w:szCs w:val="18"/>
              </w:rPr>
            </w:pPr>
            <w:r w:rsidRPr="00B5494E">
              <w:rPr>
                <w:rFonts w:cstheme="minorHAnsi"/>
                <w:sz w:val="18"/>
                <w:szCs w:val="18"/>
              </w:rPr>
              <w:t>0.5</w:t>
            </w:r>
          </w:p>
        </w:tc>
        <w:tc>
          <w:tcPr>
            <w:tcW w:w="1080" w:type="dxa"/>
            <w:shd w:val="clear" w:color="auto" w:fill="FFFFFF" w:themeFill="background1"/>
            <w:noWrap/>
            <w:vAlign w:val="center"/>
            <w:hideMark/>
          </w:tcPr>
          <w:p w14:paraId="13D478FC"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5/1/2019</w:t>
            </w:r>
          </w:p>
        </w:tc>
        <w:tc>
          <w:tcPr>
            <w:tcW w:w="1047" w:type="dxa"/>
            <w:shd w:val="clear" w:color="auto" w:fill="FFFFFF" w:themeFill="background1"/>
            <w:noWrap/>
            <w:vAlign w:val="center"/>
            <w:hideMark/>
          </w:tcPr>
          <w:p w14:paraId="5932266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2178" w:type="dxa"/>
            <w:shd w:val="clear" w:color="auto" w:fill="FFFFFF" w:themeFill="background1"/>
            <w:noWrap/>
            <w:vAlign w:val="center"/>
            <w:hideMark/>
          </w:tcPr>
          <w:p w14:paraId="73F8028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4/30/2039</w:t>
            </w:r>
          </w:p>
        </w:tc>
        <w:tc>
          <w:tcPr>
            <w:tcW w:w="816" w:type="dxa"/>
            <w:shd w:val="clear" w:color="auto" w:fill="FFFFFF" w:themeFill="background1"/>
            <w:vAlign w:val="center"/>
          </w:tcPr>
          <w:p w14:paraId="0C84D47A"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2</w:t>
            </w:r>
          </w:p>
        </w:tc>
      </w:tr>
      <w:tr w:rsidR="00B5494E" w:rsidRPr="00B5494E" w14:paraId="16761202" w14:textId="77777777" w:rsidTr="00860829">
        <w:trPr>
          <w:trHeight w:val="433"/>
        </w:trPr>
        <w:tc>
          <w:tcPr>
            <w:tcW w:w="873" w:type="dxa"/>
            <w:shd w:val="clear" w:color="auto" w:fill="FFFFFF" w:themeFill="background1"/>
            <w:noWrap/>
            <w:vAlign w:val="center"/>
            <w:hideMark/>
          </w:tcPr>
          <w:p w14:paraId="1E075799"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1AB83A43" w14:textId="77777777" w:rsidR="001C7D23" w:rsidRPr="00B5494E" w:rsidRDefault="001C7D23" w:rsidP="004911AE">
            <w:pPr>
              <w:spacing w:after="0" w:line="240" w:lineRule="auto"/>
              <w:rPr>
                <w:rFonts w:eastAsia="Times New Roman" w:cstheme="minorHAnsi"/>
                <w:caps/>
                <w:sz w:val="18"/>
                <w:szCs w:val="18"/>
              </w:rPr>
            </w:pPr>
            <w:r w:rsidRPr="00B5494E">
              <w:rPr>
                <w:rFonts w:cstheme="minorHAnsi"/>
                <w:caps/>
                <w:sz w:val="18"/>
                <w:szCs w:val="18"/>
              </w:rPr>
              <w:t>REDI 1400 MW - DG CS S1925</w:t>
            </w:r>
          </w:p>
        </w:tc>
        <w:tc>
          <w:tcPr>
            <w:tcW w:w="1048" w:type="dxa"/>
            <w:shd w:val="clear" w:color="auto" w:fill="FFFFFF" w:themeFill="background1"/>
            <w:noWrap/>
            <w:vAlign w:val="center"/>
            <w:hideMark/>
          </w:tcPr>
          <w:p w14:paraId="289FE03A"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2.7</w:t>
            </w:r>
          </w:p>
        </w:tc>
        <w:tc>
          <w:tcPr>
            <w:tcW w:w="1080" w:type="dxa"/>
            <w:shd w:val="clear" w:color="auto" w:fill="FFFFFF" w:themeFill="background1"/>
            <w:noWrap/>
            <w:vAlign w:val="center"/>
            <w:hideMark/>
          </w:tcPr>
          <w:p w14:paraId="1869DA4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5/1/2019</w:t>
            </w:r>
          </w:p>
        </w:tc>
        <w:tc>
          <w:tcPr>
            <w:tcW w:w="1047" w:type="dxa"/>
            <w:shd w:val="clear" w:color="auto" w:fill="FFFFFF" w:themeFill="background1"/>
            <w:noWrap/>
            <w:vAlign w:val="center"/>
            <w:hideMark/>
          </w:tcPr>
          <w:p w14:paraId="2FE79B0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25</w:t>
            </w:r>
          </w:p>
        </w:tc>
        <w:tc>
          <w:tcPr>
            <w:tcW w:w="2178" w:type="dxa"/>
            <w:shd w:val="clear" w:color="auto" w:fill="FFFFFF" w:themeFill="background1"/>
            <w:noWrap/>
            <w:vAlign w:val="center"/>
            <w:hideMark/>
          </w:tcPr>
          <w:p w14:paraId="63332F1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4/30/2044</w:t>
            </w:r>
          </w:p>
        </w:tc>
        <w:tc>
          <w:tcPr>
            <w:tcW w:w="816" w:type="dxa"/>
            <w:shd w:val="clear" w:color="auto" w:fill="FFFFFF" w:themeFill="background1"/>
            <w:vAlign w:val="center"/>
          </w:tcPr>
          <w:p w14:paraId="3DA24D23"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3</w:t>
            </w:r>
          </w:p>
        </w:tc>
      </w:tr>
      <w:tr w:rsidR="00B5494E" w:rsidRPr="00B5494E" w14:paraId="0BA701AB" w14:textId="77777777" w:rsidTr="00860829">
        <w:trPr>
          <w:trHeight w:val="433"/>
        </w:trPr>
        <w:tc>
          <w:tcPr>
            <w:tcW w:w="873" w:type="dxa"/>
            <w:shd w:val="clear" w:color="auto" w:fill="FFFFFF" w:themeFill="background1"/>
            <w:noWrap/>
            <w:vAlign w:val="center"/>
            <w:hideMark/>
          </w:tcPr>
          <w:p w14:paraId="4A9D857B"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1816A6B6" w14:textId="77777777" w:rsidR="001C7D23" w:rsidRPr="00B5494E" w:rsidRDefault="001C7D23" w:rsidP="004911AE">
            <w:pPr>
              <w:spacing w:after="0" w:line="240" w:lineRule="auto"/>
              <w:rPr>
                <w:rFonts w:eastAsia="Times New Roman" w:cstheme="minorHAnsi"/>
                <w:caps/>
                <w:sz w:val="18"/>
                <w:szCs w:val="18"/>
              </w:rPr>
            </w:pPr>
            <w:r w:rsidRPr="00B5494E">
              <w:rPr>
                <w:rFonts w:cstheme="minorHAnsi"/>
                <w:caps/>
                <w:sz w:val="18"/>
                <w:szCs w:val="18"/>
              </w:rPr>
              <w:t>REDI 1400 MW - DG CS S1930</w:t>
            </w:r>
          </w:p>
        </w:tc>
        <w:tc>
          <w:tcPr>
            <w:tcW w:w="1048" w:type="dxa"/>
            <w:shd w:val="clear" w:color="auto" w:fill="FFFFFF" w:themeFill="background1"/>
            <w:noWrap/>
            <w:vAlign w:val="center"/>
            <w:hideMark/>
          </w:tcPr>
          <w:p w14:paraId="38066497" w14:textId="45AB3593" w:rsidR="001C7D23" w:rsidRPr="00B5494E" w:rsidRDefault="00FE1B9D" w:rsidP="004911AE">
            <w:pPr>
              <w:spacing w:after="0" w:line="240" w:lineRule="auto"/>
              <w:jc w:val="center"/>
              <w:rPr>
                <w:rFonts w:eastAsia="Times New Roman" w:cstheme="minorHAnsi"/>
                <w:sz w:val="18"/>
                <w:szCs w:val="18"/>
              </w:rPr>
            </w:pPr>
            <w:r w:rsidRPr="00B5494E">
              <w:rPr>
                <w:rFonts w:cstheme="minorHAnsi"/>
                <w:sz w:val="18"/>
                <w:szCs w:val="18"/>
              </w:rPr>
              <w:t>5.9</w:t>
            </w:r>
          </w:p>
        </w:tc>
        <w:tc>
          <w:tcPr>
            <w:tcW w:w="1080" w:type="dxa"/>
            <w:shd w:val="clear" w:color="auto" w:fill="FFFFFF" w:themeFill="background1"/>
            <w:noWrap/>
            <w:vAlign w:val="center"/>
            <w:hideMark/>
          </w:tcPr>
          <w:p w14:paraId="684DD1D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5/1/2019</w:t>
            </w:r>
          </w:p>
        </w:tc>
        <w:tc>
          <w:tcPr>
            <w:tcW w:w="1047" w:type="dxa"/>
            <w:shd w:val="clear" w:color="auto" w:fill="FFFFFF" w:themeFill="background1"/>
            <w:noWrap/>
            <w:vAlign w:val="center"/>
            <w:hideMark/>
          </w:tcPr>
          <w:p w14:paraId="0C780EE8"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74E0A009"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4/30/2049</w:t>
            </w:r>
          </w:p>
        </w:tc>
        <w:tc>
          <w:tcPr>
            <w:tcW w:w="816" w:type="dxa"/>
            <w:shd w:val="clear" w:color="auto" w:fill="FFFFFF" w:themeFill="background1"/>
            <w:vAlign w:val="center"/>
          </w:tcPr>
          <w:p w14:paraId="68687D97"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4</w:t>
            </w:r>
          </w:p>
        </w:tc>
      </w:tr>
      <w:tr w:rsidR="00B5494E" w:rsidRPr="00B5494E" w14:paraId="5A273680" w14:textId="77777777" w:rsidTr="00860829">
        <w:trPr>
          <w:trHeight w:val="433"/>
        </w:trPr>
        <w:tc>
          <w:tcPr>
            <w:tcW w:w="873" w:type="dxa"/>
            <w:shd w:val="clear" w:color="auto" w:fill="FFFFFF" w:themeFill="background1"/>
            <w:noWrap/>
            <w:vAlign w:val="center"/>
            <w:hideMark/>
          </w:tcPr>
          <w:p w14:paraId="20F7C19C"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5BCB31E5" w14:textId="77777777" w:rsidR="001C7D23" w:rsidRPr="00B5494E" w:rsidRDefault="001C7D23" w:rsidP="004911AE">
            <w:pPr>
              <w:spacing w:after="0" w:line="240" w:lineRule="auto"/>
              <w:rPr>
                <w:rFonts w:eastAsia="Times New Roman" w:cstheme="minorHAnsi"/>
                <w:caps/>
                <w:sz w:val="18"/>
                <w:szCs w:val="18"/>
              </w:rPr>
            </w:pPr>
            <w:r w:rsidRPr="00B5494E">
              <w:rPr>
                <w:rFonts w:cstheme="minorHAnsi"/>
                <w:caps/>
                <w:sz w:val="18"/>
                <w:szCs w:val="18"/>
              </w:rPr>
              <w:t>REDI 1400 MW - DG CS S1935</w:t>
            </w:r>
          </w:p>
        </w:tc>
        <w:tc>
          <w:tcPr>
            <w:tcW w:w="1048" w:type="dxa"/>
            <w:shd w:val="clear" w:color="auto" w:fill="FFFFFF" w:themeFill="background1"/>
            <w:noWrap/>
            <w:vAlign w:val="center"/>
            <w:hideMark/>
          </w:tcPr>
          <w:p w14:paraId="1D460F3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14.0</w:t>
            </w:r>
          </w:p>
        </w:tc>
        <w:tc>
          <w:tcPr>
            <w:tcW w:w="1080" w:type="dxa"/>
            <w:shd w:val="clear" w:color="auto" w:fill="FFFFFF" w:themeFill="background1"/>
            <w:noWrap/>
            <w:vAlign w:val="center"/>
            <w:hideMark/>
          </w:tcPr>
          <w:p w14:paraId="23C1549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5/1/2019</w:t>
            </w:r>
          </w:p>
        </w:tc>
        <w:tc>
          <w:tcPr>
            <w:tcW w:w="1047" w:type="dxa"/>
            <w:shd w:val="clear" w:color="auto" w:fill="FFFFFF" w:themeFill="background1"/>
            <w:noWrap/>
            <w:vAlign w:val="center"/>
            <w:hideMark/>
          </w:tcPr>
          <w:p w14:paraId="4AD8035F"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35</w:t>
            </w:r>
          </w:p>
        </w:tc>
        <w:tc>
          <w:tcPr>
            <w:tcW w:w="2178" w:type="dxa"/>
            <w:shd w:val="clear" w:color="auto" w:fill="FFFFFF" w:themeFill="background1"/>
            <w:noWrap/>
            <w:vAlign w:val="center"/>
            <w:hideMark/>
          </w:tcPr>
          <w:p w14:paraId="5C062269"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4/30/2054</w:t>
            </w:r>
          </w:p>
        </w:tc>
        <w:tc>
          <w:tcPr>
            <w:tcW w:w="816" w:type="dxa"/>
            <w:shd w:val="clear" w:color="auto" w:fill="FFFFFF" w:themeFill="background1"/>
            <w:vAlign w:val="center"/>
          </w:tcPr>
          <w:p w14:paraId="7262FA3F"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10</w:t>
            </w:r>
          </w:p>
        </w:tc>
      </w:tr>
      <w:tr w:rsidR="00B5494E" w:rsidRPr="00B5494E" w14:paraId="2B6F3CC7" w14:textId="77777777" w:rsidTr="00860829">
        <w:trPr>
          <w:trHeight w:val="433"/>
        </w:trPr>
        <w:tc>
          <w:tcPr>
            <w:tcW w:w="873" w:type="dxa"/>
            <w:shd w:val="clear" w:color="auto" w:fill="FFFFFF" w:themeFill="background1"/>
            <w:noWrap/>
            <w:vAlign w:val="center"/>
            <w:hideMark/>
          </w:tcPr>
          <w:p w14:paraId="2D62B0D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3E26972C" w14:textId="77777777" w:rsidR="001C7D23" w:rsidRPr="00B5494E" w:rsidRDefault="001C7D23" w:rsidP="004911AE">
            <w:pPr>
              <w:spacing w:after="0" w:line="240" w:lineRule="auto"/>
              <w:rPr>
                <w:rFonts w:eastAsia="Times New Roman" w:cstheme="minorHAnsi"/>
                <w:caps/>
                <w:sz w:val="18"/>
                <w:szCs w:val="18"/>
              </w:rPr>
            </w:pPr>
            <w:r w:rsidRPr="00B5494E">
              <w:rPr>
                <w:rFonts w:cstheme="minorHAnsi"/>
                <w:caps/>
                <w:sz w:val="18"/>
                <w:szCs w:val="18"/>
              </w:rPr>
              <w:t>REDI 1400 MW - DG CS W1925</w:t>
            </w:r>
          </w:p>
        </w:tc>
        <w:tc>
          <w:tcPr>
            <w:tcW w:w="1048" w:type="dxa"/>
            <w:shd w:val="clear" w:color="auto" w:fill="FFFFFF" w:themeFill="background1"/>
            <w:noWrap/>
            <w:vAlign w:val="center"/>
            <w:hideMark/>
          </w:tcPr>
          <w:p w14:paraId="69824AE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1.6</w:t>
            </w:r>
          </w:p>
        </w:tc>
        <w:tc>
          <w:tcPr>
            <w:tcW w:w="1080" w:type="dxa"/>
            <w:shd w:val="clear" w:color="auto" w:fill="FFFFFF" w:themeFill="background1"/>
            <w:noWrap/>
            <w:vAlign w:val="center"/>
            <w:hideMark/>
          </w:tcPr>
          <w:p w14:paraId="467F4FB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1/1/2019</w:t>
            </w:r>
          </w:p>
        </w:tc>
        <w:tc>
          <w:tcPr>
            <w:tcW w:w="1047" w:type="dxa"/>
            <w:shd w:val="clear" w:color="auto" w:fill="FFFFFF" w:themeFill="background1"/>
            <w:noWrap/>
            <w:vAlign w:val="center"/>
            <w:hideMark/>
          </w:tcPr>
          <w:p w14:paraId="1D20E463"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25</w:t>
            </w:r>
          </w:p>
        </w:tc>
        <w:tc>
          <w:tcPr>
            <w:tcW w:w="2178" w:type="dxa"/>
            <w:shd w:val="clear" w:color="auto" w:fill="FFFFFF" w:themeFill="background1"/>
            <w:noWrap/>
            <w:vAlign w:val="center"/>
            <w:hideMark/>
          </w:tcPr>
          <w:p w14:paraId="11E66E7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12/31/2043</w:t>
            </w:r>
          </w:p>
        </w:tc>
        <w:tc>
          <w:tcPr>
            <w:tcW w:w="816" w:type="dxa"/>
            <w:shd w:val="clear" w:color="auto" w:fill="FFFFFF" w:themeFill="background1"/>
            <w:vAlign w:val="center"/>
          </w:tcPr>
          <w:p w14:paraId="50280C5D"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2</w:t>
            </w:r>
          </w:p>
        </w:tc>
      </w:tr>
      <w:tr w:rsidR="00B5494E" w:rsidRPr="00B5494E" w14:paraId="21E2CA04" w14:textId="77777777" w:rsidTr="00860829">
        <w:trPr>
          <w:trHeight w:val="433"/>
        </w:trPr>
        <w:tc>
          <w:tcPr>
            <w:tcW w:w="873" w:type="dxa"/>
            <w:shd w:val="clear" w:color="auto" w:fill="FFFFFF" w:themeFill="background1"/>
            <w:noWrap/>
            <w:vAlign w:val="center"/>
            <w:hideMark/>
          </w:tcPr>
          <w:p w14:paraId="657B74D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4C3E07B7" w14:textId="77777777" w:rsidR="001C7D23" w:rsidRPr="00B5494E" w:rsidRDefault="001C7D23" w:rsidP="004911AE">
            <w:pPr>
              <w:spacing w:after="0" w:line="240" w:lineRule="auto"/>
              <w:rPr>
                <w:rFonts w:eastAsia="Times New Roman" w:cstheme="minorHAnsi"/>
                <w:caps/>
                <w:sz w:val="18"/>
                <w:szCs w:val="18"/>
              </w:rPr>
            </w:pPr>
            <w:r w:rsidRPr="00B5494E">
              <w:rPr>
                <w:rFonts w:cstheme="minorHAnsi"/>
                <w:caps/>
                <w:sz w:val="18"/>
                <w:szCs w:val="18"/>
              </w:rPr>
              <w:t>REDI 1400 MW - DG CS W1930</w:t>
            </w:r>
          </w:p>
        </w:tc>
        <w:tc>
          <w:tcPr>
            <w:tcW w:w="1048" w:type="dxa"/>
            <w:shd w:val="clear" w:color="auto" w:fill="FFFFFF" w:themeFill="background1"/>
            <w:noWrap/>
            <w:vAlign w:val="center"/>
            <w:hideMark/>
          </w:tcPr>
          <w:p w14:paraId="02BAC66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0.6</w:t>
            </w:r>
          </w:p>
        </w:tc>
        <w:tc>
          <w:tcPr>
            <w:tcW w:w="1080" w:type="dxa"/>
            <w:shd w:val="clear" w:color="auto" w:fill="FFFFFF" w:themeFill="background1"/>
            <w:noWrap/>
            <w:vAlign w:val="center"/>
            <w:hideMark/>
          </w:tcPr>
          <w:p w14:paraId="52595B5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1/1/2019</w:t>
            </w:r>
          </w:p>
        </w:tc>
        <w:tc>
          <w:tcPr>
            <w:tcW w:w="1047" w:type="dxa"/>
            <w:shd w:val="clear" w:color="auto" w:fill="FFFFFF" w:themeFill="background1"/>
            <w:noWrap/>
            <w:vAlign w:val="center"/>
            <w:hideMark/>
          </w:tcPr>
          <w:p w14:paraId="49120C39"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546BBB9A"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12/31/2048</w:t>
            </w:r>
          </w:p>
        </w:tc>
        <w:tc>
          <w:tcPr>
            <w:tcW w:w="816" w:type="dxa"/>
            <w:shd w:val="clear" w:color="auto" w:fill="FFFFFF" w:themeFill="background1"/>
            <w:vAlign w:val="center"/>
          </w:tcPr>
          <w:p w14:paraId="4408D511"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107D35DB" w14:textId="77777777" w:rsidTr="00860829">
        <w:trPr>
          <w:trHeight w:val="433"/>
        </w:trPr>
        <w:tc>
          <w:tcPr>
            <w:tcW w:w="873" w:type="dxa"/>
            <w:shd w:val="clear" w:color="auto" w:fill="FFFFFF" w:themeFill="background1"/>
            <w:noWrap/>
            <w:vAlign w:val="center"/>
            <w:hideMark/>
          </w:tcPr>
          <w:p w14:paraId="146CB0F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28CD4EA5" w14:textId="77777777" w:rsidR="001C7D23" w:rsidRPr="00B5494E" w:rsidRDefault="001C7D23" w:rsidP="004911AE">
            <w:pPr>
              <w:spacing w:after="0" w:line="240" w:lineRule="auto"/>
              <w:rPr>
                <w:rFonts w:eastAsia="Times New Roman" w:cstheme="minorHAnsi"/>
                <w:caps/>
                <w:sz w:val="18"/>
                <w:szCs w:val="18"/>
              </w:rPr>
            </w:pPr>
            <w:r w:rsidRPr="00B5494E">
              <w:rPr>
                <w:rFonts w:cstheme="minorHAnsi"/>
                <w:caps/>
                <w:sz w:val="18"/>
                <w:szCs w:val="18"/>
              </w:rPr>
              <w:t>REDI 1400 MW - DG CS W1935</w:t>
            </w:r>
          </w:p>
        </w:tc>
        <w:tc>
          <w:tcPr>
            <w:tcW w:w="1048" w:type="dxa"/>
            <w:shd w:val="clear" w:color="auto" w:fill="FFFFFF" w:themeFill="background1"/>
            <w:noWrap/>
            <w:vAlign w:val="center"/>
            <w:hideMark/>
          </w:tcPr>
          <w:p w14:paraId="674EC6C9"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10.6</w:t>
            </w:r>
          </w:p>
        </w:tc>
        <w:tc>
          <w:tcPr>
            <w:tcW w:w="1080" w:type="dxa"/>
            <w:shd w:val="clear" w:color="auto" w:fill="FFFFFF" w:themeFill="background1"/>
            <w:noWrap/>
            <w:vAlign w:val="center"/>
            <w:hideMark/>
          </w:tcPr>
          <w:p w14:paraId="542D0BB9"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1/1/2019</w:t>
            </w:r>
          </w:p>
        </w:tc>
        <w:tc>
          <w:tcPr>
            <w:tcW w:w="1047" w:type="dxa"/>
            <w:shd w:val="clear" w:color="auto" w:fill="FFFFFF" w:themeFill="background1"/>
            <w:noWrap/>
            <w:vAlign w:val="center"/>
            <w:hideMark/>
          </w:tcPr>
          <w:p w14:paraId="5F2797F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35</w:t>
            </w:r>
          </w:p>
        </w:tc>
        <w:tc>
          <w:tcPr>
            <w:tcW w:w="2178" w:type="dxa"/>
            <w:shd w:val="clear" w:color="auto" w:fill="FFFFFF" w:themeFill="background1"/>
            <w:noWrap/>
            <w:vAlign w:val="center"/>
            <w:hideMark/>
          </w:tcPr>
          <w:p w14:paraId="0CFDBDD1"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12/31/2053</w:t>
            </w:r>
          </w:p>
        </w:tc>
        <w:tc>
          <w:tcPr>
            <w:tcW w:w="816" w:type="dxa"/>
            <w:shd w:val="clear" w:color="auto" w:fill="FFFFFF" w:themeFill="background1"/>
            <w:vAlign w:val="center"/>
          </w:tcPr>
          <w:p w14:paraId="7D67C1A8"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11</w:t>
            </w:r>
          </w:p>
        </w:tc>
      </w:tr>
      <w:tr w:rsidR="00B5494E" w:rsidRPr="00B5494E" w14:paraId="6CF9E1E8" w14:textId="77777777" w:rsidTr="00860829">
        <w:trPr>
          <w:trHeight w:val="433"/>
        </w:trPr>
        <w:tc>
          <w:tcPr>
            <w:tcW w:w="873" w:type="dxa"/>
            <w:shd w:val="clear" w:color="auto" w:fill="FFFFFF" w:themeFill="background1"/>
            <w:noWrap/>
            <w:vAlign w:val="center"/>
            <w:hideMark/>
          </w:tcPr>
          <w:p w14:paraId="2E87D4B9"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2BF87F98" w14:textId="77777777" w:rsidR="001C7D23" w:rsidRPr="00B5494E" w:rsidRDefault="001C7D23" w:rsidP="004911AE">
            <w:pPr>
              <w:spacing w:after="0" w:line="240" w:lineRule="auto"/>
              <w:rPr>
                <w:rFonts w:eastAsia="Times New Roman" w:cstheme="minorHAnsi"/>
                <w:caps/>
                <w:sz w:val="18"/>
                <w:szCs w:val="18"/>
              </w:rPr>
            </w:pPr>
            <w:r w:rsidRPr="00B5494E">
              <w:rPr>
                <w:rFonts w:cstheme="minorHAnsi"/>
                <w:caps/>
                <w:sz w:val="18"/>
                <w:szCs w:val="18"/>
              </w:rPr>
              <w:t>REDI 1400 MW - DG S2030</w:t>
            </w:r>
          </w:p>
        </w:tc>
        <w:tc>
          <w:tcPr>
            <w:tcW w:w="1048" w:type="dxa"/>
            <w:shd w:val="clear" w:color="auto" w:fill="FFFFFF" w:themeFill="background1"/>
            <w:noWrap/>
            <w:vAlign w:val="center"/>
            <w:hideMark/>
          </w:tcPr>
          <w:p w14:paraId="7743C18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w:t>
            </w:r>
          </w:p>
        </w:tc>
        <w:tc>
          <w:tcPr>
            <w:tcW w:w="1080" w:type="dxa"/>
            <w:shd w:val="clear" w:color="auto" w:fill="FFFFFF" w:themeFill="background1"/>
            <w:noWrap/>
            <w:vAlign w:val="center"/>
            <w:hideMark/>
          </w:tcPr>
          <w:p w14:paraId="7D63898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5/1/2020</w:t>
            </w:r>
          </w:p>
        </w:tc>
        <w:tc>
          <w:tcPr>
            <w:tcW w:w="1047" w:type="dxa"/>
            <w:shd w:val="clear" w:color="auto" w:fill="FFFFFF" w:themeFill="background1"/>
            <w:noWrap/>
            <w:vAlign w:val="center"/>
            <w:hideMark/>
          </w:tcPr>
          <w:p w14:paraId="6E9F7F5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77E6211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4/30/2050</w:t>
            </w:r>
          </w:p>
        </w:tc>
        <w:tc>
          <w:tcPr>
            <w:tcW w:w="816" w:type="dxa"/>
            <w:shd w:val="clear" w:color="auto" w:fill="FFFFFF" w:themeFill="background1"/>
            <w:vAlign w:val="center"/>
          </w:tcPr>
          <w:p w14:paraId="528FAD58"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18987A15" w14:textId="77777777" w:rsidTr="00860829">
        <w:trPr>
          <w:trHeight w:val="433"/>
        </w:trPr>
        <w:tc>
          <w:tcPr>
            <w:tcW w:w="873" w:type="dxa"/>
            <w:shd w:val="clear" w:color="auto" w:fill="FFFFFF" w:themeFill="background1"/>
            <w:noWrap/>
            <w:vAlign w:val="center"/>
            <w:hideMark/>
          </w:tcPr>
          <w:p w14:paraId="495C726C"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7A9E7DDC" w14:textId="77777777" w:rsidR="001C7D23" w:rsidRPr="00B5494E" w:rsidRDefault="001C7D23" w:rsidP="004911AE">
            <w:pPr>
              <w:spacing w:after="0" w:line="240" w:lineRule="auto"/>
              <w:rPr>
                <w:rFonts w:eastAsia="Times New Roman" w:cstheme="minorHAnsi"/>
                <w:caps/>
                <w:sz w:val="18"/>
                <w:szCs w:val="18"/>
              </w:rPr>
            </w:pPr>
            <w:r w:rsidRPr="00B5494E">
              <w:rPr>
                <w:rFonts w:cstheme="minorHAnsi"/>
                <w:caps/>
                <w:sz w:val="18"/>
                <w:szCs w:val="18"/>
              </w:rPr>
              <w:t>REDI 1400 MW - DG S2035</w:t>
            </w:r>
          </w:p>
        </w:tc>
        <w:tc>
          <w:tcPr>
            <w:tcW w:w="1048" w:type="dxa"/>
            <w:shd w:val="clear" w:color="auto" w:fill="FFFFFF" w:themeFill="background1"/>
            <w:noWrap/>
            <w:vAlign w:val="center"/>
            <w:hideMark/>
          </w:tcPr>
          <w:p w14:paraId="2D4F5EF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75.3</w:t>
            </w:r>
          </w:p>
        </w:tc>
        <w:tc>
          <w:tcPr>
            <w:tcW w:w="1080" w:type="dxa"/>
            <w:shd w:val="clear" w:color="auto" w:fill="FFFFFF" w:themeFill="background1"/>
            <w:noWrap/>
            <w:vAlign w:val="center"/>
            <w:hideMark/>
          </w:tcPr>
          <w:p w14:paraId="58FA7E3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5/1/2020</w:t>
            </w:r>
          </w:p>
        </w:tc>
        <w:tc>
          <w:tcPr>
            <w:tcW w:w="1047" w:type="dxa"/>
            <w:shd w:val="clear" w:color="auto" w:fill="FFFFFF" w:themeFill="background1"/>
            <w:noWrap/>
            <w:vAlign w:val="center"/>
            <w:hideMark/>
          </w:tcPr>
          <w:p w14:paraId="1CC82FEA"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35</w:t>
            </w:r>
          </w:p>
        </w:tc>
        <w:tc>
          <w:tcPr>
            <w:tcW w:w="2178" w:type="dxa"/>
            <w:shd w:val="clear" w:color="auto" w:fill="FFFFFF" w:themeFill="background1"/>
            <w:noWrap/>
            <w:vAlign w:val="center"/>
            <w:hideMark/>
          </w:tcPr>
          <w:p w14:paraId="46E2DF2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4/30/2055</w:t>
            </w:r>
          </w:p>
        </w:tc>
        <w:tc>
          <w:tcPr>
            <w:tcW w:w="816" w:type="dxa"/>
            <w:shd w:val="clear" w:color="auto" w:fill="FFFFFF" w:themeFill="background1"/>
            <w:vAlign w:val="center"/>
          </w:tcPr>
          <w:p w14:paraId="0896B488"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33</w:t>
            </w:r>
          </w:p>
        </w:tc>
      </w:tr>
      <w:tr w:rsidR="00B5494E" w:rsidRPr="00B5494E" w14:paraId="764DD752" w14:textId="77777777" w:rsidTr="00860829">
        <w:trPr>
          <w:trHeight w:val="433"/>
        </w:trPr>
        <w:tc>
          <w:tcPr>
            <w:tcW w:w="873" w:type="dxa"/>
            <w:shd w:val="clear" w:color="auto" w:fill="FFFFFF" w:themeFill="background1"/>
            <w:noWrap/>
            <w:vAlign w:val="center"/>
            <w:hideMark/>
          </w:tcPr>
          <w:p w14:paraId="2C9045B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35CEEE92" w14:textId="77777777" w:rsidR="001C7D23" w:rsidRPr="00B5494E" w:rsidRDefault="001C7D23" w:rsidP="004911AE">
            <w:pPr>
              <w:spacing w:after="0" w:line="240" w:lineRule="auto"/>
              <w:rPr>
                <w:rFonts w:eastAsia="Times New Roman" w:cstheme="minorHAnsi"/>
                <w:caps/>
                <w:sz w:val="18"/>
                <w:szCs w:val="18"/>
              </w:rPr>
            </w:pPr>
            <w:r w:rsidRPr="00B5494E">
              <w:rPr>
                <w:rFonts w:cstheme="minorHAnsi"/>
                <w:caps/>
                <w:sz w:val="18"/>
                <w:szCs w:val="18"/>
              </w:rPr>
              <w:t>REDI 1400 MW - DG W2030</w:t>
            </w:r>
          </w:p>
        </w:tc>
        <w:tc>
          <w:tcPr>
            <w:tcW w:w="1048" w:type="dxa"/>
            <w:shd w:val="clear" w:color="auto" w:fill="FFFFFF" w:themeFill="background1"/>
            <w:noWrap/>
            <w:vAlign w:val="center"/>
            <w:hideMark/>
          </w:tcPr>
          <w:p w14:paraId="5EA32B4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2.5</w:t>
            </w:r>
          </w:p>
        </w:tc>
        <w:tc>
          <w:tcPr>
            <w:tcW w:w="1080" w:type="dxa"/>
            <w:shd w:val="clear" w:color="auto" w:fill="FFFFFF" w:themeFill="background1"/>
            <w:noWrap/>
            <w:vAlign w:val="center"/>
            <w:hideMark/>
          </w:tcPr>
          <w:p w14:paraId="34BF631C"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1/1/2020</w:t>
            </w:r>
          </w:p>
        </w:tc>
        <w:tc>
          <w:tcPr>
            <w:tcW w:w="1047" w:type="dxa"/>
            <w:shd w:val="clear" w:color="auto" w:fill="FFFFFF" w:themeFill="background1"/>
            <w:noWrap/>
            <w:vAlign w:val="center"/>
            <w:hideMark/>
          </w:tcPr>
          <w:p w14:paraId="2D4A04BC"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0BA478CA"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12/31/2049</w:t>
            </w:r>
          </w:p>
        </w:tc>
        <w:tc>
          <w:tcPr>
            <w:tcW w:w="816" w:type="dxa"/>
            <w:shd w:val="clear" w:color="auto" w:fill="FFFFFF" w:themeFill="background1"/>
            <w:vAlign w:val="center"/>
          </w:tcPr>
          <w:p w14:paraId="3FBAA4B7"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6B2F3CDA" w14:textId="77777777" w:rsidTr="00860829">
        <w:trPr>
          <w:trHeight w:val="433"/>
        </w:trPr>
        <w:tc>
          <w:tcPr>
            <w:tcW w:w="873" w:type="dxa"/>
            <w:shd w:val="clear" w:color="auto" w:fill="FFFFFF" w:themeFill="background1"/>
            <w:noWrap/>
            <w:vAlign w:val="center"/>
            <w:hideMark/>
          </w:tcPr>
          <w:p w14:paraId="234A52A3"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7550F5C7" w14:textId="77777777" w:rsidR="001C7D23" w:rsidRPr="00B5494E" w:rsidRDefault="001C7D23" w:rsidP="004911AE">
            <w:pPr>
              <w:spacing w:after="0" w:line="240" w:lineRule="auto"/>
              <w:rPr>
                <w:rFonts w:eastAsia="Times New Roman" w:cstheme="minorHAnsi"/>
                <w:caps/>
                <w:sz w:val="18"/>
                <w:szCs w:val="18"/>
              </w:rPr>
            </w:pPr>
            <w:r w:rsidRPr="00B5494E">
              <w:rPr>
                <w:rFonts w:cstheme="minorHAnsi"/>
                <w:caps/>
                <w:sz w:val="18"/>
                <w:szCs w:val="18"/>
              </w:rPr>
              <w:t>REDI 1400 MW - DG W2035</w:t>
            </w:r>
          </w:p>
        </w:tc>
        <w:tc>
          <w:tcPr>
            <w:tcW w:w="1048" w:type="dxa"/>
            <w:shd w:val="clear" w:color="auto" w:fill="FFFFFF" w:themeFill="background1"/>
            <w:noWrap/>
            <w:vAlign w:val="center"/>
            <w:hideMark/>
          </w:tcPr>
          <w:p w14:paraId="3DF1C6D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6.9</w:t>
            </w:r>
          </w:p>
        </w:tc>
        <w:tc>
          <w:tcPr>
            <w:tcW w:w="1080" w:type="dxa"/>
            <w:shd w:val="clear" w:color="auto" w:fill="FFFFFF" w:themeFill="background1"/>
            <w:noWrap/>
            <w:vAlign w:val="center"/>
            <w:hideMark/>
          </w:tcPr>
          <w:p w14:paraId="7F65B6D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1/1/2020</w:t>
            </w:r>
          </w:p>
        </w:tc>
        <w:tc>
          <w:tcPr>
            <w:tcW w:w="1047" w:type="dxa"/>
            <w:shd w:val="clear" w:color="auto" w:fill="FFFFFF" w:themeFill="background1"/>
            <w:noWrap/>
            <w:vAlign w:val="center"/>
            <w:hideMark/>
          </w:tcPr>
          <w:p w14:paraId="7C2336C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35</w:t>
            </w:r>
          </w:p>
        </w:tc>
        <w:tc>
          <w:tcPr>
            <w:tcW w:w="2178" w:type="dxa"/>
            <w:shd w:val="clear" w:color="auto" w:fill="FFFFFF" w:themeFill="background1"/>
            <w:noWrap/>
            <w:vAlign w:val="center"/>
            <w:hideMark/>
          </w:tcPr>
          <w:p w14:paraId="6DFA76B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12/31/2054</w:t>
            </w:r>
          </w:p>
        </w:tc>
        <w:tc>
          <w:tcPr>
            <w:tcW w:w="816" w:type="dxa"/>
            <w:shd w:val="clear" w:color="auto" w:fill="FFFFFF" w:themeFill="background1"/>
            <w:vAlign w:val="center"/>
          </w:tcPr>
          <w:p w14:paraId="3CAA453E"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3</w:t>
            </w:r>
          </w:p>
        </w:tc>
      </w:tr>
      <w:tr w:rsidR="00B5494E" w:rsidRPr="00B5494E" w14:paraId="79D66047" w14:textId="77777777" w:rsidTr="00860829">
        <w:trPr>
          <w:trHeight w:val="433"/>
        </w:trPr>
        <w:tc>
          <w:tcPr>
            <w:tcW w:w="873" w:type="dxa"/>
            <w:shd w:val="clear" w:color="auto" w:fill="FFFFFF" w:themeFill="background1"/>
            <w:noWrap/>
            <w:vAlign w:val="center"/>
            <w:hideMark/>
          </w:tcPr>
          <w:p w14:paraId="0E3E758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0D2F791D" w14:textId="77777777" w:rsidR="001C7D23" w:rsidRPr="00B5494E" w:rsidRDefault="001C7D23" w:rsidP="004911AE">
            <w:pPr>
              <w:spacing w:after="0" w:line="240" w:lineRule="auto"/>
              <w:rPr>
                <w:rFonts w:eastAsia="Times New Roman" w:cstheme="minorHAnsi"/>
                <w:caps/>
                <w:sz w:val="18"/>
                <w:szCs w:val="18"/>
              </w:rPr>
            </w:pPr>
            <w:r w:rsidRPr="00B5494E">
              <w:rPr>
                <w:rFonts w:cstheme="minorHAnsi"/>
                <w:caps/>
                <w:sz w:val="18"/>
                <w:szCs w:val="18"/>
              </w:rPr>
              <w:t>REDI 1400 MW - US 1: QUITMAN SOLAR</w:t>
            </w:r>
          </w:p>
        </w:tc>
        <w:tc>
          <w:tcPr>
            <w:tcW w:w="1048" w:type="dxa"/>
            <w:shd w:val="clear" w:color="auto" w:fill="FFFFFF" w:themeFill="background1"/>
            <w:noWrap/>
            <w:vAlign w:val="center"/>
            <w:hideMark/>
          </w:tcPr>
          <w:p w14:paraId="7146026F"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150.0</w:t>
            </w:r>
          </w:p>
        </w:tc>
        <w:tc>
          <w:tcPr>
            <w:tcW w:w="1080" w:type="dxa"/>
            <w:shd w:val="clear" w:color="auto" w:fill="FFFFFF" w:themeFill="background1"/>
            <w:noWrap/>
            <w:vAlign w:val="center"/>
            <w:hideMark/>
          </w:tcPr>
          <w:p w14:paraId="25D83F4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12/16/2019</w:t>
            </w:r>
          </w:p>
        </w:tc>
        <w:tc>
          <w:tcPr>
            <w:tcW w:w="1047" w:type="dxa"/>
            <w:shd w:val="clear" w:color="auto" w:fill="FFFFFF" w:themeFill="background1"/>
            <w:noWrap/>
            <w:vAlign w:val="center"/>
            <w:hideMark/>
          </w:tcPr>
          <w:p w14:paraId="74016B39"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757B6C61"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12/15/2049</w:t>
            </w:r>
          </w:p>
        </w:tc>
        <w:tc>
          <w:tcPr>
            <w:tcW w:w="816" w:type="dxa"/>
            <w:shd w:val="clear" w:color="auto" w:fill="FFFFFF" w:themeFill="background1"/>
            <w:vAlign w:val="center"/>
          </w:tcPr>
          <w:p w14:paraId="1AF9BD0D"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3F46C5B6" w14:textId="77777777" w:rsidTr="00860829">
        <w:trPr>
          <w:trHeight w:val="433"/>
        </w:trPr>
        <w:tc>
          <w:tcPr>
            <w:tcW w:w="873" w:type="dxa"/>
            <w:shd w:val="clear" w:color="auto" w:fill="FFFFFF" w:themeFill="background1"/>
            <w:noWrap/>
            <w:vAlign w:val="center"/>
            <w:hideMark/>
          </w:tcPr>
          <w:p w14:paraId="30388BB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0454B224" w14:textId="77777777" w:rsidR="001C7D23" w:rsidRPr="00B5494E" w:rsidRDefault="001C7D23" w:rsidP="004911AE">
            <w:pPr>
              <w:spacing w:after="0" w:line="240" w:lineRule="auto"/>
              <w:rPr>
                <w:rFonts w:eastAsia="Times New Roman" w:cstheme="minorHAnsi"/>
                <w:caps/>
                <w:sz w:val="18"/>
                <w:szCs w:val="18"/>
              </w:rPr>
            </w:pPr>
            <w:r w:rsidRPr="00B5494E">
              <w:rPr>
                <w:rFonts w:cstheme="minorHAnsi"/>
                <w:caps/>
                <w:sz w:val="18"/>
                <w:szCs w:val="18"/>
              </w:rPr>
              <w:t>REDI 1400 MW - US 1: SOUTHERN OAK SOLAR ENERGY</w:t>
            </w:r>
          </w:p>
        </w:tc>
        <w:tc>
          <w:tcPr>
            <w:tcW w:w="1048" w:type="dxa"/>
            <w:shd w:val="clear" w:color="auto" w:fill="FFFFFF" w:themeFill="background1"/>
            <w:noWrap/>
            <w:vAlign w:val="center"/>
            <w:hideMark/>
          </w:tcPr>
          <w:p w14:paraId="4042CD9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160.0</w:t>
            </w:r>
          </w:p>
        </w:tc>
        <w:tc>
          <w:tcPr>
            <w:tcW w:w="1080" w:type="dxa"/>
            <w:shd w:val="clear" w:color="auto" w:fill="FFFFFF" w:themeFill="background1"/>
            <w:noWrap/>
            <w:vAlign w:val="center"/>
            <w:hideMark/>
          </w:tcPr>
          <w:p w14:paraId="5DD5203F"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2/4/2020</w:t>
            </w:r>
          </w:p>
        </w:tc>
        <w:tc>
          <w:tcPr>
            <w:tcW w:w="1047" w:type="dxa"/>
            <w:shd w:val="clear" w:color="auto" w:fill="FFFFFF" w:themeFill="background1"/>
            <w:noWrap/>
            <w:vAlign w:val="center"/>
            <w:hideMark/>
          </w:tcPr>
          <w:p w14:paraId="5442F24B"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2756062F"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2/3/2050</w:t>
            </w:r>
          </w:p>
        </w:tc>
        <w:tc>
          <w:tcPr>
            <w:tcW w:w="816" w:type="dxa"/>
            <w:shd w:val="clear" w:color="auto" w:fill="FFFFFF" w:themeFill="background1"/>
            <w:vAlign w:val="center"/>
          </w:tcPr>
          <w:p w14:paraId="2A37F1DF"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6DF1937A" w14:textId="77777777" w:rsidTr="00860829">
        <w:trPr>
          <w:trHeight w:val="433"/>
        </w:trPr>
        <w:tc>
          <w:tcPr>
            <w:tcW w:w="873" w:type="dxa"/>
            <w:shd w:val="clear" w:color="auto" w:fill="FFFFFF" w:themeFill="background1"/>
            <w:noWrap/>
            <w:vAlign w:val="center"/>
            <w:hideMark/>
          </w:tcPr>
          <w:p w14:paraId="191BBED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587440C0" w14:textId="77777777" w:rsidR="001C7D23" w:rsidRPr="00B5494E" w:rsidRDefault="001C7D23" w:rsidP="004911AE">
            <w:pPr>
              <w:spacing w:after="0" w:line="240" w:lineRule="auto"/>
              <w:rPr>
                <w:rFonts w:eastAsia="Times New Roman" w:cstheme="minorHAnsi"/>
                <w:caps/>
                <w:sz w:val="18"/>
                <w:szCs w:val="18"/>
              </w:rPr>
            </w:pPr>
            <w:r w:rsidRPr="00B5494E">
              <w:rPr>
                <w:rFonts w:cstheme="minorHAnsi"/>
                <w:caps/>
                <w:sz w:val="18"/>
                <w:szCs w:val="18"/>
              </w:rPr>
              <w:t>REDI 1400 MW - US 1: TWIGGS COUNTY SOLAR</w:t>
            </w:r>
          </w:p>
        </w:tc>
        <w:tc>
          <w:tcPr>
            <w:tcW w:w="1048" w:type="dxa"/>
            <w:shd w:val="clear" w:color="auto" w:fill="FFFFFF" w:themeFill="background1"/>
            <w:noWrap/>
            <w:vAlign w:val="center"/>
            <w:hideMark/>
          </w:tcPr>
          <w:p w14:paraId="7EE4E40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200.0</w:t>
            </w:r>
          </w:p>
        </w:tc>
        <w:tc>
          <w:tcPr>
            <w:tcW w:w="1080" w:type="dxa"/>
            <w:shd w:val="clear" w:color="auto" w:fill="FFFFFF" w:themeFill="background1"/>
            <w:noWrap/>
            <w:vAlign w:val="center"/>
            <w:hideMark/>
          </w:tcPr>
          <w:p w14:paraId="2E0C0DE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9/5/2020</w:t>
            </w:r>
          </w:p>
        </w:tc>
        <w:tc>
          <w:tcPr>
            <w:tcW w:w="1047" w:type="dxa"/>
            <w:shd w:val="clear" w:color="auto" w:fill="FFFFFF" w:themeFill="background1"/>
            <w:noWrap/>
            <w:vAlign w:val="center"/>
            <w:hideMark/>
          </w:tcPr>
          <w:p w14:paraId="1F7DFD0F"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3F61ED6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9/4/2050</w:t>
            </w:r>
          </w:p>
        </w:tc>
        <w:tc>
          <w:tcPr>
            <w:tcW w:w="816" w:type="dxa"/>
            <w:shd w:val="clear" w:color="auto" w:fill="FFFFFF" w:themeFill="background1"/>
            <w:vAlign w:val="center"/>
          </w:tcPr>
          <w:p w14:paraId="2ADCA6A3"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59A6D298" w14:textId="77777777" w:rsidTr="00860829">
        <w:trPr>
          <w:trHeight w:val="433"/>
        </w:trPr>
        <w:tc>
          <w:tcPr>
            <w:tcW w:w="873" w:type="dxa"/>
            <w:shd w:val="clear" w:color="auto" w:fill="FFFFFF" w:themeFill="background1"/>
            <w:noWrap/>
            <w:vAlign w:val="center"/>
            <w:hideMark/>
          </w:tcPr>
          <w:p w14:paraId="67B3AE79"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w:t>
            </w:r>
          </w:p>
        </w:tc>
        <w:tc>
          <w:tcPr>
            <w:tcW w:w="3479" w:type="dxa"/>
            <w:shd w:val="clear" w:color="auto" w:fill="FFFFFF" w:themeFill="background1"/>
            <w:vAlign w:val="center"/>
            <w:hideMark/>
          </w:tcPr>
          <w:p w14:paraId="73393B3C" w14:textId="77777777" w:rsidR="001C7D23" w:rsidRPr="00B5494E" w:rsidRDefault="001C7D23" w:rsidP="004911AE">
            <w:pPr>
              <w:spacing w:after="0" w:line="240" w:lineRule="auto"/>
              <w:rPr>
                <w:rFonts w:eastAsia="Times New Roman" w:cstheme="minorHAnsi"/>
                <w:caps/>
                <w:sz w:val="18"/>
                <w:szCs w:val="18"/>
              </w:rPr>
            </w:pPr>
            <w:r w:rsidRPr="00B5494E">
              <w:rPr>
                <w:rFonts w:cstheme="minorHAnsi"/>
                <w:caps/>
                <w:sz w:val="18"/>
                <w:szCs w:val="18"/>
              </w:rPr>
              <w:t>REDI 1400 MW - US 2: QUITMAN II</w:t>
            </w:r>
          </w:p>
        </w:tc>
        <w:tc>
          <w:tcPr>
            <w:tcW w:w="1048" w:type="dxa"/>
            <w:shd w:val="clear" w:color="auto" w:fill="FFFFFF" w:themeFill="background1"/>
            <w:noWrap/>
            <w:vAlign w:val="center"/>
            <w:hideMark/>
          </w:tcPr>
          <w:p w14:paraId="75A2607C"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150.0</w:t>
            </w:r>
          </w:p>
        </w:tc>
        <w:tc>
          <w:tcPr>
            <w:tcW w:w="1080" w:type="dxa"/>
            <w:shd w:val="clear" w:color="auto" w:fill="FFFFFF" w:themeFill="background1"/>
            <w:noWrap/>
            <w:vAlign w:val="center"/>
            <w:hideMark/>
          </w:tcPr>
          <w:p w14:paraId="715C604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11/30/2021</w:t>
            </w:r>
          </w:p>
        </w:tc>
        <w:tc>
          <w:tcPr>
            <w:tcW w:w="1047" w:type="dxa"/>
            <w:shd w:val="clear" w:color="auto" w:fill="FFFFFF" w:themeFill="background1"/>
            <w:noWrap/>
            <w:vAlign w:val="center"/>
            <w:hideMark/>
          </w:tcPr>
          <w:p w14:paraId="7FE60E3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37BBEAAF"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11/29/2051</w:t>
            </w:r>
          </w:p>
        </w:tc>
        <w:tc>
          <w:tcPr>
            <w:tcW w:w="816" w:type="dxa"/>
            <w:shd w:val="clear" w:color="auto" w:fill="FFFFFF" w:themeFill="background1"/>
            <w:vAlign w:val="center"/>
          </w:tcPr>
          <w:p w14:paraId="3F2716EA"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21C58A50" w14:textId="77777777" w:rsidTr="00860829">
        <w:trPr>
          <w:trHeight w:val="433"/>
        </w:trPr>
        <w:tc>
          <w:tcPr>
            <w:tcW w:w="873" w:type="dxa"/>
            <w:shd w:val="clear" w:color="auto" w:fill="FFFFFF" w:themeFill="background1"/>
            <w:noWrap/>
            <w:vAlign w:val="center"/>
          </w:tcPr>
          <w:p w14:paraId="6FE9E4E9"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Solar</w:t>
            </w:r>
          </w:p>
        </w:tc>
        <w:tc>
          <w:tcPr>
            <w:tcW w:w="3479" w:type="dxa"/>
            <w:shd w:val="clear" w:color="auto" w:fill="FFFFFF" w:themeFill="background1"/>
            <w:vAlign w:val="center"/>
          </w:tcPr>
          <w:p w14:paraId="7AFFBAB9" w14:textId="77777777" w:rsidR="001C7D23" w:rsidRPr="00B5494E" w:rsidRDefault="001C7D23" w:rsidP="004911AE">
            <w:pPr>
              <w:spacing w:after="0" w:line="240" w:lineRule="auto"/>
              <w:rPr>
                <w:rFonts w:cstheme="minorHAnsi"/>
                <w:caps/>
                <w:sz w:val="18"/>
                <w:szCs w:val="18"/>
              </w:rPr>
            </w:pPr>
            <w:r w:rsidRPr="00B5494E">
              <w:rPr>
                <w:rFonts w:cstheme="minorHAnsi"/>
                <w:caps/>
                <w:sz w:val="18"/>
                <w:szCs w:val="18"/>
              </w:rPr>
              <w:t>2022/2023 US - Timberland Solar</w:t>
            </w:r>
          </w:p>
        </w:tc>
        <w:tc>
          <w:tcPr>
            <w:tcW w:w="1048" w:type="dxa"/>
            <w:shd w:val="clear" w:color="auto" w:fill="FFFFFF" w:themeFill="background1"/>
            <w:noWrap/>
            <w:vAlign w:val="center"/>
          </w:tcPr>
          <w:p w14:paraId="3FAB439E"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140.0</w:t>
            </w:r>
          </w:p>
        </w:tc>
        <w:tc>
          <w:tcPr>
            <w:tcW w:w="1080" w:type="dxa"/>
            <w:shd w:val="clear" w:color="auto" w:fill="FFFFFF" w:themeFill="background1"/>
            <w:noWrap/>
            <w:vAlign w:val="center"/>
          </w:tcPr>
          <w:p w14:paraId="284DDA58" w14:textId="7851FDAE"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r w:rsidR="00DE094D" w:rsidRPr="00B5494E">
              <w:rPr>
                <w:rFonts w:cstheme="minorHAnsi"/>
                <w:sz w:val="18"/>
                <w:szCs w:val="18"/>
              </w:rPr>
              <w:t>0</w:t>
            </w:r>
            <w:r w:rsidRPr="00B5494E">
              <w:rPr>
                <w:rFonts w:cstheme="minorHAnsi"/>
                <w:sz w:val="18"/>
                <w:szCs w:val="18"/>
              </w:rPr>
              <w:t>/</w:t>
            </w:r>
            <w:r w:rsidR="00DE094D" w:rsidRPr="00B5494E">
              <w:rPr>
                <w:rFonts w:cstheme="minorHAnsi"/>
                <w:sz w:val="18"/>
                <w:szCs w:val="18"/>
              </w:rPr>
              <w:t>18</w:t>
            </w:r>
            <w:r w:rsidRPr="00B5494E">
              <w:rPr>
                <w:rFonts w:cstheme="minorHAnsi"/>
                <w:sz w:val="18"/>
                <w:szCs w:val="18"/>
              </w:rPr>
              <w:t>/202</w:t>
            </w:r>
            <w:r w:rsidR="00082358" w:rsidRPr="00B5494E">
              <w:rPr>
                <w:rFonts w:cstheme="minorHAnsi"/>
                <w:sz w:val="18"/>
                <w:szCs w:val="18"/>
              </w:rPr>
              <w:t>4</w:t>
            </w:r>
          </w:p>
        </w:tc>
        <w:tc>
          <w:tcPr>
            <w:tcW w:w="1047" w:type="dxa"/>
            <w:shd w:val="clear" w:color="auto" w:fill="FFFFFF" w:themeFill="background1"/>
            <w:noWrap/>
            <w:vAlign w:val="center"/>
          </w:tcPr>
          <w:p w14:paraId="4DBE228E"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30</w:t>
            </w:r>
          </w:p>
        </w:tc>
        <w:tc>
          <w:tcPr>
            <w:tcW w:w="2178" w:type="dxa"/>
            <w:shd w:val="clear" w:color="auto" w:fill="FFFFFF" w:themeFill="background1"/>
            <w:noWrap/>
            <w:vAlign w:val="center"/>
          </w:tcPr>
          <w:p w14:paraId="12409175" w14:textId="60C71F4F"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11/29/205</w:t>
            </w:r>
            <w:r w:rsidR="003E1924" w:rsidRPr="00B5494E">
              <w:rPr>
                <w:rFonts w:cstheme="minorHAnsi"/>
                <w:sz w:val="18"/>
                <w:szCs w:val="18"/>
              </w:rPr>
              <w:t>4</w:t>
            </w:r>
          </w:p>
        </w:tc>
        <w:tc>
          <w:tcPr>
            <w:tcW w:w="816" w:type="dxa"/>
            <w:shd w:val="clear" w:color="auto" w:fill="FFFFFF" w:themeFill="background1"/>
            <w:vAlign w:val="center"/>
          </w:tcPr>
          <w:p w14:paraId="5218F03F"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46EE9959" w14:textId="77777777" w:rsidTr="00860829">
        <w:trPr>
          <w:trHeight w:val="433"/>
        </w:trPr>
        <w:tc>
          <w:tcPr>
            <w:tcW w:w="873" w:type="dxa"/>
            <w:shd w:val="clear" w:color="auto" w:fill="FFFFFF" w:themeFill="background1"/>
            <w:noWrap/>
            <w:vAlign w:val="center"/>
            <w:hideMark/>
          </w:tcPr>
          <w:p w14:paraId="3257E858"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 + Storage</w:t>
            </w:r>
          </w:p>
        </w:tc>
        <w:tc>
          <w:tcPr>
            <w:tcW w:w="3479" w:type="dxa"/>
            <w:shd w:val="clear" w:color="auto" w:fill="FFFFFF" w:themeFill="background1"/>
            <w:vAlign w:val="center"/>
            <w:hideMark/>
          </w:tcPr>
          <w:p w14:paraId="7179442B" w14:textId="77777777" w:rsidR="001C7D23" w:rsidRPr="00B5494E" w:rsidRDefault="001C7D23" w:rsidP="004911AE">
            <w:pPr>
              <w:spacing w:after="0" w:line="240" w:lineRule="auto"/>
              <w:rPr>
                <w:rFonts w:eastAsia="Times New Roman"/>
                <w:caps/>
                <w:sz w:val="18"/>
                <w:szCs w:val="18"/>
              </w:rPr>
            </w:pPr>
            <w:r w:rsidRPr="00B5494E">
              <w:rPr>
                <w:caps/>
                <w:sz w:val="18"/>
                <w:szCs w:val="18"/>
              </w:rPr>
              <w:t>2022/2023 US - Flint River Solar</w:t>
            </w:r>
          </w:p>
        </w:tc>
        <w:tc>
          <w:tcPr>
            <w:tcW w:w="1048" w:type="dxa"/>
            <w:shd w:val="clear" w:color="auto" w:fill="FFFFFF" w:themeFill="background1"/>
            <w:noWrap/>
            <w:vAlign w:val="center"/>
            <w:hideMark/>
          </w:tcPr>
          <w:p w14:paraId="54391B68" w14:textId="5057EEAD" w:rsidR="001C7D23" w:rsidRPr="00B5494E" w:rsidRDefault="001C7D23" w:rsidP="004911AE">
            <w:pPr>
              <w:spacing w:after="0" w:line="240" w:lineRule="auto"/>
              <w:jc w:val="center"/>
              <w:rPr>
                <w:rFonts w:eastAsia="Times New Roman"/>
                <w:sz w:val="18"/>
                <w:szCs w:val="18"/>
              </w:rPr>
            </w:pPr>
            <w:r w:rsidRPr="00B5494E">
              <w:rPr>
                <w:sz w:val="18"/>
                <w:szCs w:val="18"/>
              </w:rPr>
              <w:t>200.0</w:t>
            </w:r>
          </w:p>
        </w:tc>
        <w:tc>
          <w:tcPr>
            <w:tcW w:w="1080" w:type="dxa"/>
            <w:shd w:val="clear" w:color="auto" w:fill="FFFFFF" w:themeFill="background1"/>
            <w:noWrap/>
            <w:vAlign w:val="center"/>
            <w:hideMark/>
          </w:tcPr>
          <w:p w14:paraId="2DDD534D" w14:textId="5208FB68"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11/30/202</w:t>
            </w:r>
            <w:r w:rsidR="00521CA6" w:rsidRPr="00B5494E">
              <w:rPr>
                <w:rFonts w:cstheme="minorHAnsi"/>
                <w:sz w:val="18"/>
                <w:szCs w:val="18"/>
              </w:rPr>
              <w:t>4</w:t>
            </w:r>
          </w:p>
        </w:tc>
        <w:tc>
          <w:tcPr>
            <w:tcW w:w="1047" w:type="dxa"/>
            <w:shd w:val="clear" w:color="auto" w:fill="FFFFFF" w:themeFill="background1"/>
            <w:noWrap/>
            <w:vAlign w:val="center"/>
            <w:hideMark/>
          </w:tcPr>
          <w:p w14:paraId="1ED187B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67514489" w14:textId="3DA1993A"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11/29/205</w:t>
            </w:r>
            <w:r w:rsidR="00521CA6" w:rsidRPr="00B5494E">
              <w:rPr>
                <w:rFonts w:cstheme="minorHAnsi"/>
                <w:sz w:val="18"/>
                <w:szCs w:val="18"/>
              </w:rPr>
              <w:t>4</w:t>
            </w:r>
          </w:p>
        </w:tc>
        <w:tc>
          <w:tcPr>
            <w:tcW w:w="816" w:type="dxa"/>
            <w:shd w:val="clear" w:color="auto" w:fill="FFFFFF" w:themeFill="background1"/>
            <w:vAlign w:val="center"/>
          </w:tcPr>
          <w:p w14:paraId="33BF24AC"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7146D599" w14:textId="77777777" w:rsidTr="00860829">
        <w:trPr>
          <w:trHeight w:val="433"/>
        </w:trPr>
        <w:tc>
          <w:tcPr>
            <w:tcW w:w="873" w:type="dxa"/>
            <w:shd w:val="clear" w:color="auto" w:fill="FFFFFF" w:themeFill="background1"/>
            <w:noWrap/>
            <w:vAlign w:val="center"/>
            <w:hideMark/>
          </w:tcPr>
          <w:p w14:paraId="17771E0F"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 + Storage</w:t>
            </w:r>
          </w:p>
        </w:tc>
        <w:tc>
          <w:tcPr>
            <w:tcW w:w="3479" w:type="dxa"/>
            <w:shd w:val="clear" w:color="auto" w:fill="FFFFFF" w:themeFill="background1"/>
            <w:vAlign w:val="center"/>
            <w:hideMark/>
          </w:tcPr>
          <w:p w14:paraId="4FC8DFD1" w14:textId="77777777" w:rsidR="001C7D23" w:rsidRPr="00B5494E" w:rsidRDefault="001C7D23" w:rsidP="004911AE">
            <w:pPr>
              <w:spacing w:after="0" w:line="240" w:lineRule="auto"/>
              <w:rPr>
                <w:rFonts w:eastAsia="Times New Roman" w:cstheme="minorHAnsi"/>
                <w:caps/>
                <w:sz w:val="18"/>
                <w:szCs w:val="18"/>
              </w:rPr>
            </w:pPr>
            <w:r w:rsidRPr="00B5494E">
              <w:rPr>
                <w:rFonts w:cstheme="minorHAnsi"/>
                <w:caps/>
                <w:sz w:val="18"/>
                <w:szCs w:val="18"/>
              </w:rPr>
              <w:t>2022/2023 US - Wadley Solar</w:t>
            </w:r>
          </w:p>
        </w:tc>
        <w:tc>
          <w:tcPr>
            <w:tcW w:w="1048" w:type="dxa"/>
            <w:shd w:val="clear" w:color="auto" w:fill="FFFFFF" w:themeFill="background1"/>
            <w:noWrap/>
            <w:vAlign w:val="center"/>
            <w:hideMark/>
          </w:tcPr>
          <w:p w14:paraId="683F41DF"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260.0</w:t>
            </w:r>
          </w:p>
        </w:tc>
        <w:tc>
          <w:tcPr>
            <w:tcW w:w="1080" w:type="dxa"/>
            <w:shd w:val="clear" w:color="auto" w:fill="FFFFFF" w:themeFill="background1"/>
            <w:noWrap/>
            <w:vAlign w:val="center"/>
            <w:hideMark/>
          </w:tcPr>
          <w:p w14:paraId="5DCEE5E5" w14:textId="18FB70F6"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11/30/202</w:t>
            </w:r>
            <w:r w:rsidR="003F3BF4" w:rsidRPr="00B5494E">
              <w:rPr>
                <w:rFonts w:cstheme="minorHAnsi"/>
                <w:sz w:val="18"/>
                <w:szCs w:val="18"/>
              </w:rPr>
              <w:t>4</w:t>
            </w:r>
          </w:p>
        </w:tc>
        <w:tc>
          <w:tcPr>
            <w:tcW w:w="1047" w:type="dxa"/>
            <w:shd w:val="clear" w:color="auto" w:fill="FFFFFF" w:themeFill="background1"/>
            <w:noWrap/>
            <w:vAlign w:val="center"/>
            <w:hideMark/>
          </w:tcPr>
          <w:p w14:paraId="655672E2"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40822922" w14:textId="6AB3EDCD"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11/29/205</w:t>
            </w:r>
            <w:r w:rsidR="003F3BF4" w:rsidRPr="00B5494E">
              <w:rPr>
                <w:rFonts w:cstheme="minorHAnsi"/>
                <w:sz w:val="18"/>
                <w:szCs w:val="18"/>
              </w:rPr>
              <w:t>4</w:t>
            </w:r>
          </w:p>
        </w:tc>
        <w:tc>
          <w:tcPr>
            <w:tcW w:w="816" w:type="dxa"/>
            <w:shd w:val="clear" w:color="auto" w:fill="FFFFFF" w:themeFill="background1"/>
            <w:vAlign w:val="center"/>
          </w:tcPr>
          <w:p w14:paraId="5C70DFCE"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06D60904" w14:textId="77777777" w:rsidTr="00860829">
        <w:trPr>
          <w:trHeight w:val="433"/>
        </w:trPr>
        <w:tc>
          <w:tcPr>
            <w:tcW w:w="873" w:type="dxa"/>
            <w:shd w:val="clear" w:color="auto" w:fill="FFFFFF" w:themeFill="background1"/>
            <w:noWrap/>
            <w:vAlign w:val="center"/>
            <w:hideMark/>
          </w:tcPr>
          <w:p w14:paraId="457D40C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 + Storage</w:t>
            </w:r>
          </w:p>
        </w:tc>
        <w:tc>
          <w:tcPr>
            <w:tcW w:w="3479" w:type="dxa"/>
            <w:shd w:val="clear" w:color="auto" w:fill="FFFFFF" w:themeFill="background1"/>
            <w:vAlign w:val="center"/>
            <w:hideMark/>
          </w:tcPr>
          <w:p w14:paraId="712ABEDF" w14:textId="77777777" w:rsidR="001C7D23" w:rsidRPr="00B5494E" w:rsidRDefault="001C7D23" w:rsidP="004911AE">
            <w:pPr>
              <w:spacing w:after="0" w:line="240" w:lineRule="auto"/>
              <w:rPr>
                <w:rFonts w:eastAsia="Times New Roman" w:cstheme="minorHAnsi"/>
                <w:caps/>
                <w:sz w:val="18"/>
                <w:szCs w:val="18"/>
              </w:rPr>
            </w:pPr>
            <w:r w:rsidRPr="00B5494E">
              <w:rPr>
                <w:rFonts w:cstheme="minorHAnsi"/>
                <w:caps/>
                <w:sz w:val="18"/>
                <w:szCs w:val="18"/>
              </w:rPr>
              <w:t>2022/2023 US - Washington County Solar</w:t>
            </w:r>
          </w:p>
        </w:tc>
        <w:tc>
          <w:tcPr>
            <w:tcW w:w="1048" w:type="dxa"/>
            <w:shd w:val="clear" w:color="auto" w:fill="FFFFFF" w:themeFill="background1"/>
            <w:noWrap/>
            <w:vAlign w:val="center"/>
            <w:hideMark/>
          </w:tcPr>
          <w:p w14:paraId="0FE97424"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150.0</w:t>
            </w:r>
          </w:p>
        </w:tc>
        <w:tc>
          <w:tcPr>
            <w:tcW w:w="1080" w:type="dxa"/>
            <w:shd w:val="clear" w:color="auto" w:fill="FFFFFF" w:themeFill="background1"/>
            <w:noWrap/>
            <w:vAlign w:val="center"/>
            <w:hideMark/>
          </w:tcPr>
          <w:p w14:paraId="0A1937C3" w14:textId="13B6C012"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11/30/202</w:t>
            </w:r>
            <w:r w:rsidR="007B1B95" w:rsidRPr="00B5494E">
              <w:rPr>
                <w:rFonts w:cstheme="minorHAnsi"/>
                <w:sz w:val="18"/>
                <w:szCs w:val="18"/>
              </w:rPr>
              <w:t>4</w:t>
            </w:r>
          </w:p>
        </w:tc>
        <w:tc>
          <w:tcPr>
            <w:tcW w:w="1047" w:type="dxa"/>
            <w:shd w:val="clear" w:color="auto" w:fill="FFFFFF" w:themeFill="background1"/>
            <w:noWrap/>
            <w:vAlign w:val="center"/>
            <w:hideMark/>
          </w:tcPr>
          <w:p w14:paraId="047CED8A"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47B1755D" w14:textId="64F329E9"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11/29/205</w:t>
            </w:r>
            <w:r w:rsidR="007B1B95" w:rsidRPr="00B5494E">
              <w:rPr>
                <w:rFonts w:cstheme="minorHAnsi"/>
                <w:sz w:val="18"/>
                <w:szCs w:val="18"/>
              </w:rPr>
              <w:t>4</w:t>
            </w:r>
          </w:p>
        </w:tc>
        <w:tc>
          <w:tcPr>
            <w:tcW w:w="816" w:type="dxa"/>
            <w:shd w:val="clear" w:color="auto" w:fill="FFFFFF" w:themeFill="background1"/>
            <w:vAlign w:val="center"/>
          </w:tcPr>
          <w:p w14:paraId="7DF04D65"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13FA2D91" w14:textId="77777777" w:rsidTr="00860829">
        <w:trPr>
          <w:trHeight w:val="433"/>
        </w:trPr>
        <w:tc>
          <w:tcPr>
            <w:tcW w:w="873" w:type="dxa"/>
            <w:shd w:val="clear" w:color="auto" w:fill="FFFFFF" w:themeFill="background1"/>
            <w:noWrap/>
            <w:vAlign w:val="center"/>
            <w:hideMark/>
          </w:tcPr>
          <w:p w14:paraId="5C24928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 + Storage</w:t>
            </w:r>
          </w:p>
        </w:tc>
        <w:tc>
          <w:tcPr>
            <w:tcW w:w="3479" w:type="dxa"/>
            <w:shd w:val="clear" w:color="auto" w:fill="FFFFFF" w:themeFill="background1"/>
            <w:vAlign w:val="center"/>
            <w:hideMark/>
          </w:tcPr>
          <w:p w14:paraId="0216281A" w14:textId="5F9BB266" w:rsidR="001C7D23" w:rsidRPr="00B5494E" w:rsidRDefault="001C7D23" w:rsidP="004911AE">
            <w:pPr>
              <w:spacing w:after="0" w:line="240" w:lineRule="auto"/>
              <w:rPr>
                <w:rFonts w:eastAsia="Times New Roman" w:cstheme="minorHAnsi"/>
                <w:caps/>
                <w:sz w:val="18"/>
                <w:szCs w:val="18"/>
              </w:rPr>
            </w:pPr>
            <w:r w:rsidRPr="00B5494E">
              <w:rPr>
                <w:rFonts w:cstheme="minorHAnsi"/>
                <w:caps/>
                <w:sz w:val="18"/>
                <w:szCs w:val="18"/>
              </w:rPr>
              <w:t xml:space="preserve">REDI 1400 MW - US 2: </w:t>
            </w:r>
            <w:r w:rsidR="00427B95" w:rsidRPr="00B5494E">
              <w:rPr>
                <w:rFonts w:cstheme="minorHAnsi"/>
                <w:caps/>
                <w:sz w:val="18"/>
                <w:szCs w:val="18"/>
              </w:rPr>
              <w:t>Hickory Park</w:t>
            </w:r>
          </w:p>
        </w:tc>
        <w:tc>
          <w:tcPr>
            <w:tcW w:w="1048" w:type="dxa"/>
            <w:shd w:val="clear" w:color="auto" w:fill="FFFFFF" w:themeFill="background1"/>
            <w:noWrap/>
            <w:vAlign w:val="center"/>
            <w:hideMark/>
          </w:tcPr>
          <w:p w14:paraId="270D25DE"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195.5</w:t>
            </w:r>
          </w:p>
        </w:tc>
        <w:tc>
          <w:tcPr>
            <w:tcW w:w="1080" w:type="dxa"/>
            <w:shd w:val="clear" w:color="auto" w:fill="FFFFFF" w:themeFill="background1"/>
            <w:noWrap/>
            <w:vAlign w:val="center"/>
            <w:hideMark/>
          </w:tcPr>
          <w:p w14:paraId="3E7286E0"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11/30/2021</w:t>
            </w:r>
          </w:p>
        </w:tc>
        <w:tc>
          <w:tcPr>
            <w:tcW w:w="1047" w:type="dxa"/>
            <w:shd w:val="clear" w:color="auto" w:fill="FFFFFF" w:themeFill="background1"/>
            <w:noWrap/>
            <w:vAlign w:val="center"/>
            <w:hideMark/>
          </w:tcPr>
          <w:p w14:paraId="4AAD05F5"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6ACA65E3"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11/29/2051</w:t>
            </w:r>
          </w:p>
        </w:tc>
        <w:tc>
          <w:tcPr>
            <w:tcW w:w="816" w:type="dxa"/>
            <w:shd w:val="clear" w:color="auto" w:fill="FFFFFF" w:themeFill="background1"/>
            <w:vAlign w:val="center"/>
          </w:tcPr>
          <w:p w14:paraId="71B3A627"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53BCD763" w14:textId="77777777" w:rsidTr="00860829">
        <w:trPr>
          <w:trHeight w:val="433"/>
        </w:trPr>
        <w:tc>
          <w:tcPr>
            <w:tcW w:w="873" w:type="dxa"/>
            <w:shd w:val="clear" w:color="auto" w:fill="FFFFFF" w:themeFill="background1"/>
            <w:noWrap/>
            <w:vAlign w:val="center"/>
            <w:hideMark/>
          </w:tcPr>
          <w:p w14:paraId="7FB2CFD7"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Solar + Storage</w:t>
            </w:r>
          </w:p>
        </w:tc>
        <w:tc>
          <w:tcPr>
            <w:tcW w:w="3479" w:type="dxa"/>
            <w:shd w:val="clear" w:color="auto" w:fill="FFFFFF" w:themeFill="background1"/>
            <w:vAlign w:val="center"/>
            <w:hideMark/>
          </w:tcPr>
          <w:p w14:paraId="09DC65D7" w14:textId="77777777" w:rsidR="001C7D23" w:rsidRPr="00B5494E" w:rsidRDefault="001C7D23" w:rsidP="004911AE">
            <w:pPr>
              <w:spacing w:after="0" w:line="240" w:lineRule="auto"/>
              <w:rPr>
                <w:rFonts w:eastAsia="Times New Roman" w:cstheme="minorHAnsi"/>
                <w:caps/>
                <w:sz w:val="18"/>
                <w:szCs w:val="18"/>
              </w:rPr>
            </w:pPr>
            <w:r w:rsidRPr="00B5494E">
              <w:rPr>
                <w:rFonts w:cstheme="minorHAnsi"/>
                <w:caps/>
                <w:sz w:val="18"/>
                <w:szCs w:val="18"/>
              </w:rPr>
              <w:t>REDI 1400 MW - US 2: COOL SPRINGS</w:t>
            </w:r>
          </w:p>
        </w:tc>
        <w:tc>
          <w:tcPr>
            <w:tcW w:w="1048" w:type="dxa"/>
            <w:shd w:val="clear" w:color="auto" w:fill="FFFFFF" w:themeFill="background1"/>
            <w:noWrap/>
            <w:vAlign w:val="center"/>
            <w:hideMark/>
          </w:tcPr>
          <w:p w14:paraId="673BB0F6"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213.0</w:t>
            </w:r>
          </w:p>
        </w:tc>
        <w:tc>
          <w:tcPr>
            <w:tcW w:w="1080" w:type="dxa"/>
            <w:shd w:val="clear" w:color="auto" w:fill="FFFFFF" w:themeFill="background1"/>
            <w:noWrap/>
            <w:vAlign w:val="center"/>
            <w:hideMark/>
          </w:tcPr>
          <w:p w14:paraId="7800AE9F"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11/30/2021</w:t>
            </w:r>
          </w:p>
        </w:tc>
        <w:tc>
          <w:tcPr>
            <w:tcW w:w="1047" w:type="dxa"/>
            <w:shd w:val="clear" w:color="auto" w:fill="FFFFFF" w:themeFill="background1"/>
            <w:noWrap/>
            <w:vAlign w:val="center"/>
            <w:hideMark/>
          </w:tcPr>
          <w:p w14:paraId="4D38011F"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30</w:t>
            </w:r>
          </w:p>
        </w:tc>
        <w:tc>
          <w:tcPr>
            <w:tcW w:w="2178" w:type="dxa"/>
            <w:shd w:val="clear" w:color="auto" w:fill="FFFFFF" w:themeFill="background1"/>
            <w:noWrap/>
            <w:vAlign w:val="center"/>
            <w:hideMark/>
          </w:tcPr>
          <w:p w14:paraId="788FE9BC" w14:textId="77777777" w:rsidR="001C7D23" w:rsidRPr="00B5494E" w:rsidRDefault="001C7D23" w:rsidP="004911AE">
            <w:pPr>
              <w:spacing w:after="0" w:line="240" w:lineRule="auto"/>
              <w:jc w:val="center"/>
              <w:rPr>
                <w:rFonts w:eastAsia="Times New Roman" w:cstheme="minorHAnsi"/>
                <w:sz w:val="18"/>
                <w:szCs w:val="18"/>
              </w:rPr>
            </w:pPr>
            <w:r w:rsidRPr="00B5494E">
              <w:rPr>
                <w:rFonts w:cstheme="minorHAnsi"/>
                <w:sz w:val="18"/>
                <w:szCs w:val="18"/>
              </w:rPr>
              <w:t>11/29/2051</w:t>
            </w:r>
          </w:p>
        </w:tc>
        <w:tc>
          <w:tcPr>
            <w:tcW w:w="816" w:type="dxa"/>
            <w:shd w:val="clear" w:color="auto" w:fill="FFFFFF" w:themeFill="background1"/>
            <w:vAlign w:val="center"/>
          </w:tcPr>
          <w:p w14:paraId="4406CB94"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0182869F" w14:textId="77777777" w:rsidTr="00860829">
        <w:trPr>
          <w:trHeight w:val="433"/>
        </w:trPr>
        <w:tc>
          <w:tcPr>
            <w:tcW w:w="873" w:type="dxa"/>
            <w:shd w:val="clear" w:color="auto" w:fill="FFFFFF" w:themeFill="background1"/>
            <w:noWrap/>
            <w:vAlign w:val="center"/>
          </w:tcPr>
          <w:p w14:paraId="0E9FDD04"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Solar</w:t>
            </w:r>
          </w:p>
        </w:tc>
        <w:tc>
          <w:tcPr>
            <w:tcW w:w="3479" w:type="dxa"/>
            <w:shd w:val="clear" w:color="auto" w:fill="FFFFFF" w:themeFill="background1"/>
            <w:vAlign w:val="center"/>
          </w:tcPr>
          <w:p w14:paraId="25EE9315" w14:textId="77777777" w:rsidR="001C7D23" w:rsidRPr="00B5494E" w:rsidRDefault="001C7D23" w:rsidP="004911AE">
            <w:pPr>
              <w:spacing w:after="0" w:line="240" w:lineRule="auto"/>
              <w:rPr>
                <w:rFonts w:cstheme="minorHAnsi"/>
                <w:caps/>
                <w:sz w:val="18"/>
                <w:szCs w:val="18"/>
              </w:rPr>
            </w:pPr>
            <w:r w:rsidRPr="00B5494E">
              <w:rPr>
                <w:rFonts w:cstheme="minorHAnsi"/>
                <w:caps/>
                <w:sz w:val="18"/>
                <w:szCs w:val="18"/>
              </w:rPr>
              <w:t>2019 IRP CCSP DG</w:t>
            </w:r>
          </w:p>
        </w:tc>
        <w:tc>
          <w:tcPr>
            <w:tcW w:w="1048" w:type="dxa"/>
            <w:shd w:val="clear" w:color="auto" w:fill="FFFFFF" w:themeFill="background1"/>
            <w:noWrap/>
            <w:vAlign w:val="center"/>
          </w:tcPr>
          <w:p w14:paraId="4C8D620C"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25.0</w:t>
            </w:r>
          </w:p>
        </w:tc>
        <w:tc>
          <w:tcPr>
            <w:tcW w:w="1080" w:type="dxa"/>
            <w:shd w:val="clear" w:color="auto" w:fill="FFFFFF" w:themeFill="background1"/>
            <w:noWrap/>
            <w:vAlign w:val="center"/>
          </w:tcPr>
          <w:p w14:paraId="66F742E5" w14:textId="47A4896B" w:rsidR="001C7D23" w:rsidRPr="00B5494E" w:rsidRDefault="6BF0AF0F" w:rsidP="004911AE">
            <w:pPr>
              <w:spacing w:after="0" w:line="240" w:lineRule="auto"/>
              <w:jc w:val="center"/>
              <w:rPr>
                <w:sz w:val="18"/>
                <w:szCs w:val="18"/>
              </w:rPr>
            </w:pPr>
            <w:r w:rsidRPr="00B5494E">
              <w:rPr>
                <w:sz w:val="18"/>
                <w:szCs w:val="18"/>
              </w:rPr>
              <w:t>3</w:t>
            </w:r>
            <w:r w:rsidR="001C7D23" w:rsidRPr="00B5494E">
              <w:rPr>
                <w:sz w:val="18"/>
                <w:szCs w:val="18"/>
              </w:rPr>
              <w:t>/</w:t>
            </w:r>
            <w:r w:rsidR="38FD220E" w:rsidRPr="00B5494E">
              <w:rPr>
                <w:sz w:val="18"/>
                <w:szCs w:val="18"/>
              </w:rPr>
              <w:t>7</w:t>
            </w:r>
            <w:r w:rsidR="001C7D23" w:rsidRPr="00B5494E">
              <w:rPr>
                <w:sz w:val="18"/>
                <w:szCs w:val="18"/>
              </w:rPr>
              <w:t>/202</w:t>
            </w:r>
            <w:r w:rsidR="522CBC65" w:rsidRPr="00B5494E">
              <w:rPr>
                <w:sz w:val="18"/>
                <w:szCs w:val="18"/>
              </w:rPr>
              <w:t>2</w:t>
            </w:r>
          </w:p>
        </w:tc>
        <w:tc>
          <w:tcPr>
            <w:tcW w:w="1047" w:type="dxa"/>
            <w:shd w:val="clear" w:color="auto" w:fill="FFFFFF" w:themeFill="background1"/>
            <w:noWrap/>
            <w:vAlign w:val="center"/>
          </w:tcPr>
          <w:p w14:paraId="36CE318B"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30</w:t>
            </w:r>
          </w:p>
        </w:tc>
        <w:tc>
          <w:tcPr>
            <w:tcW w:w="2178" w:type="dxa"/>
            <w:shd w:val="clear" w:color="auto" w:fill="FFFFFF" w:themeFill="background1"/>
            <w:noWrap/>
            <w:vAlign w:val="center"/>
          </w:tcPr>
          <w:p w14:paraId="1F4F7FFC" w14:textId="1C40BF24" w:rsidR="001C7D23" w:rsidRPr="00B5494E" w:rsidRDefault="001C7D23" w:rsidP="004911AE">
            <w:pPr>
              <w:spacing w:after="0" w:line="240" w:lineRule="auto"/>
              <w:jc w:val="center"/>
              <w:rPr>
                <w:sz w:val="18"/>
                <w:szCs w:val="18"/>
              </w:rPr>
            </w:pPr>
            <w:r w:rsidRPr="00B5494E">
              <w:rPr>
                <w:sz w:val="18"/>
                <w:szCs w:val="18"/>
              </w:rPr>
              <w:t>1</w:t>
            </w:r>
            <w:r w:rsidR="1593D8F5" w:rsidRPr="00B5494E">
              <w:rPr>
                <w:sz w:val="18"/>
                <w:szCs w:val="18"/>
              </w:rPr>
              <w:t>1</w:t>
            </w:r>
            <w:r w:rsidRPr="00B5494E">
              <w:rPr>
                <w:sz w:val="18"/>
                <w:szCs w:val="18"/>
              </w:rPr>
              <w:t>/</w:t>
            </w:r>
            <w:r w:rsidR="1432FD14" w:rsidRPr="00B5494E">
              <w:rPr>
                <w:sz w:val="18"/>
                <w:szCs w:val="18"/>
              </w:rPr>
              <w:t>29</w:t>
            </w:r>
            <w:r w:rsidRPr="00B5494E">
              <w:rPr>
                <w:sz w:val="18"/>
                <w:szCs w:val="18"/>
              </w:rPr>
              <w:t>/205</w:t>
            </w:r>
            <w:r w:rsidR="4F6E8D6E" w:rsidRPr="00B5494E">
              <w:rPr>
                <w:sz w:val="18"/>
                <w:szCs w:val="18"/>
              </w:rPr>
              <w:t>4</w:t>
            </w:r>
          </w:p>
        </w:tc>
        <w:tc>
          <w:tcPr>
            <w:tcW w:w="816" w:type="dxa"/>
            <w:shd w:val="clear" w:color="auto" w:fill="FFFFFF" w:themeFill="background1"/>
            <w:vAlign w:val="center"/>
          </w:tcPr>
          <w:p w14:paraId="47ED9BE5"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49BCEB84" w14:textId="77777777" w:rsidTr="00860829">
        <w:trPr>
          <w:trHeight w:val="433"/>
        </w:trPr>
        <w:tc>
          <w:tcPr>
            <w:tcW w:w="873" w:type="dxa"/>
            <w:shd w:val="clear" w:color="auto" w:fill="FFFFFF" w:themeFill="background1"/>
            <w:noWrap/>
            <w:vAlign w:val="center"/>
          </w:tcPr>
          <w:p w14:paraId="077340DB" w14:textId="77777777" w:rsidR="001C7D23" w:rsidRPr="00B5494E" w:rsidRDefault="001C7D23" w:rsidP="004911AE">
            <w:pPr>
              <w:spacing w:after="0" w:line="240" w:lineRule="auto"/>
              <w:jc w:val="center"/>
              <w:rPr>
                <w:sz w:val="18"/>
                <w:szCs w:val="18"/>
              </w:rPr>
            </w:pPr>
            <w:r w:rsidRPr="00B5494E">
              <w:rPr>
                <w:sz w:val="18"/>
                <w:szCs w:val="18"/>
              </w:rPr>
              <w:t>Solar</w:t>
            </w:r>
          </w:p>
        </w:tc>
        <w:tc>
          <w:tcPr>
            <w:tcW w:w="3479" w:type="dxa"/>
            <w:shd w:val="clear" w:color="auto" w:fill="FFFFFF" w:themeFill="background1"/>
            <w:vAlign w:val="center"/>
          </w:tcPr>
          <w:p w14:paraId="6B8BC2C9" w14:textId="77777777" w:rsidR="001C7D23" w:rsidRPr="00B5494E" w:rsidRDefault="001C7D23" w:rsidP="004911AE">
            <w:pPr>
              <w:spacing w:after="0" w:line="240" w:lineRule="auto"/>
              <w:rPr>
                <w:rFonts w:cstheme="minorHAnsi"/>
                <w:caps/>
                <w:sz w:val="18"/>
                <w:szCs w:val="18"/>
              </w:rPr>
            </w:pPr>
            <w:r w:rsidRPr="00B5494E">
              <w:rPr>
                <w:rFonts w:cstheme="minorHAnsi"/>
                <w:caps/>
                <w:sz w:val="18"/>
                <w:szCs w:val="18"/>
              </w:rPr>
              <w:t>2019 IRP REDI CS2</w:t>
            </w:r>
          </w:p>
        </w:tc>
        <w:tc>
          <w:tcPr>
            <w:tcW w:w="1048" w:type="dxa"/>
            <w:shd w:val="clear" w:color="auto" w:fill="FFFFFF" w:themeFill="background1"/>
            <w:noWrap/>
            <w:vAlign w:val="center"/>
          </w:tcPr>
          <w:p w14:paraId="6BBC8B52" w14:textId="7AF17F26" w:rsidR="001C7D23" w:rsidRPr="00B5494E" w:rsidRDefault="64923477" w:rsidP="004911AE">
            <w:pPr>
              <w:spacing w:after="0" w:line="240" w:lineRule="auto"/>
              <w:jc w:val="center"/>
              <w:rPr>
                <w:sz w:val="18"/>
                <w:szCs w:val="18"/>
              </w:rPr>
            </w:pPr>
            <w:r w:rsidRPr="00B5494E">
              <w:rPr>
                <w:sz w:val="18"/>
                <w:szCs w:val="18"/>
              </w:rPr>
              <w:t>3</w:t>
            </w:r>
            <w:r w:rsidR="001C7D23" w:rsidRPr="00B5494E">
              <w:rPr>
                <w:sz w:val="18"/>
                <w:szCs w:val="18"/>
              </w:rPr>
              <w:t>.0</w:t>
            </w:r>
          </w:p>
        </w:tc>
        <w:tc>
          <w:tcPr>
            <w:tcW w:w="1080" w:type="dxa"/>
            <w:shd w:val="clear" w:color="auto" w:fill="FFFFFF" w:themeFill="background1"/>
            <w:noWrap/>
            <w:vAlign w:val="center"/>
          </w:tcPr>
          <w:p w14:paraId="3B39B968" w14:textId="1DA7C20D" w:rsidR="001C7D23" w:rsidRPr="00B5494E" w:rsidRDefault="75D61C2D" w:rsidP="004911AE">
            <w:pPr>
              <w:spacing w:after="0" w:line="240" w:lineRule="auto"/>
              <w:jc w:val="center"/>
              <w:rPr>
                <w:sz w:val="18"/>
                <w:szCs w:val="18"/>
              </w:rPr>
            </w:pPr>
            <w:r w:rsidRPr="00B5494E">
              <w:rPr>
                <w:sz w:val="18"/>
                <w:szCs w:val="18"/>
              </w:rPr>
              <w:t>3</w:t>
            </w:r>
            <w:r w:rsidR="001C7D23" w:rsidRPr="00B5494E">
              <w:rPr>
                <w:sz w:val="18"/>
                <w:szCs w:val="18"/>
              </w:rPr>
              <w:t>/1/2022</w:t>
            </w:r>
          </w:p>
        </w:tc>
        <w:tc>
          <w:tcPr>
            <w:tcW w:w="1047" w:type="dxa"/>
            <w:shd w:val="clear" w:color="auto" w:fill="FFFFFF" w:themeFill="background1"/>
            <w:noWrap/>
            <w:vAlign w:val="center"/>
          </w:tcPr>
          <w:p w14:paraId="308AA4EC"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30</w:t>
            </w:r>
          </w:p>
        </w:tc>
        <w:tc>
          <w:tcPr>
            <w:tcW w:w="2178" w:type="dxa"/>
            <w:shd w:val="clear" w:color="auto" w:fill="FFFFFF" w:themeFill="background1"/>
            <w:noWrap/>
            <w:vAlign w:val="center"/>
          </w:tcPr>
          <w:p w14:paraId="51E5B8EA" w14:textId="01CA5EDA" w:rsidR="001C7D23" w:rsidRPr="00B5494E" w:rsidRDefault="7A662F1C" w:rsidP="004911AE">
            <w:pPr>
              <w:spacing w:after="0" w:line="240" w:lineRule="auto"/>
              <w:jc w:val="center"/>
              <w:rPr>
                <w:sz w:val="18"/>
                <w:szCs w:val="18"/>
              </w:rPr>
            </w:pPr>
            <w:r w:rsidRPr="00B5494E">
              <w:rPr>
                <w:sz w:val="18"/>
                <w:szCs w:val="18"/>
              </w:rPr>
              <w:t>2</w:t>
            </w:r>
            <w:r w:rsidR="001C7D23" w:rsidRPr="00B5494E">
              <w:rPr>
                <w:sz w:val="18"/>
                <w:szCs w:val="18"/>
              </w:rPr>
              <w:t>/</w:t>
            </w:r>
            <w:r w:rsidR="7D12F3AC" w:rsidRPr="00B5494E">
              <w:rPr>
                <w:sz w:val="18"/>
                <w:szCs w:val="18"/>
              </w:rPr>
              <w:t>29</w:t>
            </w:r>
            <w:r w:rsidR="001C7D23" w:rsidRPr="00B5494E">
              <w:rPr>
                <w:sz w:val="18"/>
                <w:szCs w:val="18"/>
              </w:rPr>
              <w:t>/2052</w:t>
            </w:r>
          </w:p>
        </w:tc>
        <w:tc>
          <w:tcPr>
            <w:tcW w:w="816" w:type="dxa"/>
            <w:shd w:val="clear" w:color="auto" w:fill="FFFFFF" w:themeFill="background1"/>
            <w:vAlign w:val="center"/>
          </w:tcPr>
          <w:p w14:paraId="74F3D846" w14:textId="0872AB04" w:rsidR="001C7D23" w:rsidRPr="00B5494E" w:rsidRDefault="001C7D23" w:rsidP="004911AE">
            <w:pPr>
              <w:spacing w:after="0" w:line="240" w:lineRule="auto"/>
              <w:jc w:val="center"/>
              <w:rPr>
                <w:sz w:val="18"/>
                <w:szCs w:val="18"/>
              </w:rPr>
            </w:pPr>
            <w:r w:rsidRPr="00B5494E">
              <w:rPr>
                <w:sz w:val="18"/>
                <w:szCs w:val="18"/>
              </w:rPr>
              <w:t>1</w:t>
            </w:r>
          </w:p>
        </w:tc>
      </w:tr>
      <w:tr w:rsidR="00B5494E" w:rsidRPr="00B5494E" w14:paraId="064845CD" w14:textId="77777777" w:rsidTr="00860829">
        <w:trPr>
          <w:trHeight w:val="433"/>
        </w:trPr>
        <w:tc>
          <w:tcPr>
            <w:tcW w:w="873" w:type="dxa"/>
            <w:shd w:val="clear" w:color="auto" w:fill="FFFFFF" w:themeFill="background1"/>
            <w:noWrap/>
            <w:vAlign w:val="center"/>
          </w:tcPr>
          <w:p w14:paraId="3AD36730"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lastRenderedPageBreak/>
              <w:t>Solar</w:t>
            </w:r>
          </w:p>
        </w:tc>
        <w:tc>
          <w:tcPr>
            <w:tcW w:w="3479" w:type="dxa"/>
            <w:shd w:val="clear" w:color="auto" w:fill="FFFFFF" w:themeFill="background1"/>
            <w:vAlign w:val="center"/>
          </w:tcPr>
          <w:p w14:paraId="5B2A7693" w14:textId="5F62B94E" w:rsidR="001C7D23" w:rsidRPr="00B5494E" w:rsidRDefault="001C7D23" w:rsidP="004911AE">
            <w:pPr>
              <w:spacing w:after="0" w:line="240" w:lineRule="auto"/>
              <w:rPr>
                <w:caps/>
                <w:sz w:val="18"/>
                <w:szCs w:val="18"/>
              </w:rPr>
            </w:pPr>
            <w:r w:rsidRPr="00B5494E">
              <w:rPr>
                <w:caps/>
                <w:sz w:val="18"/>
                <w:szCs w:val="18"/>
              </w:rPr>
              <w:t>2019 IRP RENEWABLES - US 2</w:t>
            </w:r>
          </w:p>
        </w:tc>
        <w:tc>
          <w:tcPr>
            <w:tcW w:w="1048" w:type="dxa"/>
            <w:shd w:val="clear" w:color="auto" w:fill="FFFFFF" w:themeFill="background1"/>
            <w:noWrap/>
            <w:vAlign w:val="center"/>
          </w:tcPr>
          <w:p w14:paraId="0713D2F4" w14:textId="4BA5851F" w:rsidR="001C7D23" w:rsidRPr="00B5494E" w:rsidRDefault="622469CF" w:rsidP="004911AE">
            <w:pPr>
              <w:spacing w:after="0" w:line="240" w:lineRule="auto"/>
              <w:jc w:val="center"/>
              <w:rPr>
                <w:rFonts w:cstheme="minorHAnsi"/>
                <w:sz w:val="18"/>
                <w:szCs w:val="18"/>
              </w:rPr>
            </w:pPr>
            <w:r w:rsidRPr="00B5494E">
              <w:rPr>
                <w:sz w:val="18"/>
                <w:szCs w:val="18"/>
              </w:rPr>
              <w:t>75</w:t>
            </w:r>
            <w:r w:rsidR="001C7D23" w:rsidRPr="00B5494E">
              <w:rPr>
                <w:sz w:val="18"/>
                <w:szCs w:val="18"/>
              </w:rPr>
              <w:t>0.0</w:t>
            </w:r>
          </w:p>
        </w:tc>
        <w:tc>
          <w:tcPr>
            <w:tcW w:w="1080" w:type="dxa"/>
            <w:shd w:val="clear" w:color="auto" w:fill="FFFFFF" w:themeFill="background1"/>
            <w:noWrap/>
            <w:vAlign w:val="center"/>
          </w:tcPr>
          <w:p w14:paraId="1E907D2F"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11/30/2024</w:t>
            </w:r>
          </w:p>
        </w:tc>
        <w:tc>
          <w:tcPr>
            <w:tcW w:w="1047" w:type="dxa"/>
            <w:shd w:val="clear" w:color="auto" w:fill="FFFFFF" w:themeFill="background1"/>
            <w:noWrap/>
            <w:vAlign w:val="center"/>
          </w:tcPr>
          <w:p w14:paraId="281F43CD"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30</w:t>
            </w:r>
          </w:p>
        </w:tc>
        <w:tc>
          <w:tcPr>
            <w:tcW w:w="2178" w:type="dxa"/>
            <w:shd w:val="clear" w:color="auto" w:fill="FFFFFF" w:themeFill="background1"/>
            <w:noWrap/>
            <w:vAlign w:val="center"/>
          </w:tcPr>
          <w:p w14:paraId="5278CD23" w14:textId="77777777"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11/29/2054</w:t>
            </w:r>
          </w:p>
        </w:tc>
        <w:tc>
          <w:tcPr>
            <w:tcW w:w="816" w:type="dxa"/>
            <w:shd w:val="clear" w:color="auto" w:fill="FFFFFF" w:themeFill="background1"/>
            <w:vAlign w:val="center"/>
          </w:tcPr>
          <w:p w14:paraId="7F62A45B" w14:textId="7E7EC505" w:rsidR="001C7D23" w:rsidRPr="00B5494E" w:rsidRDefault="001C7D23"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3D228C5C" w14:textId="77777777" w:rsidTr="00860829">
        <w:trPr>
          <w:trHeight w:val="433"/>
        </w:trPr>
        <w:tc>
          <w:tcPr>
            <w:tcW w:w="873" w:type="dxa"/>
            <w:shd w:val="clear" w:color="auto" w:fill="FFFFFF" w:themeFill="background1"/>
            <w:noWrap/>
            <w:vAlign w:val="center"/>
          </w:tcPr>
          <w:p w14:paraId="18657E4E" w14:textId="20B291EA" w:rsidR="00FB53E9" w:rsidRPr="00B5494E" w:rsidRDefault="00FB53E9" w:rsidP="004911AE">
            <w:pPr>
              <w:spacing w:after="0" w:line="240" w:lineRule="auto"/>
              <w:jc w:val="center"/>
              <w:rPr>
                <w:rFonts w:cstheme="minorHAnsi"/>
                <w:sz w:val="18"/>
                <w:szCs w:val="18"/>
              </w:rPr>
            </w:pPr>
            <w:r w:rsidRPr="00B5494E">
              <w:rPr>
                <w:rFonts w:cstheme="minorHAnsi"/>
                <w:sz w:val="18"/>
                <w:szCs w:val="18"/>
              </w:rPr>
              <w:t>Solar</w:t>
            </w:r>
          </w:p>
        </w:tc>
        <w:tc>
          <w:tcPr>
            <w:tcW w:w="3479" w:type="dxa"/>
            <w:shd w:val="clear" w:color="auto" w:fill="FFFFFF" w:themeFill="background1"/>
            <w:vAlign w:val="center"/>
          </w:tcPr>
          <w:p w14:paraId="08AB4085" w14:textId="37F79BCD" w:rsidR="00FB53E9" w:rsidRPr="00B5494E" w:rsidRDefault="00FB53E9" w:rsidP="004911AE">
            <w:pPr>
              <w:spacing w:after="0" w:line="240" w:lineRule="auto"/>
              <w:rPr>
                <w:caps/>
                <w:sz w:val="18"/>
                <w:szCs w:val="18"/>
              </w:rPr>
            </w:pPr>
            <w:r w:rsidRPr="00B5494E">
              <w:rPr>
                <w:caps/>
                <w:sz w:val="18"/>
                <w:szCs w:val="18"/>
              </w:rPr>
              <w:t xml:space="preserve">2019 IRP renewables </w:t>
            </w:r>
            <w:r w:rsidR="0049398B" w:rsidRPr="00B5494E">
              <w:rPr>
                <w:caps/>
                <w:sz w:val="18"/>
                <w:szCs w:val="18"/>
              </w:rPr>
              <w:t>–</w:t>
            </w:r>
            <w:r w:rsidRPr="00B5494E">
              <w:rPr>
                <w:caps/>
                <w:sz w:val="18"/>
                <w:szCs w:val="18"/>
              </w:rPr>
              <w:t xml:space="preserve"> </w:t>
            </w:r>
            <w:r w:rsidR="0049398B" w:rsidRPr="00B5494E">
              <w:rPr>
                <w:caps/>
                <w:sz w:val="18"/>
                <w:szCs w:val="18"/>
              </w:rPr>
              <w:t>dg s2230</w:t>
            </w:r>
          </w:p>
        </w:tc>
        <w:tc>
          <w:tcPr>
            <w:tcW w:w="1048" w:type="dxa"/>
            <w:shd w:val="clear" w:color="auto" w:fill="FFFFFF" w:themeFill="background1"/>
            <w:noWrap/>
            <w:vAlign w:val="center"/>
          </w:tcPr>
          <w:p w14:paraId="2CD6DB0D" w14:textId="2B102552" w:rsidR="00FB53E9" w:rsidRPr="00B5494E" w:rsidRDefault="00FE142F" w:rsidP="004911AE">
            <w:pPr>
              <w:spacing w:after="0" w:line="240" w:lineRule="auto"/>
              <w:jc w:val="center"/>
              <w:rPr>
                <w:rFonts w:cstheme="minorHAnsi"/>
                <w:sz w:val="18"/>
                <w:szCs w:val="18"/>
              </w:rPr>
            </w:pPr>
            <w:r w:rsidRPr="00B5494E">
              <w:rPr>
                <w:rFonts w:cstheme="minorHAnsi"/>
                <w:sz w:val="18"/>
                <w:szCs w:val="18"/>
              </w:rPr>
              <w:t>4.8</w:t>
            </w:r>
          </w:p>
        </w:tc>
        <w:tc>
          <w:tcPr>
            <w:tcW w:w="1080" w:type="dxa"/>
            <w:shd w:val="clear" w:color="auto" w:fill="FFFFFF" w:themeFill="background1"/>
            <w:noWrap/>
            <w:vAlign w:val="center"/>
          </w:tcPr>
          <w:p w14:paraId="499E460F" w14:textId="4445E525" w:rsidR="00FB53E9" w:rsidRPr="00B5494E" w:rsidRDefault="00A40EE8" w:rsidP="004911AE">
            <w:pPr>
              <w:spacing w:after="0" w:line="240" w:lineRule="auto"/>
              <w:jc w:val="center"/>
              <w:rPr>
                <w:rFonts w:cstheme="minorHAnsi"/>
                <w:sz w:val="18"/>
                <w:szCs w:val="18"/>
              </w:rPr>
            </w:pPr>
            <w:r w:rsidRPr="00B5494E">
              <w:rPr>
                <w:rFonts w:cstheme="minorHAnsi"/>
                <w:sz w:val="18"/>
                <w:szCs w:val="18"/>
              </w:rPr>
              <w:t>5/1/2022</w:t>
            </w:r>
          </w:p>
        </w:tc>
        <w:tc>
          <w:tcPr>
            <w:tcW w:w="1047" w:type="dxa"/>
            <w:shd w:val="clear" w:color="auto" w:fill="FFFFFF" w:themeFill="background1"/>
            <w:noWrap/>
            <w:vAlign w:val="center"/>
          </w:tcPr>
          <w:p w14:paraId="57F27A1A" w14:textId="41FFA4EA" w:rsidR="00FB53E9" w:rsidRPr="00B5494E" w:rsidRDefault="00A40EE8" w:rsidP="004911AE">
            <w:pPr>
              <w:spacing w:after="0" w:line="240" w:lineRule="auto"/>
              <w:jc w:val="center"/>
              <w:rPr>
                <w:rFonts w:cstheme="minorHAnsi"/>
                <w:sz w:val="18"/>
                <w:szCs w:val="18"/>
              </w:rPr>
            </w:pPr>
            <w:r w:rsidRPr="00B5494E">
              <w:rPr>
                <w:rFonts w:cstheme="minorHAnsi"/>
                <w:sz w:val="18"/>
                <w:szCs w:val="18"/>
              </w:rPr>
              <w:t>30</w:t>
            </w:r>
          </w:p>
        </w:tc>
        <w:tc>
          <w:tcPr>
            <w:tcW w:w="2178" w:type="dxa"/>
            <w:shd w:val="clear" w:color="auto" w:fill="FFFFFF" w:themeFill="background1"/>
            <w:noWrap/>
            <w:vAlign w:val="center"/>
          </w:tcPr>
          <w:p w14:paraId="0C430A52" w14:textId="58AE6A67" w:rsidR="00FB53E9" w:rsidRPr="00B5494E" w:rsidRDefault="00E6038A" w:rsidP="004911AE">
            <w:pPr>
              <w:spacing w:after="0" w:line="240" w:lineRule="auto"/>
              <w:jc w:val="center"/>
              <w:rPr>
                <w:rFonts w:cstheme="minorHAnsi"/>
                <w:sz w:val="18"/>
                <w:szCs w:val="18"/>
              </w:rPr>
            </w:pPr>
            <w:r w:rsidRPr="00B5494E">
              <w:rPr>
                <w:rFonts w:cstheme="minorHAnsi"/>
                <w:sz w:val="18"/>
                <w:szCs w:val="18"/>
              </w:rPr>
              <w:t>4/30/2052</w:t>
            </w:r>
          </w:p>
        </w:tc>
        <w:tc>
          <w:tcPr>
            <w:tcW w:w="816" w:type="dxa"/>
            <w:shd w:val="clear" w:color="auto" w:fill="FFFFFF" w:themeFill="background1"/>
            <w:vAlign w:val="center"/>
          </w:tcPr>
          <w:p w14:paraId="02EF9B39" w14:textId="0CEFAEAC" w:rsidR="00FB53E9" w:rsidRPr="00B5494E" w:rsidRDefault="00E6038A"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24871509" w14:textId="77777777" w:rsidTr="00860829">
        <w:trPr>
          <w:trHeight w:val="433"/>
        </w:trPr>
        <w:tc>
          <w:tcPr>
            <w:tcW w:w="873" w:type="dxa"/>
            <w:shd w:val="clear" w:color="auto" w:fill="FFFFFF" w:themeFill="background1"/>
            <w:noWrap/>
            <w:vAlign w:val="center"/>
          </w:tcPr>
          <w:p w14:paraId="716F772B" w14:textId="591CA5C3" w:rsidR="00FB53E9" w:rsidRPr="00B5494E" w:rsidRDefault="00FB53E9" w:rsidP="004911AE">
            <w:pPr>
              <w:spacing w:after="0" w:line="240" w:lineRule="auto"/>
              <w:jc w:val="center"/>
              <w:rPr>
                <w:rFonts w:cstheme="minorHAnsi"/>
                <w:sz w:val="18"/>
                <w:szCs w:val="18"/>
              </w:rPr>
            </w:pPr>
            <w:r w:rsidRPr="00B5494E">
              <w:rPr>
                <w:rFonts w:cstheme="minorHAnsi"/>
                <w:sz w:val="18"/>
                <w:szCs w:val="18"/>
              </w:rPr>
              <w:t>Solar</w:t>
            </w:r>
          </w:p>
        </w:tc>
        <w:tc>
          <w:tcPr>
            <w:tcW w:w="3479" w:type="dxa"/>
            <w:shd w:val="clear" w:color="auto" w:fill="FFFFFF" w:themeFill="background1"/>
            <w:vAlign w:val="center"/>
          </w:tcPr>
          <w:p w14:paraId="5C3BA3FB" w14:textId="7E6EF9E9" w:rsidR="00FB53E9" w:rsidRPr="00B5494E" w:rsidRDefault="0049398B" w:rsidP="004911AE">
            <w:pPr>
              <w:spacing w:after="0" w:line="240" w:lineRule="auto"/>
              <w:rPr>
                <w:rFonts w:cstheme="minorHAnsi"/>
                <w:caps/>
                <w:sz w:val="18"/>
                <w:szCs w:val="18"/>
              </w:rPr>
            </w:pPr>
            <w:r w:rsidRPr="00B5494E">
              <w:rPr>
                <w:rFonts w:cstheme="minorHAnsi"/>
                <w:caps/>
                <w:sz w:val="18"/>
                <w:szCs w:val="18"/>
              </w:rPr>
              <w:t>2019 IRP renewables – dg s2</w:t>
            </w:r>
            <w:r w:rsidR="00597ADA" w:rsidRPr="00B5494E">
              <w:rPr>
                <w:rFonts w:cstheme="minorHAnsi"/>
                <w:caps/>
                <w:sz w:val="18"/>
                <w:szCs w:val="18"/>
              </w:rPr>
              <w:t>3</w:t>
            </w:r>
            <w:r w:rsidRPr="00B5494E">
              <w:rPr>
                <w:rFonts w:cstheme="minorHAnsi"/>
                <w:caps/>
                <w:sz w:val="18"/>
                <w:szCs w:val="18"/>
              </w:rPr>
              <w:t>30</w:t>
            </w:r>
          </w:p>
        </w:tc>
        <w:tc>
          <w:tcPr>
            <w:tcW w:w="1048" w:type="dxa"/>
            <w:shd w:val="clear" w:color="auto" w:fill="FFFFFF" w:themeFill="background1"/>
            <w:noWrap/>
            <w:vAlign w:val="center"/>
          </w:tcPr>
          <w:p w14:paraId="770EBBA8" w14:textId="2F9BBA16" w:rsidR="00FB53E9" w:rsidRPr="00B5494E" w:rsidRDefault="00FE142F" w:rsidP="004911AE">
            <w:pPr>
              <w:spacing w:after="0" w:line="240" w:lineRule="auto"/>
              <w:jc w:val="center"/>
              <w:rPr>
                <w:rFonts w:cstheme="minorHAnsi"/>
                <w:sz w:val="18"/>
                <w:szCs w:val="18"/>
              </w:rPr>
            </w:pPr>
            <w:r w:rsidRPr="00B5494E">
              <w:rPr>
                <w:rFonts w:cstheme="minorHAnsi"/>
                <w:sz w:val="18"/>
                <w:szCs w:val="18"/>
              </w:rPr>
              <w:t>36.0</w:t>
            </w:r>
          </w:p>
        </w:tc>
        <w:tc>
          <w:tcPr>
            <w:tcW w:w="1080" w:type="dxa"/>
            <w:shd w:val="clear" w:color="auto" w:fill="FFFFFF" w:themeFill="background1"/>
            <w:noWrap/>
            <w:vAlign w:val="center"/>
          </w:tcPr>
          <w:p w14:paraId="0B421651" w14:textId="15D06970" w:rsidR="00FB53E9" w:rsidRPr="00B5494E" w:rsidRDefault="00647824" w:rsidP="004911AE">
            <w:pPr>
              <w:spacing w:after="0" w:line="240" w:lineRule="auto"/>
              <w:jc w:val="center"/>
              <w:rPr>
                <w:rFonts w:cstheme="minorHAnsi"/>
                <w:sz w:val="18"/>
                <w:szCs w:val="18"/>
              </w:rPr>
            </w:pPr>
            <w:r w:rsidRPr="00B5494E">
              <w:rPr>
                <w:rFonts w:cstheme="minorHAnsi"/>
                <w:sz w:val="18"/>
                <w:szCs w:val="18"/>
              </w:rPr>
              <w:t>5/1/2023</w:t>
            </w:r>
          </w:p>
        </w:tc>
        <w:tc>
          <w:tcPr>
            <w:tcW w:w="1047" w:type="dxa"/>
            <w:shd w:val="clear" w:color="auto" w:fill="FFFFFF" w:themeFill="background1"/>
            <w:noWrap/>
            <w:vAlign w:val="center"/>
          </w:tcPr>
          <w:p w14:paraId="015EE5B1" w14:textId="17B773D3" w:rsidR="00FB53E9" w:rsidRPr="00B5494E" w:rsidRDefault="00647824" w:rsidP="004911AE">
            <w:pPr>
              <w:spacing w:after="0" w:line="240" w:lineRule="auto"/>
              <w:jc w:val="center"/>
              <w:rPr>
                <w:rFonts w:cstheme="minorHAnsi"/>
                <w:sz w:val="18"/>
                <w:szCs w:val="18"/>
              </w:rPr>
            </w:pPr>
            <w:r w:rsidRPr="00B5494E">
              <w:rPr>
                <w:rFonts w:cstheme="minorHAnsi"/>
                <w:sz w:val="18"/>
                <w:szCs w:val="18"/>
              </w:rPr>
              <w:t>30</w:t>
            </w:r>
          </w:p>
        </w:tc>
        <w:tc>
          <w:tcPr>
            <w:tcW w:w="2178" w:type="dxa"/>
            <w:shd w:val="clear" w:color="auto" w:fill="FFFFFF" w:themeFill="background1"/>
            <w:noWrap/>
            <w:vAlign w:val="center"/>
          </w:tcPr>
          <w:p w14:paraId="309E569F" w14:textId="4CD192A1" w:rsidR="00FB53E9" w:rsidRPr="00B5494E" w:rsidRDefault="00647824" w:rsidP="004911AE">
            <w:pPr>
              <w:spacing w:after="0" w:line="240" w:lineRule="auto"/>
              <w:jc w:val="center"/>
              <w:rPr>
                <w:rFonts w:cstheme="minorHAnsi"/>
                <w:sz w:val="18"/>
                <w:szCs w:val="18"/>
              </w:rPr>
            </w:pPr>
            <w:r w:rsidRPr="00B5494E">
              <w:rPr>
                <w:rFonts w:cstheme="minorHAnsi"/>
                <w:sz w:val="18"/>
                <w:szCs w:val="18"/>
              </w:rPr>
              <w:t>4/30/2053</w:t>
            </w:r>
          </w:p>
        </w:tc>
        <w:tc>
          <w:tcPr>
            <w:tcW w:w="816" w:type="dxa"/>
            <w:shd w:val="clear" w:color="auto" w:fill="FFFFFF" w:themeFill="background1"/>
            <w:vAlign w:val="center"/>
          </w:tcPr>
          <w:p w14:paraId="456DE8C1" w14:textId="16217658" w:rsidR="00FB53E9" w:rsidRPr="00B5494E" w:rsidRDefault="00647824"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21C36B09" w14:textId="77777777" w:rsidTr="00860829">
        <w:trPr>
          <w:trHeight w:val="433"/>
        </w:trPr>
        <w:tc>
          <w:tcPr>
            <w:tcW w:w="873" w:type="dxa"/>
            <w:shd w:val="clear" w:color="auto" w:fill="FFFFFF" w:themeFill="background1"/>
            <w:noWrap/>
            <w:vAlign w:val="center"/>
          </w:tcPr>
          <w:p w14:paraId="6D3EBF0D" w14:textId="378ED39E" w:rsidR="00FB53E9" w:rsidRPr="00B5494E" w:rsidRDefault="00FB53E9" w:rsidP="004911AE">
            <w:pPr>
              <w:spacing w:after="0" w:line="240" w:lineRule="auto"/>
              <w:jc w:val="center"/>
              <w:rPr>
                <w:rFonts w:cstheme="minorHAnsi"/>
                <w:sz w:val="18"/>
                <w:szCs w:val="18"/>
              </w:rPr>
            </w:pPr>
            <w:r w:rsidRPr="00B5494E">
              <w:rPr>
                <w:rFonts w:cstheme="minorHAnsi"/>
                <w:sz w:val="18"/>
                <w:szCs w:val="18"/>
              </w:rPr>
              <w:t>Solar</w:t>
            </w:r>
          </w:p>
        </w:tc>
        <w:tc>
          <w:tcPr>
            <w:tcW w:w="3479" w:type="dxa"/>
            <w:shd w:val="clear" w:color="auto" w:fill="FFFFFF" w:themeFill="background1"/>
            <w:vAlign w:val="center"/>
          </w:tcPr>
          <w:p w14:paraId="1B344C30" w14:textId="391B9247" w:rsidR="00FB53E9" w:rsidRPr="00B5494E" w:rsidRDefault="0049398B" w:rsidP="004911AE">
            <w:pPr>
              <w:spacing w:after="0" w:line="240" w:lineRule="auto"/>
              <w:rPr>
                <w:rFonts w:cstheme="minorHAnsi"/>
                <w:caps/>
                <w:sz w:val="18"/>
                <w:szCs w:val="18"/>
              </w:rPr>
            </w:pPr>
            <w:r w:rsidRPr="00B5494E">
              <w:rPr>
                <w:rFonts w:cstheme="minorHAnsi"/>
                <w:caps/>
                <w:sz w:val="18"/>
                <w:szCs w:val="18"/>
              </w:rPr>
              <w:t>2019 IRP renewables – dg s2</w:t>
            </w:r>
            <w:r w:rsidR="00597ADA" w:rsidRPr="00B5494E">
              <w:rPr>
                <w:rFonts w:cstheme="minorHAnsi"/>
                <w:caps/>
                <w:sz w:val="18"/>
                <w:szCs w:val="18"/>
              </w:rPr>
              <w:t>4</w:t>
            </w:r>
            <w:r w:rsidRPr="00B5494E">
              <w:rPr>
                <w:rFonts w:cstheme="minorHAnsi"/>
                <w:caps/>
                <w:sz w:val="18"/>
                <w:szCs w:val="18"/>
              </w:rPr>
              <w:t>30</w:t>
            </w:r>
          </w:p>
        </w:tc>
        <w:tc>
          <w:tcPr>
            <w:tcW w:w="1048" w:type="dxa"/>
            <w:shd w:val="clear" w:color="auto" w:fill="FFFFFF" w:themeFill="background1"/>
            <w:noWrap/>
            <w:vAlign w:val="center"/>
          </w:tcPr>
          <w:p w14:paraId="405B87A8" w14:textId="3712BC19" w:rsidR="00FB53E9" w:rsidRPr="00B5494E" w:rsidRDefault="00FE142F" w:rsidP="004911AE">
            <w:pPr>
              <w:spacing w:after="0" w:line="240" w:lineRule="auto"/>
              <w:jc w:val="center"/>
              <w:rPr>
                <w:rFonts w:cstheme="minorHAnsi"/>
                <w:sz w:val="18"/>
                <w:szCs w:val="18"/>
              </w:rPr>
            </w:pPr>
            <w:r w:rsidRPr="00B5494E">
              <w:rPr>
                <w:rFonts w:cstheme="minorHAnsi"/>
                <w:sz w:val="18"/>
                <w:szCs w:val="18"/>
              </w:rPr>
              <w:t>0.6</w:t>
            </w:r>
          </w:p>
        </w:tc>
        <w:tc>
          <w:tcPr>
            <w:tcW w:w="1080" w:type="dxa"/>
            <w:shd w:val="clear" w:color="auto" w:fill="FFFFFF" w:themeFill="background1"/>
            <w:noWrap/>
            <w:vAlign w:val="center"/>
          </w:tcPr>
          <w:p w14:paraId="1270170B" w14:textId="41D2EC25" w:rsidR="00FB53E9" w:rsidRPr="00B5494E" w:rsidRDefault="003B419F" w:rsidP="004911AE">
            <w:pPr>
              <w:spacing w:after="0" w:line="240" w:lineRule="auto"/>
              <w:jc w:val="center"/>
              <w:rPr>
                <w:rFonts w:cstheme="minorHAnsi"/>
                <w:sz w:val="18"/>
                <w:szCs w:val="18"/>
              </w:rPr>
            </w:pPr>
            <w:r w:rsidRPr="00B5494E">
              <w:rPr>
                <w:rFonts w:cstheme="minorHAnsi"/>
                <w:sz w:val="18"/>
                <w:szCs w:val="18"/>
              </w:rPr>
              <w:t>3/8/2024</w:t>
            </w:r>
          </w:p>
        </w:tc>
        <w:tc>
          <w:tcPr>
            <w:tcW w:w="1047" w:type="dxa"/>
            <w:shd w:val="clear" w:color="auto" w:fill="FFFFFF" w:themeFill="background1"/>
            <w:noWrap/>
            <w:vAlign w:val="center"/>
          </w:tcPr>
          <w:p w14:paraId="7130C0C2" w14:textId="0DB01890" w:rsidR="00FB53E9" w:rsidRPr="00B5494E" w:rsidRDefault="003B419F" w:rsidP="004911AE">
            <w:pPr>
              <w:spacing w:after="0" w:line="240" w:lineRule="auto"/>
              <w:jc w:val="center"/>
              <w:rPr>
                <w:rFonts w:cstheme="minorHAnsi"/>
                <w:sz w:val="18"/>
                <w:szCs w:val="18"/>
              </w:rPr>
            </w:pPr>
            <w:r w:rsidRPr="00B5494E">
              <w:rPr>
                <w:rFonts w:cstheme="minorHAnsi"/>
                <w:sz w:val="18"/>
                <w:szCs w:val="18"/>
              </w:rPr>
              <w:t>30</w:t>
            </w:r>
          </w:p>
        </w:tc>
        <w:tc>
          <w:tcPr>
            <w:tcW w:w="2178" w:type="dxa"/>
            <w:shd w:val="clear" w:color="auto" w:fill="FFFFFF" w:themeFill="background1"/>
            <w:noWrap/>
            <w:vAlign w:val="center"/>
          </w:tcPr>
          <w:p w14:paraId="765FC26B" w14:textId="7E666E1D" w:rsidR="00FB53E9" w:rsidRPr="00B5494E" w:rsidRDefault="003B419F" w:rsidP="004911AE">
            <w:pPr>
              <w:spacing w:after="0" w:line="240" w:lineRule="auto"/>
              <w:jc w:val="center"/>
              <w:rPr>
                <w:rFonts w:cstheme="minorHAnsi"/>
                <w:sz w:val="18"/>
                <w:szCs w:val="18"/>
              </w:rPr>
            </w:pPr>
            <w:r w:rsidRPr="00B5494E">
              <w:rPr>
                <w:rFonts w:cstheme="minorHAnsi"/>
                <w:sz w:val="18"/>
                <w:szCs w:val="18"/>
              </w:rPr>
              <w:t>3/8/2054</w:t>
            </w:r>
          </w:p>
        </w:tc>
        <w:tc>
          <w:tcPr>
            <w:tcW w:w="816" w:type="dxa"/>
            <w:shd w:val="clear" w:color="auto" w:fill="FFFFFF" w:themeFill="background1"/>
            <w:vAlign w:val="center"/>
          </w:tcPr>
          <w:p w14:paraId="52B26B18" w14:textId="7191E501" w:rsidR="00FB53E9" w:rsidRPr="00B5494E" w:rsidRDefault="003B419F"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5A599E58" w14:textId="77777777" w:rsidTr="00860829">
        <w:trPr>
          <w:trHeight w:val="433"/>
        </w:trPr>
        <w:tc>
          <w:tcPr>
            <w:tcW w:w="873" w:type="dxa"/>
            <w:shd w:val="clear" w:color="auto" w:fill="FFFFFF" w:themeFill="background1"/>
            <w:noWrap/>
            <w:vAlign w:val="center"/>
          </w:tcPr>
          <w:p w14:paraId="60EE00A6" w14:textId="73E6AA83" w:rsidR="00FB53E9" w:rsidRPr="00B5494E" w:rsidRDefault="00FB53E9" w:rsidP="004911AE">
            <w:pPr>
              <w:spacing w:after="0" w:line="240" w:lineRule="auto"/>
              <w:jc w:val="center"/>
              <w:rPr>
                <w:rFonts w:cstheme="minorHAnsi"/>
                <w:sz w:val="18"/>
                <w:szCs w:val="18"/>
              </w:rPr>
            </w:pPr>
            <w:r w:rsidRPr="00B5494E">
              <w:rPr>
                <w:rFonts w:cstheme="minorHAnsi"/>
                <w:sz w:val="18"/>
                <w:szCs w:val="18"/>
              </w:rPr>
              <w:t>Solar</w:t>
            </w:r>
          </w:p>
        </w:tc>
        <w:tc>
          <w:tcPr>
            <w:tcW w:w="3479" w:type="dxa"/>
            <w:shd w:val="clear" w:color="auto" w:fill="FFFFFF" w:themeFill="background1"/>
            <w:vAlign w:val="center"/>
          </w:tcPr>
          <w:p w14:paraId="259BCBFB" w14:textId="3412FB70" w:rsidR="00FB53E9" w:rsidRPr="00B5494E" w:rsidRDefault="0049398B" w:rsidP="004911AE">
            <w:pPr>
              <w:spacing w:after="0" w:line="240" w:lineRule="auto"/>
              <w:rPr>
                <w:rFonts w:cstheme="minorHAnsi"/>
                <w:caps/>
                <w:sz w:val="18"/>
                <w:szCs w:val="18"/>
              </w:rPr>
            </w:pPr>
            <w:r w:rsidRPr="00B5494E">
              <w:rPr>
                <w:rFonts w:cstheme="minorHAnsi"/>
                <w:caps/>
                <w:sz w:val="18"/>
                <w:szCs w:val="18"/>
              </w:rPr>
              <w:t xml:space="preserve">2019 IRP renewables – dg </w:t>
            </w:r>
            <w:r w:rsidR="00597ADA" w:rsidRPr="00B5494E">
              <w:rPr>
                <w:rFonts w:cstheme="minorHAnsi"/>
                <w:caps/>
                <w:sz w:val="18"/>
                <w:szCs w:val="18"/>
              </w:rPr>
              <w:t>W</w:t>
            </w:r>
            <w:r w:rsidRPr="00B5494E">
              <w:rPr>
                <w:rFonts w:cstheme="minorHAnsi"/>
                <w:caps/>
                <w:sz w:val="18"/>
                <w:szCs w:val="18"/>
              </w:rPr>
              <w:t>2</w:t>
            </w:r>
            <w:r w:rsidR="00597ADA" w:rsidRPr="00B5494E">
              <w:rPr>
                <w:rFonts w:cstheme="minorHAnsi"/>
                <w:caps/>
                <w:sz w:val="18"/>
                <w:szCs w:val="18"/>
              </w:rPr>
              <w:t>3</w:t>
            </w:r>
            <w:r w:rsidRPr="00B5494E">
              <w:rPr>
                <w:rFonts w:cstheme="minorHAnsi"/>
                <w:caps/>
                <w:sz w:val="18"/>
                <w:szCs w:val="18"/>
              </w:rPr>
              <w:t>30</w:t>
            </w:r>
          </w:p>
        </w:tc>
        <w:tc>
          <w:tcPr>
            <w:tcW w:w="1048" w:type="dxa"/>
            <w:shd w:val="clear" w:color="auto" w:fill="FFFFFF" w:themeFill="background1"/>
            <w:noWrap/>
            <w:vAlign w:val="center"/>
          </w:tcPr>
          <w:p w14:paraId="64ED1055" w14:textId="52C10300" w:rsidR="00FB53E9" w:rsidRPr="00B5494E" w:rsidRDefault="00FE142F" w:rsidP="004911AE">
            <w:pPr>
              <w:spacing w:after="0" w:line="240" w:lineRule="auto"/>
              <w:jc w:val="center"/>
              <w:rPr>
                <w:rFonts w:cstheme="minorHAnsi"/>
                <w:sz w:val="18"/>
                <w:szCs w:val="18"/>
              </w:rPr>
            </w:pPr>
            <w:r w:rsidRPr="00B5494E">
              <w:rPr>
                <w:rFonts w:cstheme="minorHAnsi"/>
                <w:sz w:val="18"/>
                <w:szCs w:val="18"/>
              </w:rPr>
              <w:t>24.3</w:t>
            </w:r>
          </w:p>
        </w:tc>
        <w:tc>
          <w:tcPr>
            <w:tcW w:w="1080" w:type="dxa"/>
            <w:shd w:val="clear" w:color="auto" w:fill="FFFFFF" w:themeFill="background1"/>
            <w:noWrap/>
            <w:vAlign w:val="center"/>
          </w:tcPr>
          <w:p w14:paraId="759876E6" w14:textId="0FEC1929" w:rsidR="00FB53E9" w:rsidRPr="00B5494E" w:rsidRDefault="00B708B4" w:rsidP="004911AE">
            <w:pPr>
              <w:spacing w:after="0" w:line="240" w:lineRule="auto"/>
              <w:jc w:val="center"/>
              <w:rPr>
                <w:rFonts w:cstheme="minorHAnsi"/>
                <w:sz w:val="18"/>
                <w:szCs w:val="18"/>
              </w:rPr>
            </w:pPr>
            <w:r w:rsidRPr="00B5494E">
              <w:rPr>
                <w:rFonts w:cstheme="minorHAnsi"/>
                <w:sz w:val="18"/>
                <w:szCs w:val="18"/>
              </w:rPr>
              <w:t>1/1/2023</w:t>
            </w:r>
          </w:p>
        </w:tc>
        <w:tc>
          <w:tcPr>
            <w:tcW w:w="1047" w:type="dxa"/>
            <w:shd w:val="clear" w:color="auto" w:fill="FFFFFF" w:themeFill="background1"/>
            <w:noWrap/>
            <w:vAlign w:val="center"/>
          </w:tcPr>
          <w:p w14:paraId="75165694" w14:textId="356F1D3B" w:rsidR="00FB53E9" w:rsidRPr="00B5494E" w:rsidRDefault="00B708B4" w:rsidP="004911AE">
            <w:pPr>
              <w:spacing w:after="0" w:line="240" w:lineRule="auto"/>
              <w:jc w:val="center"/>
              <w:rPr>
                <w:rFonts w:cstheme="minorHAnsi"/>
                <w:sz w:val="18"/>
                <w:szCs w:val="18"/>
              </w:rPr>
            </w:pPr>
            <w:r w:rsidRPr="00B5494E">
              <w:rPr>
                <w:rFonts w:cstheme="minorHAnsi"/>
                <w:sz w:val="18"/>
                <w:szCs w:val="18"/>
              </w:rPr>
              <w:t>30</w:t>
            </w:r>
          </w:p>
        </w:tc>
        <w:tc>
          <w:tcPr>
            <w:tcW w:w="2178" w:type="dxa"/>
            <w:shd w:val="clear" w:color="auto" w:fill="FFFFFF" w:themeFill="background1"/>
            <w:noWrap/>
            <w:vAlign w:val="center"/>
          </w:tcPr>
          <w:p w14:paraId="750463DF" w14:textId="56638717" w:rsidR="00FB53E9" w:rsidRPr="00B5494E" w:rsidRDefault="00B708B4" w:rsidP="004911AE">
            <w:pPr>
              <w:spacing w:after="0" w:line="240" w:lineRule="auto"/>
              <w:jc w:val="center"/>
              <w:rPr>
                <w:rFonts w:cstheme="minorHAnsi"/>
                <w:sz w:val="18"/>
                <w:szCs w:val="18"/>
              </w:rPr>
            </w:pPr>
            <w:r w:rsidRPr="00B5494E">
              <w:rPr>
                <w:rFonts w:cstheme="minorHAnsi"/>
                <w:sz w:val="18"/>
                <w:szCs w:val="18"/>
              </w:rPr>
              <w:t>12/31/2052</w:t>
            </w:r>
          </w:p>
        </w:tc>
        <w:tc>
          <w:tcPr>
            <w:tcW w:w="816" w:type="dxa"/>
            <w:shd w:val="clear" w:color="auto" w:fill="FFFFFF" w:themeFill="background1"/>
            <w:vAlign w:val="center"/>
          </w:tcPr>
          <w:p w14:paraId="447868CF" w14:textId="3B3BF988" w:rsidR="00FB53E9" w:rsidRPr="00B5494E" w:rsidRDefault="00B708B4" w:rsidP="004911AE">
            <w:pPr>
              <w:spacing w:after="0" w:line="240" w:lineRule="auto"/>
              <w:jc w:val="center"/>
              <w:rPr>
                <w:rFonts w:cstheme="minorHAnsi"/>
                <w:sz w:val="18"/>
                <w:szCs w:val="18"/>
              </w:rPr>
            </w:pPr>
            <w:r w:rsidRPr="00B5494E">
              <w:rPr>
                <w:rFonts w:cstheme="minorHAnsi"/>
                <w:sz w:val="18"/>
                <w:szCs w:val="18"/>
              </w:rPr>
              <w:t>1</w:t>
            </w:r>
          </w:p>
        </w:tc>
      </w:tr>
      <w:tr w:rsidR="00B5494E" w:rsidRPr="00B5494E" w14:paraId="23BF212B" w14:textId="77777777" w:rsidTr="00860829">
        <w:trPr>
          <w:trHeight w:val="433"/>
        </w:trPr>
        <w:tc>
          <w:tcPr>
            <w:tcW w:w="873" w:type="dxa"/>
            <w:shd w:val="clear" w:color="auto" w:fill="FFFFFF" w:themeFill="background1"/>
            <w:noWrap/>
            <w:vAlign w:val="center"/>
          </w:tcPr>
          <w:p w14:paraId="3B1C8B4F" w14:textId="2D523BFD" w:rsidR="00FB53E9" w:rsidRPr="00B5494E" w:rsidRDefault="00FB53E9" w:rsidP="004911AE">
            <w:pPr>
              <w:spacing w:after="0" w:line="240" w:lineRule="auto"/>
              <w:jc w:val="center"/>
              <w:rPr>
                <w:rFonts w:cstheme="minorHAnsi"/>
                <w:sz w:val="18"/>
                <w:szCs w:val="18"/>
              </w:rPr>
            </w:pPr>
            <w:r w:rsidRPr="00B5494E">
              <w:rPr>
                <w:rFonts w:cstheme="minorHAnsi"/>
                <w:sz w:val="18"/>
                <w:szCs w:val="18"/>
              </w:rPr>
              <w:t>Solar</w:t>
            </w:r>
          </w:p>
        </w:tc>
        <w:tc>
          <w:tcPr>
            <w:tcW w:w="3479" w:type="dxa"/>
            <w:shd w:val="clear" w:color="auto" w:fill="FFFFFF" w:themeFill="background1"/>
            <w:vAlign w:val="center"/>
          </w:tcPr>
          <w:p w14:paraId="51191A68" w14:textId="2AF086CB" w:rsidR="00FB53E9" w:rsidRPr="00B5494E" w:rsidRDefault="0049398B" w:rsidP="004911AE">
            <w:pPr>
              <w:spacing w:after="0" w:line="240" w:lineRule="auto"/>
              <w:rPr>
                <w:rFonts w:cstheme="minorHAnsi"/>
                <w:caps/>
                <w:sz w:val="18"/>
                <w:szCs w:val="18"/>
              </w:rPr>
            </w:pPr>
            <w:r w:rsidRPr="00B5494E">
              <w:rPr>
                <w:rFonts w:cstheme="minorHAnsi"/>
                <w:caps/>
                <w:sz w:val="18"/>
                <w:szCs w:val="18"/>
              </w:rPr>
              <w:t xml:space="preserve">2019 IRP renewables – dg </w:t>
            </w:r>
            <w:r w:rsidR="00597ADA" w:rsidRPr="00B5494E">
              <w:rPr>
                <w:rFonts w:cstheme="minorHAnsi"/>
                <w:caps/>
                <w:sz w:val="18"/>
                <w:szCs w:val="18"/>
              </w:rPr>
              <w:t>W</w:t>
            </w:r>
            <w:r w:rsidRPr="00B5494E">
              <w:rPr>
                <w:rFonts w:cstheme="minorHAnsi"/>
                <w:caps/>
                <w:sz w:val="18"/>
                <w:szCs w:val="18"/>
              </w:rPr>
              <w:t>2</w:t>
            </w:r>
            <w:r w:rsidR="00597ADA" w:rsidRPr="00B5494E">
              <w:rPr>
                <w:rFonts w:cstheme="minorHAnsi"/>
                <w:caps/>
                <w:sz w:val="18"/>
                <w:szCs w:val="18"/>
              </w:rPr>
              <w:t>4</w:t>
            </w:r>
            <w:r w:rsidRPr="00B5494E">
              <w:rPr>
                <w:rFonts w:cstheme="minorHAnsi"/>
                <w:caps/>
                <w:sz w:val="18"/>
                <w:szCs w:val="18"/>
              </w:rPr>
              <w:t>30</w:t>
            </w:r>
          </w:p>
        </w:tc>
        <w:tc>
          <w:tcPr>
            <w:tcW w:w="1048" w:type="dxa"/>
            <w:shd w:val="clear" w:color="auto" w:fill="FFFFFF" w:themeFill="background1"/>
            <w:noWrap/>
            <w:vAlign w:val="center"/>
          </w:tcPr>
          <w:p w14:paraId="4B16F746" w14:textId="17A7FF03" w:rsidR="00FB53E9" w:rsidRPr="00B5494E" w:rsidRDefault="00FE142F" w:rsidP="004911AE">
            <w:pPr>
              <w:spacing w:after="0" w:line="240" w:lineRule="auto"/>
              <w:jc w:val="center"/>
              <w:rPr>
                <w:rFonts w:cstheme="minorHAnsi"/>
                <w:sz w:val="18"/>
                <w:szCs w:val="18"/>
              </w:rPr>
            </w:pPr>
            <w:r w:rsidRPr="00B5494E">
              <w:rPr>
                <w:rFonts w:cstheme="minorHAnsi"/>
                <w:sz w:val="18"/>
                <w:szCs w:val="18"/>
              </w:rPr>
              <w:t>23.2</w:t>
            </w:r>
          </w:p>
        </w:tc>
        <w:tc>
          <w:tcPr>
            <w:tcW w:w="1080" w:type="dxa"/>
            <w:shd w:val="clear" w:color="auto" w:fill="FFFFFF" w:themeFill="background1"/>
            <w:noWrap/>
            <w:vAlign w:val="center"/>
          </w:tcPr>
          <w:p w14:paraId="4B191D0F" w14:textId="3E8B04E8" w:rsidR="00FB53E9" w:rsidRPr="00B5494E" w:rsidRDefault="004C3A16" w:rsidP="004911AE">
            <w:pPr>
              <w:spacing w:after="0" w:line="240" w:lineRule="auto"/>
              <w:jc w:val="center"/>
              <w:rPr>
                <w:rFonts w:cstheme="minorHAnsi"/>
                <w:sz w:val="18"/>
                <w:szCs w:val="18"/>
              </w:rPr>
            </w:pPr>
            <w:r w:rsidRPr="00B5494E">
              <w:rPr>
                <w:rFonts w:cstheme="minorHAnsi"/>
                <w:sz w:val="18"/>
                <w:szCs w:val="18"/>
              </w:rPr>
              <w:t>9/30/2023</w:t>
            </w:r>
          </w:p>
        </w:tc>
        <w:tc>
          <w:tcPr>
            <w:tcW w:w="1047" w:type="dxa"/>
            <w:shd w:val="clear" w:color="auto" w:fill="FFFFFF" w:themeFill="background1"/>
            <w:noWrap/>
            <w:vAlign w:val="center"/>
          </w:tcPr>
          <w:p w14:paraId="1D7CA01E" w14:textId="5D1A54E8" w:rsidR="00FB53E9" w:rsidRPr="00B5494E" w:rsidRDefault="004C3A16" w:rsidP="004911AE">
            <w:pPr>
              <w:spacing w:after="0" w:line="240" w:lineRule="auto"/>
              <w:jc w:val="center"/>
              <w:rPr>
                <w:rFonts w:cstheme="minorHAnsi"/>
                <w:sz w:val="18"/>
                <w:szCs w:val="18"/>
              </w:rPr>
            </w:pPr>
            <w:r w:rsidRPr="00B5494E">
              <w:rPr>
                <w:rFonts w:cstheme="minorHAnsi"/>
                <w:sz w:val="18"/>
                <w:szCs w:val="18"/>
              </w:rPr>
              <w:t>30</w:t>
            </w:r>
          </w:p>
        </w:tc>
        <w:tc>
          <w:tcPr>
            <w:tcW w:w="2178" w:type="dxa"/>
            <w:shd w:val="clear" w:color="auto" w:fill="FFFFFF" w:themeFill="background1"/>
            <w:noWrap/>
            <w:vAlign w:val="center"/>
          </w:tcPr>
          <w:p w14:paraId="5117664E" w14:textId="41FF4F03" w:rsidR="00FB53E9" w:rsidRPr="00B5494E" w:rsidRDefault="004C3A16" w:rsidP="004911AE">
            <w:pPr>
              <w:spacing w:after="0" w:line="240" w:lineRule="auto"/>
              <w:jc w:val="center"/>
              <w:rPr>
                <w:rFonts w:cstheme="minorHAnsi"/>
                <w:sz w:val="18"/>
                <w:szCs w:val="18"/>
              </w:rPr>
            </w:pPr>
            <w:r w:rsidRPr="00B5494E">
              <w:rPr>
                <w:rFonts w:cstheme="minorHAnsi"/>
                <w:sz w:val="18"/>
                <w:szCs w:val="18"/>
              </w:rPr>
              <w:t>9/29/2053</w:t>
            </w:r>
          </w:p>
        </w:tc>
        <w:tc>
          <w:tcPr>
            <w:tcW w:w="816" w:type="dxa"/>
            <w:shd w:val="clear" w:color="auto" w:fill="FFFFFF" w:themeFill="background1"/>
            <w:vAlign w:val="center"/>
          </w:tcPr>
          <w:p w14:paraId="09BC9C26" w14:textId="7420C59E" w:rsidR="00FB53E9" w:rsidRPr="00B5494E" w:rsidRDefault="004C3A16" w:rsidP="004911AE">
            <w:pPr>
              <w:spacing w:after="0" w:line="240" w:lineRule="auto"/>
              <w:jc w:val="center"/>
              <w:rPr>
                <w:rFonts w:cstheme="minorHAnsi"/>
                <w:sz w:val="18"/>
                <w:szCs w:val="18"/>
              </w:rPr>
            </w:pPr>
            <w:r w:rsidRPr="00B5494E">
              <w:rPr>
                <w:rFonts w:cstheme="minorHAnsi"/>
                <w:sz w:val="18"/>
                <w:szCs w:val="18"/>
              </w:rPr>
              <w:t>1</w:t>
            </w:r>
          </w:p>
        </w:tc>
      </w:tr>
    </w:tbl>
    <w:p w14:paraId="383933C7" w14:textId="4C113E11" w:rsidR="001C7D23" w:rsidRDefault="001C7D23" w:rsidP="00FC3442"/>
    <w:p w14:paraId="4D32F7ED" w14:textId="301BE6EF" w:rsidR="00F144C5" w:rsidRPr="005C3A3E" w:rsidRDefault="00F144C5" w:rsidP="000932EE">
      <w:pPr>
        <w:jc w:val="both"/>
        <w:rPr>
          <w:u w:val="single"/>
        </w:rPr>
      </w:pPr>
      <w:r w:rsidRPr="005C3A3E">
        <w:rPr>
          <w:u w:val="single"/>
        </w:rPr>
        <w:t>Notes:</w:t>
      </w:r>
    </w:p>
    <w:p w14:paraId="6C6280F1" w14:textId="4AD99363" w:rsidR="005C3A3E" w:rsidRPr="005C3A3E" w:rsidRDefault="005C3A3E" w:rsidP="009A12F5">
      <w:pPr>
        <w:pStyle w:val="ListParagraph"/>
        <w:numPr>
          <w:ilvl w:val="0"/>
          <w:numId w:val="17"/>
        </w:numPr>
        <w:jc w:val="both"/>
      </w:pPr>
      <w:r w:rsidRPr="005C3A3E">
        <w:t>T</w:t>
      </w:r>
      <w:r w:rsidR="00F144C5" w:rsidRPr="005C3A3E">
        <w:t>he retail capacity values listed reflect the capacity value attributable to retail adjusted for Georgia Power ownership and capacity equivalence. The capacity listed reflects the capacity in 202</w:t>
      </w:r>
      <w:r w:rsidR="007D630C">
        <w:t>5</w:t>
      </w:r>
      <w:r w:rsidR="00F144C5" w:rsidRPr="005C3A3E">
        <w:t xml:space="preserve"> unless otherwise noted. For resources not online in 202</w:t>
      </w:r>
      <w:r w:rsidR="007D630C">
        <w:t>5</w:t>
      </w:r>
      <w:r w:rsidR="00F144C5" w:rsidRPr="005C3A3E">
        <w:t xml:space="preserve">, the capacity listed is consistent with the expected capacity at the resource’s in-service date. Please refer to Technical Appendix Volume </w:t>
      </w:r>
      <w:r w:rsidR="00F54E56">
        <w:t>2</w:t>
      </w:r>
      <w:r w:rsidR="00F144C5" w:rsidRPr="005C3A3E">
        <w:t xml:space="preserve"> Resource Mix Study supporting documentation for annual capacity values.</w:t>
      </w:r>
    </w:p>
    <w:p w14:paraId="15AA8385" w14:textId="77777777" w:rsidR="005C3A3E" w:rsidRPr="005C3A3E" w:rsidRDefault="005C3A3E" w:rsidP="000932EE">
      <w:pPr>
        <w:pStyle w:val="ListParagraph"/>
        <w:ind w:left="384"/>
        <w:jc w:val="both"/>
      </w:pPr>
    </w:p>
    <w:p w14:paraId="6D5BA790" w14:textId="05BF19D0" w:rsidR="005C3A3E" w:rsidRPr="005C3A3E" w:rsidRDefault="00F144C5" w:rsidP="009A12F5">
      <w:pPr>
        <w:pStyle w:val="ListParagraph"/>
        <w:numPr>
          <w:ilvl w:val="0"/>
          <w:numId w:val="17"/>
        </w:numPr>
        <w:jc w:val="both"/>
      </w:pPr>
      <w:r w:rsidRPr="005C3A3E">
        <w:t>IRP modeled unavailability dates are based on the resource’s assumed useful life, but no earlier than January 1, 2030 unless otherwise noted. Useful life assumptions are 60-year life for steam units, 45-year life for CT/CC units, and the length of the current operating license for nuclear units. Blackstart, restoration, and hydro resources do not assume an unavailability date.</w:t>
      </w:r>
    </w:p>
    <w:p w14:paraId="70383EC3" w14:textId="77777777" w:rsidR="005C3A3E" w:rsidRPr="005C3A3E" w:rsidRDefault="005C3A3E" w:rsidP="000932EE">
      <w:pPr>
        <w:pStyle w:val="ListParagraph"/>
        <w:jc w:val="both"/>
      </w:pPr>
    </w:p>
    <w:p w14:paraId="010B3ED8" w14:textId="247E43C7" w:rsidR="00F144C5" w:rsidRPr="005C3A3E" w:rsidRDefault="00F144C5" w:rsidP="009A12F5">
      <w:pPr>
        <w:pStyle w:val="ListParagraph"/>
        <w:numPr>
          <w:ilvl w:val="0"/>
          <w:numId w:val="17"/>
        </w:numPr>
        <w:jc w:val="both"/>
      </w:pPr>
      <w:r w:rsidRPr="005C3A3E">
        <w:t>The nominal capability listed reflects the capacity in 202</w:t>
      </w:r>
      <w:r w:rsidR="00F12789">
        <w:t>5</w:t>
      </w:r>
      <w:r w:rsidRPr="005C3A3E">
        <w:t xml:space="preserve"> unless otherwise noted. For resources not online in 202</w:t>
      </w:r>
      <w:r w:rsidR="00F12789">
        <w:t>5</w:t>
      </w:r>
      <w:r w:rsidRPr="005C3A3E">
        <w:t xml:space="preserve">, the nominal capacity listed is consistent with the capacity at the resource’s in-service date. These values do not reflect capacity equivalence. Please refer to Technical Appendix Volume </w:t>
      </w:r>
      <w:r w:rsidR="00F54E56">
        <w:t>2</w:t>
      </w:r>
      <w:r w:rsidRPr="005C3A3E">
        <w:t xml:space="preserve"> Resource Mix Study supporting documentation for seasonal capacity values.</w:t>
      </w:r>
    </w:p>
    <w:p w14:paraId="4C86F1A2" w14:textId="77777777" w:rsidR="001C7D23" w:rsidRDefault="001C7D23">
      <w:r>
        <w:br w:type="page"/>
      </w:r>
    </w:p>
    <w:p w14:paraId="5ED92946" w14:textId="211D3CC8" w:rsidR="001C7D23" w:rsidRDefault="00773998" w:rsidP="001C7D23">
      <w:pPr>
        <w:pStyle w:val="Heading2"/>
      </w:pPr>
      <w:bookmarkStart w:id="89" w:name="_Toc189122804"/>
      <w:r>
        <w:lastRenderedPageBreak/>
        <w:t>C</w:t>
      </w:r>
      <w:r w:rsidR="001C7D23">
        <w:t xml:space="preserve">.6 </w:t>
      </w:r>
      <w:r w:rsidR="006966F1">
        <w:t>–</w:t>
      </w:r>
      <w:r w:rsidR="001C7D23">
        <w:t xml:space="preserve"> </w:t>
      </w:r>
      <w:r w:rsidR="006966F1">
        <w:t>Demand-Side Options</w:t>
      </w:r>
      <w:bookmarkEnd w:id="89"/>
    </w:p>
    <w:tbl>
      <w:tblPr>
        <w:tblW w:w="927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0"/>
        <w:gridCol w:w="2160"/>
        <w:gridCol w:w="1800"/>
        <w:gridCol w:w="1620"/>
      </w:tblGrid>
      <w:tr w:rsidR="008767D8" w14:paraId="73DF38AE" w14:textId="77777777" w:rsidTr="005C779D">
        <w:trPr>
          <w:trHeight w:val="1275"/>
        </w:trPr>
        <w:tc>
          <w:tcPr>
            <w:tcW w:w="3690" w:type="dxa"/>
            <w:shd w:val="clear" w:color="auto" w:fill="808080" w:themeFill="background1" w:themeFillShade="80"/>
            <w:vAlign w:val="center"/>
            <w:hideMark/>
          </w:tcPr>
          <w:p w14:paraId="1D750444" w14:textId="77777777" w:rsidR="00550762" w:rsidRPr="00147E5A" w:rsidRDefault="00550762" w:rsidP="004911AE">
            <w:pPr>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Resource Name</w:t>
            </w:r>
          </w:p>
          <w:p w14:paraId="2D316717" w14:textId="77777777" w:rsidR="00550762" w:rsidRPr="00147E5A" w:rsidRDefault="00550762" w:rsidP="004911AE">
            <w:pPr>
              <w:spacing w:after="0" w:line="240" w:lineRule="auto"/>
              <w:jc w:val="center"/>
              <w:rPr>
                <w:rFonts w:eastAsia="Times New Roman" w:cs="Arial"/>
                <w:b/>
                <w:bCs/>
                <w:color w:val="FFFFFF" w:themeColor="background1"/>
                <w:sz w:val="18"/>
                <w:szCs w:val="18"/>
              </w:rPr>
            </w:pPr>
          </w:p>
        </w:tc>
        <w:tc>
          <w:tcPr>
            <w:tcW w:w="2160" w:type="dxa"/>
            <w:shd w:val="clear" w:color="auto" w:fill="808080" w:themeFill="background1" w:themeFillShade="80"/>
            <w:vAlign w:val="center"/>
          </w:tcPr>
          <w:p w14:paraId="5B4CB4A5" w14:textId="77777777" w:rsidR="00550762" w:rsidRPr="00147E5A" w:rsidRDefault="00550762" w:rsidP="004911AE">
            <w:pPr>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Type</w:t>
            </w:r>
          </w:p>
        </w:tc>
        <w:tc>
          <w:tcPr>
            <w:tcW w:w="1800" w:type="dxa"/>
            <w:shd w:val="clear" w:color="auto" w:fill="808080" w:themeFill="background1" w:themeFillShade="80"/>
            <w:vAlign w:val="center"/>
            <w:hideMark/>
          </w:tcPr>
          <w:p w14:paraId="28BB0F3C" w14:textId="199DBE24" w:rsidR="00550762" w:rsidRPr="00147E5A" w:rsidRDefault="00550762" w:rsidP="004911AE">
            <w:pPr>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202</w:t>
            </w:r>
            <w:r w:rsidR="0042492B">
              <w:rPr>
                <w:rFonts w:eastAsia="Times New Roman" w:cs="Arial"/>
                <w:b/>
                <w:bCs/>
                <w:color w:val="FFFFFF" w:themeColor="background1"/>
                <w:sz w:val="18"/>
                <w:szCs w:val="18"/>
              </w:rPr>
              <w:t>5</w:t>
            </w:r>
            <w:r w:rsidRPr="00147E5A">
              <w:rPr>
                <w:rFonts w:eastAsia="Times New Roman" w:cs="Arial"/>
                <w:b/>
                <w:bCs/>
                <w:color w:val="FFFFFF" w:themeColor="background1"/>
                <w:sz w:val="18"/>
                <w:szCs w:val="18"/>
              </w:rPr>
              <w:t xml:space="preserve"> Summer Retail Capacity (MW)</w:t>
            </w:r>
            <w:r w:rsidRPr="00147E5A">
              <w:rPr>
                <w:rFonts w:eastAsia="Times New Roman" w:cs="Arial"/>
                <w:b/>
                <w:bCs/>
                <w:color w:val="FFFFFF" w:themeColor="background1"/>
                <w:sz w:val="18"/>
                <w:szCs w:val="18"/>
                <w:vertAlign w:val="superscript"/>
              </w:rPr>
              <w:t>D</w:t>
            </w:r>
          </w:p>
        </w:tc>
        <w:tc>
          <w:tcPr>
            <w:tcW w:w="1620" w:type="dxa"/>
            <w:shd w:val="clear" w:color="auto" w:fill="808080" w:themeFill="background1" w:themeFillShade="80"/>
            <w:vAlign w:val="center"/>
            <w:hideMark/>
          </w:tcPr>
          <w:p w14:paraId="2B443CDA" w14:textId="0458B509" w:rsidR="00550762" w:rsidRPr="00147E5A" w:rsidRDefault="00550762" w:rsidP="004911AE">
            <w:pPr>
              <w:spacing w:after="0" w:line="240" w:lineRule="auto"/>
              <w:jc w:val="center"/>
              <w:rPr>
                <w:rFonts w:eastAsia="Times New Roman" w:cs="Arial"/>
                <w:b/>
                <w:bCs/>
                <w:color w:val="FFFFFF" w:themeColor="background1"/>
                <w:sz w:val="18"/>
                <w:szCs w:val="18"/>
              </w:rPr>
            </w:pPr>
            <w:r w:rsidRPr="00147E5A">
              <w:rPr>
                <w:rFonts w:eastAsia="Times New Roman" w:cs="Arial"/>
                <w:b/>
                <w:bCs/>
                <w:color w:val="FFFFFF" w:themeColor="background1"/>
                <w:sz w:val="18"/>
                <w:szCs w:val="18"/>
              </w:rPr>
              <w:t>202</w:t>
            </w:r>
            <w:r w:rsidR="0042492B">
              <w:rPr>
                <w:rFonts w:eastAsia="Times New Roman" w:cs="Arial"/>
                <w:b/>
                <w:bCs/>
                <w:color w:val="FFFFFF" w:themeColor="background1"/>
                <w:sz w:val="18"/>
                <w:szCs w:val="18"/>
              </w:rPr>
              <w:t>5</w:t>
            </w:r>
            <w:r w:rsidRPr="00147E5A">
              <w:rPr>
                <w:rFonts w:eastAsia="Times New Roman" w:cs="Arial"/>
                <w:b/>
                <w:bCs/>
                <w:color w:val="FFFFFF" w:themeColor="background1"/>
                <w:sz w:val="18"/>
                <w:szCs w:val="18"/>
              </w:rPr>
              <w:t xml:space="preserve"> Winter Retail Capacity (MW)</w:t>
            </w:r>
            <w:r w:rsidRPr="00147E5A">
              <w:rPr>
                <w:rFonts w:eastAsia="Times New Roman" w:cs="Arial"/>
                <w:b/>
                <w:bCs/>
                <w:color w:val="FFFFFF" w:themeColor="background1"/>
                <w:sz w:val="18"/>
                <w:szCs w:val="18"/>
                <w:vertAlign w:val="superscript"/>
              </w:rPr>
              <w:t>D</w:t>
            </w:r>
          </w:p>
        </w:tc>
      </w:tr>
      <w:tr w:rsidR="00B5494E" w:rsidRPr="00B5494E" w14:paraId="1933F5F3" w14:textId="77777777" w:rsidTr="005C779D">
        <w:trPr>
          <w:trHeight w:val="432"/>
        </w:trPr>
        <w:tc>
          <w:tcPr>
            <w:tcW w:w="3690" w:type="dxa"/>
            <w:shd w:val="clear" w:color="auto" w:fill="FFFFFF" w:themeFill="background1"/>
            <w:noWrap/>
            <w:vAlign w:val="center"/>
            <w:hideMark/>
          </w:tcPr>
          <w:p w14:paraId="558E61F9" w14:textId="77777777" w:rsidR="00550762" w:rsidRPr="00B5494E" w:rsidRDefault="00550762" w:rsidP="004911AE">
            <w:pPr>
              <w:spacing w:after="0" w:line="240" w:lineRule="auto"/>
              <w:rPr>
                <w:rFonts w:eastAsia="Times New Roman" w:cs="Arial"/>
                <w:sz w:val="18"/>
                <w:szCs w:val="18"/>
              </w:rPr>
            </w:pPr>
            <w:r w:rsidRPr="00B5494E">
              <w:rPr>
                <w:rFonts w:eastAsia="Times New Roman" w:cs="Arial"/>
                <w:sz w:val="18"/>
                <w:szCs w:val="18"/>
              </w:rPr>
              <w:t>Real Time Pricing Extreme Day Ahead</w:t>
            </w:r>
          </w:p>
        </w:tc>
        <w:tc>
          <w:tcPr>
            <w:tcW w:w="2160" w:type="dxa"/>
            <w:shd w:val="clear" w:color="auto" w:fill="FFFFFF" w:themeFill="background1"/>
            <w:vAlign w:val="center"/>
          </w:tcPr>
          <w:p w14:paraId="5251638D" w14:textId="77777777" w:rsidR="00550762" w:rsidRPr="00B5494E" w:rsidRDefault="00550762" w:rsidP="004911AE">
            <w:pPr>
              <w:spacing w:after="0" w:line="240" w:lineRule="auto"/>
              <w:jc w:val="center"/>
              <w:rPr>
                <w:rFonts w:eastAsia="Times New Roman" w:cs="Arial"/>
                <w:sz w:val="18"/>
                <w:szCs w:val="18"/>
              </w:rPr>
            </w:pPr>
            <w:r w:rsidRPr="00B5494E">
              <w:rPr>
                <w:rFonts w:eastAsia="Times New Roman" w:cs="Arial"/>
                <w:sz w:val="18"/>
                <w:szCs w:val="18"/>
              </w:rPr>
              <w:t>Price Responsive Demand</w:t>
            </w:r>
          </w:p>
        </w:tc>
        <w:tc>
          <w:tcPr>
            <w:tcW w:w="1800" w:type="dxa"/>
            <w:shd w:val="clear" w:color="auto" w:fill="FFFFFF" w:themeFill="background1"/>
            <w:noWrap/>
            <w:vAlign w:val="center"/>
            <w:hideMark/>
          </w:tcPr>
          <w:p w14:paraId="1764E6C0" w14:textId="27F0CB62" w:rsidR="00550762" w:rsidRPr="00B5494E" w:rsidRDefault="5D1B63CF" w:rsidP="004911AE">
            <w:pPr>
              <w:spacing w:after="0" w:line="240" w:lineRule="auto"/>
              <w:jc w:val="center"/>
              <w:rPr>
                <w:rFonts w:eastAsia="Times New Roman" w:cs="Arial"/>
                <w:sz w:val="18"/>
                <w:szCs w:val="18"/>
              </w:rPr>
            </w:pPr>
            <w:r w:rsidRPr="00B5494E">
              <w:rPr>
                <w:rFonts w:eastAsia="Times New Roman" w:cs="Arial"/>
                <w:sz w:val="18"/>
                <w:szCs w:val="18"/>
              </w:rPr>
              <w:t>5.1</w:t>
            </w:r>
          </w:p>
        </w:tc>
        <w:tc>
          <w:tcPr>
            <w:tcW w:w="1620" w:type="dxa"/>
            <w:shd w:val="clear" w:color="auto" w:fill="FFFFFF" w:themeFill="background1"/>
            <w:noWrap/>
            <w:vAlign w:val="center"/>
            <w:hideMark/>
          </w:tcPr>
          <w:p w14:paraId="14F51504" w14:textId="04B26B73" w:rsidR="00550762" w:rsidRPr="00B5494E" w:rsidRDefault="00731A3C" w:rsidP="004911AE">
            <w:pPr>
              <w:spacing w:after="0" w:line="240" w:lineRule="auto"/>
              <w:jc w:val="center"/>
              <w:rPr>
                <w:rFonts w:eastAsia="Times New Roman" w:cs="Arial"/>
                <w:sz w:val="18"/>
                <w:szCs w:val="18"/>
              </w:rPr>
            </w:pPr>
            <w:r w:rsidRPr="00B5494E">
              <w:rPr>
                <w:rFonts w:eastAsia="Times New Roman" w:cs="Arial"/>
                <w:sz w:val="18"/>
                <w:szCs w:val="18"/>
              </w:rPr>
              <w:t>2.7</w:t>
            </w:r>
          </w:p>
        </w:tc>
      </w:tr>
      <w:tr w:rsidR="00B5494E" w:rsidRPr="00B5494E" w14:paraId="3DABF955" w14:textId="77777777" w:rsidTr="005C779D">
        <w:trPr>
          <w:trHeight w:val="432"/>
        </w:trPr>
        <w:tc>
          <w:tcPr>
            <w:tcW w:w="3690" w:type="dxa"/>
            <w:shd w:val="clear" w:color="auto" w:fill="FFFFFF" w:themeFill="background1"/>
            <w:noWrap/>
            <w:vAlign w:val="center"/>
            <w:hideMark/>
          </w:tcPr>
          <w:p w14:paraId="796F274B" w14:textId="77777777" w:rsidR="00550762" w:rsidRPr="00B5494E" w:rsidRDefault="00550762" w:rsidP="004911AE">
            <w:pPr>
              <w:spacing w:after="0" w:line="240" w:lineRule="auto"/>
              <w:rPr>
                <w:rFonts w:eastAsia="Times New Roman" w:cs="Arial"/>
                <w:sz w:val="18"/>
                <w:szCs w:val="18"/>
              </w:rPr>
            </w:pPr>
            <w:r w:rsidRPr="00B5494E">
              <w:rPr>
                <w:rFonts w:eastAsia="Times New Roman" w:cs="Arial"/>
                <w:sz w:val="18"/>
                <w:szCs w:val="18"/>
              </w:rPr>
              <w:t>Real Time Pricing Extreme Hour Ahead</w:t>
            </w:r>
          </w:p>
        </w:tc>
        <w:tc>
          <w:tcPr>
            <w:tcW w:w="2160" w:type="dxa"/>
            <w:shd w:val="clear" w:color="auto" w:fill="FFFFFF" w:themeFill="background1"/>
            <w:vAlign w:val="center"/>
          </w:tcPr>
          <w:p w14:paraId="3843550B" w14:textId="77777777" w:rsidR="00550762" w:rsidRPr="00B5494E" w:rsidRDefault="00550762" w:rsidP="004911AE">
            <w:pPr>
              <w:spacing w:after="0" w:line="240" w:lineRule="auto"/>
              <w:jc w:val="center"/>
              <w:rPr>
                <w:rFonts w:eastAsia="Times New Roman" w:cs="Arial"/>
                <w:sz w:val="18"/>
                <w:szCs w:val="18"/>
              </w:rPr>
            </w:pPr>
            <w:r w:rsidRPr="00B5494E">
              <w:rPr>
                <w:rFonts w:eastAsia="Times New Roman" w:cs="Arial"/>
                <w:sz w:val="18"/>
                <w:szCs w:val="18"/>
              </w:rPr>
              <w:t>Price Responsive Demand</w:t>
            </w:r>
          </w:p>
        </w:tc>
        <w:tc>
          <w:tcPr>
            <w:tcW w:w="1800" w:type="dxa"/>
            <w:shd w:val="clear" w:color="auto" w:fill="FFFFFF" w:themeFill="background1"/>
            <w:noWrap/>
            <w:vAlign w:val="center"/>
            <w:hideMark/>
          </w:tcPr>
          <w:p w14:paraId="0A2256F3" w14:textId="5BB74644" w:rsidR="00550762" w:rsidRPr="00B5494E" w:rsidRDefault="005C4378" w:rsidP="004911AE">
            <w:pPr>
              <w:spacing w:after="0" w:line="240" w:lineRule="auto"/>
              <w:jc w:val="center"/>
              <w:rPr>
                <w:rFonts w:eastAsia="Times New Roman" w:cs="Arial"/>
                <w:sz w:val="18"/>
                <w:szCs w:val="18"/>
              </w:rPr>
            </w:pPr>
            <w:r w:rsidRPr="00B5494E">
              <w:rPr>
                <w:rFonts w:eastAsia="Times New Roman" w:cs="Arial"/>
                <w:sz w:val="18"/>
                <w:szCs w:val="18"/>
              </w:rPr>
              <w:t>13</w:t>
            </w:r>
            <w:r w:rsidR="0DEAF139" w:rsidRPr="00B5494E">
              <w:rPr>
                <w:rFonts w:eastAsia="Times New Roman" w:cs="Arial"/>
                <w:sz w:val="18"/>
                <w:szCs w:val="18"/>
              </w:rPr>
              <w:t>4.9</w:t>
            </w:r>
          </w:p>
        </w:tc>
        <w:tc>
          <w:tcPr>
            <w:tcW w:w="1620" w:type="dxa"/>
            <w:shd w:val="clear" w:color="auto" w:fill="FFFFFF" w:themeFill="background1"/>
            <w:noWrap/>
            <w:vAlign w:val="center"/>
            <w:hideMark/>
          </w:tcPr>
          <w:p w14:paraId="626E547C" w14:textId="210F8C7A" w:rsidR="00550762" w:rsidRPr="00B5494E" w:rsidRDefault="006069EA" w:rsidP="004911AE">
            <w:pPr>
              <w:spacing w:after="0" w:line="240" w:lineRule="auto"/>
              <w:jc w:val="center"/>
              <w:rPr>
                <w:rFonts w:eastAsia="Times New Roman" w:cs="Arial"/>
                <w:sz w:val="18"/>
                <w:szCs w:val="18"/>
              </w:rPr>
            </w:pPr>
            <w:r w:rsidRPr="00B5494E">
              <w:rPr>
                <w:rFonts w:eastAsia="Times New Roman" w:cs="Arial"/>
                <w:sz w:val="18"/>
                <w:szCs w:val="18"/>
              </w:rPr>
              <w:t>12</w:t>
            </w:r>
            <w:r w:rsidR="2A175101" w:rsidRPr="00B5494E">
              <w:rPr>
                <w:rFonts w:eastAsia="Times New Roman" w:cs="Arial"/>
                <w:sz w:val="18"/>
                <w:szCs w:val="18"/>
              </w:rPr>
              <w:t>4</w:t>
            </w:r>
            <w:r w:rsidRPr="00B5494E">
              <w:rPr>
                <w:rFonts w:eastAsia="Times New Roman" w:cs="Arial"/>
                <w:sz w:val="18"/>
                <w:szCs w:val="18"/>
              </w:rPr>
              <w:t>.2</w:t>
            </w:r>
          </w:p>
        </w:tc>
      </w:tr>
      <w:tr w:rsidR="00B5494E" w:rsidRPr="00B5494E" w14:paraId="478EFF1C" w14:textId="77777777" w:rsidTr="005C779D">
        <w:trPr>
          <w:trHeight w:val="432"/>
        </w:trPr>
        <w:tc>
          <w:tcPr>
            <w:tcW w:w="3690" w:type="dxa"/>
            <w:shd w:val="clear" w:color="auto" w:fill="FFFFFF" w:themeFill="background1"/>
            <w:noWrap/>
            <w:vAlign w:val="center"/>
            <w:hideMark/>
          </w:tcPr>
          <w:p w14:paraId="0988F505" w14:textId="77777777" w:rsidR="00550762" w:rsidRPr="00B5494E" w:rsidRDefault="00550762" w:rsidP="004911AE">
            <w:pPr>
              <w:spacing w:after="0" w:line="240" w:lineRule="auto"/>
              <w:rPr>
                <w:rFonts w:eastAsia="Times New Roman" w:cs="Arial"/>
                <w:sz w:val="18"/>
                <w:szCs w:val="18"/>
              </w:rPr>
            </w:pPr>
            <w:r w:rsidRPr="00B5494E">
              <w:rPr>
                <w:rFonts w:eastAsia="Times New Roman" w:cs="Arial"/>
                <w:sz w:val="18"/>
                <w:szCs w:val="18"/>
              </w:rPr>
              <w:t>Conservative Voltage Reduction Level 1</w:t>
            </w:r>
          </w:p>
        </w:tc>
        <w:tc>
          <w:tcPr>
            <w:tcW w:w="2160" w:type="dxa"/>
            <w:shd w:val="clear" w:color="auto" w:fill="FFFFFF" w:themeFill="background1"/>
            <w:vAlign w:val="center"/>
          </w:tcPr>
          <w:p w14:paraId="662C6AB3" w14:textId="77777777" w:rsidR="00550762" w:rsidRPr="00B5494E" w:rsidRDefault="00550762" w:rsidP="004911AE">
            <w:pPr>
              <w:spacing w:after="0" w:line="240" w:lineRule="auto"/>
              <w:jc w:val="center"/>
              <w:rPr>
                <w:rFonts w:eastAsia="Times New Roman" w:cs="Arial"/>
                <w:sz w:val="18"/>
                <w:szCs w:val="18"/>
              </w:rPr>
            </w:pPr>
            <w:r w:rsidRPr="00B5494E">
              <w:rPr>
                <w:rFonts w:eastAsia="Times New Roman" w:cs="Arial"/>
                <w:sz w:val="18"/>
                <w:szCs w:val="18"/>
              </w:rPr>
              <w:t xml:space="preserve">Power Delivery </w:t>
            </w:r>
          </w:p>
        </w:tc>
        <w:tc>
          <w:tcPr>
            <w:tcW w:w="1800" w:type="dxa"/>
            <w:shd w:val="clear" w:color="auto" w:fill="FFFFFF" w:themeFill="background1"/>
            <w:noWrap/>
            <w:vAlign w:val="center"/>
            <w:hideMark/>
          </w:tcPr>
          <w:p w14:paraId="51064379" w14:textId="72D7D7ED" w:rsidR="00550762" w:rsidRPr="00B5494E" w:rsidRDefault="00FD2246" w:rsidP="004911AE">
            <w:pPr>
              <w:spacing w:after="0" w:line="240" w:lineRule="auto"/>
              <w:jc w:val="center"/>
              <w:rPr>
                <w:rFonts w:eastAsia="Times New Roman" w:cs="Arial"/>
                <w:sz w:val="18"/>
                <w:szCs w:val="18"/>
              </w:rPr>
            </w:pPr>
            <w:r w:rsidRPr="00B5494E">
              <w:rPr>
                <w:rFonts w:eastAsia="Times New Roman" w:cs="Arial"/>
                <w:sz w:val="18"/>
                <w:szCs w:val="18"/>
              </w:rPr>
              <w:t>2</w:t>
            </w:r>
            <w:r w:rsidR="34FC6867" w:rsidRPr="00B5494E">
              <w:rPr>
                <w:rFonts w:eastAsia="Times New Roman" w:cs="Arial"/>
                <w:sz w:val="18"/>
                <w:szCs w:val="18"/>
              </w:rPr>
              <w:t>31.</w:t>
            </w:r>
            <w:r w:rsidRPr="00B5494E">
              <w:rPr>
                <w:rFonts w:eastAsia="Times New Roman" w:cs="Arial"/>
                <w:sz w:val="18"/>
                <w:szCs w:val="18"/>
              </w:rPr>
              <w:t>2</w:t>
            </w:r>
          </w:p>
        </w:tc>
        <w:tc>
          <w:tcPr>
            <w:tcW w:w="1620" w:type="dxa"/>
            <w:shd w:val="clear" w:color="auto" w:fill="FFFFFF" w:themeFill="background1"/>
            <w:noWrap/>
            <w:vAlign w:val="center"/>
            <w:hideMark/>
          </w:tcPr>
          <w:p w14:paraId="785748C1" w14:textId="5D838453" w:rsidR="00550762" w:rsidRPr="00B5494E" w:rsidRDefault="00FF5645" w:rsidP="004911AE">
            <w:pPr>
              <w:spacing w:after="0" w:line="240" w:lineRule="auto"/>
              <w:jc w:val="center"/>
              <w:rPr>
                <w:rFonts w:eastAsia="Times New Roman" w:cs="Arial"/>
                <w:sz w:val="18"/>
                <w:szCs w:val="18"/>
              </w:rPr>
            </w:pPr>
            <w:r w:rsidRPr="00B5494E">
              <w:rPr>
                <w:rFonts w:eastAsia="Times New Roman" w:cs="Arial"/>
                <w:sz w:val="18"/>
                <w:szCs w:val="18"/>
              </w:rPr>
              <w:t>20</w:t>
            </w:r>
            <w:r w:rsidR="094DEE69" w:rsidRPr="00B5494E">
              <w:rPr>
                <w:rFonts w:eastAsia="Times New Roman" w:cs="Arial"/>
                <w:sz w:val="18"/>
                <w:szCs w:val="18"/>
              </w:rPr>
              <w:t>0.3</w:t>
            </w:r>
          </w:p>
        </w:tc>
      </w:tr>
      <w:tr w:rsidR="00B5494E" w:rsidRPr="00B5494E" w14:paraId="06C22958" w14:textId="77777777" w:rsidTr="005C779D">
        <w:trPr>
          <w:trHeight w:val="432"/>
        </w:trPr>
        <w:tc>
          <w:tcPr>
            <w:tcW w:w="3690" w:type="dxa"/>
            <w:shd w:val="clear" w:color="auto" w:fill="FFFFFF" w:themeFill="background1"/>
            <w:noWrap/>
            <w:vAlign w:val="center"/>
            <w:hideMark/>
          </w:tcPr>
          <w:p w14:paraId="53DDBDB2" w14:textId="77777777" w:rsidR="00550762" w:rsidRPr="00B5494E" w:rsidRDefault="00550762" w:rsidP="004911AE">
            <w:pPr>
              <w:spacing w:after="0" w:line="240" w:lineRule="auto"/>
              <w:rPr>
                <w:rFonts w:eastAsia="Times New Roman" w:cs="Arial"/>
                <w:sz w:val="18"/>
                <w:szCs w:val="18"/>
              </w:rPr>
            </w:pPr>
            <w:r w:rsidRPr="00B5494E">
              <w:rPr>
                <w:rFonts w:eastAsia="Times New Roman" w:cs="Arial"/>
                <w:sz w:val="18"/>
                <w:szCs w:val="18"/>
              </w:rPr>
              <w:t>Conservative Voltage Reduction Level 2</w:t>
            </w:r>
          </w:p>
        </w:tc>
        <w:tc>
          <w:tcPr>
            <w:tcW w:w="2160" w:type="dxa"/>
            <w:shd w:val="clear" w:color="auto" w:fill="FFFFFF" w:themeFill="background1"/>
            <w:vAlign w:val="center"/>
          </w:tcPr>
          <w:p w14:paraId="7CC33E69" w14:textId="77777777" w:rsidR="00550762" w:rsidRPr="00B5494E" w:rsidRDefault="00550762" w:rsidP="004911AE">
            <w:pPr>
              <w:spacing w:after="0" w:line="240" w:lineRule="auto"/>
              <w:jc w:val="center"/>
              <w:rPr>
                <w:rFonts w:eastAsia="Times New Roman" w:cs="Arial"/>
                <w:sz w:val="18"/>
                <w:szCs w:val="18"/>
              </w:rPr>
            </w:pPr>
            <w:r w:rsidRPr="00B5494E">
              <w:rPr>
                <w:rFonts w:eastAsia="Times New Roman" w:cs="Arial"/>
                <w:sz w:val="18"/>
                <w:szCs w:val="18"/>
              </w:rPr>
              <w:t>Power Delivery</w:t>
            </w:r>
          </w:p>
        </w:tc>
        <w:tc>
          <w:tcPr>
            <w:tcW w:w="1800" w:type="dxa"/>
            <w:shd w:val="clear" w:color="auto" w:fill="FFFFFF" w:themeFill="background1"/>
            <w:noWrap/>
            <w:vAlign w:val="center"/>
            <w:hideMark/>
          </w:tcPr>
          <w:p w14:paraId="693E3FCC" w14:textId="37397090" w:rsidR="00550762" w:rsidRPr="00B5494E" w:rsidRDefault="009D02EF" w:rsidP="004911AE">
            <w:pPr>
              <w:spacing w:after="0" w:line="240" w:lineRule="auto"/>
              <w:jc w:val="center"/>
              <w:rPr>
                <w:rFonts w:eastAsia="Times New Roman" w:cs="Arial"/>
                <w:sz w:val="18"/>
                <w:szCs w:val="18"/>
              </w:rPr>
            </w:pPr>
            <w:r w:rsidRPr="00B5494E">
              <w:rPr>
                <w:rFonts w:eastAsia="Times New Roman" w:cs="Arial"/>
                <w:sz w:val="18"/>
                <w:szCs w:val="18"/>
              </w:rPr>
              <w:t>2</w:t>
            </w:r>
            <w:r w:rsidR="0AB43852" w:rsidRPr="00B5494E">
              <w:rPr>
                <w:rFonts w:eastAsia="Times New Roman" w:cs="Arial"/>
                <w:sz w:val="18"/>
                <w:szCs w:val="18"/>
              </w:rPr>
              <w:t>31.</w:t>
            </w:r>
            <w:r w:rsidRPr="00B5494E">
              <w:rPr>
                <w:rFonts w:eastAsia="Times New Roman" w:cs="Arial"/>
                <w:sz w:val="18"/>
                <w:szCs w:val="18"/>
              </w:rPr>
              <w:t>2</w:t>
            </w:r>
          </w:p>
        </w:tc>
        <w:tc>
          <w:tcPr>
            <w:tcW w:w="1620" w:type="dxa"/>
            <w:shd w:val="clear" w:color="auto" w:fill="FFFFFF" w:themeFill="background1"/>
            <w:noWrap/>
            <w:vAlign w:val="center"/>
            <w:hideMark/>
          </w:tcPr>
          <w:p w14:paraId="1422667B" w14:textId="671ECAEC" w:rsidR="00550762" w:rsidRPr="00B5494E" w:rsidRDefault="00FF5645" w:rsidP="004911AE">
            <w:pPr>
              <w:spacing w:after="0" w:line="240" w:lineRule="auto"/>
              <w:jc w:val="center"/>
              <w:rPr>
                <w:rFonts w:eastAsia="Times New Roman" w:cs="Arial"/>
                <w:sz w:val="18"/>
                <w:szCs w:val="18"/>
              </w:rPr>
            </w:pPr>
            <w:r w:rsidRPr="00B5494E">
              <w:rPr>
                <w:rFonts w:eastAsia="Times New Roman" w:cs="Arial"/>
                <w:sz w:val="18"/>
                <w:szCs w:val="18"/>
              </w:rPr>
              <w:t>20</w:t>
            </w:r>
            <w:r w:rsidR="2533165C" w:rsidRPr="00B5494E">
              <w:rPr>
                <w:rFonts w:eastAsia="Times New Roman" w:cs="Arial"/>
                <w:sz w:val="18"/>
                <w:szCs w:val="18"/>
              </w:rPr>
              <w:t>0.3</w:t>
            </w:r>
          </w:p>
        </w:tc>
      </w:tr>
      <w:tr w:rsidR="00B5494E" w:rsidRPr="00B5494E" w14:paraId="2304DE7A" w14:textId="77777777" w:rsidTr="005C779D">
        <w:trPr>
          <w:trHeight w:val="432"/>
        </w:trPr>
        <w:tc>
          <w:tcPr>
            <w:tcW w:w="3690" w:type="dxa"/>
            <w:shd w:val="clear" w:color="auto" w:fill="FFFFFF" w:themeFill="background1"/>
            <w:noWrap/>
            <w:vAlign w:val="center"/>
          </w:tcPr>
          <w:p w14:paraId="61B8D255" w14:textId="77777777" w:rsidR="00550762" w:rsidRPr="00B5494E" w:rsidRDefault="00550762" w:rsidP="004911AE">
            <w:pPr>
              <w:spacing w:after="0" w:line="240" w:lineRule="auto"/>
              <w:rPr>
                <w:rFonts w:eastAsia="Times New Roman" w:cs="Arial"/>
                <w:sz w:val="18"/>
                <w:szCs w:val="18"/>
              </w:rPr>
            </w:pPr>
            <w:r w:rsidRPr="00B5494E">
              <w:rPr>
                <w:rFonts w:eastAsia="Times New Roman" w:cs="Arial"/>
                <w:sz w:val="18"/>
                <w:szCs w:val="18"/>
              </w:rPr>
              <w:t>Demand Plus Energy Credit</w:t>
            </w:r>
          </w:p>
        </w:tc>
        <w:tc>
          <w:tcPr>
            <w:tcW w:w="2160" w:type="dxa"/>
            <w:shd w:val="clear" w:color="auto" w:fill="FFFFFF" w:themeFill="background1"/>
            <w:vAlign w:val="center"/>
          </w:tcPr>
          <w:p w14:paraId="0A69FE05" w14:textId="77777777" w:rsidR="00550762" w:rsidRPr="00B5494E" w:rsidRDefault="00550762" w:rsidP="004911AE">
            <w:pPr>
              <w:spacing w:after="0" w:line="240" w:lineRule="auto"/>
              <w:jc w:val="center"/>
              <w:rPr>
                <w:rFonts w:eastAsia="Times New Roman" w:cs="Arial"/>
                <w:sz w:val="18"/>
                <w:szCs w:val="18"/>
              </w:rPr>
            </w:pPr>
            <w:r w:rsidRPr="00B5494E">
              <w:rPr>
                <w:rFonts w:eastAsia="Times New Roman" w:cs="Arial"/>
                <w:sz w:val="18"/>
                <w:szCs w:val="18"/>
              </w:rPr>
              <w:t>Interruptible Load</w:t>
            </w:r>
          </w:p>
        </w:tc>
        <w:tc>
          <w:tcPr>
            <w:tcW w:w="1800" w:type="dxa"/>
            <w:shd w:val="clear" w:color="auto" w:fill="FFFFFF" w:themeFill="background1"/>
            <w:noWrap/>
            <w:vAlign w:val="center"/>
          </w:tcPr>
          <w:p w14:paraId="1F42B1F4" w14:textId="235BBC58" w:rsidR="00550762" w:rsidRPr="00B5494E" w:rsidRDefault="44E3BEEC" w:rsidP="004911AE">
            <w:pPr>
              <w:spacing w:after="0" w:line="240" w:lineRule="auto"/>
              <w:jc w:val="center"/>
              <w:rPr>
                <w:rFonts w:eastAsia="Times New Roman" w:cs="Arial"/>
                <w:sz w:val="18"/>
                <w:szCs w:val="18"/>
              </w:rPr>
            </w:pPr>
            <w:r w:rsidRPr="00B5494E">
              <w:rPr>
                <w:rFonts w:eastAsia="Times New Roman" w:cs="Arial"/>
                <w:sz w:val="18"/>
                <w:szCs w:val="18"/>
              </w:rPr>
              <w:t>92.1</w:t>
            </w:r>
          </w:p>
        </w:tc>
        <w:tc>
          <w:tcPr>
            <w:tcW w:w="1620" w:type="dxa"/>
            <w:shd w:val="clear" w:color="auto" w:fill="FFFFFF" w:themeFill="background1"/>
            <w:noWrap/>
            <w:vAlign w:val="center"/>
          </w:tcPr>
          <w:p w14:paraId="5CB19097" w14:textId="0C6E9590" w:rsidR="00550762" w:rsidRPr="00B5494E" w:rsidRDefault="611F9835" w:rsidP="004911AE">
            <w:pPr>
              <w:spacing w:after="0" w:line="240" w:lineRule="auto"/>
              <w:jc w:val="center"/>
              <w:rPr>
                <w:rFonts w:eastAsia="Times New Roman" w:cs="Arial"/>
                <w:sz w:val="18"/>
                <w:szCs w:val="18"/>
              </w:rPr>
            </w:pPr>
            <w:r w:rsidRPr="00B5494E">
              <w:rPr>
                <w:rFonts w:eastAsia="Times New Roman" w:cs="Arial"/>
                <w:sz w:val="18"/>
                <w:szCs w:val="18"/>
              </w:rPr>
              <w:t>92.1</w:t>
            </w:r>
          </w:p>
        </w:tc>
      </w:tr>
      <w:tr w:rsidR="00B5494E" w:rsidRPr="00B5494E" w14:paraId="6E175317" w14:textId="77777777" w:rsidTr="005C779D">
        <w:trPr>
          <w:trHeight w:val="432"/>
        </w:trPr>
        <w:tc>
          <w:tcPr>
            <w:tcW w:w="3690" w:type="dxa"/>
            <w:shd w:val="clear" w:color="auto" w:fill="FFFFFF" w:themeFill="background1"/>
            <w:noWrap/>
            <w:vAlign w:val="center"/>
            <w:hideMark/>
          </w:tcPr>
          <w:p w14:paraId="0CD7BE33" w14:textId="77777777" w:rsidR="00550762" w:rsidRPr="00B5494E" w:rsidRDefault="00550762" w:rsidP="004911AE">
            <w:pPr>
              <w:spacing w:after="0" w:line="240" w:lineRule="auto"/>
              <w:rPr>
                <w:rFonts w:eastAsia="Times New Roman" w:cs="Arial"/>
                <w:sz w:val="18"/>
                <w:szCs w:val="18"/>
              </w:rPr>
            </w:pPr>
            <w:r w:rsidRPr="00B5494E">
              <w:rPr>
                <w:rFonts w:eastAsia="Times New Roman" w:cs="Arial"/>
                <w:sz w:val="18"/>
                <w:szCs w:val="18"/>
              </w:rPr>
              <w:t>Thermostat Energy Management Program</w:t>
            </w:r>
          </w:p>
        </w:tc>
        <w:tc>
          <w:tcPr>
            <w:tcW w:w="2160" w:type="dxa"/>
            <w:shd w:val="clear" w:color="auto" w:fill="FFFFFF" w:themeFill="background1"/>
            <w:vAlign w:val="center"/>
          </w:tcPr>
          <w:p w14:paraId="4BA84FC4" w14:textId="77777777" w:rsidR="00550762" w:rsidRPr="00B5494E" w:rsidRDefault="00550762" w:rsidP="004911AE">
            <w:pPr>
              <w:spacing w:after="0" w:line="240" w:lineRule="auto"/>
              <w:jc w:val="center"/>
              <w:rPr>
                <w:rFonts w:eastAsia="Times New Roman" w:cs="Arial"/>
                <w:sz w:val="18"/>
                <w:szCs w:val="18"/>
              </w:rPr>
            </w:pPr>
            <w:r w:rsidRPr="00B5494E">
              <w:rPr>
                <w:rFonts w:eastAsia="Times New Roman" w:cs="Arial"/>
                <w:sz w:val="18"/>
                <w:szCs w:val="18"/>
              </w:rPr>
              <w:t>Interruptible Load</w:t>
            </w:r>
          </w:p>
        </w:tc>
        <w:tc>
          <w:tcPr>
            <w:tcW w:w="1800" w:type="dxa"/>
            <w:shd w:val="clear" w:color="auto" w:fill="FFFFFF" w:themeFill="background1"/>
            <w:noWrap/>
            <w:vAlign w:val="center"/>
            <w:hideMark/>
          </w:tcPr>
          <w:p w14:paraId="1308F69C" w14:textId="204D2FED" w:rsidR="00550762" w:rsidRPr="00B5494E" w:rsidRDefault="00875FA1" w:rsidP="004911AE">
            <w:pPr>
              <w:spacing w:after="0" w:line="240" w:lineRule="auto"/>
              <w:jc w:val="center"/>
              <w:rPr>
                <w:rFonts w:eastAsia="Times New Roman" w:cs="Arial"/>
                <w:sz w:val="18"/>
                <w:szCs w:val="18"/>
              </w:rPr>
            </w:pPr>
            <w:r w:rsidRPr="00B5494E">
              <w:rPr>
                <w:rFonts w:eastAsia="Times New Roman" w:cs="Arial"/>
                <w:sz w:val="18"/>
                <w:szCs w:val="18"/>
              </w:rPr>
              <w:t>3</w:t>
            </w:r>
            <w:r w:rsidR="52239E94" w:rsidRPr="00B5494E">
              <w:rPr>
                <w:rFonts w:eastAsia="Times New Roman" w:cs="Arial"/>
                <w:sz w:val="18"/>
                <w:szCs w:val="18"/>
              </w:rPr>
              <w:t>4.1</w:t>
            </w:r>
          </w:p>
        </w:tc>
        <w:tc>
          <w:tcPr>
            <w:tcW w:w="1620" w:type="dxa"/>
            <w:shd w:val="clear" w:color="auto" w:fill="FFFFFF" w:themeFill="background1"/>
            <w:noWrap/>
            <w:vAlign w:val="center"/>
            <w:hideMark/>
          </w:tcPr>
          <w:p w14:paraId="59E9816F" w14:textId="4C345AAF" w:rsidR="00550762" w:rsidRPr="00B5494E" w:rsidRDefault="4246341E" w:rsidP="004911AE">
            <w:pPr>
              <w:spacing w:after="0" w:line="240" w:lineRule="auto"/>
              <w:jc w:val="center"/>
              <w:rPr>
                <w:rFonts w:eastAsia="Times New Roman" w:cs="Arial"/>
                <w:sz w:val="18"/>
                <w:szCs w:val="18"/>
              </w:rPr>
            </w:pPr>
            <w:r w:rsidRPr="00B5494E">
              <w:rPr>
                <w:rFonts w:eastAsia="Times New Roman" w:cs="Arial"/>
                <w:sz w:val="18"/>
                <w:szCs w:val="18"/>
              </w:rPr>
              <w:t>29.0</w:t>
            </w:r>
          </w:p>
        </w:tc>
      </w:tr>
    </w:tbl>
    <w:p w14:paraId="14BF51B6" w14:textId="77777777" w:rsidR="006966F1" w:rsidRDefault="006966F1" w:rsidP="006966F1"/>
    <w:p w14:paraId="66DD664E" w14:textId="3BB5196E" w:rsidR="000932EE" w:rsidRPr="000932EE" w:rsidRDefault="000932EE" w:rsidP="000932EE">
      <w:pPr>
        <w:jc w:val="both"/>
        <w:rPr>
          <w:u w:val="single"/>
        </w:rPr>
      </w:pPr>
      <w:r w:rsidRPr="000932EE">
        <w:rPr>
          <w:u w:val="single"/>
        </w:rPr>
        <w:t>Notes:</w:t>
      </w:r>
    </w:p>
    <w:p w14:paraId="52E73A43" w14:textId="6C939CC2" w:rsidR="000932EE" w:rsidRDefault="000932EE" w:rsidP="002E05D1">
      <w:pPr>
        <w:pStyle w:val="ListParagraph"/>
        <w:numPr>
          <w:ilvl w:val="0"/>
          <w:numId w:val="116"/>
        </w:numPr>
        <w:jc w:val="both"/>
      </w:pPr>
      <w:r>
        <w:t xml:space="preserve">For Demand-Side Options, the ratings are based on the program capacity adjusted for the </w:t>
      </w:r>
      <w:r w:rsidR="00D16B44">
        <w:t>ELLC</w:t>
      </w:r>
      <w:r>
        <w:t xml:space="preserve"> and losses. The </w:t>
      </w:r>
      <w:r w:rsidR="005D137E">
        <w:t>ELCC</w:t>
      </w:r>
      <w:r>
        <w:t xml:space="preserve"> is a measure of the effect of a demand-side option on generating System reliability.</w:t>
      </w:r>
    </w:p>
    <w:p w14:paraId="395BBAF1" w14:textId="038553A4" w:rsidR="00D024C6" w:rsidRDefault="00D024C6">
      <w:r>
        <w:br w:type="page"/>
      </w:r>
    </w:p>
    <w:p w14:paraId="2CE65D32" w14:textId="3AAEDA8A" w:rsidR="00D024C6" w:rsidRDefault="00D024C6" w:rsidP="00D024C6">
      <w:pPr>
        <w:pStyle w:val="Heading1"/>
      </w:pPr>
      <w:bookmarkStart w:id="90" w:name="_Toc189122805"/>
      <w:r>
        <w:lastRenderedPageBreak/>
        <w:t xml:space="preserve">Attachment </w:t>
      </w:r>
      <w:r w:rsidR="00773998">
        <w:t>D</w:t>
      </w:r>
      <w:r>
        <w:t xml:space="preserve"> </w:t>
      </w:r>
      <w:r w:rsidR="00A06963">
        <w:t>–</w:t>
      </w:r>
      <w:r>
        <w:t xml:space="preserve"> </w:t>
      </w:r>
      <w:r w:rsidR="00A06963">
        <w:t>Retirements Since 2007</w:t>
      </w:r>
      <w:bookmarkEnd w:id="90"/>
    </w:p>
    <w:tbl>
      <w:tblPr>
        <w:tblStyle w:val="GridTable41"/>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4"/>
        <w:gridCol w:w="1177"/>
        <w:gridCol w:w="1440"/>
        <w:gridCol w:w="2160"/>
        <w:gridCol w:w="2160"/>
      </w:tblGrid>
      <w:tr w:rsidR="00D14D20" w14:paraId="26818799" w14:textId="77777777" w:rsidTr="00712AB6">
        <w:trPr>
          <w:cnfStyle w:val="100000000000" w:firstRow="1" w:lastRow="0" w:firstColumn="0" w:lastColumn="0" w:oddVBand="0" w:evenVBand="0" w:oddHBand="0"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bottom w:val="none" w:sz="0" w:space="0" w:color="auto"/>
              <w:right w:val="none" w:sz="0" w:space="0" w:color="auto"/>
            </w:tcBorders>
            <w:shd w:val="clear" w:color="auto" w:fill="808080" w:themeFill="background1" w:themeFillShade="80"/>
            <w:vAlign w:val="center"/>
            <w:hideMark/>
          </w:tcPr>
          <w:p w14:paraId="78BD7E70" w14:textId="77777777" w:rsidR="00D14D20" w:rsidRPr="00147E5A" w:rsidRDefault="00D14D20" w:rsidP="004911AE">
            <w:pPr>
              <w:keepNext/>
              <w:keepLines/>
              <w:jc w:val="center"/>
              <w:rPr>
                <w:rFonts w:eastAsia="Times New Roman" w:cstheme="minorHAnsi"/>
                <w:sz w:val="18"/>
                <w:szCs w:val="18"/>
              </w:rPr>
            </w:pPr>
            <w:r w:rsidRPr="00147E5A">
              <w:rPr>
                <w:rFonts w:eastAsia="Times New Roman" w:cstheme="minorHAnsi"/>
                <w:sz w:val="18"/>
                <w:szCs w:val="18"/>
              </w:rPr>
              <w:t>Unit</w:t>
            </w:r>
          </w:p>
        </w:tc>
        <w:tc>
          <w:tcPr>
            <w:tcW w:w="0" w:type="dxa"/>
            <w:tcBorders>
              <w:top w:val="none" w:sz="0" w:space="0" w:color="auto"/>
              <w:left w:val="none" w:sz="0" w:space="0" w:color="auto"/>
              <w:bottom w:val="none" w:sz="0" w:space="0" w:color="auto"/>
              <w:right w:val="none" w:sz="0" w:space="0" w:color="auto"/>
            </w:tcBorders>
            <w:shd w:val="clear" w:color="auto" w:fill="808080" w:themeFill="background1" w:themeFillShade="80"/>
            <w:vAlign w:val="center"/>
            <w:hideMark/>
          </w:tcPr>
          <w:p w14:paraId="18A885D4" w14:textId="77777777" w:rsidR="00D14D20" w:rsidRPr="00147E5A" w:rsidRDefault="00D14D20" w:rsidP="004911AE">
            <w:pPr>
              <w:keepNext/>
              <w:keepLines/>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18"/>
                <w:szCs w:val="18"/>
              </w:rPr>
            </w:pPr>
            <w:r w:rsidRPr="00147E5A">
              <w:rPr>
                <w:rFonts w:eastAsia="Times New Roman" w:cstheme="minorHAnsi"/>
                <w:sz w:val="18"/>
                <w:szCs w:val="18"/>
              </w:rPr>
              <w:t>MW</w:t>
            </w:r>
          </w:p>
        </w:tc>
        <w:tc>
          <w:tcPr>
            <w:tcW w:w="0" w:type="dxa"/>
            <w:tcBorders>
              <w:top w:val="none" w:sz="0" w:space="0" w:color="auto"/>
              <w:left w:val="none" w:sz="0" w:space="0" w:color="auto"/>
              <w:bottom w:val="none" w:sz="0" w:space="0" w:color="auto"/>
              <w:right w:val="none" w:sz="0" w:space="0" w:color="auto"/>
            </w:tcBorders>
            <w:shd w:val="clear" w:color="auto" w:fill="808080" w:themeFill="background1" w:themeFillShade="80"/>
            <w:vAlign w:val="center"/>
            <w:hideMark/>
          </w:tcPr>
          <w:p w14:paraId="1422C24D" w14:textId="77777777" w:rsidR="00D14D20" w:rsidRPr="00147E5A" w:rsidRDefault="00D14D20" w:rsidP="004911AE">
            <w:pPr>
              <w:keepNext/>
              <w:keepLines/>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18"/>
                <w:szCs w:val="18"/>
              </w:rPr>
            </w:pPr>
            <w:r w:rsidRPr="00147E5A">
              <w:rPr>
                <w:rFonts w:eastAsia="Times New Roman" w:cstheme="minorHAnsi"/>
                <w:sz w:val="18"/>
                <w:szCs w:val="18"/>
              </w:rPr>
              <w:t>Primary Fuel</w:t>
            </w:r>
          </w:p>
        </w:tc>
        <w:tc>
          <w:tcPr>
            <w:tcW w:w="0" w:type="dxa"/>
            <w:tcBorders>
              <w:top w:val="none" w:sz="0" w:space="0" w:color="auto"/>
              <w:left w:val="none" w:sz="0" w:space="0" w:color="auto"/>
              <w:bottom w:val="none" w:sz="0" w:space="0" w:color="auto"/>
              <w:right w:val="none" w:sz="0" w:space="0" w:color="auto"/>
            </w:tcBorders>
            <w:shd w:val="clear" w:color="auto" w:fill="808080" w:themeFill="background1" w:themeFillShade="80"/>
            <w:vAlign w:val="center"/>
            <w:hideMark/>
          </w:tcPr>
          <w:p w14:paraId="1484C4DD" w14:textId="77777777" w:rsidR="00D14D20" w:rsidRPr="00147E5A" w:rsidRDefault="00D14D20" w:rsidP="004911AE">
            <w:pPr>
              <w:keepNext/>
              <w:keepLines/>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18"/>
                <w:szCs w:val="18"/>
              </w:rPr>
            </w:pPr>
            <w:r w:rsidRPr="00147E5A">
              <w:rPr>
                <w:rFonts w:eastAsia="Times New Roman" w:cstheme="minorHAnsi"/>
                <w:sz w:val="18"/>
                <w:szCs w:val="18"/>
              </w:rPr>
              <w:t>IRP or Authority</w:t>
            </w:r>
          </w:p>
        </w:tc>
        <w:tc>
          <w:tcPr>
            <w:tcW w:w="0" w:type="dxa"/>
            <w:tcBorders>
              <w:top w:val="none" w:sz="0" w:space="0" w:color="auto"/>
              <w:left w:val="none" w:sz="0" w:space="0" w:color="auto"/>
              <w:bottom w:val="none" w:sz="0" w:space="0" w:color="auto"/>
              <w:right w:val="none" w:sz="0" w:space="0" w:color="auto"/>
            </w:tcBorders>
            <w:shd w:val="clear" w:color="auto" w:fill="808080" w:themeFill="background1" w:themeFillShade="80"/>
            <w:vAlign w:val="center"/>
            <w:hideMark/>
          </w:tcPr>
          <w:p w14:paraId="4481114D" w14:textId="77777777" w:rsidR="00D14D20" w:rsidRPr="00147E5A" w:rsidRDefault="00D14D20" w:rsidP="004911AE">
            <w:pPr>
              <w:keepNext/>
              <w:keepLines/>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18"/>
                <w:szCs w:val="18"/>
              </w:rPr>
            </w:pPr>
            <w:r w:rsidRPr="00147E5A">
              <w:rPr>
                <w:rFonts w:eastAsia="Times New Roman" w:cstheme="minorHAnsi"/>
                <w:sz w:val="18"/>
                <w:szCs w:val="18"/>
              </w:rPr>
              <w:t>Retirement Date</w:t>
            </w:r>
          </w:p>
        </w:tc>
      </w:tr>
      <w:tr w:rsidR="00B5494E" w:rsidRPr="00B5494E" w14:paraId="0D3AD990" w14:textId="77777777" w:rsidTr="004B4C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vAlign w:val="center"/>
            <w:hideMark/>
          </w:tcPr>
          <w:p w14:paraId="523BBD24"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McDonough 1</w:t>
            </w:r>
          </w:p>
        </w:tc>
        <w:tc>
          <w:tcPr>
            <w:tcW w:w="1177" w:type="dxa"/>
            <w:shd w:val="clear" w:color="auto" w:fill="FFFFFF" w:themeFill="background1"/>
            <w:noWrap/>
            <w:vAlign w:val="center"/>
            <w:hideMark/>
          </w:tcPr>
          <w:p w14:paraId="58D3EFA2"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254</w:t>
            </w:r>
          </w:p>
        </w:tc>
        <w:tc>
          <w:tcPr>
            <w:tcW w:w="1440" w:type="dxa"/>
            <w:shd w:val="clear" w:color="auto" w:fill="FFFFFF" w:themeFill="background1"/>
            <w:vAlign w:val="center"/>
            <w:hideMark/>
          </w:tcPr>
          <w:p w14:paraId="559D06B9"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Coal</w:t>
            </w:r>
          </w:p>
        </w:tc>
        <w:tc>
          <w:tcPr>
            <w:tcW w:w="2160" w:type="dxa"/>
            <w:shd w:val="clear" w:color="auto" w:fill="FFFFFF" w:themeFill="background1"/>
            <w:vAlign w:val="center"/>
            <w:hideMark/>
          </w:tcPr>
          <w:p w14:paraId="0417BE21"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Docket 24506-U</w:t>
            </w:r>
          </w:p>
        </w:tc>
        <w:tc>
          <w:tcPr>
            <w:tcW w:w="2160" w:type="dxa"/>
            <w:shd w:val="clear" w:color="auto" w:fill="FFFFFF" w:themeFill="background1"/>
            <w:vAlign w:val="center"/>
            <w:hideMark/>
          </w:tcPr>
          <w:p w14:paraId="1DE5A014"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2/29/2012</w:t>
            </w:r>
          </w:p>
        </w:tc>
      </w:tr>
      <w:tr w:rsidR="00B5494E" w:rsidRPr="00B5494E" w14:paraId="66E24AEE" w14:textId="77777777" w:rsidTr="004B4CD5">
        <w:trPr>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vAlign w:val="center"/>
            <w:hideMark/>
          </w:tcPr>
          <w:p w14:paraId="25B928EE"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McDonough 2</w:t>
            </w:r>
          </w:p>
        </w:tc>
        <w:tc>
          <w:tcPr>
            <w:tcW w:w="1177" w:type="dxa"/>
            <w:shd w:val="clear" w:color="auto" w:fill="FFFFFF" w:themeFill="background1"/>
            <w:noWrap/>
            <w:vAlign w:val="center"/>
            <w:hideMark/>
          </w:tcPr>
          <w:p w14:paraId="4B63EE1A"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254</w:t>
            </w:r>
          </w:p>
        </w:tc>
        <w:tc>
          <w:tcPr>
            <w:tcW w:w="1440" w:type="dxa"/>
            <w:shd w:val="clear" w:color="auto" w:fill="FFFFFF" w:themeFill="background1"/>
            <w:vAlign w:val="center"/>
            <w:hideMark/>
          </w:tcPr>
          <w:p w14:paraId="53B24BC3"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Coal</w:t>
            </w:r>
          </w:p>
        </w:tc>
        <w:tc>
          <w:tcPr>
            <w:tcW w:w="2160" w:type="dxa"/>
            <w:shd w:val="clear" w:color="auto" w:fill="FFFFFF" w:themeFill="background1"/>
            <w:vAlign w:val="center"/>
            <w:hideMark/>
          </w:tcPr>
          <w:p w14:paraId="7A115C64"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Docket 24506-U</w:t>
            </w:r>
          </w:p>
        </w:tc>
        <w:tc>
          <w:tcPr>
            <w:tcW w:w="2160" w:type="dxa"/>
            <w:shd w:val="clear" w:color="auto" w:fill="FFFFFF" w:themeFill="background1"/>
            <w:vAlign w:val="center"/>
            <w:hideMark/>
          </w:tcPr>
          <w:p w14:paraId="07125F65"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9/30/2011</w:t>
            </w:r>
          </w:p>
        </w:tc>
      </w:tr>
      <w:tr w:rsidR="00B5494E" w:rsidRPr="00B5494E" w14:paraId="5E511019" w14:textId="77777777" w:rsidTr="004B4C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vAlign w:val="center"/>
            <w:hideMark/>
          </w:tcPr>
          <w:p w14:paraId="126170DE"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Branch 1</w:t>
            </w:r>
          </w:p>
        </w:tc>
        <w:tc>
          <w:tcPr>
            <w:tcW w:w="1177" w:type="dxa"/>
            <w:shd w:val="clear" w:color="auto" w:fill="FFFFFF" w:themeFill="background1"/>
            <w:vAlign w:val="center"/>
            <w:hideMark/>
          </w:tcPr>
          <w:p w14:paraId="3F33B769"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250</w:t>
            </w:r>
          </w:p>
        </w:tc>
        <w:tc>
          <w:tcPr>
            <w:tcW w:w="1440" w:type="dxa"/>
            <w:shd w:val="clear" w:color="auto" w:fill="FFFFFF" w:themeFill="background1"/>
            <w:vAlign w:val="center"/>
            <w:hideMark/>
          </w:tcPr>
          <w:p w14:paraId="3E100AEA"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Coal</w:t>
            </w:r>
          </w:p>
        </w:tc>
        <w:tc>
          <w:tcPr>
            <w:tcW w:w="2160" w:type="dxa"/>
            <w:shd w:val="clear" w:color="auto" w:fill="FFFFFF" w:themeFill="background1"/>
            <w:noWrap/>
            <w:vAlign w:val="center"/>
            <w:hideMark/>
          </w:tcPr>
          <w:p w14:paraId="087F8FB3"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sz w:val="18"/>
                <w:szCs w:val="18"/>
              </w:rPr>
              <w:t>2011 IRP Update</w:t>
            </w:r>
            <w:r w:rsidRPr="00B5494E">
              <w:rPr>
                <w:rStyle w:val="FootnoteReference"/>
                <w:rFonts w:eastAsia="Times New Roman"/>
                <w:sz w:val="18"/>
                <w:szCs w:val="18"/>
              </w:rPr>
              <w:footnoteReference w:id="47"/>
            </w:r>
          </w:p>
        </w:tc>
        <w:tc>
          <w:tcPr>
            <w:tcW w:w="2160" w:type="dxa"/>
            <w:shd w:val="clear" w:color="auto" w:fill="FFFFFF" w:themeFill="background1"/>
            <w:vAlign w:val="center"/>
            <w:hideMark/>
          </w:tcPr>
          <w:p w14:paraId="20B86D97"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4/16/2015</w:t>
            </w:r>
          </w:p>
        </w:tc>
      </w:tr>
      <w:tr w:rsidR="00B5494E" w:rsidRPr="00B5494E" w14:paraId="41576D16" w14:textId="77777777" w:rsidTr="004B4CD5">
        <w:trPr>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vAlign w:val="center"/>
            <w:hideMark/>
          </w:tcPr>
          <w:p w14:paraId="66E36B8B"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Branch 2</w:t>
            </w:r>
          </w:p>
        </w:tc>
        <w:tc>
          <w:tcPr>
            <w:tcW w:w="1177" w:type="dxa"/>
            <w:shd w:val="clear" w:color="auto" w:fill="FFFFFF" w:themeFill="background1"/>
            <w:vAlign w:val="center"/>
            <w:hideMark/>
          </w:tcPr>
          <w:p w14:paraId="3DA192E1"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319</w:t>
            </w:r>
          </w:p>
        </w:tc>
        <w:tc>
          <w:tcPr>
            <w:tcW w:w="1440" w:type="dxa"/>
            <w:shd w:val="clear" w:color="auto" w:fill="FFFFFF" w:themeFill="background1"/>
            <w:vAlign w:val="center"/>
            <w:hideMark/>
          </w:tcPr>
          <w:p w14:paraId="7A8CA457"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Coal</w:t>
            </w:r>
          </w:p>
        </w:tc>
        <w:tc>
          <w:tcPr>
            <w:tcW w:w="2160" w:type="dxa"/>
            <w:shd w:val="clear" w:color="auto" w:fill="FFFFFF" w:themeFill="background1"/>
            <w:noWrap/>
            <w:vAlign w:val="center"/>
            <w:hideMark/>
          </w:tcPr>
          <w:p w14:paraId="00899F4F"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2011 IRP Update</w:t>
            </w:r>
          </w:p>
        </w:tc>
        <w:tc>
          <w:tcPr>
            <w:tcW w:w="2160" w:type="dxa"/>
            <w:shd w:val="clear" w:color="auto" w:fill="FFFFFF" w:themeFill="background1"/>
            <w:vAlign w:val="center"/>
            <w:hideMark/>
          </w:tcPr>
          <w:p w14:paraId="3AB15D5C"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10/1/2013</w:t>
            </w:r>
          </w:p>
        </w:tc>
      </w:tr>
      <w:tr w:rsidR="00B5494E" w:rsidRPr="00B5494E" w14:paraId="4A96C178" w14:textId="77777777" w:rsidTr="004B4C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vAlign w:val="center"/>
            <w:hideMark/>
          </w:tcPr>
          <w:p w14:paraId="5200C20D"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Mitchell 4C</w:t>
            </w:r>
          </w:p>
        </w:tc>
        <w:tc>
          <w:tcPr>
            <w:tcW w:w="1177" w:type="dxa"/>
            <w:shd w:val="clear" w:color="auto" w:fill="FFFFFF" w:themeFill="background1"/>
            <w:noWrap/>
            <w:vAlign w:val="center"/>
            <w:hideMark/>
          </w:tcPr>
          <w:p w14:paraId="02215D7E"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33</w:t>
            </w:r>
          </w:p>
        </w:tc>
        <w:tc>
          <w:tcPr>
            <w:tcW w:w="1440" w:type="dxa"/>
            <w:shd w:val="clear" w:color="auto" w:fill="FFFFFF" w:themeFill="background1"/>
            <w:vAlign w:val="center"/>
            <w:hideMark/>
          </w:tcPr>
          <w:p w14:paraId="550C6C69"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Oil</w:t>
            </w:r>
          </w:p>
        </w:tc>
        <w:tc>
          <w:tcPr>
            <w:tcW w:w="2160" w:type="dxa"/>
            <w:shd w:val="clear" w:color="auto" w:fill="FFFFFF" w:themeFill="background1"/>
            <w:noWrap/>
            <w:vAlign w:val="center"/>
            <w:hideMark/>
          </w:tcPr>
          <w:p w14:paraId="58A7D67B"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2011 IRP Update</w:t>
            </w:r>
          </w:p>
        </w:tc>
        <w:tc>
          <w:tcPr>
            <w:tcW w:w="2160" w:type="dxa"/>
            <w:shd w:val="clear" w:color="auto" w:fill="FFFFFF" w:themeFill="background1"/>
            <w:vAlign w:val="center"/>
            <w:hideMark/>
          </w:tcPr>
          <w:p w14:paraId="39DC1176"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3/26/2012</w:t>
            </w:r>
          </w:p>
        </w:tc>
      </w:tr>
      <w:tr w:rsidR="00B5494E" w:rsidRPr="00B5494E" w14:paraId="06F0AF2D" w14:textId="77777777" w:rsidTr="004B4CD5">
        <w:trPr>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vAlign w:val="center"/>
            <w:hideMark/>
          </w:tcPr>
          <w:p w14:paraId="1488FE20"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Branch 3</w:t>
            </w:r>
          </w:p>
        </w:tc>
        <w:tc>
          <w:tcPr>
            <w:tcW w:w="1177" w:type="dxa"/>
            <w:shd w:val="clear" w:color="auto" w:fill="FFFFFF" w:themeFill="background1"/>
            <w:noWrap/>
            <w:vAlign w:val="center"/>
            <w:hideMark/>
          </w:tcPr>
          <w:p w14:paraId="6689C9D2"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509</w:t>
            </w:r>
          </w:p>
        </w:tc>
        <w:tc>
          <w:tcPr>
            <w:tcW w:w="1440" w:type="dxa"/>
            <w:shd w:val="clear" w:color="auto" w:fill="FFFFFF" w:themeFill="background1"/>
            <w:vAlign w:val="center"/>
            <w:hideMark/>
          </w:tcPr>
          <w:p w14:paraId="4F105FF8"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Coal</w:t>
            </w:r>
          </w:p>
        </w:tc>
        <w:tc>
          <w:tcPr>
            <w:tcW w:w="2160" w:type="dxa"/>
            <w:shd w:val="clear" w:color="auto" w:fill="FFFFFF" w:themeFill="background1"/>
            <w:vAlign w:val="center"/>
            <w:hideMark/>
          </w:tcPr>
          <w:p w14:paraId="423E8F66"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2013 IRP</w:t>
            </w:r>
          </w:p>
        </w:tc>
        <w:tc>
          <w:tcPr>
            <w:tcW w:w="2160" w:type="dxa"/>
            <w:shd w:val="clear" w:color="auto" w:fill="FFFFFF" w:themeFill="background1"/>
            <w:vAlign w:val="center"/>
            <w:hideMark/>
          </w:tcPr>
          <w:p w14:paraId="751021E1"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4/16/2015</w:t>
            </w:r>
          </w:p>
        </w:tc>
      </w:tr>
      <w:tr w:rsidR="00B5494E" w:rsidRPr="00B5494E" w14:paraId="051C3DB4" w14:textId="77777777" w:rsidTr="004B4C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vAlign w:val="center"/>
            <w:hideMark/>
          </w:tcPr>
          <w:p w14:paraId="5A7CFD54"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Branch 4</w:t>
            </w:r>
          </w:p>
        </w:tc>
        <w:tc>
          <w:tcPr>
            <w:tcW w:w="1177" w:type="dxa"/>
            <w:shd w:val="clear" w:color="auto" w:fill="FFFFFF" w:themeFill="background1"/>
            <w:noWrap/>
            <w:vAlign w:val="center"/>
            <w:hideMark/>
          </w:tcPr>
          <w:p w14:paraId="080F7143"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507</w:t>
            </w:r>
          </w:p>
        </w:tc>
        <w:tc>
          <w:tcPr>
            <w:tcW w:w="1440" w:type="dxa"/>
            <w:shd w:val="clear" w:color="auto" w:fill="FFFFFF" w:themeFill="background1"/>
            <w:vAlign w:val="center"/>
            <w:hideMark/>
          </w:tcPr>
          <w:p w14:paraId="5378C07A"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Coal</w:t>
            </w:r>
          </w:p>
        </w:tc>
        <w:tc>
          <w:tcPr>
            <w:tcW w:w="2160" w:type="dxa"/>
            <w:shd w:val="clear" w:color="auto" w:fill="FFFFFF" w:themeFill="background1"/>
            <w:vAlign w:val="center"/>
            <w:hideMark/>
          </w:tcPr>
          <w:p w14:paraId="5A7CD771"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2013 IRP</w:t>
            </w:r>
          </w:p>
        </w:tc>
        <w:tc>
          <w:tcPr>
            <w:tcW w:w="2160" w:type="dxa"/>
            <w:shd w:val="clear" w:color="auto" w:fill="FFFFFF" w:themeFill="background1"/>
            <w:vAlign w:val="center"/>
            <w:hideMark/>
          </w:tcPr>
          <w:p w14:paraId="02620310"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4/16/2015</w:t>
            </w:r>
          </w:p>
        </w:tc>
      </w:tr>
      <w:tr w:rsidR="00B5494E" w:rsidRPr="00B5494E" w14:paraId="4A5F2573" w14:textId="77777777" w:rsidTr="004B4CD5">
        <w:trPr>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vAlign w:val="center"/>
            <w:hideMark/>
          </w:tcPr>
          <w:p w14:paraId="2777E169"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Kraft 1-3</w:t>
            </w:r>
          </w:p>
        </w:tc>
        <w:tc>
          <w:tcPr>
            <w:tcW w:w="1177" w:type="dxa"/>
            <w:shd w:val="clear" w:color="auto" w:fill="FFFFFF" w:themeFill="background1"/>
            <w:noWrap/>
            <w:vAlign w:val="center"/>
            <w:hideMark/>
          </w:tcPr>
          <w:p w14:paraId="3D0F3A66"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w:t>
            </w:r>
          </w:p>
        </w:tc>
        <w:tc>
          <w:tcPr>
            <w:tcW w:w="1440" w:type="dxa"/>
            <w:shd w:val="clear" w:color="auto" w:fill="FFFFFF" w:themeFill="background1"/>
            <w:vAlign w:val="center"/>
            <w:hideMark/>
          </w:tcPr>
          <w:p w14:paraId="0C402DAB"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Coal</w:t>
            </w:r>
          </w:p>
        </w:tc>
        <w:tc>
          <w:tcPr>
            <w:tcW w:w="2160" w:type="dxa"/>
            <w:shd w:val="clear" w:color="auto" w:fill="FFFFFF" w:themeFill="background1"/>
            <w:vAlign w:val="center"/>
            <w:hideMark/>
          </w:tcPr>
          <w:p w14:paraId="1524A362"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2013 IRP</w:t>
            </w:r>
          </w:p>
        </w:tc>
        <w:tc>
          <w:tcPr>
            <w:tcW w:w="2160" w:type="dxa"/>
            <w:shd w:val="clear" w:color="auto" w:fill="FFFFFF" w:themeFill="background1"/>
            <w:vAlign w:val="center"/>
            <w:hideMark/>
          </w:tcPr>
          <w:p w14:paraId="399CAB29"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10/13/2015</w:t>
            </w:r>
          </w:p>
        </w:tc>
      </w:tr>
      <w:tr w:rsidR="00B5494E" w:rsidRPr="00B5494E" w14:paraId="7F4AFF96" w14:textId="77777777" w:rsidTr="004B4C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vAlign w:val="center"/>
            <w:hideMark/>
          </w:tcPr>
          <w:p w14:paraId="3F2C99A6"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Kraft 4</w:t>
            </w:r>
          </w:p>
        </w:tc>
        <w:tc>
          <w:tcPr>
            <w:tcW w:w="1177" w:type="dxa"/>
            <w:shd w:val="clear" w:color="auto" w:fill="FFFFFF" w:themeFill="background1"/>
            <w:noWrap/>
            <w:vAlign w:val="center"/>
            <w:hideMark/>
          </w:tcPr>
          <w:p w14:paraId="2D0F4C39"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115</w:t>
            </w:r>
          </w:p>
        </w:tc>
        <w:tc>
          <w:tcPr>
            <w:tcW w:w="1440" w:type="dxa"/>
            <w:shd w:val="clear" w:color="auto" w:fill="FFFFFF" w:themeFill="background1"/>
            <w:vAlign w:val="center"/>
            <w:hideMark/>
          </w:tcPr>
          <w:p w14:paraId="3EEBF528"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Gas/</w:t>
            </w:r>
            <w:r w:rsidRPr="00B5494E">
              <w:rPr>
                <w:rFonts w:eastAsia="Times New Roman" w:cstheme="minorHAnsi"/>
                <w:iCs/>
                <w:sz w:val="18"/>
                <w:szCs w:val="18"/>
              </w:rPr>
              <w:t>Oil</w:t>
            </w:r>
          </w:p>
        </w:tc>
        <w:tc>
          <w:tcPr>
            <w:tcW w:w="2160" w:type="dxa"/>
            <w:shd w:val="clear" w:color="auto" w:fill="FFFFFF" w:themeFill="background1"/>
            <w:vAlign w:val="center"/>
            <w:hideMark/>
          </w:tcPr>
          <w:p w14:paraId="7D28E02F"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2013 IRP</w:t>
            </w:r>
          </w:p>
        </w:tc>
        <w:tc>
          <w:tcPr>
            <w:tcW w:w="2160" w:type="dxa"/>
            <w:shd w:val="clear" w:color="auto" w:fill="FFFFFF" w:themeFill="background1"/>
            <w:vAlign w:val="center"/>
            <w:hideMark/>
          </w:tcPr>
          <w:p w14:paraId="242D776B"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10/13/2015</w:t>
            </w:r>
          </w:p>
        </w:tc>
      </w:tr>
      <w:tr w:rsidR="00B5494E" w:rsidRPr="00B5494E" w14:paraId="56916134" w14:textId="77777777" w:rsidTr="004B4CD5">
        <w:trPr>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vAlign w:val="center"/>
            <w:hideMark/>
          </w:tcPr>
          <w:p w14:paraId="7B3C14C6"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McManus 1</w:t>
            </w:r>
          </w:p>
        </w:tc>
        <w:tc>
          <w:tcPr>
            <w:tcW w:w="1177" w:type="dxa"/>
            <w:shd w:val="clear" w:color="auto" w:fill="FFFFFF" w:themeFill="background1"/>
            <w:noWrap/>
            <w:vAlign w:val="center"/>
            <w:hideMark/>
          </w:tcPr>
          <w:p w14:paraId="4AF5F6BA"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43</w:t>
            </w:r>
          </w:p>
        </w:tc>
        <w:tc>
          <w:tcPr>
            <w:tcW w:w="1440" w:type="dxa"/>
            <w:shd w:val="clear" w:color="auto" w:fill="FFFFFF" w:themeFill="background1"/>
            <w:vAlign w:val="center"/>
            <w:hideMark/>
          </w:tcPr>
          <w:p w14:paraId="59070EB7"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Oil</w:t>
            </w:r>
          </w:p>
        </w:tc>
        <w:tc>
          <w:tcPr>
            <w:tcW w:w="2160" w:type="dxa"/>
            <w:shd w:val="clear" w:color="auto" w:fill="FFFFFF" w:themeFill="background1"/>
            <w:vAlign w:val="center"/>
            <w:hideMark/>
          </w:tcPr>
          <w:p w14:paraId="7ECC77D1"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2013 IRP</w:t>
            </w:r>
          </w:p>
        </w:tc>
        <w:tc>
          <w:tcPr>
            <w:tcW w:w="2160" w:type="dxa"/>
            <w:shd w:val="clear" w:color="auto" w:fill="FFFFFF" w:themeFill="background1"/>
            <w:vAlign w:val="center"/>
            <w:hideMark/>
          </w:tcPr>
          <w:p w14:paraId="051D7801"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4/16/2015</w:t>
            </w:r>
          </w:p>
        </w:tc>
      </w:tr>
      <w:tr w:rsidR="00B5494E" w:rsidRPr="00B5494E" w14:paraId="093A33F5" w14:textId="77777777" w:rsidTr="004B4C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vAlign w:val="center"/>
            <w:hideMark/>
          </w:tcPr>
          <w:p w14:paraId="224AF37D"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McManus 2</w:t>
            </w:r>
          </w:p>
        </w:tc>
        <w:tc>
          <w:tcPr>
            <w:tcW w:w="1177" w:type="dxa"/>
            <w:shd w:val="clear" w:color="auto" w:fill="FFFFFF" w:themeFill="background1"/>
            <w:noWrap/>
            <w:vAlign w:val="center"/>
            <w:hideMark/>
          </w:tcPr>
          <w:p w14:paraId="306BD5F5"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79</w:t>
            </w:r>
          </w:p>
        </w:tc>
        <w:tc>
          <w:tcPr>
            <w:tcW w:w="1440" w:type="dxa"/>
            <w:shd w:val="clear" w:color="auto" w:fill="FFFFFF" w:themeFill="background1"/>
            <w:vAlign w:val="center"/>
            <w:hideMark/>
          </w:tcPr>
          <w:p w14:paraId="33FBDFC9"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Oil</w:t>
            </w:r>
          </w:p>
        </w:tc>
        <w:tc>
          <w:tcPr>
            <w:tcW w:w="2160" w:type="dxa"/>
            <w:shd w:val="clear" w:color="auto" w:fill="FFFFFF" w:themeFill="background1"/>
            <w:vAlign w:val="center"/>
            <w:hideMark/>
          </w:tcPr>
          <w:p w14:paraId="60C4FC4E"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2013 IRP</w:t>
            </w:r>
          </w:p>
        </w:tc>
        <w:tc>
          <w:tcPr>
            <w:tcW w:w="2160" w:type="dxa"/>
            <w:shd w:val="clear" w:color="auto" w:fill="FFFFFF" w:themeFill="background1"/>
            <w:vAlign w:val="center"/>
            <w:hideMark/>
          </w:tcPr>
          <w:p w14:paraId="001037D2"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4/16/2015</w:t>
            </w:r>
          </w:p>
        </w:tc>
      </w:tr>
      <w:tr w:rsidR="00B5494E" w:rsidRPr="00B5494E" w14:paraId="3C18C79A" w14:textId="77777777" w:rsidTr="004B4CD5">
        <w:trPr>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noWrap/>
            <w:vAlign w:val="center"/>
            <w:hideMark/>
          </w:tcPr>
          <w:p w14:paraId="18E7E81E"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Yates 1-5</w:t>
            </w:r>
          </w:p>
        </w:tc>
        <w:tc>
          <w:tcPr>
            <w:tcW w:w="1177" w:type="dxa"/>
            <w:shd w:val="clear" w:color="auto" w:fill="FFFFFF" w:themeFill="background1"/>
            <w:noWrap/>
            <w:vAlign w:val="center"/>
            <w:hideMark/>
          </w:tcPr>
          <w:p w14:paraId="13C08B2E"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579</w:t>
            </w:r>
          </w:p>
        </w:tc>
        <w:tc>
          <w:tcPr>
            <w:tcW w:w="1440" w:type="dxa"/>
            <w:shd w:val="clear" w:color="auto" w:fill="FFFFFF" w:themeFill="background1"/>
            <w:noWrap/>
            <w:vAlign w:val="center"/>
            <w:hideMark/>
          </w:tcPr>
          <w:p w14:paraId="5CA8218B"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Coal</w:t>
            </w:r>
          </w:p>
        </w:tc>
        <w:tc>
          <w:tcPr>
            <w:tcW w:w="2160" w:type="dxa"/>
            <w:shd w:val="clear" w:color="auto" w:fill="FFFFFF" w:themeFill="background1"/>
            <w:vAlign w:val="center"/>
            <w:hideMark/>
          </w:tcPr>
          <w:p w14:paraId="391BC43B"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2013 IRP</w:t>
            </w:r>
          </w:p>
        </w:tc>
        <w:tc>
          <w:tcPr>
            <w:tcW w:w="2160" w:type="dxa"/>
            <w:shd w:val="clear" w:color="auto" w:fill="FFFFFF" w:themeFill="background1"/>
            <w:noWrap/>
            <w:vAlign w:val="center"/>
            <w:hideMark/>
          </w:tcPr>
          <w:p w14:paraId="7943E0EC"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4/16/2015</w:t>
            </w:r>
          </w:p>
        </w:tc>
      </w:tr>
      <w:tr w:rsidR="00B5494E" w:rsidRPr="00B5494E" w14:paraId="17B5689C" w14:textId="77777777" w:rsidTr="004B4C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noWrap/>
            <w:vAlign w:val="center"/>
            <w:hideMark/>
          </w:tcPr>
          <w:p w14:paraId="1DAE412E"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Boulevard 2</w:t>
            </w:r>
          </w:p>
        </w:tc>
        <w:tc>
          <w:tcPr>
            <w:tcW w:w="1177" w:type="dxa"/>
            <w:shd w:val="clear" w:color="auto" w:fill="FFFFFF" w:themeFill="background1"/>
            <w:noWrap/>
            <w:vAlign w:val="center"/>
            <w:hideMark/>
          </w:tcPr>
          <w:p w14:paraId="41073A35"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14</w:t>
            </w:r>
          </w:p>
        </w:tc>
        <w:tc>
          <w:tcPr>
            <w:tcW w:w="1440" w:type="dxa"/>
            <w:shd w:val="clear" w:color="auto" w:fill="FFFFFF" w:themeFill="background1"/>
            <w:noWrap/>
            <w:vAlign w:val="center"/>
            <w:hideMark/>
          </w:tcPr>
          <w:p w14:paraId="4D50DB72"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Oil</w:t>
            </w:r>
          </w:p>
        </w:tc>
        <w:tc>
          <w:tcPr>
            <w:tcW w:w="2160" w:type="dxa"/>
            <w:shd w:val="clear" w:color="auto" w:fill="FFFFFF" w:themeFill="background1"/>
            <w:vAlign w:val="center"/>
            <w:hideMark/>
          </w:tcPr>
          <w:p w14:paraId="31FF763D"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2013 IRP</w:t>
            </w:r>
          </w:p>
        </w:tc>
        <w:tc>
          <w:tcPr>
            <w:tcW w:w="2160" w:type="dxa"/>
            <w:shd w:val="clear" w:color="auto" w:fill="FFFFFF" w:themeFill="background1"/>
            <w:noWrap/>
            <w:vAlign w:val="center"/>
            <w:hideMark/>
          </w:tcPr>
          <w:p w14:paraId="3067C320"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7/17/2013</w:t>
            </w:r>
          </w:p>
        </w:tc>
      </w:tr>
      <w:tr w:rsidR="00B5494E" w:rsidRPr="00B5494E" w14:paraId="754B60D3" w14:textId="77777777" w:rsidTr="004B4CD5">
        <w:trPr>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noWrap/>
            <w:vAlign w:val="center"/>
            <w:hideMark/>
          </w:tcPr>
          <w:p w14:paraId="257AF52D"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Boulevard 3</w:t>
            </w:r>
          </w:p>
        </w:tc>
        <w:tc>
          <w:tcPr>
            <w:tcW w:w="1177" w:type="dxa"/>
            <w:shd w:val="clear" w:color="auto" w:fill="FFFFFF" w:themeFill="background1"/>
            <w:noWrap/>
            <w:vAlign w:val="center"/>
            <w:hideMark/>
          </w:tcPr>
          <w:p w14:paraId="791C8447"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14</w:t>
            </w:r>
          </w:p>
        </w:tc>
        <w:tc>
          <w:tcPr>
            <w:tcW w:w="1440" w:type="dxa"/>
            <w:shd w:val="clear" w:color="auto" w:fill="FFFFFF" w:themeFill="background1"/>
            <w:noWrap/>
            <w:vAlign w:val="center"/>
            <w:hideMark/>
          </w:tcPr>
          <w:p w14:paraId="560B9C31"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Oil</w:t>
            </w:r>
          </w:p>
        </w:tc>
        <w:tc>
          <w:tcPr>
            <w:tcW w:w="2160" w:type="dxa"/>
            <w:shd w:val="clear" w:color="auto" w:fill="FFFFFF" w:themeFill="background1"/>
            <w:vAlign w:val="center"/>
            <w:hideMark/>
          </w:tcPr>
          <w:p w14:paraId="1673DC25"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2013 IRP</w:t>
            </w:r>
          </w:p>
        </w:tc>
        <w:tc>
          <w:tcPr>
            <w:tcW w:w="2160" w:type="dxa"/>
            <w:shd w:val="clear" w:color="auto" w:fill="FFFFFF" w:themeFill="background1"/>
            <w:noWrap/>
            <w:vAlign w:val="center"/>
            <w:hideMark/>
          </w:tcPr>
          <w:p w14:paraId="75D130D5"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7/17/2013</w:t>
            </w:r>
          </w:p>
        </w:tc>
      </w:tr>
      <w:tr w:rsidR="00B5494E" w:rsidRPr="00B5494E" w14:paraId="21B4AEE3" w14:textId="77777777" w:rsidTr="004B4C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noWrap/>
            <w:vAlign w:val="center"/>
            <w:hideMark/>
          </w:tcPr>
          <w:p w14:paraId="67CE6BD2"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Bowen 6</w:t>
            </w:r>
          </w:p>
        </w:tc>
        <w:tc>
          <w:tcPr>
            <w:tcW w:w="1177" w:type="dxa"/>
            <w:shd w:val="clear" w:color="auto" w:fill="FFFFFF" w:themeFill="background1"/>
            <w:noWrap/>
            <w:vAlign w:val="center"/>
            <w:hideMark/>
          </w:tcPr>
          <w:p w14:paraId="750B4A27"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32</w:t>
            </w:r>
          </w:p>
        </w:tc>
        <w:tc>
          <w:tcPr>
            <w:tcW w:w="1440" w:type="dxa"/>
            <w:shd w:val="clear" w:color="auto" w:fill="FFFFFF" w:themeFill="background1"/>
            <w:noWrap/>
            <w:vAlign w:val="center"/>
            <w:hideMark/>
          </w:tcPr>
          <w:p w14:paraId="4D28A577"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Oil</w:t>
            </w:r>
          </w:p>
        </w:tc>
        <w:tc>
          <w:tcPr>
            <w:tcW w:w="2160" w:type="dxa"/>
            <w:shd w:val="clear" w:color="auto" w:fill="FFFFFF" w:themeFill="background1"/>
            <w:vAlign w:val="center"/>
            <w:hideMark/>
          </w:tcPr>
          <w:p w14:paraId="2B60A444"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2013 IRP</w:t>
            </w:r>
          </w:p>
        </w:tc>
        <w:tc>
          <w:tcPr>
            <w:tcW w:w="2160" w:type="dxa"/>
            <w:shd w:val="clear" w:color="auto" w:fill="FFFFFF" w:themeFill="background1"/>
            <w:noWrap/>
            <w:vAlign w:val="center"/>
            <w:hideMark/>
          </w:tcPr>
          <w:p w14:paraId="358A9CF8"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4/25/2013</w:t>
            </w:r>
          </w:p>
        </w:tc>
      </w:tr>
      <w:tr w:rsidR="00B5494E" w:rsidRPr="00B5494E" w14:paraId="6572E46C" w14:textId="77777777" w:rsidTr="004B4CD5">
        <w:trPr>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noWrap/>
            <w:vAlign w:val="center"/>
            <w:hideMark/>
          </w:tcPr>
          <w:p w14:paraId="2BA5F74F"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Mitchell 3</w:t>
            </w:r>
          </w:p>
        </w:tc>
        <w:tc>
          <w:tcPr>
            <w:tcW w:w="1177" w:type="dxa"/>
            <w:shd w:val="clear" w:color="auto" w:fill="FFFFFF" w:themeFill="background1"/>
            <w:noWrap/>
            <w:vAlign w:val="center"/>
            <w:hideMark/>
          </w:tcPr>
          <w:p w14:paraId="190D580F"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155</w:t>
            </w:r>
          </w:p>
        </w:tc>
        <w:tc>
          <w:tcPr>
            <w:tcW w:w="1440" w:type="dxa"/>
            <w:shd w:val="clear" w:color="auto" w:fill="FFFFFF" w:themeFill="background1"/>
            <w:noWrap/>
            <w:vAlign w:val="center"/>
            <w:hideMark/>
          </w:tcPr>
          <w:p w14:paraId="2FF8006E"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Coal</w:t>
            </w:r>
          </w:p>
        </w:tc>
        <w:tc>
          <w:tcPr>
            <w:tcW w:w="2160" w:type="dxa"/>
            <w:shd w:val="clear" w:color="auto" w:fill="FFFFFF" w:themeFill="background1"/>
            <w:noWrap/>
            <w:vAlign w:val="center"/>
            <w:hideMark/>
          </w:tcPr>
          <w:p w14:paraId="583552A7"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2016 IRP</w:t>
            </w:r>
          </w:p>
        </w:tc>
        <w:tc>
          <w:tcPr>
            <w:tcW w:w="2160" w:type="dxa"/>
            <w:shd w:val="clear" w:color="auto" w:fill="FFFFFF" w:themeFill="background1"/>
            <w:noWrap/>
            <w:vAlign w:val="center"/>
            <w:hideMark/>
          </w:tcPr>
          <w:p w14:paraId="10B0B094"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8/2/2016</w:t>
            </w:r>
          </w:p>
        </w:tc>
      </w:tr>
      <w:tr w:rsidR="00B5494E" w:rsidRPr="00B5494E" w14:paraId="1001FED8" w14:textId="77777777" w:rsidTr="004B4C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noWrap/>
            <w:vAlign w:val="center"/>
            <w:hideMark/>
          </w:tcPr>
          <w:p w14:paraId="03B1E818"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Mitchell 4A</w:t>
            </w:r>
          </w:p>
        </w:tc>
        <w:tc>
          <w:tcPr>
            <w:tcW w:w="1177" w:type="dxa"/>
            <w:shd w:val="clear" w:color="auto" w:fill="FFFFFF" w:themeFill="background1"/>
            <w:noWrap/>
            <w:vAlign w:val="center"/>
            <w:hideMark/>
          </w:tcPr>
          <w:p w14:paraId="5B218090"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31</w:t>
            </w:r>
          </w:p>
        </w:tc>
        <w:tc>
          <w:tcPr>
            <w:tcW w:w="1440" w:type="dxa"/>
            <w:shd w:val="clear" w:color="auto" w:fill="FFFFFF" w:themeFill="background1"/>
            <w:noWrap/>
            <w:vAlign w:val="center"/>
            <w:hideMark/>
          </w:tcPr>
          <w:p w14:paraId="2F4DF5B8"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Oil</w:t>
            </w:r>
          </w:p>
        </w:tc>
        <w:tc>
          <w:tcPr>
            <w:tcW w:w="2160" w:type="dxa"/>
            <w:shd w:val="clear" w:color="auto" w:fill="FFFFFF" w:themeFill="background1"/>
            <w:noWrap/>
            <w:vAlign w:val="center"/>
            <w:hideMark/>
          </w:tcPr>
          <w:p w14:paraId="5CD872C7"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2016 IRP</w:t>
            </w:r>
          </w:p>
        </w:tc>
        <w:tc>
          <w:tcPr>
            <w:tcW w:w="2160" w:type="dxa"/>
            <w:shd w:val="clear" w:color="auto" w:fill="FFFFFF" w:themeFill="background1"/>
            <w:noWrap/>
            <w:vAlign w:val="center"/>
            <w:hideMark/>
          </w:tcPr>
          <w:p w14:paraId="76B81B73"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8/2/2016</w:t>
            </w:r>
          </w:p>
        </w:tc>
      </w:tr>
      <w:tr w:rsidR="00B5494E" w:rsidRPr="00B5494E" w14:paraId="029DB4A5" w14:textId="77777777" w:rsidTr="004B4CD5">
        <w:trPr>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noWrap/>
            <w:vAlign w:val="center"/>
            <w:hideMark/>
          </w:tcPr>
          <w:p w14:paraId="379A65E2"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Mitchell 4B</w:t>
            </w:r>
          </w:p>
        </w:tc>
        <w:tc>
          <w:tcPr>
            <w:tcW w:w="1177" w:type="dxa"/>
            <w:shd w:val="clear" w:color="auto" w:fill="FFFFFF" w:themeFill="background1"/>
            <w:noWrap/>
            <w:vAlign w:val="center"/>
            <w:hideMark/>
          </w:tcPr>
          <w:p w14:paraId="39435888"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31</w:t>
            </w:r>
          </w:p>
        </w:tc>
        <w:tc>
          <w:tcPr>
            <w:tcW w:w="1440" w:type="dxa"/>
            <w:shd w:val="clear" w:color="auto" w:fill="FFFFFF" w:themeFill="background1"/>
            <w:noWrap/>
            <w:vAlign w:val="center"/>
            <w:hideMark/>
          </w:tcPr>
          <w:p w14:paraId="67A8338B"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Oil</w:t>
            </w:r>
          </w:p>
        </w:tc>
        <w:tc>
          <w:tcPr>
            <w:tcW w:w="2160" w:type="dxa"/>
            <w:shd w:val="clear" w:color="auto" w:fill="FFFFFF" w:themeFill="background1"/>
            <w:noWrap/>
            <w:vAlign w:val="center"/>
            <w:hideMark/>
          </w:tcPr>
          <w:p w14:paraId="3ACE490B"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2016 IRP</w:t>
            </w:r>
          </w:p>
        </w:tc>
        <w:tc>
          <w:tcPr>
            <w:tcW w:w="2160" w:type="dxa"/>
            <w:shd w:val="clear" w:color="auto" w:fill="FFFFFF" w:themeFill="background1"/>
            <w:noWrap/>
            <w:vAlign w:val="center"/>
            <w:hideMark/>
          </w:tcPr>
          <w:p w14:paraId="16D4F3E7"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8/2/2016</w:t>
            </w:r>
          </w:p>
        </w:tc>
      </w:tr>
      <w:tr w:rsidR="00B5494E" w:rsidRPr="00B5494E" w14:paraId="5AE172CA" w14:textId="77777777" w:rsidTr="004B4C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noWrap/>
            <w:vAlign w:val="center"/>
            <w:hideMark/>
          </w:tcPr>
          <w:p w14:paraId="7727DB9B"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Kraft 1 CT</w:t>
            </w:r>
          </w:p>
        </w:tc>
        <w:tc>
          <w:tcPr>
            <w:tcW w:w="1177" w:type="dxa"/>
            <w:shd w:val="clear" w:color="auto" w:fill="FFFFFF" w:themeFill="background1"/>
            <w:noWrap/>
            <w:vAlign w:val="center"/>
            <w:hideMark/>
          </w:tcPr>
          <w:p w14:paraId="4F20B5F5"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17</w:t>
            </w:r>
          </w:p>
        </w:tc>
        <w:tc>
          <w:tcPr>
            <w:tcW w:w="1440" w:type="dxa"/>
            <w:shd w:val="clear" w:color="auto" w:fill="FFFFFF" w:themeFill="background1"/>
            <w:noWrap/>
            <w:vAlign w:val="center"/>
            <w:hideMark/>
          </w:tcPr>
          <w:p w14:paraId="34F15118"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Gas/</w:t>
            </w:r>
            <w:r w:rsidRPr="00B5494E">
              <w:rPr>
                <w:rFonts w:eastAsia="Times New Roman" w:cstheme="minorHAnsi"/>
                <w:iCs/>
                <w:sz w:val="18"/>
                <w:szCs w:val="18"/>
              </w:rPr>
              <w:t>Oil</w:t>
            </w:r>
          </w:p>
        </w:tc>
        <w:tc>
          <w:tcPr>
            <w:tcW w:w="2160" w:type="dxa"/>
            <w:shd w:val="clear" w:color="auto" w:fill="FFFFFF" w:themeFill="background1"/>
            <w:noWrap/>
            <w:vAlign w:val="center"/>
            <w:hideMark/>
          </w:tcPr>
          <w:p w14:paraId="28C0DE70"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2016 IRP</w:t>
            </w:r>
          </w:p>
        </w:tc>
        <w:tc>
          <w:tcPr>
            <w:tcW w:w="2160" w:type="dxa"/>
            <w:shd w:val="clear" w:color="auto" w:fill="FFFFFF" w:themeFill="background1"/>
            <w:noWrap/>
            <w:vAlign w:val="center"/>
            <w:hideMark/>
          </w:tcPr>
          <w:p w14:paraId="0A222491"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8/2/2016</w:t>
            </w:r>
          </w:p>
        </w:tc>
      </w:tr>
      <w:tr w:rsidR="00B5494E" w:rsidRPr="00B5494E" w14:paraId="683D8E63" w14:textId="77777777" w:rsidTr="004B4CD5">
        <w:trPr>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noWrap/>
            <w:vAlign w:val="center"/>
            <w:hideMark/>
          </w:tcPr>
          <w:p w14:paraId="15FD9E5B"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Intercession City</w:t>
            </w:r>
          </w:p>
        </w:tc>
        <w:tc>
          <w:tcPr>
            <w:tcW w:w="1177" w:type="dxa"/>
            <w:shd w:val="clear" w:color="auto" w:fill="FFFFFF" w:themeFill="background1"/>
            <w:noWrap/>
            <w:vAlign w:val="center"/>
            <w:hideMark/>
          </w:tcPr>
          <w:p w14:paraId="3DB0BCE9"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143</w:t>
            </w:r>
          </w:p>
        </w:tc>
        <w:tc>
          <w:tcPr>
            <w:tcW w:w="1440" w:type="dxa"/>
            <w:shd w:val="clear" w:color="auto" w:fill="FFFFFF" w:themeFill="background1"/>
            <w:noWrap/>
            <w:vAlign w:val="center"/>
            <w:hideMark/>
          </w:tcPr>
          <w:p w14:paraId="404C04CC"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Oil</w:t>
            </w:r>
          </w:p>
        </w:tc>
        <w:tc>
          <w:tcPr>
            <w:tcW w:w="2160" w:type="dxa"/>
            <w:shd w:val="clear" w:color="auto" w:fill="FFFFFF" w:themeFill="background1"/>
            <w:noWrap/>
            <w:vAlign w:val="center"/>
            <w:hideMark/>
          </w:tcPr>
          <w:p w14:paraId="3F60CAE5"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sz w:val="18"/>
                <w:szCs w:val="18"/>
              </w:rPr>
              <w:t>2016 IRP</w:t>
            </w:r>
            <w:r w:rsidRPr="00B5494E">
              <w:rPr>
                <w:rStyle w:val="FootnoteReference"/>
                <w:rFonts w:eastAsia="Times New Roman"/>
                <w:sz w:val="18"/>
                <w:szCs w:val="18"/>
              </w:rPr>
              <w:footnoteReference w:id="48"/>
            </w:r>
          </w:p>
        </w:tc>
        <w:tc>
          <w:tcPr>
            <w:tcW w:w="2160" w:type="dxa"/>
            <w:shd w:val="clear" w:color="auto" w:fill="FFFFFF" w:themeFill="background1"/>
            <w:noWrap/>
            <w:vAlign w:val="center"/>
            <w:hideMark/>
          </w:tcPr>
          <w:p w14:paraId="7F548349"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8/2/2016</w:t>
            </w:r>
          </w:p>
        </w:tc>
      </w:tr>
      <w:tr w:rsidR="00B5494E" w:rsidRPr="00B5494E" w14:paraId="116F6723" w14:textId="77777777" w:rsidTr="004B4C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noWrap/>
            <w:vAlign w:val="center"/>
            <w:hideMark/>
          </w:tcPr>
          <w:p w14:paraId="1C8C6A5F"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Hammond 1</w:t>
            </w:r>
          </w:p>
        </w:tc>
        <w:tc>
          <w:tcPr>
            <w:tcW w:w="1177" w:type="dxa"/>
            <w:shd w:val="clear" w:color="auto" w:fill="FFFFFF" w:themeFill="background1"/>
            <w:noWrap/>
            <w:vAlign w:val="center"/>
            <w:hideMark/>
          </w:tcPr>
          <w:p w14:paraId="51D98265"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110</w:t>
            </w:r>
          </w:p>
        </w:tc>
        <w:tc>
          <w:tcPr>
            <w:tcW w:w="1440" w:type="dxa"/>
            <w:shd w:val="clear" w:color="auto" w:fill="FFFFFF" w:themeFill="background1"/>
            <w:noWrap/>
            <w:vAlign w:val="center"/>
            <w:hideMark/>
          </w:tcPr>
          <w:p w14:paraId="206C4C43"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Coal</w:t>
            </w:r>
          </w:p>
        </w:tc>
        <w:tc>
          <w:tcPr>
            <w:tcW w:w="2160" w:type="dxa"/>
            <w:shd w:val="clear" w:color="auto" w:fill="FFFFFF" w:themeFill="background1"/>
            <w:noWrap/>
            <w:vAlign w:val="center"/>
            <w:hideMark/>
          </w:tcPr>
          <w:p w14:paraId="75B66B92"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2019 IRP</w:t>
            </w:r>
          </w:p>
        </w:tc>
        <w:tc>
          <w:tcPr>
            <w:tcW w:w="2160" w:type="dxa"/>
            <w:shd w:val="clear" w:color="auto" w:fill="FFFFFF" w:themeFill="background1"/>
            <w:noWrap/>
            <w:vAlign w:val="center"/>
            <w:hideMark/>
          </w:tcPr>
          <w:p w14:paraId="7249B9F2"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7/29/2019</w:t>
            </w:r>
          </w:p>
        </w:tc>
      </w:tr>
      <w:tr w:rsidR="00B5494E" w:rsidRPr="00B5494E" w14:paraId="323EFA6B" w14:textId="77777777" w:rsidTr="004B4CD5">
        <w:trPr>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noWrap/>
            <w:vAlign w:val="center"/>
            <w:hideMark/>
          </w:tcPr>
          <w:p w14:paraId="79D464AE"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Hammond 2</w:t>
            </w:r>
          </w:p>
        </w:tc>
        <w:tc>
          <w:tcPr>
            <w:tcW w:w="1177" w:type="dxa"/>
            <w:shd w:val="clear" w:color="auto" w:fill="FFFFFF" w:themeFill="background1"/>
            <w:noWrap/>
            <w:vAlign w:val="center"/>
            <w:hideMark/>
          </w:tcPr>
          <w:p w14:paraId="6427658A"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110</w:t>
            </w:r>
          </w:p>
        </w:tc>
        <w:tc>
          <w:tcPr>
            <w:tcW w:w="1440" w:type="dxa"/>
            <w:shd w:val="clear" w:color="auto" w:fill="FFFFFF" w:themeFill="background1"/>
            <w:noWrap/>
            <w:vAlign w:val="center"/>
            <w:hideMark/>
          </w:tcPr>
          <w:p w14:paraId="566F4290"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Coal</w:t>
            </w:r>
          </w:p>
        </w:tc>
        <w:tc>
          <w:tcPr>
            <w:tcW w:w="2160" w:type="dxa"/>
            <w:shd w:val="clear" w:color="auto" w:fill="FFFFFF" w:themeFill="background1"/>
            <w:noWrap/>
            <w:vAlign w:val="center"/>
            <w:hideMark/>
          </w:tcPr>
          <w:p w14:paraId="05596994"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2019 IRP</w:t>
            </w:r>
          </w:p>
        </w:tc>
        <w:tc>
          <w:tcPr>
            <w:tcW w:w="2160" w:type="dxa"/>
            <w:shd w:val="clear" w:color="auto" w:fill="FFFFFF" w:themeFill="background1"/>
            <w:noWrap/>
            <w:vAlign w:val="center"/>
            <w:hideMark/>
          </w:tcPr>
          <w:p w14:paraId="52340F62"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7/29/2019</w:t>
            </w:r>
          </w:p>
        </w:tc>
      </w:tr>
      <w:tr w:rsidR="00B5494E" w:rsidRPr="00B5494E" w14:paraId="789A3B1B" w14:textId="77777777" w:rsidTr="004B4C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noWrap/>
            <w:vAlign w:val="center"/>
            <w:hideMark/>
          </w:tcPr>
          <w:p w14:paraId="3519B037"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Hammond 3</w:t>
            </w:r>
          </w:p>
        </w:tc>
        <w:tc>
          <w:tcPr>
            <w:tcW w:w="1177" w:type="dxa"/>
            <w:shd w:val="clear" w:color="auto" w:fill="FFFFFF" w:themeFill="background1"/>
            <w:noWrap/>
            <w:vAlign w:val="center"/>
            <w:hideMark/>
          </w:tcPr>
          <w:p w14:paraId="358A038D"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110</w:t>
            </w:r>
          </w:p>
        </w:tc>
        <w:tc>
          <w:tcPr>
            <w:tcW w:w="1440" w:type="dxa"/>
            <w:shd w:val="clear" w:color="auto" w:fill="FFFFFF" w:themeFill="background1"/>
            <w:noWrap/>
            <w:vAlign w:val="center"/>
            <w:hideMark/>
          </w:tcPr>
          <w:p w14:paraId="0AB6FC56"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Coal</w:t>
            </w:r>
          </w:p>
        </w:tc>
        <w:tc>
          <w:tcPr>
            <w:tcW w:w="2160" w:type="dxa"/>
            <w:shd w:val="clear" w:color="auto" w:fill="FFFFFF" w:themeFill="background1"/>
            <w:noWrap/>
            <w:vAlign w:val="center"/>
            <w:hideMark/>
          </w:tcPr>
          <w:p w14:paraId="28FB26FE"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2019 IRP</w:t>
            </w:r>
          </w:p>
        </w:tc>
        <w:tc>
          <w:tcPr>
            <w:tcW w:w="2160" w:type="dxa"/>
            <w:shd w:val="clear" w:color="auto" w:fill="FFFFFF" w:themeFill="background1"/>
            <w:noWrap/>
            <w:vAlign w:val="center"/>
            <w:hideMark/>
          </w:tcPr>
          <w:p w14:paraId="46139725"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7/29/2019</w:t>
            </w:r>
          </w:p>
        </w:tc>
      </w:tr>
      <w:tr w:rsidR="00B5494E" w:rsidRPr="00B5494E" w14:paraId="668EDBFC" w14:textId="77777777" w:rsidTr="004B4CD5">
        <w:trPr>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noWrap/>
            <w:vAlign w:val="center"/>
          </w:tcPr>
          <w:p w14:paraId="4FDA84C0"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Hammond 4</w:t>
            </w:r>
          </w:p>
        </w:tc>
        <w:tc>
          <w:tcPr>
            <w:tcW w:w="1177" w:type="dxa"/>
            <w:shd w:val="clear" w:color="auto" w:fill="FFFFFF" w:themeFill="background1"/>
            <w:noWrap/>
            <w:vAlign w:val="center"/>
          </w:tcPr>
          <w:p w14:paraId="0D23A307"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510</w:t>
            </w:r>
          </w:p>
        </w:tc>
        <w:tc>
          <w:tcPr>
            <w:tcW w:w="1440" w:type="dxa"/>
            <w:shd w:val="clear" w:color="auto" w:fill="FFFFFF" w:themeFill="background1"/>
            <w:noWrap/>
            <w:vAlign w:val="center"/>
          </w:tcPr>
          <w:p w14:paraId="2B31FEE3"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Coal</w:t>
            </w:r>
          </w:p>
        </w:tc>
        <w:tc>
          <w:tcPr>
            <w:tcW w:w="2160" w:type="dxa"/>
            <w:shd w:val="clear" w:color="auto" w:fill="FFFFFF" w:themeFill="background1"/>
            <w:noWrap/>
            <w:vAlign w:val="center"/>
          </w:tcPr>
          <w:p w14:paraId="380C1EE9"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2019 IRP</w:t>
            </w:r>
          </w:p>
        </w:tc>
        <w:tc>
          <w:tcPr>
            <w:tcW w:w="2160" w:type="dxa"/>
            <w:shd w:val="clear" w:color="auto" w:fill="FFFFFF" w:themeFill="background1"/>
            <w:noWrap/>
            <w:vAlign w:val="center"/>
          </w:tcPr>
          <w:p w14:paraId="440A9F52"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7/29/2019</w:t>
            </w:r>
          </w:p>
        </w:tc>
      </w:tr>
      <w:tr w:rsidR="00B5494E" w:rsidRPr="00B5494E" w14:paraId="234CC80A" w14:textId="77777777" w:rsidTr="004B4C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noWrap/>
            <w:vAlign w:val="center"/>
            <w:hideMark/>
          </w:tcPr>
          <w:p w14:paraId="119A5287"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McIntosh 1</w:t>
            </w:r>
          </w:p>
        </w:tc>
        <w:tc>
          <w:tcPr>
            <w:tcW w:w="1177" w:type="dxa"/>
            <w:shd w:val="clear" w:color="auto" w:fill="FFFFFF" w:themeFill="background1"/>
            <w:noWrap/>
            <w:vAlign w:val="center"/>
            <w:hideMark/>
          </w:tcPr>
          <w:p w14:paraId="685CC1CF"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142.5</w:t>
            </w:r>
          </w:p>
        </w:tc>
        <w:tc>
          <w:tcPr>
            <w:tcW w:w="1440" w:type="dxa"/>
            <w:shd w:val="clear" w:color="auto" w:fill="FFFFFF" w:themeFill="background1"/>
            <w:noWrap/>
            <w:vAlign w:val="center"/>
            <w:hideMark/>
          </w:tcPr>
          <w:p w14:paraId="498407F4"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Coal</w:t>
            </w:r>
          </w:p>
        </w:tc>
        <w:tc>
          <w:tcPr>
            <w:tcW w:w="2160" w:type="dxa"/>
            <w:shd w:val="clear" w:color="auto" w:fill="FFFFFF" w:themeFill="background1"/>
            <w:noWrap/>
            <w:vAlign w:val="center"/>
            <w:hideMark/>
          </w:tcPr>
          <w:p w14:paraId="6931E8BD"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2019 IRP</w:t>
            </w:r>
          </w:p>
        </w:tc>
        <w:tc>
          <w:tcPr>
            <w:tcW w:w="2160" w:type="dxa"/>
            <w:shd w:val="clear" w:color="auto" w:fill="FFFFFF" w:themeFill="background1"/>
            <w:noWrap/>
            <w:vAlign w:val="center"/>
            <w:hideMark/>
          </w:tcPr>
          <w:p w14:paraId="3ABA9757"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7/29/2019</w:t>
            </w:r>
          </w:p>
        </w:tc>
      </w:tr>
      <w:tr w:rsidR="00B5494E" w:rsidRPr="00B5494E" w14:paraId="4CAB3505" w14:textId="77777777" w:rsidTr="004B4CD5">
        <w:trPr>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noWrap/>
            <w:vAlign w:val="center"/>
          </w:tcPr>
          <w:p w14:paraId="53A2DC88"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Estatoah 1</w:t>
            </w:r>
          </w:p>
        </w:tc>
        <w:tc>
          <w:tcPr>
            <w:tcW w:w="1177" w:type="dxa"/>
            <w:shd w:val="clear" w:color="auto" w:fill="FFFFFF" w:themeFill="background1"/>
            <w:noWrap/>
            <w:vAlign w:val="center"/>
          </w:tcPr>
          <w:p w14:paraId="29F33063"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0.1</w:t>
            </w:r>
          </w:p>
        </w:tc>
        <w:tc>
          <w:tcPr>
            <w:tcW w:w="1440" w:type="dxa"/>
            <w:shd w:val="clear" w:color="auto" w:fill="FFFFFF" w:themeFill="background1"/>
            <w:noWrap/>
            <w:vAlign w:val="center"/>
          </w:tcPr>
          <w:p w14:paraId="71941DC7"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Hydro</w:t>
            </w:r>
          </w:p>
        </w:tc>
        <w:tc>
          <w:tcPr>
            <w:tcW w:w="2160" w:type="dxa"/>
            <w:shd w:val="clear" w:color="auto" w:fill="FFFFFF" w:themeFill="background1"/>
            <w:noWrap/>
            <w:vAlign w:val="center"/>
          </w:tcPr>
          <w:p w14:paraId="5A475700"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2019 IRP</w:t>
            </w:r>
          </w:p>
        </w:tc>
        <w:tc>
          <w:tcPr>
            <w:tcW w:w="2160" w:type="dxa"/>
            <w:shd w:val="clear" w:color="auto" w:fill="FFFFFF" w:themeFill="background1"/>
            <w:noWrap/>
            <w:vAlign w:val="center"/>
          </w:tcPr>
          <w:p w14:paraId="7DE170A4"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7/29/2019</w:t>
            </w:r>
          </w:p>
        </w:tc>
      </w:tr>
      <w:tr w:rsidR="00B5494E" w:rsidRPr="00B5494E" w14:paraId="405BCE29" w14:textId="77777777" w:rsidTr="004B4C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noWrap/>
            <w:vAlign w:val="center"/>
          </w:tcPr>
          <w:p w14:paraId="5F1DDAF4"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Langdale 5-6</w:t>
            </w:r>
          </w:p>
        </w:tc>
        <w:tc>
          <w:tcPr>
            <w:tcW w:w="1177" w:type="dxa"/>
            <w:shd w:val="clear" w:color="auto" w:fill="FFFFFF" w:themeFill="background1"/>
            <w:noWrap/>
            <w:vAlign w:val="center"/>
          </w:tcPr>
          <w:p w14:paraId="1765B030"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0.2</w:t>
            </w:r>
          </w:p>
        </w:tc>
        <w:tc>
          <w:tcPr>
            <w:tcW w:w="1440" w:type="dxa"/>
            <w:shd w:val="clear" w:color="auto" w:fill="FFFFFF" w:themeFill="background1"/>
            <w:noWrap/>
            <w:vAlign w:val="center"/>
          </w:tcPr>
          <w:p w14:paraId="3324EA58"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Hydro</w:t>
            </w:r>
          </w:p>
        </w:tc>
        <w:tc>
          <w:tcPr>
            <w:tcW w:w="2160" w:type="dxa"/>
            <w:shd w:val="clear" w:color="auto" w:fill="FFFFFF" w:themeFill="background1"/>
            <w:noWrap/>
            <w:vAlign w:val="center"/>
          </w:tcPr>
          <w:p w14:paraId="2A3F01B2"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2019 IRP</w:t>
            </w:r>
          </w:p>
        </w:tc>
        <w:tc>
          <w:tcPr>
            <w:tcW w:w="2160" w:type="dxa"/>
            <w:shd w:val="clear" w:color="auto" w:fill="FFFFFF" w:themeFill="background1"/>
            <w:noWrap/>
            <w:vAlign w:val="center"/>
          </w:tcPr>
          <w:p w14:paraId="4E30C754" w14:textId="77777777" w:rsidR="00D14D20" w:rsidRPr="00B5494E" w:rsidRDefault="00D14D20"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7/29/2019</w:t>
            </w:r>
          </w:p>
        </w:tc>
      </w:tr>
      <w:tr w:rsidR="00B5494E" w:rsidRPr="00B5494E" w14:paraId="04A1AAE8" w14:textId="77777777" w:rsidTr="004B4CD5">
        <w:trPr>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noWrap/>
            <w:vAlign w:val="center"/>
          </w:tcPr>
          <w:p w14:paraId="1D00E346" w14:textId="77777777" w:rsidR="00D14D20" w:rsidRPr="00B5494E" w:rsidRDefault="00D14D20" w:rsidP="004911AE">
            <w:pPr>
              <w:keepNext/>
              <w:keepLines/>
              <w:rPr>
                <w:rFonts w:eastAsia="Times New Roman" w:cstheme="minorHAnsi"/>
                <w:sz w:val="18"/>
                <w:szCs w:val="18"/>
              </w:rPr>
            </w:pPr>
            <w:r w:rsidRPr="00B5494E">
              <w:rPr>
                <w:rFonts w:eastAsia="Times New Roman" w:cstheme="minorHAnsi"/>
                <w:b w:val="0"/>
                <w:bCs w:val="0"/>
                <w:sz w:val="18"/>
                <w:szCs w:val="18"/>
              </w:rPr>
              <w:t>Riverview 1-2</w:t>
            </w:r>
          </w:p>
        </w:tc>
        <w:tc>
          <w:tcPr>
            <w:tcW w:w="1177" w:type="dxa"/>
            <w:shd w:val="clear" w:color="auto" w:fill="FFFFFF" w:themeFill="background1"/>
            <w:noWrap/>
            <w:vAlign w:val="center"/>
          </w:tcPr>
          <w:p w14:paraId="461BA8E1"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0.1</w:t>
            </w:r>
          </w:p>
        </w:tc>
        <w:tc>
          <w:tcPr>
            <w:tcW w:w="1440" w:type="dxa"/>
            <w:shd w:val="clear" w:color="auto" w:fill="FFFFFF" w:themeFill="background1"/>
            <w:noWrap/>
            <w:vAlign w:val="center"/>
          </w:tcPr>
          <w:p w14:paraId="2E2A9F46"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Hydro</w:t>
            </w:r>
          </w:p>
        </w:tc>
        <w:tc>
          <w:tcPr>
            <w:tcW w:w="2160" w:type="dxa"/>
            <w:shd w:val="clear" w:color="auto" w:fill="FFFFFF" w:themeFill="background1"/>
            <w:noWrap/>
            <w:vAlign w:val="center"/>
          </w:tcPr>
          <w:p w14:paraId="342D0A9C"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2019 IRP</w:t>
            </w:r>
          </w:p>
        </w:tc>
        <w:tc>
          <w:tcPr>
            <w:tcW w:w="2160" w:type="dxa"/>
            <w:shd w:val="clear" w:color="auto" w:fill="FFFFFF" w:themeFill="background1"/>
            <w:noWrap/>
            <w:vAlign w:val="center"/>
          </w:tcPr>
          <w:p w14:paraId="3EFCD5C5" w14:textId="77777777" w:rsidR="00D14D20" w:rsidRPr="00B5494E" w:rsidRDefault="00D14D20"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7/29/2019</w:t>
            </w:r>
          </w:p>
        </w:tc>
      </w:tr>
      <w:tr w:rsidR="00B5494E" w:rsidRPr="00B5494E" w14:paraId="6B3973CF" w14:textId="77777777" w:rsidTr="004B4C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noWrap/>
            <w:vAlign w:val="center"/>
          </w:tcPr>
          <w:p w14:paraId="2CEC0A53" w14:textId="713C9B59" w:rsidR="003D72D7" w:rsidRPr="00B5494E" w:rsidRDefault="003D72D7" w:rsidP="004911AE">
            <w:pPr>
              <w:keepNext/>
              <w:keepLines/>
              <w:rPr>
                <w:rFonts w:eastAsia="Times New Roman" w:cstheme="minorHAnsi"/>
                <w:b w:val="0"/>
                <w:bCs w:val="0"/>
                <w:sz w:val="18"/>
                <w:szCs w:val="18"/>
              </w:rPr>
            </w:pPr>
            <w:r w:rsidRPr="00B5494E">
              <w:rPr>
                <w:rFonts w:eastAsia="Times New Roman" w:cstheme="minorHAnsi"/>
                <w:b w:val="0"/>
                <w:bCs w:val="0"/>
                <w:sz w:val="18"/>
                <w:szCs w:val="18"/>
              </w:rPr>
              <w:t>Wansley 1</w:t>
            </w:r>
          </w:p>
        </w:tc>
        <w:tc>
          <w:tcPr>
            <w:tcW w:w="1177" w:type="dxa"/>
            <w:shd w:val="clear" w:color="auto" w:fill="FFFFFF" w:themeFill="background1"/>
            <w:noWrap/>
            <w:vAlign w:val="center"/>
          </w:tcPr>
          <w:p w14:paraId="7654DFC6" w14:textId="3E81A3C3" w:rsidR="003D72D7" w:rsidRPr="00B5494E" w:rsidRDefault="003D72D7"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466.5</w:t>
            </w:r>
          </w:p>
        </w:tc>
        <w:tc>
          <w:tcPr>
            <w:tcW w:w="1440" w:type="dxa"/>
            <w:shd w:val="clear" w:color="auto" w:fill="FFFFFF" w:themeFill="background1"/>
            <w:noWrap/>
            <w:vAlign w:val="center"/>
          </w:tcPr>
          <w:p w14:paraId="3119B607" w14:textId="14866502" w:rsidR="003D72D7" w:rsidRPr="00B5494E" w:rsidRDefault="008C41C5"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Coal</w:t>
            </w:r>
          </w:p>
        </w:tc>
        <w:tc>
          <w:tcPr>
            <w:tcW w:w="2160" w:type="dxa"/>
            <w:shd w:val="clear" w:color="auto" w:fill="FFFFFF" w:themeFill="background1"/>
            <w:noWrap/>
            <w:vAlign w:val="center"/>
          </w:tcPr>
          <w:p w14:paraId="4268F133" w14:textId="6EA44172" w:rsidR="003D72D7" w:rsidRPr="00B5494E" w:rsidRDefault="008C41C5"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2022 IRP</w:t>
            </w:r>
          </w:p>
        </w:tc>
        <w:tc>
          <w:tcPr>
            <w:tcW w:w="2160" w:type="dxa"/>
            <w:shd w:val="clear" w:color="auto" w:fill="FFFFFF" w:themeFill="background1"/>
            <w:noWrap/>
            <w:vAlign w:val="center"/>
          </w:tcPr>
          <w:p w14:paraId="4EFA1661" w14:textId="6992A7D1" w:rsidR="003D72D7" w:rsidRPr="00B5494E" w:rsidRDefault="008C41C5"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8/1/2022</w:t>
            </w:r>
          </w:p>
        </w:tc>
      </w:tr>
      <w:tr w:rsidR="00B5494E" w:rsidRPr="00B5494E" w14:paraId="54F849AF" w14:textId="77777777" w:rsidTr="004B4CD5">
        <w:trPr>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noWrap/>
            <w:vAlign w:val="center"/>
          </w:tcPr>
          <w:p w14:paraId="161CAD9C" w14:textId="064333DA" w:rsidR="003D72D7" w:rsidRPr="00B5494E" w:rsidRDefault="003D72D7" w:rsidP="004911AE">
            <w:pPr>
              <w:keepNext/>
              <w:keepLines/>
              <w:rPr>
                <w:rFonts w:eastAsia="Times New Roman" w:cstheme="minorHAnsi"/>
                <w:b w:val="0"/>
                <w:bCs w:val="0"/>
                <w:sz w:val="18"/>
                <w:szCs w:val="18"/>
              </w:rPr>
            </w:pPr>
            <w:r w:rsidRPr="00B5494E">
              <w:rPr>
                <w:rFonts w:eastAsia="Times New Roman" w:cstheme="minorHAnsi"/>
                <w:b w:val="0"/>
                <w:bCs w:val="0"/>
                <w:sz w:val="18"/>
                <w:szCs w:val="18"/>
              </w:rPr>
              <w:t>Wansley 2</w:t>
            </w:r>
          </w:p>
        </w:tc>
        <w:tc>
          <w:tcPr>
            <w:tcW w:w="1177" w:type="dxa"/>
            <w:shd w:val="clear" w:color="auto" w:fill="FFFFFF" w:themeFill="background1"/>
            <w:noWrap/>
            <w:vAlign w:val="center"/>
          </w:tcPr>
          <w:p w14:paraId="653CF23E" w14:textId="2C22A6E2" w:rsidR="003D72D7" w:rsidRPr="00B5494E" w:rsidRDefault="003D72D7"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466.5</w:t>
            </w:r>
          </w:p>
        </w:tc>
        <w:tc>
          <w:tcPr>
            <w:tcW w:w="1440" w:type="dxa"/>
            <w:shd w:val="clear" w:color="auto" w:fill="FFFFFF" w:themeFill="background1"/>
            <w:noWrap/>
            <w:vAlign w:val="center"/>
          </w:tcPr>
          <w:p w14:paraId="6E2613AE" w14:textId="357E2725" w:rsidR="003D72D7" w:rsidRPr="00B5494E" w:rsidRDefault="008C41C5"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Coal</w:t>
            </w:r>
          </w:p>
        </w:tc>
        <w:tc>
          <w:tcPr>
            <w:tcW w:w="2160" w:type="dxa"/>
            <w:shd w:val="clear" w:color="auto" w:fill="FFFFFF" w:themeFill="background1"/>
            <w:noWrap/>
            <w:vAlign w:val="center"/>
          </w:tcPr>
          <w:p w14:paraId="45CDEE46" w14:textId="752726E3" w:rsidR="003D72D7" w:rsidRPr="00B5494E" w:rsidRDefault="008C41C5"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2022 IRP</w:t>
            </w:r>
          </w:p>
        </w:tc>
        <w:tc>
          <w:tcPr>
            <w:tcW w:w="2160" w:type="dxa"/>
            <w:shd w:val="clear" w:color="auto" w:fill="FFFFFF" w:themeFill="background1"/>
            <w:noWrap/>
            <w:vAlign w:val="center"/>
          </w:tcPr>
          <w:p w14:paraId="083ADB36" w14:textId="58C1F26C" w:rsidR="003D72D7" w:rsidRPr="00B5494E" w:rsidRDefault="008C41C5"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8/1/2022</w:t>
            </w:r>
          </w:p>
        </w:tc>
      </w:tr>
      <w:tr w:rsidR="00B5494E" w:rsidRPr="00B5494E" w14:paraId="64FEF2C3" w14:textId="77777777" w:rsidTr="004B4C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noWrap/>
            <w:vAlign w:val="center"/>
          </w:tcPr>
          <w:p w14:paraId="542F98B6" w14:textId="08D899BE" w:rsidR="003D72D7" w:rsidRPr="00B5494E" w:rsidRDefault="003D72D7" w:rsidP="004911AE">
            <w:pPr>
              <w:keepNext/>
              <w:keepLines/>
              <w:rPr>
                <w:rFonts w:eastAsia="Times New Roman" w:cstheme="minorHAnsi"/>
                <w:b w:val="0"/>
                <w:bCs w:val="0"/>
                <w:sz w:val="18"/>
                <w:szCs w:val="18"/>
              </w:rPr>
            </w:pPr>
            <w:r w:rsidRPr="00B5494E">
              <w:rPr>
                <w:rFonts w:eastAsia="Times New Roman" w:cstheme="minorHAnsi"/>
                <w:b w:val="0"/>
                <w:bCs w:val="0"/>
                <w:sz w:val="18"/>
                <w:szCs w:val="18"/>
              </w:rPr>
              <w:t>Wansley 5A</w:t>
            </w:r>
          </w:p>
        </w:tc>
        <w:tc>
          <w:tcPr>
            <w:tcW w:w="1177" w:type="dxa"/>
            <w:shd w:val="clear" w:color="auto" w:fill="FFFFFF" w:themeFill="background1"/>
            <w:noWrap/>
            <w:vAlign w:val="center"/>
          </w:tcPr>
          <w:p w14:paraId="41026BAA" w14:textId="01BA40E9" w:rsidR="003D72D7" w:rsidRPr="00B5494E" w:rsidRDefault="003D72D7"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32.1</w:t>
            </w:r>
          </w:p>
        </w:tc>
        <w:tc>
          <w:tcPr>
            <w:tcW w:w="1440" w:type="dxa"/>
            <w:shd w:val="clear" w:color="auto" w:fill="FFFFFF" w:themeFill="background1"/>
            <w:noWrap/>
            <w:vAlign w:val="center"/>
          </w:tcPr>
          <w:p w14:paraId="14E921AA" w14:textId="11DF2BA1" w:rsidR="003D72D7" w:rsidRPr="00B5494E" w:rsidRDefault="008C41C5"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Oil</w:t>
            </w:r>
          </w:p>
        </w:tc>
        <w:tc>
          <w:tcPr>
            <w:tcW w:w="2160" w:type="dxa"/>
            <w:shd w:val="clear" w:color="auto" w:fill="FFFFFF" w:themeFill="background1"/>
            <w:noWrap/>
            <w:vAlign w:val="center"/>
          </w:tcPr>
          <w:p w14:paraId="4EBD467B" w14:textId="6DD539A4" w:rsidR="003D72D7" w:rsidRPr="00B5494E" w:rsidRDefault="008C41C5"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2022 IRP</w:t>
            </w:r>
          </w:p>
        </w:tc>
        <w:tc>
          <w:tcPr>
            <w:tcW w:w="2160" w:type="dxa"/>
            <w:shd w:val="clear" w:color="auto" w:fill="FFFFFF" w:themeFill="background1"/>
            <w:noWrap/>
            <w:vAlign w:val="center"/>
          </w:tcPr>
          <w:p w14:paraId="4E45C0B6" w14:textId="106E0E26" w:rsidR="003D72D7" w:rsidRPr="00B5494E" w:rsidRDefault="008C41C5"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8/1/2022</w:t>
            </w:r>
          </w:p>
        </w:tc>
      </w:tr>
      <w:tr w:rsidR="00B5494E" w:rsidRPr="00B5494E" w14:paraId="624F5DF0" w14:textId="77777777" w:rsidTr="004B4CD5">
        <w:trPr>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noWrap/>
            <w:vAlign w:val="center"/>
          </w:tcPr>
          <w:p w14:paraId="23B40B38" w14:textId="0F8E93D4" w:rsidR="003D72D7" w:rsidRPr="00B5494E" w:rsidRDefault="003D72D7" w:rsidP="004911AE">
            <w:pPr>
              <w:keepNext/>
              <w:keepLines/>
              <w:rPr>
                <w:rFonts w:eastAsia="Times New Roman" w:cstheme="minorHAnsi"/>
                <w:b w:val="0"/>
                <w:bCs w:val="0"/>
                <w:sz w:val="18"/>
                <w:szCs w:val="18"/>
              </w:rPr>
            </w:pPr>
            <w:r w:rsidRPr="00B5494E">
              <w:rPr>
                <w:rFonts w:eastAsia="Times New Roman" w:cstheme="minorHAnsi"/>
                <w:b w:val="0"/>
                <w:bCs w:val="0"/>
                <w:sz w:val="18"/>
                <w:szCs w:val="18"/>
              </w:rPr>
              <w:t>Boulevard 1</w:t>
            </w:r>
          </w:p>
        </w:tc>
        <w:tc>
          <w:tcPr>
            <w:tcW w:w="1177" w:type="dxa"/>
            <w:shd w:val="clear" w:color="auto" w:fill="FFFFFF" w:themeFill="background1"/>
            <w:noWrap/>
            <w:vAlign w:val="center"/>
          </w:tcPr>
          <w:p w14:paraId="4D1F17CB" w14:textId="73318E98" w:rsidR="003D72D7" w:rsidRPr="00B5494E" w:rsidRDefault="008C41C5"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18.6</w:t>
            </w:r>
          </w:p>
        </w:tc>
        <w:tc>
          <w:tcPr>
            <w:tcW w:w="1440" w:type="dxa"/>
            <w:shd w:val="clear" w:color="auto" w:fill="FFFFFF" w:themeFill="background1"/>
            <w:noWrap/>
            <w:vAlign w:val="center"/>
          </w:tcPr>
          <w:p w14:paraId="3CE0A648" w14:textId="7C77279F" w:rsidR="003D72D7" w:rsidRPr="00B5494E" w:rsidRDefault="008C41C5"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Oil</w:t>
            </w:r>
          </w:p>
        </w:tc>
        <w:tc>
          <w:tcPr>
            <w:tcW w:w="2160" w:type="dxa"/>
            <w:shd w:val="clear" w:color="auto" w:fill="FFFFFF" w:themeFill="background1"/>
            <w:noWrap/>
            <w:vAlign w:val="center"/>
          </w:tcPr>
          <w:p w14:paraId="1157E257" w14:textId="48826320" w:rsidR="003D72D7" w:rsidRPr="00B5494E" w:rsidRDefault="008C41C5"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2022 IRP</w:t>
            </w:r>
          </w:p>
        </w:tc>
        <w:tc>
          <w:tcPr>
            <w:tcW w:w="2160" w:type="dxa"/>
            <w:shd w:val="clear" w:color="auto" w:fill="FFFFFF" w:themeFill="background1"/>
            <w:noWrap/>
            <w:vAlign w:val="center"/>
          </w:tcPr>
          <w:p w14:paraId="7392D056" w14:textId="6F864119" w:rsidR="003D72D7" w:rsidRPr="00B5494E" w:rsidRDefault="008C41C5" w:rsidP="004911AE">
            <w:pPr>
              <w:keepNext/>
              <w:keepLines/>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B5494E">
              <w:rPr>
                <w:rFonts w:eastAsia="Times New Roman" w:cstheme="minorHAnsi"/>
                <w:sz w:val="18"/>
                <w:szCs w:val="18"/>
              </w:rPr>
              <w:t>8/1/2022</w:t>
            </w:r>
          </w:p>
        </w:tc>
      </w:tr>
      <w:tr w:rsidR="00B5494E" w:rsidRPr="00B5494E" w14:paraId="65B7E612" w14:textId="77777777" w:rsidTr="004B4C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304" w:type="dxa"/>
            <w:shd w:val="clear" w:color="auto" w:fill="FFFFFF" w:themeFill="background1"/>
            <w:noWrap/>
            <w:vAlign w:val="center"/>
          </w:tcPr>
          <w:p w14:paraId="49262C92" w14:textId="77777777" w:rsidR="00662A51" w:rsidRPr="00B5494E" w:rsidRDefault="00662A51" w:rsidP="00662A51">
            <w:pPr>
              <w:keepNext/>
              <w:keepLines/>
              <w:rPr>
                <w:rFonts w:eastAsia="Times New Roman" w:cstheme="minorHAnsi"/>
                <w:sz w:val="18"/>
                <w:szCs w:val="18"/>
              </w:rPr>
            </w:pPr>
            <w:r w:rsidRPr="00B5494E">
              <w:rPr>
                <w:rFonts w:eastAsia="Times New Roman" w:cstheme="minorHAnsi"/>
                <w:sz w:val="18"/>
                <w:szCs w:val="18"/>
              </w:rPr>
              <w:t>Total</w:t>
            </w:r>
          </w:p>
        </w:tc>
        <w:tc>
          <w:tcPr>
            <w:tcW w:w="1177" w:type="dxa"/>
            <w:shd w:val="clear" w:color="auto" w:fill="FFFFFF" w:themeFill="background1"/>
            <w:noWrap/>
            <w:vAlign w:val="center"/>
          </w:tcPr>
          <w:p w14:paraId="5888AFE9" w14:textId="7E4821E0" w:rsidR="00662A51" w:rsidRPr="00B5494E" w:rsidRDefault="008C41C5"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18"/>
                <w:szCs w:val="18"/>
              </w:rPr>
            </w:pPr>
            <w:r w:rsidRPr="00B5494E">
              <w:rPr>
                <w:rFonts w:eastAsia="Times New Roman" w:cstheme="minorHAnsi"/>
                <w:b/>
                <w:sz w:val="18"/>
                <w:szCs w:val="18"/>
              </w:rPr>
              <w:t>5,547</w:t>
            </w:r>
          </w:p>
        </w:tc>
        <w:tc>
          <w:tcPr>
            <w:tcW w:w="5760" w:type="dxa"/>
            <w:gridSpan w:val="3"/>
            <w:shd w:val="clear" w:color="auto" w:fill="FFFFFF" w:themeFill="background1"/>
            <w:noWrap/>
            <w:vAlign w:val="center"/>
          </w:tcPr>
          <w:p w14:paraId="74727322" w14:textId="77777777" w:rsidR="00662A51" w:rsidRPr="00B5494E" w:rsidRDefault="00662A51" w:rsidP="004911AE">
            <w:pPr>
              <w:keepNext/>
              <w:keepLines/>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18"/>
                <w:szCs w:val="18"/>
              </w:rPr>
            </w:pPr>
          </w:p>
        </w:tc>
      </w:tr>
    </w:tbl>
    <w:p w14:paraId="04AF0116" w14:textId="77777777" w:rsidR="00DB05BE" w:rsidRDefault="00DB05BE">
      <w:r>
        <w:br w:type="page"/>
      </w:r>
    </w:p>
    <w:p w14:paraId="75A69B28" w14:textId="77777777" w:rsidR="002B583C" w:rsidRDefault="002B583C" w:rsidP="002B583C">
      <w:pPr>
        <w:jc w:val="both"/>
      </w:pPr>
    </w:p>
    <w:p w14:paraId="139B4CFD" w14:textId="77777777" w:rsidR="002B583C" w:rsidRDefault="002B583C" w:rsidP="002B583C">
      <w:pPr>
        <w:jc w:val="both"/>
      </w:pPr>
    </w:p>
    <w:p w14:paraId="47E53856" w14:textId="77777777" w:rsidR="002B583C" w:rsidRDefault="002B583C" w:rsidP="002B583C">
      <w:pPr>
        <w:jc w:val="both"/>
      </w:pPr>
    </w:p>
    <w:p w14:paraId="3FAF1E73" w14:textId="77777777" w:rsidR="002B583C" w:rsidRDefault="002B583C" w:rsidP="002B583C">
      <w:pPr>
        <w:jc w:val="both"/>
      </w:pPr>
    </w:p>
    <w:p w14:paraId="3C2FE823" w14:textId="77777777" w:rsidR="002B583C" w:rsidRDefault="002B583C" w:rsidP="002B583C">
      <w:pPr>
        <w:jc w:val="both"/>
      </w:pPr>
    </w:p>
    <w:p w14:paraId="14E94FB3" w14:textId="77777777" w:rsidR="002B583C" w:rsidRDefault="002B583C" w:rsidP="002B583C">
      <w:pPr>
        <w:jc w:val="both"/>
      </w:pPr>
    </w:p>
    <w:p w14:paraId="55A3365B" w14:textId="77777777" w:rsidR="002B583C" w:rsidRDefault="002B583C" w:rsidP="002B583C">
      <w:pPr>
        <w:jc w:val="both"/>
      </w:pPr>
    </w:p>
    <w:p w14:paraId="716920F7" w14:textId="77777777" w:rsidR="002B583C" w:rsidRDefault="002B583C" w:rsidP="002B583C">
      <w:pPr>
        <w:jc w:val="both"/>
      </w:pPr>
    </w:p>
    <w:p w14:paraId="692290C0" w14:textId="77777777" w:rsidR="002B583C" w:rsidRDefault="002B583C" w:rsidP="002B583C">
      <w:pPr>
        <w:jc w:val="both"/>
      </w:pPr>
    </w:p>
    <w:p w14:paraId="6E17FAAD" w14:textId="77777777" w:rsidR="002B583C" w:rsidRDefault="002B583C" w:rsidP="002B583C">
      <w:pPr>
        <w:jc w:val="both"/>
      </w:pPr>
    </w:p>
    <w:p w14:paraId="28F8B264" w14:textId="77777777" w:rsidR="002B583C" w:rsidRDefault="002B583C" w:rsidP="002B583C">
      <w:pPr>
        <w:jc w:val="both"/>
      </w:pPr>
    </w:p>
    <w:p w14:paraId="0953F9E6" w14:textId="67E05D66" w:rsidR="002B583C" w:rsidRDefault="002B583C" w:rsidP="002B583C">
      <w:pPr>
        <w:jc w:val="center"/>
        <w:rPr>
          <w:rFonts w:asciiTheme="majorHAnsi" w:eastAsiaTheme="majorEastAsia" w:hAnsiTheme="majorHAnsi" w:cstheme="majorBidi"/>
          <w:color w:val="0F4761" w:themeColor="accent1" w:themeShade="BF"/>
          <w:sz w:val="40"/>
          <w:szCs w:val="40"/>
        </w:rPr>
      </w:pPr>
      <w:r>
        <w:t>[This page is intentionally left blank.]</w:t>
      </w:r>
      <w:r>
        <w:br w:type="page"/>
      </w:r>
    </w:p>
    <w:p w14:paraId="010B815F" w14:textId="32412C79" w:rsidR="00A06963" w:rsidRDefault="00335F14" w:rsidP="00DB05BE">
      <w:pPr>
        <w:pStyle w:val="Heading1"/>
      </w:pPr>
      <w:bookmarkStart w:id="91" w:name="_Toc189122806"/>
      <w:r>
        <w:lastRenderedPageBreak/>
        <w:t xml:space="preserve">Attachment </w:t>
      </w:r>
      <w:r w:rsidR="00773998">
        <w:t>E</w:t>
      </w:r>
      <w:r>
        <w:t xml:space="preserve"> </w:t>
      </w:r>
      <w:r w:rsidR="00DA3FAD">
        <w:t>–</w:t>
      </w:r>
      <w:r>
        <w:t xml:space="preserve"> </w:t>
      </w:r>
      <w:r w:rsidR="00DA3FAD">
        <w:t>Major Models Used in the IRP</w:t>
      </w:r>
      <w:bookmarkEnd w:id="91"/>
    </w:p>
    <w:p w14:paraId="683DDE85" w14:textId="2284DA32" w:rsidR="001D766E" w:rsidRDefault="00773998" w:rsidP="00E76A42">
      <w:pPr>
        <w:pStyle w:val="Heading2"/>
        <w:jc w:val="both"/>
      </w:pPr>
      <w:bookmarkStart w:id="92" w:name="_Toc189122807"/>
      <w:r>
        <w:t>E</w:t>
      </w:r>
      <w:r w:rsidR="001D766E">
        <w:t>.1 – Load Forecasting</w:t>
      </w:r>
      <w:bookmarkEnd w:id="92"/>
    </w:p>
    <w:p w14:paraId="288E76D9" w14:textId="18B7AF68" w:rsidR="001D766E" w:rsidRPr="00930EE4" w:rsidRDefault="00773998" w:rsidP="00E76A42">
      <w:pPr>
        <w:pStyle w:val="Heading3"/>
        <w:jc w:val="both"/>
      </w:pPr>
      <w:r>
        <w:t>E</w:t>
      </w:r>
      <w:r w:rsidR="00930EE4">
        <w:t>.1.1 – Econometric Forecasting Models</w:t>
      </w:r>
    </w:p>
    <w:p w14:paraId="7C723733" w14:textId="77777777" w:rsidR="001D766E" w:rsidRDefault="001D766E" w:rsidP="00E76A42">
      <w:pPr>
        <w:jc w:val="both"/>
      </w:pPr>
      <w:r>
        <w:t>Georgia Power’s short-term forecasts are produced using econometric forecasting models, which estimate the relationships between economic and demographic variables and energy use. These models use ordinary least squares regression techniques.</w:t>
      </w:r>
    </w:p>
    <w:p w14:paraId="44BC8D99" w14:textId="60CAF106" w:rsidR="001D766E" w:rsidRDefault="00773998" w:rsidP="00E76A42">
      <w:pPr>
        <w:pStyle w:val="Heading3"/>
        <w:jc w:val="both"/>
      </w:pPr>
      <w:r>
        <w:t>E</w:t>
      </w:r>
      <w:r w:rsidR="001D766E">
        <w:t>.</w:t>
      </w:r>
      <w:r w:rsidR="00B73B1A">
        <w:t>1</w:t>
      </w:r>
      <w:r w:rsidR="001D766E">
        <w:t>.2 – Load Management and Planning: Residential</w:t>
      </w:r>
    </w:p>
    <w:p w14:paraId="1090F9FB" w14:textId="77777777" w:rsidR="001D766E" w:rsidRDefault="001D766E" w:rsidP="00E76A42">
      <w:pPr>
        <w:jc w:val="both"/>
      </w:pPr>
      <w:r>
        <w:t>The Residential LoadMAP model is an end-use model that is used to develop a long-term energy forecast of the residential sector. This model was updated in 2020 by Applied Energy Group.</w:t>
      </w:r>
    </w:p>
    <w:p w14:paraId="24D2CC08" w14:textId="7559893D" w:rsidR="001D766E" w:rsidRDefault="00773998" w:rsidP="00E76A42">
      <w:pPr>
        <w:pStyle w:val="Heading3"/>
        <w:jc w:val="both"/>
      </w:pPr>
      <w:r>
        <w:t>E</w:t>
      </w:r>
      <w:r w:rsidR="001D766E">
        <w:t>.</w:t>
      </w:r>
      <w:r w:rsidR="00B73B1A">
        <w:t>1</w:t>
      </w:r>
      <w:r w:rsidR="001D766E">
        <w:t>.3 – Load Management and Planning: Commercial</w:t>
      </w:r>
    </w:p>
    <w:p w14:paraId="45EA0B13" w14:textId="77777777" w:rsidR="001D766E" w:rsidRDefault="001D766E" w:rsidP="00E76A42">
      <w:pPr>
        <w:jc w:val="both"/>
      </w:pPr>
      <w:r>
        <w:t>The Commercial LoadMAP model is an end-use model that is used to develop a long-term energy forecast of the commercial sector. This model was updated in 2020 by Applied Energy Group.</w:t>
      </w:r>
    </w:p>
    <w:p w14:paraId="3EB7AC46" w14:textId="7F747B51" w:rsidR="001D766E" w:rsidRDefault="00773998" w:rsidP="00E76A42">
      <w:pPr>
        <w:pStyle w:val="Heading3"/>
        <w:jc w:val="both"/>
      </w:pPr>
      <w:r>
        <w:t>E</w:t>
      </w:r>
      <w:r w:rsidR="001D766E">
        <w:t>.</w:t>
      </w:r>
      <w:r w:rsidR="00B73B1A">
        <w:t>1</w:t>
      </w:r>
      <w:r w:rsidR="001D766E">
        <w:t>.4 – Load Management and Planning: Industrial</w:t>
      </w:r>
    </w:p>
    <w:p w14:paraId="2758C123" w14:textId="77777777" w:rsidR="001D766E" w:rsidRDefault="001D766E" w:rsidP="00E76A42">
      <w:pPr>
        <w:jc w:val="both"/>
      </w:pPr>
      <w:r>
        <w:t>The Industrial LoadMAP model is an end-use model that is used to develop a long-term energy forecast of the industrial sector. This model was updated in 2020 by Applied Energy Group.</w:t>
      </w:r>
    </w:p>
    <w:p w14:paraId="12F62F0A" w14:textId="3DD633C4" w:rsidR="001D766E" w:rsidRDefault="00773998" w:rsidP="00E76A42">
      <w:pPr>
        <w:pStyle w:val="Heading3"/>
        <w:jc w:val="both"/>
      </w:pPr>
      <w:r>
        <w:t>E</w:t>
      </w:r>
      <w:r w:rsidR="001D766E">
        <w:t>.</w:t>
      </w:r>
      <w:r w:rsidR="00B73B1A">
        <w:t>1</w:t>
      </w:r>
      <w:r w:rsidR="001D766E">
        <w:t>.5 – Hourly Peak Demand Model</w:t>
      </w:r>
    </w:p>
    <w:p w14:paraId="09774583" w14:textId="75E86EE6" w:rsidR="001D766E" w:rsidRDefault="001D766E" w:rsidP="00E76A42">
      <w:pPr>
        <w:jc w:val="both"/>
      </w:pPr>
      <w:r>
        <w:t>The hourly peak forecasting models produce projections of peak demand using forecasted class energy, historical class load shapes and corresponding weather, and a description of typical (normal) weather. These models use ordinary least squares regression techniques.</w:t>
      </w:r>
    </w:p>
    <w:p w14:paraId="7A0F37A7" w14:textId="7B235E00" w:rsidR="0071268F" w:rsidRDefault="00773998" w:rsidP="00325F55">
      <w:pPr>
        <w:pStyle w:val="Heading3"/>
      </w:pPr>
      <w:r>
        <w:t>E</w:t>
      </w:r>
      <w:r w:rsidR="2D493588" w:rsidRPr="003F41D0">
        <w:t xml:space="preserve">.1.6 </w:t>
      </w:r>
      <w:r w:rsidR="2D493588">
        <w:t>–</w:t>
      </w:r>
      <w:r w:rsidR="2D493588" w:rsidRPr="003F41D0">
        <w:t xml:space="preserve"> </w:t>
      </w:r>
      <w:r w:rsidR="0071268F">
        <w:t>Load Realization Model</w:t>
      </w:r>
    </w:p>
    <w:p w14:paraId="34D6E9F8" w14:textId="583FEABB" w:rsidR="0071268F" w:rsidRPr="008A588A" w:rsidRDefault="0071268F" w:rsidP="0071268F">
      <w:pPr>
        <w:jc w:val="both"/>
      </w:pPr>
      <w:r w:rsidRPr="003F41D0">
        <w:t xml:space="preserve">The load realization model </w:t>
      </w:r>
      <w:r>
        <w:t>utilizes a probabilistic approach to evaluate the range and likelihood of future potential outcomes of the load growth from large new customers. The results from this model support the external adjustment applied to the baseline Commercial and Industrial load and energy forecasts.</w:t>
      </w:r>
    </w:p>
    <w:p w14:paraId="3FB272E1" w14:textId="4FD1CEF4" w:rsidR="001D766E" w:rsidRDefault="00773998" w:rsidP="00325F55">
      <w:pPr>
        <w:pStyle w:val="Heading3"/>
      </w:pPr>
      <w:r>
        <w:t>E</w:t>
      </w:r>
      <w:r w:rsidR="2D493588">
        <w:t>.1.</w:t>
      </w:r>
      <w:r w:rsidR="0071268F">
        <w:t>7</w:t>
      </w:r>
      <w:r w:rsidR="2D493588">
        <w:t xml:space="preserve"> – </w:t>
      </w:r>
      <w:r w:rsidR="001D766E">
        <w:t>EnergyPlus/OpenStudio</w:t>
      </w:r>
    </w:p>
    <w:p w14:paraId="3BEDF5BC" w14:textId="77777777" w:rsidR="001D766E" w:rsidRDefault="001D766E" w:rsidP="00E76A42">
      <w:pPr>
        <w:jc w:val="both"/>
      </w:pPr>
      <w:r>
        <w:t>EnergyPlus ™ models were used to predict hourly energy consumption in buildings based on construction characteristics, occupancy, orientation, local weather, and other attributes. EnergyPlus™ is DOE’s open-source whole-building energy modeling (BEM) engine. OpenStudio is an open-source software development kit which aids model modification by presenting EnergyPlus inputs and outputs as a dynamic, object-oriented data format.</w:t>
      </w:r>
    </w:p>
    <w:p w14:paraId="0247B790" w14:textId="1D125159" w:rsidR="00713544" w:rsidRDefault="00773998" w:rsidP="00E76A42">
      <w:pPr>
        <w:pStyle w:val="Heading2"/>
        <w:jc w:val="both"/>
      </w:pPr>
      <w:bookmarkStart w:id="93" w:name="_Toc189122808"/>
      <w:r>
        <w:lastRenderedPageBreak/>
        <w:t>E</w:t>
      </w:r>
      <w:r w:rsidR="00B25243">
        <w:t>.</w:t>
      </w:r>
      <w:r w:rsidR="00B73B1A">
        <w:t>2</w:t>
      </w:r>
      <w:r w:rsidR="00B25243">
        <w:t xml:space="preserve"> – </w:t>
      </w:r>
      <w:r w:rsidR="00713544">
        <w:t>Reliability</w:t>
      </w:r>
      <w:bookmarkEnd w:id="93"/>
    </w:p>
    <w:p w14:paraId="5B5F17CA" w14:textId="1886239E" w:rsidR="00F804B7" w:rsidRDefault="00773998" w:rsidP="00E76A42">
      <w:pPr>
        <w:pStyle w:val="Heading3"/>
        <w:jc w:val="both"/>
      </w:pPr>
      <w:r>
        <w:t>E</w:t>
      </w:r>
      <w:r w:rsidR="00713544">
        <w:t xml:space="preserve">.2.1 – </w:t>
      </w:r>
      <w:r w:rsidR="00F804B7">
        <w:t>SERVM</w:t>
      </w:r>
    </w:p>
    <w:p w14:paraId="6A208B27" w14:textId="77777777" w:rsidR="00F804B7" w:rsidRDefault="00F804B7" w:rsidP="00E76A42">
      <w:pPr>
        <w:jc w:val="both"/>
      </w:pPr>
      <w:r>
        <w:t>SERVM is a generation reliability model that is widely accepted across the industry and used for Resource Adequacy analyses. SERVM is an hourly, chronological model that utilizes Monte Carlo techniques. Random draws from unit historical failure and repair times are used to simulate unplanned outages. The model executes beginning with 1 A.M. on January 1, committing units, tracking available hydro energy, operating pumped storage units, considering weather-appropriate renewable output, making economic and reliability purchases from other entities in the region, calling interruptible load as needed, and, if necessary, curtailing firm load.</w:t>
      </w:r>
    </w:p>
    <w:p w14:paraId="7D875126" w14:textId="77777777" w:rsidR="00F804B7" w:rsidRDefault="00F804B7" w:rsidP="00E76A42">
      <w:pPr>
        <w:jc w:val="both"/>
      </w:pPr>
      <w:r>
        <w:t>Evaluations are typically performed for multiple weather-years, multiple peak load forecast error assumptions, and multiple different start days for the year, resulting in hundreds of cases evaluated per simulation. Each case itself is processed multiple times using random unit outage draws with each iteration and the results of these iterations averaged together to develop a case-specific result. Each case has its own probabilistic weighting and is then averaged together with all cases to obtain a weighted average, expected result for the whole simulation. The Reserve Margin Study in Technical Appendix Volume 1 contains details regarding the number of simulations run to generate the Target Reserve Margin recommendations.</w:t>
      </w:r>
    </w:p>
    <w:p w14:paraId="4B4113EB" w14:textId="77777777" w:rsidR="00F804B7" w:rsidRDefault="00F804B7" w:rsidP="00E76A42">
      <w:pPr>
        <w:jc w:val="both"/>
      </w:pPr>
      <w:r>
        <w:t>Useful information provided by SERVM includes (but is not limited to):</w:t>
      </w:r>
    </w:p>
    <w:p w14:paraId="1AA5F49E" w14:textId="72B50BE5" w:rsidR="00F804B7" w:rsidRDefault="00F804B7" w:rsidP="009A12F5">
      <w:pPr>
        <w:pStyle w:val="ListParagraph"/>
        <w:numPr>
          <w:ilvl w:val="0"/>
          <w:numId w:val="18"/>
        </w:numPr>
        <w:jc w:val="both"/>
      </w:pPr>
      <w:r>
        <w:t>Expected unserved energy, which is the amount of energy that cannot be served due to generating capacity shortages</w:t>
      </w:r>
    </w:p>
    <w:p w14:paraId="6BA6077F" w14:textId="6B9A9246" w:rsidR="00F804B7" w:rsidRDefault="00F804B7" w:rsidP="009A12F5">
      <w:pPr>
        <w:pStyle w:val="ListParagraph"/>
        <w:numPr>
          <w:ilvl w:val="0"/>
          <w:numId w:val="18"/>
        </w:numPr>
        <w:jc w:val="both"/>
      </w:pPr>
      <w:r>
        <w:t>Loss of load expectation, which is the number of days per year in which firm load is not served</w:t>
      </w:r>
    </w:p>
    <w:p w14:paraId="5B7A7285" w14:textId="72577DBD" w:rsidR="00F804B7" w:rsidRDefault="00F804B7" w:rsidP="009A12F5">
      <w:pPr>
        <w:pStyle w:val="ListParagraph"/>
        <w:numPr>
          <w:ilvl w:val="0"/>
          <w:numId w:val="18"/>
        </w:numPr>
        <w:jc w:val="both"/>
      </w:pPr>
      <w:r>
        <w:t>Interruptible load, which is the number of times that interruptible load is called upon</w:t>
      </w:r>
    </w:p>
    <w:p w14:paraId="03883B00" w14:textId="39F29AA7" w:rsidR="00F804B7" w:rsidRDefault="00F804B7" w:rsidP="009A12F5">
      <w:pPr>
        <w:pStyle w:val="ListParagraph"/>
        <w:numPr>
          <w:ilvl w:val="0"/>
          <w:numId w:val="18"/>
        </w:numPr>
        <w:jc w:val="both"/>
      </w:pPr>
      <w:r>
        <w:t>Production costs, which are the generation and purchase costs associated with serving load requirements throughout the year</w:t>
      </w:r>
    </w:p>
    <w:p w14:paraId="4C4AC5C7" w14:textId="64633B1D" w:rsidR="00957205" w:rsidRDefault="00773998" w:rsidP="00E76A42">
      <w:pPr>
        <w:pStyle w:val="Heading2"/>
        <w:jc w:val="both"/>
      </w:pPr>
      <w:bookmarkStart w:id="94" w:name="_Toc189122809"/>
      <w:r>
        <w:t>E</w:t>
      </w:r>
      <w:r w:rsidR="00957205">
        <w:t>.</w:t>
      </w:r>
      <w:r w:rsidR="002703B9">
        <w:t>3</w:t>
      </w:r>
      <w:r w:rsidR="00957205">
        <w:t xml:space="preserve"> – </w:t>
      </w:r>
      <w:r w:rsidR="00F246BF">
        <w:t xml:space="preserve">Expansion </w:t>
      </w:r>
      <w:r w:rsidR="00D110B6">
        <w:t xml:space="preserve">and </w:t>
      </w:r>
      <w:r w:rsidR="009B09C8">
        <w:t>Economic Analysis</w:t>
      </w:r>
      <w:bookmarkEnd w:id="94"/>
    </w:p>
    <w:p w14:paraId="034E766F" w14:textId="5EC1B6DB" w:rsidR="00F246BF" w:rsidRDefault="00773998" w:rsidP="00E76A42">
      <w:pPr>
        <w:pStyle w:val="Heading3"/>
        <w:jc w:val="both"/>
      </w:pPr>
      <w:bookmarkStart w:id="95" w:name="_Ref188260221"/>
      <w:r>
        <w:t>E</w:t>
      </w:r>
      <w:r w:rsidR="00F246BF">
        <w:t xml:space="preserve">.3.1 – </w:t>
      </w:r>
      <w:bookmarkEnd w:id="95"/>
      <w:r w:rsidR="00F10A0E">
        <w:t>Aurora</w:t>
      </w:r>
    </w:p>
    <w:p w14:paraId="6B92418D" w14:textId="44BC5F40" w:rsidR="00957205" w:rsidRDefault="0009301C" w:rsidP="00E76A42">
      <w:pPr>
        <w:jc w:val="both"/>
      </w:pPr>
      <w:r>
        <w:t>Aurora</w:t>
      </w:r>
      <w:r w:rsidR="00957205">
        <w:t xml:space="preserve"> is used to identify the optimal expansion plans and estimate marginal energy costs for use in various models and analyses. </w:t>
      </w:r>
    </w:p>
    <w:p w14:paraId="64E9AB64" w14:textId="77777777" w:rsidR="00957205" w:rsidRPr="00F246BF" w:rsidRDefault="00957205" w:rsidP="00E76A42">
      <w:pPr>
        <w:jc w:val="both"/>
        <w:rPr>
          <w:u w:val="single"/>
        </w:rPr>
      </w:pPr>
      <w:r w:rsidRPr="00F246BF">
        <w:rPr>
          <w:u w:val="single"/>
        </w:rPr>
        <w:t>Expansion Plans</w:t>
      </w:r>
    </w:p>
    <w:p w14:paraId="73610E31" w14:textId="5CF14F69" w:rsidR="00957205" w:rsidRDefault="0009301C" w:rsidP="00E76A42">
      <w:pPr>
        <w:jc w:val="both"/>
      </w:pPr>
      <w:r>
        <w:t>Aurora</w:t>
      </w:r>
      <w:r w:rsidR="00957205">
        <w:t xml:space="preserve"> employs a generation mix optimization module that includes the following major inputs: (1)</w:t>
      </w:r>
      <w:r w:rsidR="002233D0">
        <w:t> </w:t>
      </w:r>
      <w:r w:rsidR="00957205">
        <w:t xml:space="preserve">future generating unit characteristics and capital cost; (2) the capital recovery rates necessary to recover investment cost; (3) capital cost escalation rates; and (4) a discount rate. </w:t>
      </w:r>
      <w:r>
        <w:t>Aurora</w:t>
      </w:r>
      <w:r w:rsidR="00957205">
        <w:t xml:space="preserve"> </w:t>
      </w:r>
      <w:r w:rsidR="005F10F3">
        <w:t>is used to</w:t>
      </w:r>
      <w:r w:rsidR="00957205">
        <w:t xml:space="preserve"> deriv</w:t>
      </w:r>
      <w:r w:rsidR="005F10F3">
        <w:t>e</w:t>
      </w:r>
      <w:r w:rsidR="00957205">
        <w:t xml:space="preserve"> the least-cost expansion plan that </w:t>
      </w:r>
      <w:r w:rsidR="00475563">
        <w:t xml:space="preserve">minimizes </w:t>
      </w:r>
      <w:r w:rsidR="17F4DF46">
        <w:t xml:space="preserve">total </w:t>
      </w:r>
      <w:r w:rsidR="008616B8">
        <w:t>S</w:t>
      </w:r>
      <w:r w:rsidR="17F4DF46">
        <w:t xml:space="preserve">ystem </w:t>
      </w:r>
      <w:r w:rsidR="00475563">
        <w:t>cost</w:t>
      </w:r>
      <w:r w:rsidR="00957205">
        <w:t xml:space="preserve"> consider</w:t>
      </w:r>
      <w:r w:rsidR="00A04846">
        <w:t>ing</w:t>
      </w:r>
      <w:r w:rsidR="00957205">
        <w:t xml:space="preserve"> all </w:t>
      </w:r>
      <w:r w:rsidR="00C536D7">
        <w:t xml:space="preserve">available </w:t>
      </w:r>
      <w:r w:rsidR="00957205">
        <w:t>combinations of capacity additions on a yearly basis that would satisfy the reserve margin constraints. The combination of alternatives with the smallest production and capital cost over the planning horizon is the least-cost plan.</w:t>
      </w:r>
    </w:p>
    <w:p w14:paraId="6D6A5918" w14:textId="56667356" w:rsidR="00957205" w:rsidRDefault="00957205" w:rsidP="00E76A42">
      <w:pPr>
        <w:jc w:val="both"/>
      </w:pPr>
      <w:r>
        <w:lastRenderedPageBreak/>
        <w:t>The output of the model is used as the primary guide in developing the base case System expansion plan for the Retail Op</w:t>
      </w:r>
      <w:r w:rsidR="002A5FB0">
        <w:t xml:space="preserve">erating </w:t>
      </w:r>
      <w:r>
        <w:t>Co</w:t>
      </w:r>
      <w:r w:rsidR="002A5FB0">
        <w:t>mpanie</w:t>
      </w:r>
      <w:r>
        <w:t>s. This System expansion plan identifies the capacity additions that serve as a guide for the type of capacity and energy resources that are most economical in a particular timeframe with the given assumptions. The output is also an input into the hourly production cost modeling, which is described below.</w:t>
      </w:r>
    </w:p>
    <w:p w14:paraId="23E8F21E" w14:textId="77777777" w:rsidR="00957205" w:rsidRPr="00F246BF" w:rsidRDefault="00957205" w:rsidP="00E76A42">
      <w:pPr>
        <w:jc w:val="both"/>
        <w:rPr>
          <w:u w:val="single"/>
        </w:rPr>
      </w:pPr>
      <w:r w:rsidRPr="00F246BF">
        <w:rPr>
          <w:u w:val="single"/>
        </w:rPr>
        <w:t>Marginal Energy Costs</w:t>
      </w:r>
    </w:p>
    <w:p w14:paraId="3A9D413D" w14:textId="38D84B1C" w:rsidR="00957205" w:rsidRDefault="0009301C" w:rsidP="00E76A42">
      <w:pPr>
        <w:jc w:val="both"/>
      </w:pPr>
      <w:r>
        <w:t>Aurora</w:t>
      </w:r>
      <w:r w:rsidR="0759E3A3">
        <w:t xml:space="preserve"> </w:t>
      </w:r>
      <w:r w:rsidR="0732DEB7">
        <w:t>is used to identify</w:t>
      </w:r>
      <w:r w:rsidR="3CA2DDE0">
        <w:t xml:space="preserve"> the</w:t>
      </w:r>
      <w:r w:rsidR="00957205">
        <w:t xml:space="preserve"> </w:t>
      </w:r>
      <w:r w:rsidR="0732DEB7">
        <w:t xml:space="preserve">least-cost </w:t>
      </w:r>
      <w:r w:rsidR="45A57075">
        <w:t xml:space="preserve">commitment, dispatch and operation of the supply and storage components of </w:t>
      </w:r>
      <w:r w:rsidR="00F6477F">
        <w:t>the Company’s</w:t>
      </w:r>
      <w:r w:rsidR="45A57075">
        <w:t xml:space="preserve"> fleet</w:t>
      </w:r>
      <w:r w:rsidR="71DE4F52">
        <w:t xml:space="preserve"> on an hourly basis</w:t>
      </w:r>
      <w:r w:rsidR="45A57075">
        <w:t xml:space="preserve">. </w:t>
      </w:r>
      <w:r w:rsidR="33E5A6D1">
        <w:t>A</w:t>
      </w:r>
      <w:r w:rsidR="401F31B7">
        <w:t xml:space="preserve">mong the key outputs </w:t>
      </w:r>
      <w:r w:rsidR="2814F30B">
        <w:t>are</w:t>
      </w:r>
      <w:r w:rsidR="33E5A6D1">
        <w:t xml:space="preserve"> hourly</w:t>
      </w:r>
      <w:r w:rsidR="58DE09B1">
        <w:t xml:space="preserve"> </w:t>
      </w:r>
      <w:r w:rsidR="462DFCB6">
        <w:t xml:space="preserve">projections </w:t>
      </w:r>
      <w:r w:rsidR="58DE09B1">
        <w:t xml:space="preserve">of </w:t>
      </w:r>
      <w:r w:rsidR="2E2CCE69">
        <w:t xml:space="preserve">marginal energy cost </w:t>
      </w:r>
      <w:r w:rsidR="00A7E167">
        <w:t>throughout a</w:t>
      </w:r>
      <w:r w:rsidR="462DFCB6">
        <w:t xml:space="preserve"> 30</w:t>
      </w:r>
      <w:r w:rsidR="4F0E7E8D">
        <w:t>-</w:t>
      </w:r>
      <w:r w:rsidR="462DFCB6">
        <w:t>year</w:t>
      </w:r>
      <w:r w:rsidR="08FF39CE">
        <w:t xml:space="preserve"> planning period</w:t>
      </w:r>
      <w:r w:rsidR="1B981591">
        <w:t>.</w:t>
      </w:r>
    </w:p>
    <w:p w14:paraId="096F9C1F" w14:textId="4B770661" w:rsidR="00957205" w:rsidRDefault="7ABF22EB" w:rsidP="00E76A42">
      <w:pPr>
        <w:jc w:val="both"/>
      </w:pPr>
      <w:r>
        <w:t>Other outputs include</w:t>
      </w:r>
    </w:p>
    <w:p w14:paraId="04778189" w14:textId="557ECB03" w:rsidR="00957205" w:rsidRDefault="5D3DEF70" w:rsidP="338C6CA5">
      <w:pPr>
        <w:pStyle w:val="ListParagraph"/>
        <w:numPr>
          <w:ilvl w:val="0"/>
          <w:numId w:val="49"/>
        </w:numPr>
        <w:jc w:val="both"/>
      </w:pPr>
      <w:r>
        <w:t>T</w:t>
      </w:r>
      <w:r w:rsidR="00957205">
        <w:t>he Company’s annual energy budget</w:t>
      </w:r>
    </w:p>
    <w:p w14:paraId="4AF3B96E" w14:textId="0249827F" w:rsidR="00957205" w:rsidRDefault="01888E1E" w:rsidP="338C6CA5">
      <w:pPr>
        <w:pStyle w:val="ListParagraph"/>
        <w:numPr>
          <w:ilvl w:val="0"/>
          <w:numId w:val="49"/>
        </w:numPr>
        <w:jc w:val="both"/>
      </w:pPr>
      <w:r>
        <w:t>M</w:t>
      </w:r>
      <w:r w:rsidR="00957205">
        <w:t>arginal energy cost</w:t>
      </w:r>
      <w:r w:rsidR="270460B4">
        <w:t>s</w:t>
      </w:r>
      <w:r w:rsidR="00957205">
        <w:t xml:space="preserve"> </w:t>
      </w:r>
      <w:r w:rsidR="4B45FB67">
        <w:t>used</w:t>
      </w:r>
      <w:r w:rsidR="00957205">
        <w:t xml:space="preserve"> in PRICEM, </w:t>
      </w:r>
      <w:r w:rsidR="15924252">
        <w:t xml:space="preserve">the </w:t>
      </w:r>
      <w:r w:rsidR="00957205">
        <w:t>RCB Framework applications, and elsewhere</w:t>
      </w:r>
    </w:p>
    <w:p w14:paraId="4F6E4FEC" w14:textId="2800E837" w:rsidR="00957205" w:rsidRDefault="1D3D4A26" w:rsidP="338C6CA5">
      <w:pPr>
        <w:pStyle w:val="ListParagraph"/>
        <w:numPr>
          <w:ilvl w:val="0"/>
          <w:numId w:val="49"/>
        </w:numPr>
        <w:jc w:val="both"/>
      </w:pPr>
      <w:r>
        <w:t>T</w:t>
      </w:r>
      <w:r w:rsidR="00957205">
        <w:t>he SO</w:t>
      </w:r>
      <w:r w:rsidR="00957205" w:rsidRPr="000446DC">
        <w:rPr>
          <w:vertAlign w:val="subscript"/>
        </w:rPr>
        <w:t>2</w:t>
      </w:r>
      <w:r w:rsidR="00957205">
        <w:t xml:space="preserve"> and NO</w:t>
      </w:r>
      <w:r w:rsidR="00957205" w:rsidRPr="000446DC">
        <w:rPr>
          <w:vertAlign w:val="subscript"/>
        </w:rPr>
        <w:t>X</w:t>
      </w:r>
      <w:r w:rsidR="00957205">
        <w:t xml:space="preserve"> marginal costs </w:t>
      </w:r>
      <w:r w:rsidR="3FF2242A">
        <w:t>used</w:t>
      </w:r>
      <w:r w:rsidR="00957205" w:rsidDel="00957205">
        <w:t xml:space="preserve"> </w:t>
      </w:r>
      <w:r w:rsidR="00957205">
        <w:t>in PRICEM.</w:t>
      </w:r>
    </w:p>
    <w:p w14:paraId="08A5AAD9" w14:textId="16E03A05" w:rsidR="00F246BF" w:rsidRDefault="00773998" w:rsidP="00E76A42">
      <w:pPr>
        <w:pStyle w:val="Heading3"/>
        <w:jc w:val="both"/>
      </w:pPr>
      <w:r>
        <w:t>E</w:t>
      </w:r>
      <w:r w:rsidR="00F246BF">
        <w:t xml:space="preserve">.3.2 </w:t>
      </w:r>
      <w:r w:rsidR="00B53437">
        <w:t>–</w:t>
      </w:r>
      <w:r w:rsidR="00F246BF">
        <w:t xml:space="preserve"> PRICEM</w:t>
      </w:r>
    </w:p>
    <w:p w14:paraId="5E897103" w14:textId="7613BDA4" w:rsidR="00F804B7" w:rsidRDefault="00F804B7" w:rsidP="00E76A42">
      <w:pPr>
        <w:jc w:val="both"/>
      </w:pPr>
      <w:r>
        <w:t xml:space="preserve">PRICEM is a spreadsheet-based marginal cost model designed by SCS to predict the change in </w:t>
      </w:r>
      <w:r w:rsidR="008338E6">
        <w:t>costs</w:t>
      </w:r>
      <w:r>
        <w:t xml:space="preserve"> </w:t>
      </w:r>
      <w:r w:rsidR="00C54B1D">
        <w:t>and revenues</w:t>
      </w:r>
      <w:r>
        <w:t xml:space="preserve"> attributable to changes in loads. PRICEM takes data from other major models and combines them in a single spreadsheet to provide quick, yet relatively detailed, evaluations of options. Data inputs are consistent with inputs to </w:t>
      </w:r>
      <w:r w:rsidR="0009301C">
        <w:t xml:space="preserve">Aurora </w:t>
      </w:r>
      <w:r>
        <w:t xml:space="preserve">and as such are taken from: (1) revenue requirements stream from Standard Analysis Model (“SAM”); (2) marginal energy cost from </w:t>
      </w:r>
      <w:r w:rsidR="0009301C">
        <w:t>Aurora</w:t>
      </w:r>
      <w:r>
        <w:t xml:space="preserve">; (3) </w:t>
      </w:r>
      <w:r w:rsidR="001E31B2">
        <w:t xml:space="preserve">Capacity equivalence </w:t>
      </w:r>
      <w:r>
        <w:t>factors from SERVM; and (4) technology cost assumptions.</w:t>
      </w:r>
    </w:p>
    <w:p w14:paraId="59C1744D" w14:textId="77777777" w:rsidR="00F804B7" w:rsidRDefault="00F804B7" w:rsidP="00E76A42">
      <w:pPr>
        <w:jc w:val="both"/>
      </w:pPr>
      <w:r>
        <w:t>PRICEM models the year with 864 load points and uses the peaker method, which is a technique allowing the total of generating capacity cost and energy cost to be estimated with peaking capacity and marginal energy cost. The peaker method provides a quick screening of many alternatives. Useful information that can be gathered from PRICEM includes:</w:t>
      </w:r>
    </w:p>
    <w:p w14:paraId="6D97A39C" w14:textId="6A5D5165" w:rsidR="00F804B7" w:rsidRDefault="00F804B7" w:rsidP="009A12F5">
      <w:pPr>
        <w:pStyle w:val="ListParagraph"/>
        <w:numPr>
          <w:ilvl w:val="0"/>
          <w:numId w:val="19"/>
        </w:numPr>
        <w:jc w:val="both"/>
      </w:pPr>
      <w:r>
        <w:t xml:space="preserve">RIM – A NPV calculation of the total benefits and total costs over the life of the program; and </w:t>
      </w:r>
    </w:p>
    <w:p w14:paraId="6D6C7841" w14:textId="78DB51FB" w:rsidR="00F804B7" w:rsidRDefault="00F804B7" w:rsidP="009A12F5">
      <w:pPr>
        <w:pStyle w:val="ListParagraph"/>
        <w:numPr>
          <w:ilvl w:val="0"/>
          <w:numId w:val="19"/>
        </w:numPr>
        <w:jc w:val="both"/>
      </w:pPr>
      <w:r>
        <w:t>Predictions of the amount of generating capacity needed to maintain System reliability after a change in interruptible or firm loads.</w:t>
      </w:r>
    </w:p>
    <w:p w14:paraId="01CF8A82" w14:textId="77AACB58" w:rsidR="00F804B7" w:rsidRDefault="00773998" w:rsidP="00E76A42">
      <w:pPr>
        <w:pStyle w:val="Heading3"/>
        <w:jc w:val="both"/>
      </w:pPr>
      <w:r>
        <w:t>E</w:t>
      </w:r>
      <w:r w:rsidR="00A5605F">
        <w:t xml:space="preserve">.3.3 – </w:t>
      </w:r>
      <w:r w:rsidR="00F804B7">
        <w:t>SAM (Standard Analysis Model)</w:t>
      </w:r>
    </w:p>
    <w:p w14:paraId="1201555A" w14:textId="5C35ACF9" w:rsidR="00F804B7" w:rsidRDefault="00F804B7" w:rsidP="00E76A42">
      <w:pPr>
        <w:jc w:val="both"/>
      </w:pPr>
      <w:r>
        <w:t xml:space="preserve">SAM is a financial </w:t>
      </w:r>
      <w:r w:rsidR="6E1D94D7">
        <w:t>analysis model</w:t>
      </w:r>
      <w:r>
        <w:t xml:space="preserve"> used to convert capital expenditures into annual revenue requirements. It incorporates projections of the costs of capital, tax rates, and depreciation rates.</w:t>
      </w:r>
    </w:p>
    <w:p w14:paraId="5834130C" w14:textId="77777777" w:rsidR="00F804B7" w:rsidRDefault="00F804B7" w:rsidP="00E76A42">
      <w:pPr>
        <w:jc w:val="both"/>
      </w:pPr>
      <w:r>
        <w:t>The useful information that can be gathered from SAM includes:</w:t>
      </w:r>
    </w:p>
    <w:p w14:paraId="60CB8A6D" w14:textId="61932D52" w:rsidR="00F804B7" w:rsidRDefault="00F804B7" w:rsidP="009A12F5">
      <w:pPr>
        <w:pStyle w:val="ListParagraph"/>
        <w:numPr>
          <w:ilvl w:val="0"/>
          <w:numId w:val="21"/>
        </w:numPr>
        <w:jc w:val="both"/>
      </w:pPr>
      <w:r>
        <w:t>Annual revenue requirements necessary to earn a return on and return of the investment</w:t>
      </w:r>
    </w:p>
    <w:p w14:paraId="7B8A53FB" w14:textId="0784CF8D" w:rsidR="00F804B7" w:rsidRDefault="00F804B7" w:rsidP="009A12F5">
      <w:pPr>
        <w:pStyle w:val="ListParagraph"/>
        <w:numPr>
          <w:ilvl w:val="0"/>
          <w:numId w:val="21"/>
        </w:numPr>
        <w:jc w:val="both"/>
      </w:pPr>
      <w:r>
        <w:t>NPV of revenue requirements</w:t>
      </w:r>
    </w:p>
    <w:p w14:paraId="04C4C2F7" w14:textId="6025D9A8" w:rsidR="00F804B7" w:rsidRDefault="00F804B7" w:rsidP="009A12F5">
      <w:pPr>
        <w:pStyle w:val="ListParagraph"/>
        <w:numPr>
          <w:ilvl w:val="0"/>
          <w:numId w:val="21"/>
        </w:numPr>
        <w:jc w:val="both"/>
      </w:pPr>
      <w:r>
        <w:t>Levelized fixed charge rates</w:t>
      </w:r>
    </w:p>
    <w:p w14:paraId="0B783E19" w14:textId="744D1A7B" w:rsidR="00F804B7" w:rsidRDefault="00F804B7" w:rsidP="009A12F5">
      <w:pPr>
        <w:pStyle w:val="ListParagraph"/>
        <w:numPr>
          <w:ilvl w:val="0"/>
          <w:numId w:val="21"/>
        </w:numPr>
        <w:jc w:val="both"/>
      </w:pPr>
      <w:r>
        <w:t>Economic carrying costs</w:t>
      </w:r>
    </w:p>
    <w:p w14:paraId="432D9F1C" w14:textId="23312F4F" w:rsidR="004760B6" w:rsidRDefault="00F804B7" w:rsidP="00E76A42">
      <w:pPr>
        <w:jc w:val="both"/>
      </w:pPr>
      <w:r>
        <w:t xml:space="preserve">SAM provides key calculations for numerous studies. It is used or has been used in: (1) calculating revenue requirements streams and economic carrying cost rates for PRICEM; and (2) calculating the </w:t>
      </w:r>
      <w:r>
        <w:lastRenderedPageBreak/>
        <w:t xml:space="preserve">economic carrying cost rates and NPV of revenue requirements for many studies, including for use in </w:t>
      </w:r>
      <w:r w:rsidR="0009301C">
        <w:t>Aurora</w:t>
      </w:r>
      <w:r>
        <w:t>.</w:t>
      </w:r>
    </w:p>
    <w:p w14:paraId="6B3786BC" w14:textId="77777777" w:rsidR="004760B6" w:rsidRDefault="004760B6">
      <w:r>
        <w:br w:type="page"/>
      </w:r>
    </w:p>
    <w:p w14:paraId="03E7CA78" w14:textId="5890A9D3" w:rsidR="00DA3FAD" w:rsidRDefault="00C54238" w:rsidP="00C54238">
      <w:pPr>
        <w:pStyle w:val="Heading1"/>
      </w:pPr>
      <w:bookmarkStart w:id="96" w:name="_Toc189122810"/>
      <w:r>
        <w:lastRenderedPageBreak/>
        <w:t xml:space="preserve">Attachment </w:t>
      </w:r>
      <w:r w:rsidR="00773998">
        <w:t>F</w:t>
      </w:r>
      <w:r>
        <w:t xml:space="preserve"> – Hydroelectric Relicensing Schedule</w:t>
      </w:r>
      <w:bookmarkEnd w:id="96"/>
    </w:p>
    <w:p w14:paraId="2BDCC983" w14:textId="784BFB7A" w:rsidR="00862E5F" w:rsidRDefault="00862E5F" w:rsidP="003652E2">
      <w:pPr>
        <w:jc w:val="both"/>
      </w:pPr>
      <w:r>
        <w:t xml:space="preserve">In 1920, Congress passed the Federal Water Power Act, which gave the Federal Power Commission (“FPC”), FERC’s predecessor, its original authority to license and regulate non-federal hydropower projects. FERC requires qualifying hydroelectric projects to have operating licenses. Licenses are </w:t>
      </w:r>
      <w:r w:rsidR="4BE15338">
        <w:t>typi</w:t>
      </w:r>
      <w:r w:rsidR="1CFD4430">
        <w:t>c</w:t>
      </w:r>
      <w:r w:rsidR="4BE15338">
        <w:t>ally</w:t>
      </w:r>
      <w:r>
        <w:t xml:space="preserve"> issued as 40</w:t>
      </w:r>
      <w:r w:rsidR="00F47E97">
        <w:t>-year</w:t>
      </w:r>
      <w:r>
        <w:t xml:space="preserve"> licenses. During the relicense process, hydroelectric resources undergo an environmental review in accordance with the National Environmental Policy Act. During the relicense process, </w:t>
      </w:r>
      <w:r w:rsidR="00F47E97">
        <w:t xml:space="preserve">the general public, </w:t>
      </w:r>
      <w:r w:rsidR="00592DEC">
        <w:t xml:space="preserve">federal </w:t>
      </w:r>
      <w:r w:rsidR="00F47E97">
        <w:t xml:space="preserve">and </w:t>
      </w:r>
      <w:r w:rsidR="00592DEC">
        <w:t xml:space="preserve">state </w:t>
      </w:r>
      <w:r w:rsidR="00F47E97">
        <w:t>agencies</w:t>
      </w:r>
      <w:r w:rsidR="7E5F6AEC">
        <w:t>,</w:t>
      </w:r>
      <w:r w:rsidR="00F47E97">
        <w:t xml:space="preserve"> </w:t>
      </w:r>
      <w:r w:rsidR="00953D88">
        <w:t xml:space="preserve">non-governmental and special interest groups </w:t>
      </w:r>
      <w:r w:rsidR="6EE3BB74">
        <w:t>and other relicensing participants</w:t>
      </w:r>
      <w:r w:rsidR="007B0C6C">
        <w:t xml:space="preserve"> (e.g., local governments)</w:t>
      </w:r>
      <w:r>
        <w:t xml:space="preserve"> provide input on the project and the FERC environmental review considers other statutes that affect hydropower regulation. Georgia Power is required to relicense existing operating licenses at the end of the license term and also ask for license amendments for modernization projects. </w:t>
      </w:r>
    </w:p>
    <w:p w14:paraId="502B6DEC" w14:textId="5F6698CB" w:rsidR="00862E5F" w:rsidRDefault="00862E5F" w:rsidP="003652E2">
      <w:pPr>
        <w:jc w:val="both"/>
      </w:pPr>
      <w:r>
        <w:t xml:space="preserve">During relicensing, FERC may impose additional license conditions on Georgia Power based on input from </w:t>
      </w:r>
      <w:r w:rsidR="004721E9">
        <w:t>relicensing participants</w:t>
      </w:r>
      <w:r>
        <w:t>. Outside of the FERC relicensing proceeding, FERC may require additional license conditions during a license term, including in some instances, requirements imposed by federal and state agencies. These requirements may result in loss of capacity and/or generation due to increased minimum flows, seasonal limits on generation, increased water withdrawals, limits on reservoir fluctuations, or dam removal. Additionally, reductions in peaking capability, ancillary services (e.g., voltage control), and operational flexibility could arise due to imposed ramping rates or modifications to current operational regimes. Finally, additional license requirements could come in the form of increased capital investment such as installation of facilities and equipment for environmental purposes (e.g., dissolved oxygen or fish passage facilities), installation and enhancement of recreational facilities, shoreline changes, habitat enhancements, monitoring and surveillance of environmental parameters, or replacement of capacity.</w:t>
      </w:r>
    </w:p>
    <w:p w14:paraId="2D24CD94" w14:textId="77777777" w:rsidR="00862E5F" w:rsidRDefault="00862E5F" w:rsidP="003652E2">
      <w:pPr>
        <w:jc w:val="both"/>
      </w:pPr>
      <w:r>
        <w:t>The following section highlights recent and upcoming relicensing proceedings for various Georgia Power hydro plants.</w:t>
      </w:r>
    </w:p>
    <w:tbl>
      <w:tblPr>
        <w:tblW w:w="10080" w:type="dxa"/>
        <w:tblInd w:w="-10"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27"/>
        <w:gridCol w:w="2673"/>
        <w:gridCol w:w="4680"/>
      </w:tblGrid>
      <w:tr w:rsidR="003652E2" w14:paraId="77E367F3" w14:textId="77777777" w:rsidTr="00434DD5">
        <w:trPr>
          <w:trHeight w:val="576"/>
        </w:trPr>
        <w:tc>
          <w:tcPr>
            <w:tcW w:w="10070" w:type="dxa"/>
            <w:gridSpan w:val="3"/>
            <w:shd w:val="clear" w:color="auto" w:fill="7F7F7F" w:themeFill="text1" w:themeFillTint="80"/>
            <w:tcMar>
              <w:top w:w="0" w:type="dxa"/>
              <w:left w:w="108" w:type="dxa"/>
              <w:bottom w:w="0" w:type="dxa"/>
              <w:right w:w="108" w:type="dxa"/>
            </w:tcMar>
            <w:vAlign w:val="center"/>
            <w:hideMark/>
          </w:tcPr>
          <w:p w14:paraId="178F84B9" w14:textId="77777777" w:rsidR="003652E2" w:rsidRDefault="003652E2" w:rsidP="004911AE">
            <w:pPr>
              <w:keepNext/>
              <w:spacing w:after="0" w:line="240" w:lineRule="auto"/>
              <w:jc w:val="center"/>
              <w:rPr>
                <w:b/>
                <w:sz w:val="20"/>
                <w:szCs w:val="20"/>
              </w:rPr>
            </w:pPr>
            <w:bookmarkStart w:id="97" w:name="_Hlk83071404"/>
            <w:r>
              <w:rPr>
                <w:b/>
                <w:color w:val="FFFFFF"/>
                <w:sz w:val="20"/>
                <w:szCs w:val="20"/>
              </w:rPr>
              <w:lastRenderedPageBreak/>
              <w:t>Hydro License Schedule</w:t>
            </w:r>
          </w:p>
        </w:tc>
      </w:tr>
      <w:tr w:rsidR="003652E2" w14:paraId="4374AB41" w14:textId="77777777" w:rsidTr="00434DD5">
        <w:trPr>
          <w:trHeight w:val="466"/>
        </w:trPr>
        <w:tc>
          <w:tcPr>
            <w:tcW w:w="2717" w:type="dxa"/>
            <w:tcMar>
              <w:top w:w="0" w:type="dxa"/>
              <w:left w:w="108" w:type="dxa"/>
              <w:bottom w:w="0" w:type="dxa"/>
              <w:right w:w="108" w:type="dxa"/>
            </w:tcMar>
            <w:vAlign w:val="center"/>
            <w:hideMark/>
          </w:tcPr>
          <w:p w14:paraId="6A17BEB3" w14:textId="77777777" w:rsidR="003652E2" w:rsidRDefault="003652E2" w:rsidP="004911AE">
            <w:pPr>
              <w:keepNext/>
              <w:spacing w:after="0" w:line="240" w:lineRule="auto"/>
              <w:jc w:val="center"/>
              <w:rPr>
                <w:b/>
                <w:sz w:val="20"/>
                <w:szCs w:val="20"/>
              </w:rPr>
            </w:pPr>
            <w:r>
              <w:rPr>
                <w:b/>
                <w:sz w:val="20"/>
                <w:szCs w:val="20"/>
              </w:rPr>
              <w:t>Project</w:t>
            </w:r>
          </w:p>
        </w:tc>
        <w:tc>
          <w:tcPr>
            <w:tcW w:w="2673" w:type="dxa"/>
            <w:tcMar>
              <w:top w:w="0" w:type="dxa"/>
              <w:left w:w="108" w:type="dxa"/>
              <w:bottom w:w="0" w:type="dxa"/>
              <w:right w:w="108" w:type="dxa"/>
            </w:tcMar>
            <w:vAlign w:val="center"/>
            <w:hideMark/>
          </w:tcPr>
          <w:p w14:paraId="2BFBC8BF" w14:textId="77777777" w:rsidR="003652E2" w:rsidRDefault="003652E2" w:rsidP="004911AE">
            <w:pPr>
              <w:keepNext/>
              <w:spacing w:after="0" w:line="240" w:lineRule="auto"/>
              <w:jc w:val="center"/>
              <w:rPr>
                <w:b/>
                <w:sz w:val="20"/>
                <w:szCs w:val="20"/>
              </w:rPr>
            </w:pPr>
            <w:r>
              <w:rPr>
                <w:b/>
                <w:sz w:val="20"/>
                <w:szCs w:val="20"/>
              </w:rPr>
              <w:t>License Expiration Date</w:t>
            </w:r>
          </w:p>
        </w:tc>
        <w:tc>
          <w:tcPr>
            <w:tcW w:w="4680" w:type="dxa"/>
            <w:tcMar>
              <w:top w:w="0" w:type="dxa"/>
              <w:left w:w="108" w:type="dxa"/>
              <w:bottom w:w="0" w:type="dxa"/>
              <w:right w:w="108" w:type="dxa"/>
            </w:tcMar>
            <w:vAlign w:val="center"/>
            <w:hideMark/>
          </w:tcPr>
          <w:p w14:paraId="75511A8E" w14:textId="626D9655" w:rsidR="003652E2" w:rsidRDefault="003652E2" w:rsidP="004911AE">
            <w:pPr>
              <w:keepNext/>
              <w:spacing w:after="0" w:line="240" w:lineRule="auto"/>
              <w:jc w:val="center"/>
              <w:rPr>
                <w:b/>
                <w:sz w:val="20"/>
                <w:szCs w:val="20"/>
              </w:rPr>
            </w:pPr>
            <w:r>
              <w:rPr>
                <w:b/>
                <w:sz w:val="20"/>
                <w:szCs w:val="20"/>
              </w:rPr>
              <w:t>Start Relicensing Per NOI/ILP</w:t>
            </w:r>
          </w:p>
        </w:tc>
      </w:tr>
      <w:tr w:rsidR="003652E2" w14:paraId="3FBA6BFA" w14:textId="77777777" w:rsidTr="00434DD5">
        <w:trPr>
          <w:trHeight w:val="432"/>
        </w:trPr>
        <w:tc>
          <w:tcPr>
            <w:tcW w:w="2717" w:type="dxa"/>
            <w:tcMar>
              <w:top w:w="0" w:type="dxa"/>
              <w:left w:w="108" w:type="dxa"/>
              <w:bottom w:w="0" w:type="dxa"/>
              <w:right w:w="108" w:type="dxa"/>
            </w:tcMar>
            <w:vAlign w:val="center"/>
            <w:hideMark/>
          </w:tcPr>
          <w:p w14:paraId="434D5067" w14:textId="77777777" w:rsidR="003652E2" w:rsidRDefault="003652E2" w:rsidP="004911AE">
            <w:pPr>
              <w:keepNext/>
              <w:spacing w:after="0" w:line="240" w:lineRule="auto"/>
              <w:rPr>
                <w:b/>
                <w:sz w:val="20"/>
                <w:szCs w:val="20"/>
              </w:rPr>
            </w:pPr>
            <w:r>
              <w:rPr>
                <w:b/>
                <w:sz w:val="20"/>
                <w:szCs w:val="20"/>
              </w:rPr>
              <w:t>Rocky Mountain</w:t>
            </w:r>
          </w:p>
        </w:tc>
        <w:tc>
          <w:tcPr>
            <w:tcW w:w="2673" w:type="dxa"/>
            <w:tcMar>
              <w:top w:w="0" w:type="dxa"/>
              <w:left w:w="108" w:type="dxa"/>
              <w:bottom w:w="0" w:type="dxa"/>
              <w:right w:w="108" w:type="dxa"/>
            </w:tcMar>
            <w:vAlign w:val="center"/>
            <w:hideMark/>
          </w:tcPr>
          <w:p w14:paraId="08125BCF" w14:textId="77777777" w:rsidR="003652E2" w:rsidRDefault="003652E2" w:rsidP="004911AE">
            <w:pPr>
              <w:keepNext/>
              <w:spacing w:after="0" w:line="240" w:lineRule="auto"/>
              <w:jc w:val="center"/>
              <w:rPr>
                <w:sz w:val="20"/>
                <w:szCs w:val="20"/>
              </w:rPr>
            </w:pPr>
            <w:r>
              <w:rPr>
                <w:sz w:val="20"/>
                <w:szCs w:val="20"/>
              </w:rPr>
              <w:t>December 31, 2026</w:t>
            </w:r>
          </w:p>
        </w:tc>
        <w:tc>
          <w:tcPr>
            <w:tcW w:w="4680" w:type="dxa"/>
            <w:tcMar>
              <w:top w:w="0" w:type="dxa"/>
              <w:left w:w="108" w:type="dxa"/>
              <w:bottom w:w="0" w:type="dxa"/>
              <w:right w:w="108" w:type="dxa"/>
            </w:tcMar>
            <w:vAlign w:val="center"/>
            <w:hideMark/>
          </w:tcPr>
          <w:p w14:paraId="4358C640" w14:textId="77777777" w:rsidR="003652E2" w:rsidRDefault="003652E2" w:rsidP="004911AE">
            <w:pPr>
              <w:keepNext/>
              <w:spacing w:after="0" w:line="240" w:lineRule="auto"/>
              <w:jc w:val="center"/>
              <w:rPr>
                <w:sz w:val="20"/>
                <w:szCs w:val="20"/>
                <w:highlight w:val="cyan"/>
              </w:rPr>
            </w:pPr>
            <w:r>
              <w:rPr>
                <w:sz w:val="20"/>
                <w:szCs w:val="20"/>
              </w:rPr>
              <w:t>Filed December 10, 2021</w:t>
            </w:r>
          </w:p>
        </w:tc>
      </w:tr>
      <w:tr w:rsidR="003652E2" w14:paraId="2E31C4E4" w14:textId="77777777" w:rsidTr="00434DD5">
        <w:trPr>
          <w:trHeight w:val="720"/>
        </w:trPr>
        <w:tc>
          <w:tcPr>
            <w:tcW w:w="2717" w:type="dxa"/>
            <w:tcMar>
              <w:top w:w="0" w:type="dxa"/>
              <w:left w:w="108" w:type="dxa"/>
              <w:bottom w:w="0" w:type="dxa"/>
              <w:right w:w="108" w:type="dxa"/>
            </w:tcMar>
            <w:vAlign w:val="center"/>
            <w:hideMark/>
          </w:tcPr>
          <w:p w14:paraId="6DCD30C8" w14:textId="77777777" w:rsidR="003652E2" w:rsidRDefault="003652E2" w:rsidP="004911AE">
            <w:pPr>
              <w:keepNext/>
              <w:spacing w:after="0" w:line="240" w:lineRule="auto"/>
              <w:rPr>
                <w:b/>
                <w:sz w:val="20"/>
                <w:szCs w:val="20"/>
              </w:rPr>
            </w:pPr>
            <w:r>
              <w:rPr>
                <w:b/>
                <w:sz w:val="20"/>
                <w:szCs w:val="20"/>
              </w:rPr>
              <w:t>Middle Chattahoochee (Goat Rock, Oliver, and North Highlands)</w:t>
            </w:r>
          </w:p>
        </w:tc>
        <w:tc>
          <w:tcPr>
            <w:tcW w:w="2673" w:type="dxa"/>
            <w:tcMar>
              <w:top w:w="0" w:type="dxa"/>
              <w:left w:w="108" w:type="dxa"/>
              <w:bottom w:w="0" w:type="dxa"/>
              <w:right w:w="108" w:type="dxa"/>
            </w:tcMar>
            <w:vAlign w:val="center"/>
            <w:hideMark/>
          </w:tcPr>
          <w:p w14:paraId="73D55620" w14:textId="77777777" w:rsidR="003652E2" w:rsidRDefault="003652E2" w:rsidP="004911AE">
            <w:pPr>
              <w:keepNext/>
              <w:spacing w:after="0" w:line="240" w:lineRule="auto"/>
              <w:jc w:val="center"/>
              <w:rPr>
                <w:sz w:val="20"/>
                <w:szCs w:val="20"/>
              </w:rPr>
            </w:pPr>
            <w:r>
              <w:rPr>
                <w:sz w:val="20"/>
                <w:szCs w:val="20"/>
              </w:rPr>
              <w:t>December 31, 2034</w:t>
            </w:r>
          </w:p>
        </w:tc>
        <w:tc>
          <w:tcPr>
            <w:tcW w:w="4680" w:type="dxa"/>
            <w:tcMar>
              <w:top w:w="0" w:type="dxa"/>
              <w:left w:w="108" w:type="dxa"/>
              <w:bottom w:w="0" w:type="dxa"/>
              <w:right w:w="108" w:type="dxa"/>
            </w:tcMar>
            <w:vAlign w:val="center"/>
            <w:hideMark/>
          </w:tcPr>
          <w:p w14:paraId="5A55F200" w14:textId="77777777" w:rsidR="003652E2" w:rsidRDefault="003652E2" w:rsidP="004911AE">
            <w:pPr>
              <w:keepNext/>
              <w:spacing w:after="0" w:line="240" w:lineRule="auto"/>
              <w:jc w:val="center"/>
              <w:rPr>
                <w:sz w:val="20"/>
                <w:szCs w:val="20"/>
              </w:rPr>
            </w:pPr>
            <w:r>
              <w:rPr>
                <w:sz w:val="20"/>
                <w:szCs w:val="20"/>
              </w:rPr>
              <w:t>File between July 1, 2029 &amp; December 31, 2029</w:t>
            </w:r>
          </w:p>
        </w:tc>
      </w:tr>
      <w:tr w:rsidR="003652E2" w14:paraId="47EC7964" w14:textId="77777777" w:rsidTr="00434DD5">
        <w:trPr>
          <w:trHeight w:val="432"/>
        </w:trPr>
        <w:tc>
          <w:tcPr>
            <w:tcW w:w="2717" w:type="dxa"/>
            <w:tcMar>
              <w:top w:w="0" w:type="dxa"/>
              <w:left w:w="108" w:type="dxa"/>
              <w:bottom w:w="0" w:type="dxa"/>
              <w:right w:w="108" w:type="dxa"/>
            </w:tcMar>
            <w:vAlign w:val="center"/>
            <w:hideMark/>
          </w:tcPr>
          <w:p w14:paraId="465B1EF7" w14:textId="77777777" w:rsidR="003652E2" w:rsidRDefault="003652E2" w:rsidP="004911AE">
            <w:pPr>
              <w:keepNext/>
              <w:spacing w:after="0" w:line="240" w:lineRule="auto"/>
              <w:rPr>
                <w:b/>
                <w:sz w:val="20"/>
                <w:szCs w:val="20"/>
              </w:rPr>
            </w:pPr>
            <w:r>
              <w:rPr>
                <w:b/>
                <w:sz w:val="20"/>
                <w:szCs w:val="20"/>
              </w:rPr>
              <w:t>Sinclair</w:t>
            </w:r>
          </w:p>
        </w:tc>
        <w:tc>
          <w:tcPr>
            <w:tcW w:w="2673" w:type="dxa"/>
            <w:tcMar>
              <w:top w:w="0" w:type="dxa"/>
              <w:left w:w="108" w:type="dxa"/>
              <w:bottom w:w="0" w:type="dxa"/>
              <w:right w:w="108" w:type="dxa"/>
            </w:tcMar>
            <w:vAlign w:val="center"/>
            <w:hideMark/>
          </w:tcPr>
          <w:p w14:paraId="30BFD627" w14:textId="77777777" w:rsidR="003652E2" w:rsidRDefault="003652E2" w:rsidP="004911AE">
            <w:pPr>
              <w:keepNext/>
              <w:spacing w:after="0" w:line="240" w:lineRule="auto"/>
              <w:jc w:val="center"/>
              <w:rPr>
                <w:sz w:val="20"/>
                <w:szCs w:val="20"/>
              </w:rPr>
            </w:pPr>
            <w:r>
              <w:rPr>
                <w:sz w:val="20"/>
                <w:szCs w:val="20"/>
              </w:rPr>
              <w:t>April 30, 2036</w:t>
            </w:r>
          </w:p>
        </w:tc>
        <w:tc>
          <w:tcPr>
            <w:tcW w:w="4680" w:type="dxa"/>
            <w:tcMar>
              <w:top w:w="0" w:type="dxa"/>
              <w:left w:w="108" w:type="dxa"/>
              <w:bottom w:w="0" w:type="dxa"/>
              <w:right w:w="108" w:type="dxa"/>
            </w:tcMar>
            <w:vAlign w:val="center"/>
            <w:hideMark/>
          </w:tcPr>
          <w:p w14:paraId="4A8769A3" w14:textId="77777777" w:rsidR="003652E2" w:rsidRDefault="003652E2" w:rsidP="004911AE">
            <w:pPr>
              <w:keepNext/>
              <w:spacing w:after="0" w:line="240" w:lineRule="auto"/>
              <w:jc w:val="center"/>
              <w:rPr>
                <w:sz w:val="20"/>
                <w:szCs w:val="20"/>
              </w:rPr>
            </w:pPr>
            <w:r>
              <w:rPr>
                <w:sz w:val="20"/>
                <w:szCs w:val="20"/>
              </w:rPr>
              <w:t>File between October 30, 2030 &amp; April 30, 2031</w:t>
            </w:r>
          </w:p>
        </w:tc>
      </w:tr>
      <w:tr w:rsidR="003652E2" w14:paraId="6C67E7F5" w14:textId="77777777" w:rsidTr="00434DD5">
        <w:trPr>
          <w:trHeight w:val="720"/>
        </w:trPr>
        <w:tc>
          <w:tcPr>
            <w:tcW w:w="2717" w:type="dxa"/>
            <w:tcMar>
              <w:top w:w="0" w:type="dxa"/>
              <w:left w:w="108" w:type="dxa"/>
              <w:bottom w:w="0" w:type="dxa"/>
              <w:right w:w="108" w:type="dxa"/>
            </w:tcMar>
            <w:vAlign w:val="center"/>
            <w:hideMark/>
          </w:tcPr>
          <w:p w14:paraId="55F9CFBD" w14:textId="77777777" w:rsidR="003652E2" w:rsidRDefault="003652E2" w:rsidP="004911AE">
            <w:pPr>
              <w:keepNext/>
              <w:spacing w:after="0" w:line="240" w:lineRule="auto"/>
              <w:rPr>
                <w:b/>
                <w:sz w:val="20"/>
                <w:szCs w:val="20"/>
              </w:rPr>
            </w:pPr>
            <w:r>
              <w:rPr>
                <w:b/>
                <w:sz w:val="20"/>
                <w:szCs w:val="20"/>
              </w:rPr>
              <w:t>North Georgia (Burton, Nacoochee, Terrora, Tallulah Falls, Tugalo, and Yonah)</w:t>
            </w:r>
          </w:p>
        </w:tc>
        <w:tc>
          <w:tcPr>
            <w:tcW w:w="2673" w:type="dxa"/>
            <w:tcMar>
              <w:top w:w="0" w:type="dxa"/>
              <w:left w:w="108" w:type="dxa"/>
              <w:bottom w:w="0" w:type="dxa"/>
              <w:right w:w="108" w:type="dxa"/>
            </w:tcMar>
            <w:vAlign w:val="center"/>
            <w:hideMark/>
          </w:tcPr>
          <w:p w14:paraId="6BA35A67" w14:textId="77777777" w:rsidR="003652E2" w:rsidRDefault="003652E2" w:rsidP="004911AE">
            <w:pPr>
              <w:keepNext/>
              <w:spacing w:after="0" w:line="240" w:lineRule="auto"/>
              <w:jc w:val="center"/>
              <w:rPr>
                <w:sz w:val="20"/>
                <w:szCs w:val="20"/>
              </w:rPr>
            </w:pPr>
            <w:r>
              <w:rPr>
                <w:sz w:val="20"/>
                <w:szCs w:val="20"/>
              </w:rPr>
              <w:t>September 30, 2036</w:t>
            </w:r>
          </w:p>
        </w:tc>
        <w:tc>
          <w:tcPr>
            <w:tcW w:w="4680" w:type="dxa"/>
            <w:tcMar>
              <w:top w:w="0" w:type="dxa"/>
              <w:left w:w="108" w:type="dxa"/>
              <w:bottom w:w="0" w:type="dxa"/>
              <w:right w:w="108" w:type="dxa"/>
            </w:tcMar>
            <w:vAlign w:val="center"/>
            <w:hideMark/>
          </w:tcPr>
          <w:p w14:paraId="74D00BF7" w14:textId="77777777" w:rsidR="003652E2" w:rsidRDefault="003652E2" w:rsidP="004911AE">
            <w:pPr>
              <w:keepNext/>
              <w:spacing w:after="0" w:line="240" w:lineRule="auto"/>
              <w:jc w:val="center"/>
              <w:rPr>
                <w:sz w:val="20"/>
                <w:szCs w:val="20"/>
              </w:rPr>
            </w:pPr>
            <w:r>
              <w:rPr>
                <w:sz w:val="20"/>
                <w:szCs w:val="20"/>
              </w:rPr>
              <w:t>File between March 30, 2031 &amp; September 30, 2031</w:t>
            </w:r>
          </w:p>
        </w:tc>
      </w:tr>
      <w:tr w:rsidR="003652E2" w14:paraId="5730BA13" w14:textId="77777777" w:rsidTr="00434DD5">
        <w:trPr>
          <w:trHeight w:val="432"/>
        </w:trPr>
        <w:tc>
          <w:tcPr>
            <w:tcW w:w="2717" w:type="dxa"/>
            <w:tcMar>
              <w:top w:w="0" w:type="dxa"/>
              <w:left w:w="108" w:type="dxa"/>
              <w:bottom w:w="0" w:type="dxa"/>
              <w:right w:w="108" w:type="dxa"/>
            </w:tcMar>
            <w:vAlign w:val="center"/>
            <w:hideMark/>
          </w:tcPr>
          <w:p w14:paraId="693A8B20" w14:textId="77777777" w:rsidR="003652E2" w:rsidRDefault="003652E2" w:rsidP="004911AE">
            <w:pPr>
              <w:keepNext/>
              <w:spacing w:after="0" w:line="240" w:lineRule="auto"/>
              <w:rPr>
                <w:b/>
                <w:sz w:val="20"/>
                <w:szCs w:val="20"/>
              </w:rPr>
            </w:pPr>
            <w:r>
              <w:rPr>
                <w:b/>
                <w:sz w:val="20"/>
                <w:szCs w:val="20"/>
              </w:rPr>
              <w:t>Morgan Falls</w:t>
            </w:r>
          </w:p>
        </w:tc>
        <w:tc>
          <w:tcPr>
            <w:tcW w:w="2673" w:type="dxa"/>
            <w:tcMar>
              <w:top w:w="0" w:type="dxa"/>
              <w:left w:w="108" w:type="dxa"/>
              <w:bottom w:w="0" w:type="dxa"/>
              <w:right w:w="108" w:type="dxa"/>
            </w:tcMar>
            <w:vAlign w:val="center"/>
            <w:hideMark/>
          </w:tcPr>
          <w:p w14:paraId="05F844D6" w14:textId="77777777" w:rsidR="003652E2" w:rsidRDefault="003652E2" w:rsidP="004911AE">
            <w:pPr>
              <w:keepNext/>
              <w:spacing w:after="0" w:line="240" w:lineRule="auto"/>
              <w:jc w:val="center"/>
              <w:rPr>
                <w:sz w:val="20"/>
                <w:szCs w:val="20"/>
              </w:rPr>
            </w:pPr>
            <w:r>
              <w:rPr>
                <w:sz w:val="20"/>
                <w:szCs w:val="20"/>
              </w:rPr>
              <w:t>February 28, 2039</w:t>
            </w:r>
          </w:p>
        </w:tc>
        <w:tc>
          <w:tcPr>
            <w:tcW w:w="4680" w:type="dxa"/>
            <w:tcMar>
              <w:top w:w="0" w:type="dxa"/>
              <w:left w:w="108" w:type="dxa"/>
              <w:bottom w:w="0" w:type="dxa"/>
              <w:right w:w="108" w:type="dxa"/>
            </w:tcMar>
            <w:vAlign w:val="center"/>
            <w:hideMark/>
          </w:tcPr>
          <w:p w14:paraId="20758309" w14:textId="77777777" w:rsidR="003652E2" w:rsidRDefault="003652E2" w:rsidP="004911AE">
            <w:pPr>
              <w:keepNext/>
              <w:spacing w:after="0" w:line="240" w:lineRule="auto"/>
              <w:jc w:val="center"/>
              <w:rPr>
                <w:sz w:val="20"/>
                <w:szCs w:val="20"/>
              </w:rPr>
            </w:pPr>
            <w:r>
              <w:rPr>
                <w:sz w:val="20"/>
                <w:szCs w:val="20"/>
              </w:rPr>
              <w:t>File between August 28, 2033 &amp; February 28, 2034</w:t>
            </w:r>
          </w:p>
        </w:tc>
      </w:tr>
      <w:tr w:rsidR="003652E2" w14:paraId="57868ABE" w14:textId="77777777" w:rsidTr="00434DD5">
        <w:trPr>
          <w:trHeight w:val="432"/>
        </w:trPr>
        <w:tc>
          <w:tcPr>
            <w:tcW w:w="2717" w:type="dxa"/>
            <w:tcMar>
              <w:top w:w="0" w:type="dxa"/>
              <w:left w:w="108" w:type="dxa"/>
              <w:bottom w:w="0" w:type="dxa"/>
              <w:right w:w="108" w:type="dxa"/>
            </w:tcMar>
            <w:vAlign w:val="center"/>
            <w:hideMark/>
          </w:tcPr>
          <w:p w14:paraId="035F4186" w14:textId="77777777" w:rsidR="003652E2" w:rsidRDefault="003652E2" w:rsidP="004911AE">
            <w:pPr>
              <w:keepNext/>
              <w:spacing w:after="0" w:line="240" w:lineRule="auto"/>
              <w:rPr>
                <w:b/>
                <w:sz w:val="20"/>
                <w:szCs w:val="20"/>
              </w:rPr>
            </w:pPr>
            <w:r>
              <w:rPr>
                <w:b/>
                <w:sz w:val="20"/>
                <w:szCs w:val="20"/>
              </w:rPr>
              <w:t>Flint River</w:t>
            </w:r>
          </w:p>
        </w:tc>
        <w:tc>
          <w:tcPr>
            <w:tcW w:w="2673" w:type="dxa"/>
            <w:tcMar>
              <w:top w:w="0" w:type="dxa"/>
              <w:left w:w="108" w:type="dxa"/>
              <w:bottom w:w="0" w:type="dxa"/>
              <w:right w:w="108" w:type="dxa"/>
            </w:tcMar>
            <w:vAlign w:val="center"/>
            <w:hideMark/>
          </w:tcPr>
          <w:p w14:paraId="78616441" w14:textId="77777777" w:rsidR="003652E2" w:rsidRDefault="003652E2" w:rsidP="004911AE">
            <w:pPr>
              <w:keepNext/>
              <w:spacing w:after="0" w:line="240" w:lineRule="auto"/>
              <w:jc w:val="center"/>
              <w:rPr>
                <w:sz w:val="20"/>
                <w:szCs w:val="20"/>
              </w:rPr>
            </w:pPr>
            <w:r>
              <w:rPr>
                <w:sz w:val="20"/>
                <w:szCs w:val="20"/>
              </w:rPr>
              <w:t>October 31, 2039</w:t>
            </w:r>
          </w:p>
        </w:tc>
        <w:tc>
          <w:tcPr>
            <w:tcW w:w="4680" w:type="dxa"/>
            <w:tcMar>
              <w:top w:w="0" w:type="dxa"/>
              <w:left w:w="108" w:type="dxa"/>
              <w:bottom w:w="0" w:type="dxa"/>
              <w:right w:w="108" w:type="dxa"/>
            </w:tcMar>
            <w:vAlign w:val="center"/>
            <w:hideMark/>
          </w:tcPr>
          <w:p w14:paraId="4B5002C1" w14:textId="77777777" w:rsidR="003652E2" w:rsidRDefault="003652E2" w:rsidP="004911AE">
            <w:pPr>
              <w:keepNext/>
              <w:spacing w:after="0" w:line="240" w:lineRule="auto"/>
              <w:jc w:val="center"/>
              <w:rPr>
                <w:sz w:val="20"/>
                <w:szCs w:val="20"/>
              </w:rPr>
            </w:pPr>
            <w:r>
              <w:rPr>
                <w:sz w:val="20"/>
                <w:szCs w:val="20"/>
              </w:rPr>
              <w:t>File between April 30, 2034 &amp; October 31, 2034</w:t>
            </w:r>
          </w:p>
        </w:tc>
      </w:tr>
      <w:tr w:rsidR="003652E2" w14:paraId="45971609" w14:textId="77777777" w:rsidTr="00434DD5">
        <w:trPr>
          <w:trHeight w:val="432"/>
        </w:trPr>
        <w:tc>
          <w:tcPr>
            <w:tcW w:w="2717" w:type="dxa"/>
            <w:tcMar>
              <w:top w:w="0" w:type="dxa"/>
              <w:left w:w="108" w:type="dxa"/>
              <w:bottom w:w="0" w:type="dxa"/>
              <w:right w:w="108" w:type="dxa"/>
            </w:tcMar>
            <w:vAlign w:val="center"/>
            <w:hideMark/>
          </w:tcPr>
          <w:p w14:paraId="5F8572B0" w14:textId="77777777" w:rsidR="003652E2" w:rsidRDefault="003652E2" w:rsidP="004911AE">
            <w:pPr>
              <w:keepNext/>
              <w:spacing w:after="0" w:line="240" w:lineRule="auto"/>
              <w:rPr>
                <w:b/>
                <w:sz w:val="20"/>
                <w:szCs w:val="20"/>
              </w:rPr>
            </w:pPr>
            <w:r>
              <w:rPr>
                <w:b/>
                <w:sz w:val="20"/>
                <w:szCs w:val="20"/>
              </w:rPr>
              <w:t>Bartletts Ferry</w:t>
            </w:r>
          </w:p>
        </w:tc>
        <w:tc>
          <w:tcPr>
            <w:tcW w:w="2673" w:type="dxa"/>
            <w:tcMar>
              <w:top w:w="0" w:type="dxa"/>
              <w:left w:w="108" w:type="dxa"/>
              <w:bottom w:w="0" w:type="dxa"/>
              <w:right w:w="108" w:type="dxa"/>
            </w:tcMar>
            <w:vAlign w:val="center"/>
            <w:hideMark/>
          </w:tcPr>
          <w:p w14:paraId="1D8DB7B6" w14:textId="77777777" w:rsidR="003652E2" w:rsidRDefault="003652E2" w:rsidP="004911AE">
            <w:pPr>
              <w:keepNext/>
              <w:spacing w:after="0" w:line="240" w:lineRule="auto"/>
              <w:jc w:val="center"/>
              <w:rPr>
                <w:sz w:val="20"/>
                <w:szCs w:val="20"/>
              </w:rPr>
            </w:pPr>
            <w:r>
              <w:rPr>
                <w:sz w:val="20"/>
                <w:szCs w:val="20"/>
              </w:rPr>
              <w:t>November 30, 2044</w:t>
            </w:r>
          </w:p>
        </w:tc>
        <w:tc>
          <w:tcPr>
            <w:tcW w:w="4680" w:type="dxa"/>
            <w:tcMar>
              <w:top w:w="0" w:type="dxa"/>
              <w:left w:w="108" w:type="dxa"/>
              <w:bottom w:w="0" w:type="dxa"/>
              <w:right w:w="108" w:type="dxa"/>
            </w:tcMar>
            <w:vAlign w:val="center"/>
            <w:hideMark/>
          </w:tcPr>
          <w:p w14:paraId="60CD7890" w14:textId="77777777" w:rsidR="003652E2" w:rsidRDefault="003652E2" w:rsidP="004911AE">
            <w:pPr>
              <w:keepNext/>
              <w:spacing w:after="0" w:line="240" w:lineRule="auto"/>
              <w:jc w:val="center"/>
              <w:rPr>
                <w:sz w:val="20"/>
                <w:szCs w:val="20"/>
              </w:rPr>
            </w:pPr>
            <w:r>
              <w:rPr>
                <w:sz w:val="20"/>
                <w:szCs w:val="20"/>
              </w:rPr>
              <w:t>File between May 30, 2039 &amp; November 30, 2039</w:t>
            </w:r>
          </w:p>
        </w:tc>
      </w:tr>
      <w:tr w:rsidR="003652E2" w14:paraId="31AC5FC4" w14:textId="77777777" w:rsidTr="00434DD5">
        <w:trPr>
          <w:trHeight w:val="432"/>
        </w:trPr>
        <w:tc>
          <w:tcPr>
            <w:tcW w:w="2717" w:type="dxa"/>
            <w:tcMar>
              <w:top w:w="0" w:type="dxa"/>
              <w:left w:w="108" w:type="dxa"/>
              <w:bottom w:w="0" w:type="dxa"/>
              <w:right w:w="108" w:type="dxa"/>
            </w:tcMar>
            <w:vAlign w:val="center"/>
            <w:hideMark/>
          </w:tcPr>
          <w:p w14:paraId="50353C6C" w14:textId="77777777" w:rsidR="003652E2" w:rsidRDefault="003652E2" w:rsidP="004911AE">
            <w:pPr>
              <w:keepNext/>
              <w:spacing w:after="0" w:line="240" w:lineRule="auto"/>
              <w:rPr>
                <w:b/>
                <w:sz w:val="20"/>
                <w:szCs w:val="20"/>
              </w:rPr>
            </w:pPr>
            <w:r>
              <w:rPr>
                <w:b/>
                <w:sz w:val="20"/>
                <w:szCs w:val="20"/>
              </w:rPr>
              <w:t>Wallace Dam</w:t>
            </w:r>
          </w:p>
        </w:tc>
        <w:tc>
          <w:tcPr>
            <w:tcW w:w="2673" w:type="dxa"/>
            <w:tcMar>
              <w:top w:w="0" w:type="dxa"/>
              <w:left w:w="108" w:type="dxa"/>
              <w:bottom w:w="0" w:type="dxa"/>
              <w:right w:w="108" w:type="dxa"/>
            </w:tcMar>
            <w:vAlign w:val="center"/>
            <w:hideMark/>
          </w:tcPr>
          <w:p w14:paraId="255BDD51" w14:textId="77777777" w:rsidR="003652E2" w:rsidRDefault="003652E2" w:rsidP="004911AE">
            <w:pPr>
              <w:keepNext/>
              <w:spacing w:after="0" w:line="240" w:lineRule="auto"/>
              <w:jc w:val="center"/>
              <w:rPr>
                <w:sz w:val="20"/>
                <w:szCs w:val="20"/>
              </w:rPr>
            </w:pPr>
            <w:r>
              <w:rPr>
                <w:sz w:val="20"/>
                <w:szCs w:val="20"/>
              </w:rPr>
              <w:t>May 31, 2060</w:t>
            </w:r>
          </w:p>
        </w:tc>
        <w:tc>
          <w:tcPr>
            <w:tcW w:w="4680" w:type="dxa"/>
            <w:tcMar>
              <w:top w:w="0" w:type="dxa"/>
              <w:left w:w="108" w:type="dxa"/>
              <w:bottom w:w="0" w:type="dxa"/>
              <w:right w:w="108" w:type="dxa"/>
            </w:tcMar>
            <w:vAlign w:val="center"/>
            <w:hideMark/>
          </w:tcPr>
          <w:p w14:paraId="50463D59" w14:textId="77777777" w:rsidR="003652E2" w:rsidRDefault="003652E2" w:rsidP="004911AE">
            <w:pPr>
              <w:keepNext/>
              <w:spacing w:after="0" w:line="240" w:lineRule="auto"/>
              <w:jc w:val="center"/>
              <w:rPr>
                <w:sz w:val="20"/>
                <w:szCs w:val="20"/>
              </w:rPr>
            </w:pPr>
            <w:r>
              <w:rPr>
                <w:sz w:val="20"/>
                <w:szCs w:val="20"/>
              </w:rPr>
              <w:t>File between November 30, 2054 &amp; May 31, 2055</w:t>
            </w:r>
          </w:p>
        </w:tc>
      </w:tr>
      <w:tr w:rsidR="00434DD5" w14:paraId="1B6E0B9A" w14:textId="77777777" w:rsidTr="00434DD5">
        <w:trPr>
          <w:trHeight w:val="432"/>
        </w:trPr>
        <w:tc>
          <w:tcPr>
            <w:tcW w:w="2727" w:type="dxa"/>
            <w:tcMar>
              <w:top w:w="0" w:type="dxa"/>
              <w:left w:w="108" w:type="dxa"/>
              <w:bottom w:w="0" w:type="dxa"/>
              <w:right w:w="108" w:type="dxa"/>
            </w:tcMar>
            <w:vAlign w:val="center"/>
            <w:hideMark/>
          </w:tcPr>
          <w:p w14:paraId="029035C1" w14:textId="77777777" w:rsidR="00434DD5" w:rsidRDefault="00434DD5">
            <w:pPr>
              <w:keepNext/>
              <w:spacing w:after="0" w:line="240" w:lineRule="auto"/>
              <w:rPr>
                <w:b/>
                <w:sz w:val="20"/>
                <w:szCs w:val="20"/>
              </w:rPr>
            </w:pPr>
            <w:r>
              <w:rPr>
                <w:b/>
                <w:sz w:val="20"/>
                <w:szCs w:val="20"/>
              </w:rPr>
              <w:t>Lloyd Shoals</w:t>
            </w:r>
          </w:p>
        </w:tc>
        <w:tc>
          <w:tcPr>
            <w:tcW w:w="2673" w:type="dxa"/>
            <w:tcMar>
              <w:top w:w="0" w:type="dxa"/>
              <w:left w:w="108" w:type="dxa"/>
              <w:bottom w:w="0" w:type="dxa"/>
              <w:right w:w="108" w:type="dxa"/>
            </w:tcMar>
            <w:vAlign w:val="center"/>
            <w:hideMark/>
          </w:tcPr>
          <w:p w14:paraId="716AD007" w14:textId="2F5A655C" w:rsidR="00434DD5" w:rsidRDefault="00C75B6A">
            <w:pPr>
              <w:keepNext/>
              <w:spacing w:after="0" w:line="240" w:lineRule="auto"/>
              <w:jc w:val="center"/>
              <w:rPr>
                <w:sz w:val="20"/>
                <w:szCs w:val="20"/>
              </w:rPr>
            </w:pPr>
            <w:r>
              <w:rPr>
                <w:sz w:val="20"/>
                <w:szCs w:val="20"/>
              </w:rPr>
              <w:t>August 31, 20</w:t>
            </w:r>
            <w:r w:rsidR="00CC0C35">
              <w:rPr>
                <w:sz w:val="20"/>
                <w:szCs w:val="20"/>
              </w:rPr>
              <w:t>64</w:t>
            </w:r>
          </w:p>
        </w:tc>
        <w:tc>
          <w:tcPr>
            <w:tcW w:w="4680" w:type="dxa"/>
            <w:tcMar>
              <w:top w:w="0" w:type="dxa"/>
              <w:left w:w="108" w:type="dxa"/>
              <w:bottom w:w="0" w:type="dxa"/>
              <w:right w:w="108" w:type="dxa"/>
            </w:tcMar>
            <w:vAlign w:val="center"/>
            <w:hideMark/>
          </w:tcPr>
          <w:p w14:paraId="29BB8F1D" w14:textId="1B755C7B" w:rsidR="00434DD5" w:rsidRDefault="00CC0C35">
            <w:pPr>
              <w:keepNext/>
              <w:spacing w:after="0" w:line="240" w:lineRule="auto"/>
              <w:jc w:val="center"/>
              <w:rPr>
                <w:sz w:val="20"/>
                <w:szCs w:val="20"/>
              </w:rPr>
            </w:pPr>
            <w:r>
              <w:rPr>
                <w:sz w:val="20"/>
                <w:szCs w:val="20"/>
              </w:rPr>
              <w:t xml:space="preserve">File between </w:t>
            </w:r>
            <w:r w:rsidR="00890312">
              <w:rPr>
                <w:sz w:val="20"/>
                <w:szCs w:val="20"/>
              </w:rPr>
              <w:t xml:space="preserve">February </w:t>
            </w:r>
            <w:r w:rsidR="00B378FC">
              <w:rPr>
                <w:sz w:val="20"/>
                <w:szCs w:val="20"/>
              </w:rPr>
              <w:t xml:space="preserve">28, </w:t>
            </w:r>
            <w:r w:rsidR="0011514E">
              <w:rPr>
                <w:sz w:val="20"/>
                <w:szCs w:val="20"/>
              </w:rPr>
              <w:t xml:space="preserve">2059 </w:t>
            </w:r>
            <w:r>
              <w:rPr>
                <w:sz w:val="20"/>
                <w:szCs w:val="20"/>
              </w:rPr>
              <w:t>&amp; August 31, 2059</w:t>
            </w:r>
          </w:p>
        </w:tc>
      </w:tr>
      <w:bookmarkEnd w:id="97"/>
    </w:tbl>
    <w:p w14:paraId="152FF480" w14:textId="77777777" w:rsidR="00862E5F" w:rsidRDefault="00862E5F" w:rsidP="00862E5F"/>
    <w:p w14:paraId="6BC3958F" w14:textId="34A23D3C" w:rsidR="00862E5F" w:rsidRDefault="00773998" w:rsidP="00561790">
      <w:pPr>
        <w:pStyle w:val="Heading2"/>
      </w:pPr>
      <w:bookmarkStart w:id="98" w:name="_Toc189122811"/>
      <w:r>
        <w:t>F</w:t>
      </w:r>
      <w:r w:rsidR="00561790">
        <w:t xml:space="preserve">.1 – </w:t>
      </w:r>
      <w:r w:rsidR="00862E5F">
        <w:t>Wallace Dam</w:t>
      </w:r>
      <w:bookmarkEnd w:id="98"/>
    </w:p>
    <w:p w14:paraId="494D7E98" w14:textId="77777777" w:rsidR="00862E5F" w:rsidRPr="00561790" w:rsidRDefault="00862E5F" w:rsidP="003652E2">
      <w:pPr>
        <w:jc w:val="both"/>
        <w:rPr>
          <w:i/>
          <w:iCs/>
        </w:rPr>
      </w:pPr>
      <w:r w:rsidRPr="00561790">
        <w:rPr>
          <w:i/>
          <w:iCs/>
        </w:rPr>
        <w:t>New License Issued June 1, 2020</w:t>
      </w:r>
    </w:p>
    <w:p w14:paraId="3CFE5992" w14:textId="646B0685" w:rsidR="00862E5F" w:rsidRDefault="00862E5F" w:rsidP="00DB374B">
      <w:pPr>
        <w:spacing w:line="276" w:lineRule="auto"/>
        <w:jc w:val="both"/>
      </w:pPr>
      <w:r>
        <w:t xml:space="preserve">Beginning in 2020, post-license enhancements required by the new FERC license began construction. These enhancements include an in-reservoir pure oxygen aeration injection system to improve dissolved oxygen in the plant discharge, an overhaul of existing recreation facilities, the addition of new bank fishing access areas for the public, and the implementation of mandatory conditions from the U. S. Forest Service, primarily consisting of recreation facility improvements on their lands within the FERC project boundary. </w:t>
      </w:r>
      <w:r w:rsidR="00AD18C3">
        <w:t xml:space="preserve">Dissolved oxygen injection in the summer and U.S. Forest Service mandatory conditions </w:t>
      </w:r>
      <w:r>
        <w:t>will continue for the life of the FERC license.</w:t>
      </w:r>
    </w:p>
    <w:p w14:paraId="04BF1367" w14:textId="3B3D797D" w:rsidR="00862E5F" w:rsidRDefault="00773998" w:rsidP="00561790">
      <w:pPr>
        <w:pStyle w:val="Heading2"/>
      </w:pPr>
      <w:bookmarkStart w:id="99" w:name="_Toc189122812"/>
      <w:r>
        <w:t>F</w:t>
      </w:r>
      <w:r w:rsidR="00561790">
        <w:t xml:space="preserve">.2 – </w:t>
      </w:r>
      <w:r w:rsidR="00862E5F">
        <w:t>Lloyd Shoals Projects</w:t>
      </w:r>
      <w:bookmarkEnd w:id="99"/>
    </w:p>
    <w:p w14:paraId="31581655" w14:textId="7C10778E" w:rsidR="00862E5F" w:rsidRPr="00561790" w:rsidRDefault="00AD18C3" w:rsidP="003652E2">
      <w:pPr>
        <w:jc w:val="both"/>
        <w:rPr>
          <w:i/>
          <w:iCs/>
        </w:rPr>
      </w:pPr>
      <w:r>
        <w:rPr>
          <w:i/>
          <w:iCs/>
        </w:rPr>
        <w:t xml:space="preserve">New License Issued </w:t>
      </w:r>
      <w:r w:rsidR="002247AD">
        <w:rPr>
          <w:i/>
          <w:iCs/>
        </w:rPr>
        <w:t>September 10, 2024</w:t>
      </w:r>
    </w:p>
    <w:p w14:paraId="272F0382" w14:textId="77777777" w:rsidR="00DB374B" w:rsidRDefault="002247AD" w:rsidP="00DB374B">
      <w:pPr>
        <w:spacing w:line="276" w:lineRule="auto"/>
        <w:jc w:val="both"/>
      </w:pPr>
      <w:r>
        <w:t xml:space="preserve">Beginning in 2025, post-license enhancements required by the new FERC license will begin construction. These enhancements include an overhaul of existing recreation facilities and the addition of two new public access areas. </w:t>
      </w:r>
    </w:p>
    <w:p w14:paraId="6FC60C86" w14:textId="138B7CA9" w:rsidR="00862E5F" w:rsidRDefault="00773998" w:rsidP="00551581">
      <w:pPr>
        <w:pStyle w:val="Heading2"/>
      </w:pPr>
      <w:bookmarkStart w:id="100" w:name="_Toc189122813"/>
      <w:r>
        <w:t>F</w:t>
      </w:r>
      <w:r w:rsidR="00551581">
        <w:t xml:space="preserve">.3 – </w:t>
      </w:r>
      <w:r w:rsidR="00862E5F">
        <w:t>Langdale and Riverview Projects</w:t>
      </w:r>
      <w:bookmarkEnd w:id="100"/>
    </w:p>
    <w:p w14:paraId="1BDB56BC" w14:textId="5367EE58" w:rsidR="00862E5F" w:rsidRPr="00551581" w:rsidRDefault="00862E5F" w:rsidP="003652E2">
      <w:pPr>
        <w:jc w:val="both"/>
        <w:rPr>
          <w:i/>
          <w:iCs/>
        </w:rPr>
      </w:pPr>
      <w:r w:rsidRPr="00551581">
        <w:rPr>
          <w:i/>
          <w:iCs/>
        </w:rPr>
        <w:t>Licenses Expire</w:t>
      </w:r>
      <w:r w:rsidR="00886C26">
        <w:rPr>
          <w:i/>
          <w:iCs/>
        </w:rPr>
        <w:t>d</w:t>
      </w:r>
      <w:r w:rsidRPr="00551581">
        <w:rPr>
          <w:i/>
          <w:iCs/>
        </w:rPr>
        <w:t xml:space="preserve"> December 31, 202</w:t>
      </w:r>
      <w:r w:rsidR="00106527">
        <w:rPr>
          <w:i/>
          <w:iCs/>
        </w:rPr>
        <w:t>4 (FERC issued a 1-year extension of the existing license which previously expired December 31, 2023</w:t>
      </w:r>
      <w:r w:rsidR="00E639FA">
        <w:rPr>
          <w:i/>
          <w:iCs/>
        </w:rPr>
        <w:t>)</w:t>
      </w:r>
      <w:r w:rsidR="00106527">
        <w:rPr>
          <w:i/>
          <w:iCs/>
        </w:rPr>
        <w:t xml:space="preserve"> </w:t>
      </w:r>
    </w:p>
    <w:p w14:paraId="489B2D0F" w14:textId="15FB6C70" w:rsidR="00862E5F" w:rsidRDefault="00862E5F" w:rsidP="003652E2">
      <w:pPr>
        <w:jc w:val="both"/>
      </w:pPr>
      <w:r>
        <w:lastRenderedPageBreak/>
        <w:t>Georgia Power filed a Notice to Surrender these projects on December 18, 2018</w:t>
      </w:r>
      <w:r w:rsidR="00E639FA">
        <w:t xml:space="preserve">, </w:t>
      </w:r>
      <w:r w:rsidR="00106527">
        <w:t>and the</w:t>
      </w:r>
      <w:r>
        <w:t xml:space="preserve"> Final Surrender Decommissioning Plan and Environmental Assessment </w:t>
      </w:r>
      <w:r w:rsidR="00106527">
        <w:t>were</w:t>
      </w:r>
      <w:r>
        <w:t xml:space="preserve"> submitted to FERC in </w:t>
      </w:r>
      <w:r w:rsidR="008D30AC">
        <w:t xml:space="preserve">August </w:t>
      </w:r>
      <w:r>
        <w:t>2022.</w:t>
      </w:r>
      <w:r w:rsidR="008D30AC">
        <w:t xml:space="preserve"> Georgia Power must wait for the FERC Order approving the surrender before deconstruction can proceed.</w:t>
      </w:r>
    </w:p>
    <w:p w14:paraId="041C6C39" w14:textId="1359467D" w:rsidR="00862E5F" w:rsidRDefault="00773998" w:rsidP="00551581">
      <w:pPr>
        <w:pStyle w:val="Heading2"/>
      </w:pPr>
      <w:bookmarkStart w:id="101" w:name="_Toc189122814"/>
      <w:r>
        <w:t>F</w:t>
      </w:r>
      <w:r w:rsidR="00551581">
        <w:t xml:space="preserve">.4 – </w:t>
      </w:r>
      <w:r w:rsidR="00862E5F">
        <w:t>Rocky Mountain Pumped Storage Project (co-owned and jointly licensed with Oglethorpe Power)</w:t>
      </w:r>
      <w:bookmarkEnd w:id="101"/>
    </w:p>
    <w:p w14:paraId="51707D08" w14:textId="77777777" w:rsidR="00862E5F" w:rsidRPr="00551581" w:rsidRDefault="00862E5F" w:rsidP="003652E2">
      <w:pPr>
        <w:jc w:val="both"/>
        <w:rPr>
          <w:i/>
          <w:iCs/>
        </w:rPr>
      </w:pPr>
      <w:r w:rsidRPr="00551581">
        <w:rPr>
          <w:i/>
          <w:iCs/>
        </w:rPr>
        <w:t>License Expires December 31, 2026</w:t>
      </w:r>
    </w:p>
    <w:p w14:paraId="3356A2C6" w14:textId="72C0CFE2" w:rsidR="00DA2406" w:rsidRDefault="00862E5F" w:rsidP="003652E2">
      <w:pPr>
        <w:jc w:val="both"/>
      </w:pPr>
      <w:r>
        <w:t>A Notice of Intent to relicense the project was filed with FERC on December 10, 2021. Oglethorpe Power is leading the relicensing effort</w:t>
      </w:r>
      <w:r w:rsidR="008D30AC">
        <w:t xml:space="preserve"> and </w:t>
      </w:r>
      <w:r w:rsidR="1D19B704">
        <w:t>filed</w:t>
      </w:r>
      <w:r w:rsidR="00017B70">
        <w:t xml:space="preserve"> </w:t>
      </w:r>
      <w:r w:rsidR="008D30AC">
        <w:t xml:space="preserve">the relicense application </w:t>
      </w:r>
      <w:r w:rsidR="7D0D16B1">
        <w:t xml:space="preserve">on December 6, </w:t>
      </w:r>
      <w:r w:rsidDel="008D30AC">
        <w:t>2024</w:t>
      </w:r>
      <w:r>
        <w:t>.</w:t>
      </w:r>
    </w:p>
    <w:p w14:paraId="0CE081FD" w14:textId="77777777" w:rsidR="00DA2406" w:rsidRDefault="00DA2406">
      <w:r>
        <w:br w:type="page"/>
      </w:r>
    </w:p>
    <w:p w14:paraId="6187E396" w14:textId="77777777" w:rsidR="002B583C" w:rsidRDefault="002B583C" w:rsidP="002B583C">
      <w:pPr>
        <w:jc w:val="both"/>
      </w:pPr>
    </w:p>
    <w:p w14:paraId="3532EC4D" w14:textId="77777777" w:rsidR="002B583C" w:rsidRDefault="002B583C" w:rsidP="002B583C">
      <w:pPr>
        <w:jc w:val="both"/>
      </w:pPr>
    </w:p>
    <w:p w14:paraId="7DA014A5" w14:textId="77777777" w:rsidR="002B583C" w:rsidRDefault="002B583C" w:rsidP="002B583C">
      <w:pPr>
        <w:jc w:val="both"/>
      </w:pPr>
    </w:p>
    <w:p w14:paraId="0144F382" w14:textId="77777777" w:rsidR="002B583C" w:rsidRDefault="002B583C" w:rsidP="002B583C">
      <w:pPr>
        <w:jc w:val="both"/>
      </w:pPr>
    </w:p>
    <w:p w14:paraId="4D3E758D" w14:textId="77777777" w:rsidR="002B583C" w:rsidRDefault="002B583C" w:rsidP="002B583C">
      <w:pPr>
        <w:jc w:val="both"/>
      </w:pPr>
    </w:p>
    <w:p w14:paraId="70308C52" w14:textId="77777777" w:rsidR="002B583C" w:rsidRDefault="002B583C" w:rsidP="002B583C">
      <w:pPr>
        <w:jc w:val="both"/>
      </w:pPr>
    </w:p>
    <w:p w14:paraId="118412E3" w14:textId="77777777" w:rsidR="002B583C" w:rsidRDefault="002B583C" w:rsidP="002B583C">
      <w:pPr>
        <w:jc w:val="both"/>
      </w:pPr>
    </w:p>
    <w:p w14:paraId="12D553ED" w14:textId="77777777" w:rsidR="002B583C" w:rsidRDefault="002B583C" w:rsidP="002B583C">
      <w:pPr>
        <w:jc w:val="both"/>
      </w:pPr>
    </w:p>
    <w:p w14:paraId="1D016D30" w14:textId="77777777" w:rsidR="002B583C" w:rsidRDefault="002B583C" w:rsidP="002B583C">
      <w:pPr>
        <w:jc w:val="both"/>
      </w:pPr>
    </w:p>
    <w:p w14:paraId="5AC685DB" w14:textId="77777777" w:rsidR="002B583C" w:rsidRDefault="002B583C" w:rsidP="002B583C">
      <w:pPr>
        <w:jc w:val="both"/>
      </w:pPr>
    </w:p>
    <w:p w14:paraId="0D09FDF9" w14:textId="77777777" w:rsidR="002B583C" w:rsidRDefault="002B583C" w:rsidP="002B583C">
      <w:pPr>
        <w:jc w:val="both"/>
      </w:pPr>
    </w:p>
    <w:p w14:paraId="6ED0F65B" w14:textId="53610403" w:rsidR="002B583C" w:rsidRDefault="002B583C" w:rsidP="002B583C">
      <w:pPr>
        <w:jc w:val="center"/>
        <w:rPr>
          <w:rFonts w:asciiTheme="majorHAnsi" w:eastAsiaTheme="majorEastAsia" w:hAnsiTheme="majorHAnsi" w:cstheme="majorBidi"/>
          <w:color w:val="0F4761" w:themeColor="accent1" w:themeShade="BF"/>
          <w:sz w:val="40"/>
          <w:szCs w:val="40"/>
        </w:rPr>
      </w:pPr>
      <w:r>
        <w:t>[This page is intentionally left blank.]</w:t>
      </w:r>
      <w:r>
        <w:br w:type="page"/>
      </w:r>
    </w:p>
    <w:p w14:paraId="172CBB2C" w14:textId="3B2E005E" w:rsidR="00C54238" w:rsidRDefault="00106A45" w:rsidP="00DA2406">
      <w:pPr>
        <w:pStyle w:val="Heading1"/>
      </w:pPr>
      <w:bookmarkStart w:id="102" w:name="_Toc189122815"/>
      <w:r>
        <w:lastRenderedPageBreak/>
        <w:t xml:space="preserve">Attachment </w:t>
      </w:r>
      <w:r w:rsidR="00773998">
        <w:t>G</w:t>
      </w:r>
      <w:r>
        <w:t xml:space="preserve"> </w:t>
      </w:r>
      <w:r w:rsidR="008862D8">
        <w:t>–</w:t>
      </w:r>
      <w:r>
        <w:t xml:space="preserve"> </w:t>
      </w:r>
      <w:r w:rsidR="008862D8">
        <w:t xml:space="preserve">Summary of the </w:t>
      </w:r>
      <w:r w:rsidR="0001238A">
        <w:t>System Pooling Arrangement</w:t>
      </w:r>
      <w:bookmarkEnd w:id="102"/>
    </w:p>
    <w:p w14:paraId="78804099" w14:textId="55AD864E" w:rsidR="00CA38D7" w:rsidRDefault="00773998" w:rsidP="009E0608">
      <w:pPr>
        <w:pStyle w:val="Heading2"/>
        <w:jc w:val="both"/>
      </w:pPr>
      <w:bookmarkStart w:id="103" w:name="_Toc189122816"/>
      <w:r>
        <w:t>G</w:t>
      </w:r>
      <w:r w:rsidR="00CA38D7">
        <w:t>.1 – Introduction</w:t>
      </w:r>
      <w:bookmarkEnd w:id="103"/>
    </w:p>
    <w:p w14:paraId="6B3B137B" w14:textId="64194171" w:rsidR="00CA38D7" w:rsidRDefault="00CA38D7" w:rsidP="009E0608">
      <w:pPr>
        <w:jc w:val="both"/>
      </w:pPr>
      <w:r>
        <w:t xml:space="preserve">Georgia Power is a member of the </w:t>
      </w:r>
      <w:r w:rsidR="00BD6BB2">
        <w:t>Southern Company</w:t>
      </w:r>
      <w:r>
        <w:t xml:space="preserve"> Pool, which consists of the Operating Companies. The Operating Companies function as a single, integrated public-utility system through adherence to the Southern Company System Intercompany Interchange Contract (“IIC”), an agreement on file with FERC. SCS acts as agent for the Operating Companies in the administration of the IIC. The IIC provides a framework whereby the generating resources of the Operating Companies are operated in a coordinated and integrated fashion to economically serve their aggregate firm obligations, as well as to engage in shorter term transactions in the wholesale markets. Using traditional concepts of economic dispatch, the Pool deploys available generation to satisfy the aggregate obligations of the System at any given time in a reliable and economic fashion. The IIC also provides for coordinated planning between the Operating Companies and for the sharing of temporary surpluses and deficits of capacity. The IIC ensures that the after-the-fact accounting associated with joint System dispatch (energy) and reserve sharing (capacity) is handled in accordance with the principles set forth in that agreement. It should be noted that the coordinated planning process for the Retail Op</w:t>
      </w:r>
      <w:r w:rsidR="002A5FB0">
        <w:t xml:space="preserve">erating </w:t>
      </w:r>
      <w:r>
        <w:t>Co</w:t>
      </w:r>
      <w:r w:rsidR="002A5FB0">
        <w:t>mpanie</w:t>
      </w:r>
      <w:r>
        <w:t xml:space="preserve">s is functionally separate from the planning process for Southern Power. </w:t>
      </w:r>
    </w:p>
    <w:p w14:paraId="54675715" w14:textId="4571DCD2" w:rsidR="00CA38D7" w:rsidRDefault="00773998" w:rsidP="009E0608">
      <w:pPr>
        <w:pStyle w:val="Heading2"/>
        <w:jc w:val="both"/>
      </w:pPr>
      <w:bookmarkStart w:id="104" w:name="_Toc189122817"/>
      <w:r>
        <w:t>G</w:t>
      </w:r>
      <w:r w:rsidR="00116CDF">
        <w:t xml:space="preserve">.2 – </w:t>
      </w:r>
      <w:r w:rsidR="00CA38D7">
        <w:t>Relationship of the Operating Companies under the IIC</w:t>
      </w:r>
      <w:bookmarkEnd w:id="104"/>
    </w:p>
    <w:p w14:paraId="1B84B525" w14:textId="30D9C8F8" w:rsidR="00CA38D7" w:rsidRDefault="00CA38D7" w:rsidP="009E0608">
      <w:pPr>
        <w:jc w:val="both"/>
      </w:pPr>
      <w:r>
        <w:t xml:space="preserve">The Southern Company Pool is a coordinated Pool, not a centralized Pool. Although the generating facilities of each Operating Company are committed to a centralized economic dispatch, each individual Operating Company retains the right and the responsibility for providing the generation and transmission facilities necessary to meet the requirements of its customers. Each Operating Company has </w:t>
      </w:r>
      <w:r w:rsidR="00C76BFC">
        <w:t>a full executive</w:t>
      </w:r>
      <w:r>
        <w:t xml:space="preserve"> management </w:t>
      </w:r>
      <w:r w:rsidR="006855FF">
        <w:t>team to facilitate local execution and decision</w:t>
      </w:r>
      <w:r w:rsidR="009F2098">
        <w:t xml:space="preserve"> makin</w:t>
      </w:r>
      <w:r w:rsidR="00811BC0">
        <w:t>g</w:t>
      </w:r>
      <w:r>
        <w:t xml:space="preserve"> that affect that Operating Company and its customers</w:t>
      </w:r>
      <w:r w:rsidR="009664F5">
        <w:t xml:space="preserve"> as well as its own board of directors to provide oversight</w:t>
      </w:r>
      <w:r>
        <w:t xml:space="preserve">. </w:t>
      </w:r>
      <w:r w:rsidR="00107BB6">
        <w:t>Each company</w:t>
      </w:r>
      <w:r>
        <w:t xml:space="preserve"> </w:t>
      </w:r>
      <w:r w:rsidR="00107BB6">
        <w:t>is</w:t>
      </w:r>
      <w:r>
        <w:t xml:space="preserve"> responsible for working with local regulators and adhering to the requirements of state law.</w:t>
      </w:r>
    </w:p>
    <w:p w14:paraId="4D26113A" w14:textId="1F164C10" w:rsidR="00CA38D7" w:rsidRDefault="00CA38D7" w:rsidP="009E0608">
      <w:pPr>
        <w:jc w:val="both"/>
      </w:pPr>
      <w:r>
        <w:t xml:space="preserve">Accordingly, each Operating Company has its own distinct characteristics regarding types of generation and load. For example, Alabama Power, Georgia Power, and Southern Power bring hydro and nuclear generating capacity to the Pool, while </w:t>
      </w:r>
      <w:r w:rsidR="00A542DD">
        <w:t>Mississi</w:t>
      </w:r>
      <w:r w:rsidR="00C86E84">
        <w:t xml:space="preserve">ppi Power </w:t>
      </w:r>
      <w:r>
        <w:t>do</w:t>
      </w:r>
      <w:r w:rsidR="00080B32">
        <w:t>es</w:t>
      </w:r>
      <w:r>
        <w:t xml:space="preserve"> not. Similarly, the load characteristics of the Operating Companies vary due to the types of customers each </w:t>
      </w:r>
      <w:r w:rsidR="00807AB7">
        <w:t>serve</w:t>
      </w:r>
      <w:r>
        <w:t>. The differing economies within each Operating Company territory and customer base lead to different load growth rates and load shapes for each Operating Company.</w:t>
      </w:r>
    </w:p>
    <w:p w14:paraId="486FAE2B" w14:textId="566D0C14" w:rsidR="00CA38D7" w:rsidRDefault="00CA38D7" w:rsidP="009E0608">
      <w:pPr>
        <w:jc w:val="both"/>
      </w:pPr>
      <w:r>
        <w:t>The IIC provides for an Operating Committee that consists of a designated representative from each Southern Operating Company and SCS, with the SCS representative acting as a non-voting Chairman. The functional separation of certain activities of Southern Power restricts the participation of its Operating Committee member in some matters (such as discussions and recommendations involving the coordinated planning of the Retail Op</w:t>
      </w:r>
      <w:r w:rsidR="002A5FB0">
        <w:t xml:space="preserve">erating </w:t>
      </w:r>
      <w:r>
        <w:t>Co</w:t>
      </w:r>
      <w:r w:rsidR="002A5FB0">
        <w:t>mpanie</w:t>
      </w:r>
      <w:r>
        <w:t xml:space="preserve">s). </w:t>
      </w:r>
      <w:r w:rsidR="4FC58478">
        <w:t>All decisions of the Operating Committee must be unanimous.</w:t>
      </w:r>
    </w:p>
    <w:p w14:paraId="7F798820" w14:textId="453AED2F" w:rsidR="00CA38D7" w:rsidRDefault="00773998" w:rsidP="009E0608">
      <w:pPr>
        <w:pStyle w:val="Heading2"/>
        <w:jc w:val="both"/>
      </w:pPr>
      <w:bookmarkStart w:id="105" w:name="_Toc189122818"/>
      <w:r>
        <w:lastRenderedPageBreak/>
        <w:t>G</w:t>
      </w:r>
      <w:r w:rsidR="00116CDF">
        <w:t xml:space="preserve">.3 – </w:t>
      </w:r>
      <w:r w:rsidR="00CA38D7">
        <w:t>Interconnections</w:t>
      </w:r>
      <w:bookmarkEnd w:id="105"/>
    </w:p>
    <w:p w14:paraId="12315926" w14:textId="35E759A3" w:rsidR="0001238A" w:rsidRDefault="00CA38D7" w:rsidP="009E0608">
      <w:pPr>
        <w:jc w:val="both"/>
      </w:pPr>
      <w:r>
        <w:t>The Operating Companies are interconnected with 12 non-associated utilities through 61 different transmission facilities. These transmission lines are operated at voltages of 46 kV, 69 kV, 115 kV, 161</w:t>
      </w:r>
      <w:r w:rsidR="00EE1819">
        <w:t> </w:t>
      </w:r>
      <w:r>
        <w:t xml:space="preserve">kV, 230 kV, and 500 kV, and include facilities that are operated normally open. The non-associated utilities with which the System is interconnected are shown in Table </w:t>
      </w:r>
      <w:r w:rsidR="009D7D85">
        <w:t>G</w:t>
      </w:r>
      <w:r w:rsidR="005C0B6B">
        <w:t>.3</w:t>
      </w:r>
      <w:r>
        <w:t>.</w:t>
      </w:r>
    </w:p>
    <w:p w14:paraId="21B729C8" w14:textId="66947745" w:rsidR="004A4685" w:rsidRPr="00894CF6" w:rsidRDefault="00840763" w:rsidP="004A4685">
      <w:pPr>
        <w:jc w:val="center"/>
        <w:rPr>
          <w:i/>
          <w:iCs/>
        </w:rPr>
      </w:pPr>
      <w:r w:rsidRPr="00894CF6">
        <w:rPr>
          <w:i/>
          <w:iCs/>
        </w:rPr>
        <w:t xml:space="preserve">Table </w:t>
      </w:r>
      <w:r w:rsidR="00773998">
        <w:rPr>
          <w:i/>
          <w:iCs/>
        </w:rPr>
        <w:t>G</w:t>
      </w:r>
      <w:r w:rsidRPr="00894CF6">
        <w:rPr>
          <w:i/>
          <w:iCs/>
        </w:rPr>
        <w:t>.3</w:t>
      </w:r>
      <w:r w:rsidR="00960599">
        <w:rPr>
          <w:i/>
          <w:iCs/>
        </w:rPr>
        <w:t xml:space="preserve"> – </w:t>
      </w:r>
      <w:r w:rsidR="00B66748" w:rsidRPr="00894CF6">
        <w:rPr>
          <w:i/>
          <w:iCs/>
        </w:rPr>
        <w:t>Non-Associated Utilities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3371"/>
        <w:gridCol w:w="4045"/>
      </w:tblGrid>
      <w:tr w:rsidR="004A4685" w14:paraId="6922F68D" w14:textId="77777777" w:rsidTr="004911AE">
        <w:trPr>
          <w:trHeight w:val="288"/>
          <w:jc w:val="center"/>
        </w:trPr>
        <w:tc>
          <w:tcPr>
            <w:tcW w:w="0" w:type="auto"/>
            <w:vAlign w:val="center"/>
          </w:tcPr>
          <w:p w14:paraId="5B0BE1DC" w14:textId="6DE1C4FD" w:rsidR="004A4685" w:rsidRDefault="004A4685" w:rsidP="004911AE">
            <w:pPr>
              <w:keepNext/>
              <w:keepLines/>
              <w:spacing w:after="0" w:line="240" w:lineRule="auto"/>
              <w:rPr>
                <w:rFonts w:eastAsia="Times New Roman" w:cstheme="minorHAnsi"/>
                <w:sz w:val="20"/>
                <w:szCs w:val="20"/>
              </w:rPr>
            </w:pPr>
            <w:r>
              <w:rPr>
                <w:rFonts w:eastAsia="Times New Roman" w:cstheme="minorHAnsi"/>
                <w:sz w:val="20"/>
                <w:szCs w:val="20"/>
              </w:rPr>
              <w:t>Florida Power &amp; Light Company</w:t>
            </w:r>
            <w:r w:rsidR="00EC3CDA">
              <w:rPr>
                <w:rFonts w:eastAsia="Times New Roman" w:cstheme="minorHAnsi"/>
                <w:sz w:val="20"/>
                <w:szCs w:val="20"/>
              </w:rPr>
              <w:t xml:space="preserve"> (</w:t>
            </w:r>
            <w:r w:rsidR="00794C1B">
              <w:rPr>
                <w:rFonts w:eastAsia="Times New Roman" w:cstheme="minorHAnsi"/>
                <w:sz w:val="20"/>
                <w:szCs w:val="20"/>
              </w:rPr>
              <w:t>FPL)</w:t>
            </w:r>
          </w:p>
        </w:tc>
        <w:tc>
          <w:tcPr>
            <w:tcW w:w="0" w:type="auto"/>
            <w:vAlign w:val="center"/>
          </w:tcPr>
          <w:p w14:paraId="71E49487" w14:textId="77777777" w:rsidR="004A4685" w:rsidRDefault="004A4685" w:rsidP="004911AE">
            <w:pPr>
              <w:keepNext/>
              <w:keepLines/>
              <w:spacing w:after="0" w:line="240" w:lineRule="auto"/>
              <w:rPr>
                <w:rFonts w:eastAsia="Times New Roman" w:cstheme="minorHAnsi"/>
                <w:sz w:val="20"/>
                <w:szCs w:val="20"/>
              </w:rPr>
            </w:pPr>
            <w:r>
              <w:rPr>
                <w:rFonts w:eastAsia="Times New Roman" w:cstheme="minorHAnsi"/>
                <w:sz w:val="20"/>
                <w:szCs w:val="20"/>
              </w:rPr>
              <w:t>Duke Energy Florida</w:t>
            </w:r>
          </w:p>
        </w:tc>
      </w:tr>
      <w:tr w:rsidR="004A4685" w14:paraId="7FE48259" w14:textId="77777777" w:rsidTr="004911AE">
        <w:trPr>
          <w:trHeight w:val="288"/>
          <w:jc w:val="center"/>
        </w:trPr>
        <w:tc>
          <w:tcPr>
            <w:tcW w:w="0" w:type="auto"/>
            <w:vAlign w:val="center"/>
          </w:tcPr>
          <w:p w14:paraId="7D5974A2" w14:textId="77777777" w:rsidR="004A4685" w:rsidRDefault="004A4685" w:rsidP="004911AE">
            <w:pPr>
              <w:keepNext/>
              <w:keepLines/>
              <w:spacing w:after="0" w:line="240" w:lineRule="auto"/>
              <w:rPr>
                <w:rFonts w:eastAsia="Times New Roman" w:cstheme="minorHAnsi"/>
                <w:sz w:val="20"/>
                <w:szCs w:val="20"/>
              </w:rPr>
            </w:pPr>
            <w:r>
              <w:rPr>
                <w:rFonts w:eastAsia="Times New Roman" w:cstheme="minorHAnsi"/>
                <w:sz w:val="20"/>
                <w:szCs w:val="20"/>
              </w:rPr>
              <w:t>JEA</w:t>
            </w:r>
          </w:p>
        </w:tc>
        <w:tc>
          <w:tcPr>
            <w:tcW w:w="0" w:type="auto"/>
            <w:vAlign w:val="center"/>
          </w:tcPr>
          <w:p w14:paraId="6BDC5CE4" w14:textId="77777777" w:rsidR="004A4685" w:rsidRDefault="004A4685" w:rsidP="004911AE">
            <w:pPr>
              <w:keepNext/>
              <w:keepLines/>
              <w:spacing w:after="0" w:line="240" w:lineRule="auto"/>
              <w:rPr>
                <w:rFonts w:eastAsia="Times New Roman" w:cstheme="minorHAnsi"/>
                <w:sz w:val="20"/>
                <w:szCs w:val="20"/>
              </w:rPr>
            </w:pPr>
            <w:r>
              <w:rPr>
                <w:rFonts w:eastAsia="Times New Roman" w:cstheme="minorHAnsi"/>
                <w:sz w:val="20"/>
                <w:szCs w:val="20"/>
              </w:rPr>
              <w:t>City of Tallahassee</w:t>
            </w:r>
          </w:p>
        </w:tc>
      </w:tr>
      <w:tr w:rsidR="004A4685" w14:paraId="273D40A2" w14:textId="77777777" w:rsidTr="004911AE">
        <w:trPr>
          <w:trHeight w:val="288"/>
          <w:jc w:val="center"/>
        </w:trPr>
        <w:tc>
          <w:tcPr>
            <w:tcW w:w="0" w:type="auto"/>
            <w:vAlign w:val="center"/>
          </w:tcPr>
          <w:p w14:paraId="7C698358" w14:textId="77777777" w:rsidR="004A4685" w:rsidRDefault="004A4685" w:rsidP="004911AE">
            <w:pPr>
              <w:keepNext/>
              <w:keepLines/>
              <w:spacing w:after="0" w:line="240" w:lineRule="auto"/>
              <w:rPr>
                <w:rFonts w:eastAsia="Times New Roman" w:cstheme="minorHAnsi"/>
                <w:sz w:val="20"/>
                <w:szCs w:val="20"/>
              </w:rPr>
            </w:pPr>
            <w:r>
              <w:rPr>
                <w:rFonts w:eastAsia="Times New Roman" w:cstheme="minorHAnsi"/>
                <w:sz w:val="20"/>
                <w:szCs w:val="20"/>
              </w:rPr>
              <w:t>Duke Energy Corporation (Carolinas)</w:t>
            </w:r>
          </w:p>
        </w:tc>
        <w:tc>
          <w:tcPr>
            <w:tcW w:w="0" w:type="auto"/>
            <w:vAlign w:val="center"/>
          </w:tcPr>
          <w:p w14:paraId="76E0C046" w14:textId="77777777" w:rsidR="004A4685" w:rsidRDefault="004A4685" w:rsidP="004911AE">
            <w:pPr>
              <w:keepNext/>
              <w:keepLines/>
              <w:spacing w:after="0" w:line="240" w:lineRule="auto"/>
              <w:rPr>
                <w:rFonts w:eastAsia="Times New Roman" w:cstheme="minorHAnsi"/>
                <w:sz w:val="20"/>
                <w:szCs w:val="20"/>
              </w:rPr>
            </w:pPr>
            <w:r>
              <w:rPr>
                <w:rFonts w:eastAsia="Times New Roman" w:cstheme="minorHAnsi"/>
                <w:sz w:val="20"/>
                <w:szCs w:val="20"/>
              </w:rPr>
              <w:t>South Carolina Electric &amp; Gas Company</w:t>
            </w:r>
          </w:p>
        </w:tc>
      </w:tr>
      <w:tr w:rsidR="004A4685" w14:paraId="493EF1EA" w14:textId="77777777" w:rsidTr="004911AE">
        <w:trPr>
          <w:trHeight w:val="288"/>
          <w:jc w:val="center"/>
        </w:trPr>
        <w:tc>
          <w:tcPr>
            <w:tcW w:w="0" w:type="auto"/>
            <w:vAlign w:val="center"/>
          </w:tcPr>
          <w:p w14:paraId="73E53C6C" w14:textId="77777777" w:rsidR="004A4685" w:rsidRDefault="004A4685" w:rsidP="004911AE">
            <w:pPr>
              <w:keepNext/>
              <w:keepLines/>
              <w:spacing w:after="0" w:line="240" w:lineRule="auto"/>
              <w:rPr>
                <w:rFonts w:eastAsia="Times New Roman" w:cstheme="minorHAnsi"/>
                <w:sz w:val="20"/>
                <w:szCs w:val="20"/>
              </w:rPr>
            </w:pPr>
            <w:r>
              <w:rPr>
                <w:rFonts w:eastAsia="Times New Roman" w:cstheme="minorHAnsi"/>
                <w:sz w:val="20"/>
                <w:szCs w:val="20"/>
              </w:rPr>
              <w:t>Tennessee Valley Authority</w:t>
            </w:r>
          </w:p>
        </w:tc>
        <w:tc>
          <w:tcPr>
            <w:tcW w:w="0" w:type="auto"/>
            <w:vAlign w:val="center"/>
          </w:tcPr>
          <w:p w14:paraId="3C4BF691" w14:textId="77777777" w:rsidR="004A4685" w:rsidRDefault="004A4685" w:rsidP="004911AE">
            <w:pPr>
              <w:keepNext/>
              <w:keepLines/>
              <w:spacing w:after="0" w:line="240" w:lineRule="auto"/>
              <w:rPr>
                <w:rFonts w:eastAsia="Times New Roman" w:cstheme="minorHAnsi"/>
                <w:sz w:val="20"/>
                <w:szCs w:val="20"/>
              </w:rPr>
            </w:pPr>
            <w:r>
              <w:rPr>
                <w:rFonts w:eastAsia="Times New Roman" w:cstheme="minorHAnsi"/>
                <w:sz w:val="20"/>
                <w:szCs w:val="20"/>
              </w:rPr>
              <w:t>South Carolina Public Service Authority</w:t>
            </w:r>
          </w:p>
        </w:tc>
      </w:tr>
      <w:tr w:rsidR="004A4685" w14:paraId="6A48968E" w14:textId="77777777" w:rsidTr="004911AE">
        <w:trPr>
          <w:trHeight w:val="288"/>
          <w:jc w:val="center"/>
        </w:trPr>
        <w:tc>
          <w:tcPr>
            <w:tcW w:w="0" w:type="auto"/>
            <w:vAlign w:val="center"/>
          </w:tcPr>
          <w:p w14:paraId="0ED384AA" w14:textId="77777777" w:rsidR="004A4685" w:rsidRDefault="004A4685" w:rsidP="004911AE">
            <w:pPr>
              <w:keepNext/>
              <w:keepLines/>
              <w:spacing w:after="0" w:line="240" w:lineRule="auto"/>
              <w:rPr>
                <w:rFonts w:eastAsia="Times New Roman" w:cstheme="minorHAnsi"/>
                <w:sz w:val="20"/>
                <w:szCs w:val="20"/>
              </w:rPr>
            </w:pPr>
            <w:r>
              <w:rPr>
                <w:rFonts w:eastAsia="Times New Roman" w:cstheme="minorHAnsi"/>
                <w:sz w:val="20"/>
                <w:szCs w:val="20"/>
              </w:rPr>
              <w:t>Entergy Corporation</w:t>
            </w:r>
          </w:p>
        </w:tc>
        <w:tc>
          <w:tcPr>
            <w:tcW w:w="0" w:type="auto"/>
            <w:vAlign w:val="center"/>
          </w:tcPr>
          <w:p w14:paraId="63951B63" w14:textId="77777777" w:rsidR="004A4685" w:rsidRDefault="004A4685" w:rsidP="004911AE">
            <w:pPr>
              <w:keepNext/>
              <w:keepLines/>
              <w:spacing w:after="0" w:line="240" w:lineRule="auto"/>
              <w:rPr>
                <w:rFonts w:eastAsia="Times New Roman" w:cstheme="minorHAnsi"/>
                <w:sz w:val="20"/>
                <w:szCs w:val="20"/>
              </w:rPr>
            </w:pPr>
            <w:r>
              <w:rPr>
                <w:rFonts w:eastAsia="Times New Roman" w:cstheme="minorHAnsi"/>
                <w:sz w:val="20"/>
                <w:szCs w:val="20"/>
              </w:rPr>
              <w:t>Crisp County Power Commission</w:t>
            </w:r>
          </w:p>
        </w:tc>
      </w:tr>
      <w:tr w:rsidR="004A4685" w14:paraId="4DF1F60D" w14:textId="77777777" w:rsidTr="004911AE">
        <w:trPr>
          <w:trHeight w:val="288"/>
          <w:jc w:val="center"/>
        </w:trPr>
        <w:tc>
          <w:tcPr>
            <w:tcW w:w="0" w:type="auto"/>
            <w:vAlign w:val="center"/>
          </w:tcPr>
          <w:p w14:paraId="7DC4AD82" w14:textId="77777777" w:rsidR="004A4685" w:rsidRDefault="004A4685" w:rsidP="004911AE">
            <w:pPr>
              <w:keepNext/>
              <w:keepLines/>
              <w:spacing w:after="0" w:line="240" w:lineRule="auto"/>
              <w:rPr>
                <w:rFonts w:eastAsia="Times New Roman" w:cstheme="minorHAnsi"/>
                <w:sz w:val="20"/>
                <w:szCs w:val="20"/>
              </w:rPr>
            </w:pPr>
            <w:r>
              <w:rPr>
                <w:rFonts w:eastAsia="Times New Roman" w:cstheme="minorHAnsi"/>
                <w:sz w:val="20"/>
                <w:szCs w:val="20"/>
              </w:rPr>
              <w:t>PowerSouth Energy Cooperative</w:t>
            </w:r>
          </w:p>
        </w:tc>
        <w:tc>
          <w:tcPr>
            <w:tcW w:w="0" w:type="auto"/>
            <w:vAlign w:val="center"/>
          </w:tcPr>
          <w:p w14:paraId="7D4151F4" w14:textId="77777777" w:rsidR="004A4685" w:rsidRDefault="004A4685" w:rsidP="004911AE">
            <w:pPr>
              <w:keepNext/>
              <w:keepLines/>
              <w:spacing w:after="0" w:line="240" w:lineRule="auto"/>
              <w:rPr>
                <w:rFonts w:eastAsia="Times New Roman" w:cstheme="minorHAnsi"/>
                <w:sz w:val="20"/>
                <w:szCs w:val="20"/>
              </w:rPr>
            </w:pPr>
            <w:r>
              <w:rPr>
                <w:rFonts w:eastAsia="Times New Roman" w:cstheme="minorHAnsi"/>
                <w:sz w:val="20"/>
                <w:szCs w:val="20"/>
              </w:rPr>
              <w:t>South Mississippi Electric Power Association</w:t>
            </w:r>
          </w:p>
        </w:tc>
      </w:tr>
    </w:tbl>
    <w:p w14:paraId="20DD0B6C" w14:textId="77777777" w:rsidR="004A4685" w:rsidRDefault="004A4685" w:rsidP="00CA38D7"/>
    <w:p w14:paraId="7BFD1D73" w14:textId="508620DD" w:rsidR="0042542C" w:rsidRDefault="00773998" w:rsidP="009E0608">
      <w:pPr>
        <w:pStyle w:val="Heading2"/>
        <w:jc w:val="both"/>
      </w:pPr>
      <w:bookmarkStart w:id="106" w:name="_Toc189122819"/>
      <w:r>
        <w:t>G</w:t>
      </w:r>
      <w:r w:rsidR="0042542C">
        <w:t>.4 – Basic Principles of the IIC</w:t>
      </w:r>
      <w:bookmarkEnd w:id="106"/>
    </w:p>
    <w:p w14:paraId="385FCD39" w14:textId="77777777" w:rsidR="0042542C" w:rsidRDefault="0042542C" w:rsidP="009E0608">
      <w:pPr>
        <w:jc w:val="both"/>
      </w:pPr>
      <w:r>
        <w:t xml:space="preserve">The basic principles of the IIC can be summarized as follows. </w:t>
      </w:r>
    </w:p>
    <w:p w14:paraId="4E50D4B4" w14:textId="23B82F5C" w:rsidR="0042542C" w:rsidRDefault="0042542C" w:rsidP="009A12F5">
      <w:pPr>
        <w:pStyle w:val="ListParagraph"/>
        <w:numPr>
          <w:ilvl w:val="0"/>
          <w:numId w:val="22"/>
        </w:numPr>
        <w:jc w:val="both"/>
      </w:pPr>
      <w:r>
        <w:t>Each Operating Company submits its load and generation to the Pool for joint commitment and economic dispatch.</w:t>
      </w:r>
    </w:p>
    <w:p w14:paraId="0DFCE4CC" w14:textId="19C3851E" w:rsidR="0042542C" w:rsidRDefault="0042542C" w:rsidP="009A12F5">
      <w:pPr>
        <w:pStyle w:val="ListParagraph"/>
        <w:numPr>
          <w:ilvl w:val="0"/>
          <w:numId w:val="22"/>
        </w:numPr>
        <w:jc w:val="both"/>
      </w:pPr>
      <w:r>
        <w:t>Energy Principles:</w:t>
      </w:r>
    </w:p>
    <w:p w14:paraId="39E20CB3" w14:textId="75E3F068" w:rsidR="0042542C" w:rsidRDefault="0042542C" w:rsidP="009A12F5">
      <w:pPr>
        <w:pStyle w:val="ListParagraph"/>
        <w:numPr>
          <w:ilvl w:val="1"/>
          <w:numId w:val="22"/>
        </w:numPr>
        <w:jc w:val="both"/>
      </w:pPr>
      <w:r>
        <w:t>Each Operating Company retains its lowest cost resources to serve its customers.</w:t>
      </w:r>
    </w:p>
    <w:p w14:paraId="300DF769" w14:textId="2A201717" w:rsidR="0042542C" w:rsidRDefault="0042542C" w:rsidP="009A12F5">
      <w:pPr>
        <w:pStyle w:val="ListParagraph"/>
        <w:numPr>
          <w:ilvl w:val="1"/>
          <w:numId w:val="22"/>
        </w:numPr>
        <w:jc w:val="both"/>
      </w:pPr>
      <w:r>
        <w:t>An Operating Company’s excess energy is next made available to the other Operating Companies to serve their customers if the cost of the Pool energy is less than the cost of energy from their own resources.</w:t>
      </w:r>
    </w:p>
    <w:p w14:paraId="22D93C75" w14:textId="33B6D227" w:rsidR="0042542C" w:rsidRDefault="0042542C" w:rsidP="009A12F5">
      <w:pPr>
        <w:pStyle w:val="ListParagraph"/>
        <w:numPr>
          <w:ilvl w:val="1"/>
          <w:numId w:val="22"/>
        </w:numPr>
        <w:jc w:val="both"/>
      </w:pPr>
      <w:r>
        <w:t>Energy in excess of that necessary to serve the Operating Companies’ customers is marketed by the Pool to the wholesale markets.</w:t>
      </w:r>
    </w:p>
    <w:p w14:paraId="02F108A8" w14:textId="5BCB3291" w:rsidR="0042542C" w:rsidRDefault="0042542C" w:rsidP="009A12F5">
      <w:pPr>
        <w:pStyle w:val="ListParagraph"/>
        <w:numPr>
          <w:ilvl w:val="0"/>
          <w:numId w:val="22"/>
        </w:numPr>
        <w:jc w:val="both"/>
      </w:pPr>
      <w:r>
        <w:t>The IIC provides for coordinated planning among the Retail Op</w:t>
      </w:r>
      <w:r w:rsidR="002A5FB0">
        <w:t xml:space="preserve">erating </w:t>
      </w:r>
      <w:r>
        <w:t>Co</w:t>
      </w:r>
      <w:r w:rsidR="002A5FB0">
        <w:t>mpanie</w:t>
      </w:r>
      <w:r>
        <w:t>s and for the sharing among all Operating Companies of temporary surpluses and deficits of capacity.</w:t>
      </w:r>
    </w:p>
    <w:p w14:paraId="73E5D8B0" w14:textId="5DB303ED" w:rsidR="0042542C" w:rsidRDefault="0042542C" w:rsidP="009A12F5">
      <w:pPr>
        <w:pStyle w:val="ListParagraph"/>
        <w:numPr>
          <w:ilvl w:val="0"/>
          <w:numId w:val="22"/>
        </w:numPr>
        <w:jc w:val="both"/>
      </w:pPr>
      <w:r>
        <w:t>Under the IIC, each Operating Company shares in the benefits and pays its share of the costs resulting from their coordinated operations.</w:t>
      </w:r>
    </w:p>
    <w:p w14:paraId="53B6D8F7" w14:textId="77777777" w:rsidR="0042542C" w:rsidRDefault="0042542C" w:rsidP="009E0608">
      <w:pPr>
        <w:jc w:val="both"/>
      </w:pPr>
      <w:r>
        <w:t>Participation in the Southern Company Pool provides benefits to the Operating Companies and to their customers. Pool participation not only enhances Georgia Power’s ability to provide reliable, low-cost electric service to its customers but also to achieve economies of scale in any required investments. Benefits of Pool participation include:</w:t>
      </w:r>
    </w:p>
    <w:p w14:paraId="28AE6468" w14:textId="5EEF46FC" w:rsidR="0042542C" w:rsidRDefault="0042542C" w:rsidP="009A12F5">
      <w:pPr>
        <w:pStyle w:val="ListParagraph"/>
        <w:numPr>
          <w:ilvl w:val="0"/>
          <w:numId w:val="23"/>
        </w:numPr>
        <w:jc w:val="both"/>
      </w:pPr>
      <w:r>
        <w:t>Staggering construction of new generating facilities so that each retail Operating Company can construct and install the optimum sized generating facilities while utilizing economies of scale;</w:t>
      </w:r>
    </w:p>
    <w:p w14:paraId="454EBA1B" w14:textId="6A41A7AB" w:rsidR="0042542C" w:rsidRDefault="0042542C" w:rsidP="009A12F5">
      <w:pPr>
        <w:pStyle w:val="ListParagraph"/>
        <w:numPr>
          <w:ilvl w:val="0"/>
          <w:numId w:val="23"/>
        </w:numPr>
        <w:jc w:val="both"/>
      </w:pPr>
      <w:r>
        <w:t>Sharing temporary surpluses and deficits of generating capacity that can arise as a result of coordinated planning or other circumstances (e.g., staggered construction schedules, variations in load patterns, load forecast uncertainties, etc.);</w:t>
      </w:r>
    </w:p>
    <w:p w14:paraId="78466CDB" w14:textId="31D84AEA" w:rsidR="0042542C" w:rsidRDefault="0042542C" w:rsidP="009A12F5">
      <w:pPr>
        <w:pStyle w:val="ListParagraph"/>
        <w:numPr>
          <w:ilvl w:val="0"/>
          <w:numId w:val="23"/>
        </w:numPr>
        <w:jc w:val="both"/>
      </w:pPr>
      <w:r>
        <w:lastRenderedPageBreak/>
        <w:t>Coordinating scheduled maintenance to provide greater flexibility, including major maintenance requiring relatively long unit outages, as well as mitigating the cost impact (to customers) of these required outages;</w:t>
      </w:r>
    </w:p>
    <w:p w14:paraId="40CAFF9A" w14:textId="1C221C68" w:rsidR="0042542C" w:rsidRDefault="0042542C" w:rsidP="009A12F5">
      <w:pPr>
        <w:pStyle w:val="ListParagraph"/>
        <w:numPr>
          <w:ilvl w:val="0"/>
          <w:numId w:val="23"/>
        </w:numPr>
        <w:jc w:val="both"/>
      </w:pPr>
      <w:r>
        <w:t>Carrying a lower generation planning reserve margin (due primarily to System load diversity), which enables each Operating Company to have a lower investment in generating resources;</w:t>
      </w:r>
    </w:p>
    <w:p w14:paraId="46BC7C1B" w14:textId="55364224" w:rsidR="0042542C" w:rsidRDefault="0042542C" w:rsidP="009A12F5">
      <w:pPr>
        <w:pStyle w:val="ListParagraph"/>
        <w:numPr>
          <w:ilvl w:val="0"/>
          <w:numId w:val="23"/>
        </w:numPr>
        <w:jc w:val="both"/>
      </w:pPr>
      <w:r>
        <w:t>Providing reliable service with shared operating reserve requirements (which puts downward pressure on fuel costs);</w:t>
      </w:r>
    </w:p>
    <w:p w14:paraId="47F1E463" w14:textId="5C804836" w:rsidR="0042542C" w:rsidRDefault="0042542C" w:rsidP="009A12F5">
      <w:pPr>
        <w:pStyle w:val="ListParagraph"/>
        <w:numPr>
          <w:ilvl w:val="0"/>
          <w:numId w:val="23"/>
        </w:numPr>
        <w:jc w:val="both"/>
      </w:pPr>
      <w:r>
        <w:t>Access to lower cost energy from other Operating Companies;</w:t>
      </w:r>
    </w:p>
    <w:p w14:paraId="25D375DE" w14:textId="1D771720" w:rsidR="0042542C" w:rsidRDefault="0042542C" w:rsidP="009A12F5">
      <w:pPr>
        <w:pStyle w:val="ListParagraph"/>
        <w:numPr>
          <w:ilvl w:val="0"/>
          <w:numId w:val="23"/>
        </w:numPr>
        <w:jc w:val="both"/>
      </w:pPr>
      <w:r>
        <w:t>Enhanced reliability of electric service through the use of transmission interconnections to provide backup service in case of emergencies as well as providing the ability to import lower cost energy when available; and</w:t>
      </w:r>
    </w:p>
    <w:p w14:paraId="3C5D9F90" w14:textId="40CD689A" w:rsidR="0042542C" w:rsidRDefault="0042542C" w:rsidP="009A12F5">
      <w:pPr>
        <w:pStyle w:val="ListParagraph"/>
        <w:numPr>
          <w:ilvl w:val="0"/>
          <w:numId w:val="23"/>
        </w:numPr>
        <w:jc w:val="both"/>
      </w:pPr>
      <w:r>
        <w:t>Acting as a Pool (instead of individual Operating Companies) to identify shorter term purchase and sale opportunities in the wholesale markets that may be available from time to time.</w:t>
      </w:r>
    </w:p>
    <w:p w14:paraId="6EBF2FF3" w14:textId="3C4ED4F3" w:rsidR="0042542C" w:rsidRDefault="00773998" w:rsidP="009E0608">
      <w:pPr>
        <w:pStyle w:val="Heading2"/>
        <w:jc w:val="both"/>
      </w:pPr>
      <w:bookmarkStart w:id="107" w:name="_Toc189122820"/>
      <w:r>
        <w:t>G</w:t>
      </w:r>
      <w:r w:rsidR="00D15D77">
        <w:t xml:space="preserve">.5 – </w:t>
      </w:r>
      <w:r w:rsidR="0042542C">
        <w:t>Basic Operation of the IIC</w:t>
      </w:r>
      <w:bookmarkEnd w:id="107"/>
    </w:p>
    <w:p w14:paraId="379F78E9" w14:textId="77777777" w:rsidR="0042542C" w:rsidRDefault="0042542C" w:rsidP="009E0608">
      <w:pPr>
        <w:jc w:val="both"/>
      </w:pPr>
      <w:r>
        <w:t>The concept of economic dispatch, which seeks to minimize the total System production cost, is one of the major benefits of the Pool. The generating assets of all the Operating Companies in the Pool are committed and dispatched as a common System without regard to the ownership of each generating facility. Subject to operational constraints and reliability considerations, the lowest cost generation assets are dispatched during each hour to meet the total needs of the customers of all the Operating Companies. The goal of this process is to ensure that the lowest cost energy is produced every hour. It also should be reiterated that each Operating Company retains its lowest cost generation to serve that Operating Company’s customers.</w:t>
      </w:r>
    </w:p>
    <w:p w14:paraId="7BEE5164" w14:textId="77777777" w:rsidR="0042542C" w:rsidRDefault="0042542C" w:rsidP="009E0608">
      <w:pPr>
        <w:jc w:val="both"/>
      </w:pPr>
      <w:r>
        <w:t>The Pool also interfaces with the wholesale markets on behalf of the Operating Companies for both sales and purchases. When the Pool has excess power available, it will pursue wholesale sales opportunities for which there is a reasonable expectation that the transaction will result in positive net margin for the Operating Companies. There are two primary reasons for the Pool to seek purchase opportunities: (1) economics; and (2) reliability. The Pool will pursue purchase opportunities from the wholesale markets if such purchases are expected to be more economical than System resources (again, subject to operational constraints and System reliability). In the event the Pool experiences reliability challenges, then the Pool may seek purchases in response to such operating conditions.</w:t>
      </w:r>
    </w:p>
    <w:p w14:paraId="00B565DD" w14:textId="39E26205" w:rsidR="0042542C" w:rsidRDefault="00773998" w:rsidP="009E0608">
      <w:pPr>
        <w:pStyle w:val="Heading2"/>
        <w:jc w:val="both"/>
      </w:pPr>
      <w:bookmarkStart w:id="108" w:name="_Toc189122821"/>
      <w:r>
        <w:t>G</w:t>
      </w:r>
      <w:r w:rsidR="006939A9">
        <w:t xml:space="preserve">.6 – </w:t>
      </w:r>
      <w:r w:rsidR="0042542C">
        <w:t>Reserve Sharing</w:t>
      </w:r>
      <w:bookmarkEnd w:id="108"/>
    </w:p>
    <w:p w14:paraId="4A117E91" w14:textId="77777777" w:rsidR="0042542C" w:rsidRDefault="0042542C" w:rsidP="009E0608">
      <w:pPr>
        <w:jc w:val="both"/>
      </w:pPr>
      <w:r>
        <w:t>As noted in the introduction, the IIC contains capacity provisions, commonly referred to as “reserve sharing,” that provide for a sharing of temporary generating capacity surpluses and deficits that are a result of coordinated planning or other circumstances. As participants in the coordinated operation of the integrated electric system, each Operating Company enjoys the same level of service reliability. In any given month, however, one or more Operating Companies will have a temporary surplus or deficit of capacity relative to the overall level of actual System reserves. Consistent with the goal of sharing in the benefits and burdens of the coordinated and integrated electric system, the reserve sharing provisions of the IIC provide for the equitable allocation of such temporary surplus or deficit capacity. The resulting purchase and sale of capacity is transacted on a monthly basis.</w:t>
      </w:r>
    </w:p>
    <w:p w14:paraId="1C314BC2" w14:textId="77777777" w:rsidR="0042542C" w:rsidRDefault="0042542C" w:rsidP="009E0608">
      <w:pPr>
        <w:jc w:val="both"/>
      </w:pPr>
      <w:r>
        <w:lastRenderedPageBreak/>
        <w:t>Reserve sharing is determined by comparing each Operating Company’s load responsibility with its respective capacity resources recognized through the coordinated planning process. The Operating Companies must own or purchase sufficient capacity (including capacity available for load service and that which is unavailable due to forced outage, partial outage, and maintenance outage) needed to reliably serve their respective load responsibilities. Capacity above that amount is considered reserve capacity, and each Operating Company is responsible for a portion of such reserve capacity based upon historical peak load ratios. If an Operating Company’s reserve capacity is less than its reserve responsibility, that Operating Company will make reserve sharing payments under the IIC for the month.</w:t>
      </w:r>
    </w:p>
    <w:p w14:paraId="2A341091" w14:textId="77777777" w:rsidR="0042542C" w:rsidRDefault="0042542C" w:rsidP="009E0608">
      <w:pPr>
        <w:jc w:val="both"/>
      </w:pPr>
      <w:r>
        <w:t xml:space="preserve">Each Operating Company develops an annual charge (payments are based on monthly capacity worth) based upon the cost of its most recently installed or purchased peaking resource(s). The Operating Companies that are “selling” capacity to the Pool will receive a payment from the Pool based upon their respective capacity rates. The Operating Companies that are “buying” capacity from the Pool will make payments to the Pool based upon the weighted average of the capacity rates of the “selling” Operating Companies. In this way, all the buying Operating Companies pay the same composite cost in a given month for reserve sharing purposes. By definition, the amount by which one or more Operating Companies are “short” (make payments) will be equal to the amount by which one or more Operating Companies are “long” (receive payments). </w:t>
      </w:r>
    </w:p>
    <w:p w14:paraId="2A6C6245" w14:textId="2279C9BB" w:rsidR="0042542C" w:rsidRDefault="00773998" w:rsidP="009E0608">
      <w:pPr>
        <w:pStyle w:val="Heading2"/>
        <w:jc w:val="both"/>
      </w:pPr>
      <w:bookmarkStart w:id="109" w:name="_Toc189122822"/>
      <w:r>
        <w:t>G</w:t>
      </w:r>
      <w:r w:rsidR="00CC5D9A">
        <w:t xml:space="preserve">.7 – </w:t>
      </w:r>
      <w:r w:rsidR="0042542C">
        <w:t>Energy Transactions</w:t>
      </w:r>
      <w:bookmarkEnd w:id="109"/>
    </w:p>
    <w:p w14:paraId="1B02B182" w14:textId="77777777" w:rsidR="0042542C" w:rsidRDefault="0042542C" w:rsidP="009E0608">
      <w:pPr>
        <w:jc w:val="both"/>
      </w:pPr>
      <w:r>
        <w:t xml:space="preserve">Energy transactions within the Pool are accounted for on an hour-to-hour basis, with the accounting occurring after-the-fact utilizing the actual flows among the Operating Companies. </w:t>
      </w:r>
    </w:p>
    <w:p w14:paraId="516083CB" w14:textId="293113D0" w:rsidR="0042542C" w:rsidRDefault="0042542C" w:rsidP="009E0608">
      <w:pPr>
        <w:jc w:val="both"/>
      </w:pPr>
      <w:r>
        <w:t>The actual real-time operation of the System is based upon the concept of economic energy dispatch, which through online computer control assures that available generation is dispatched so as to choose the most economical generation available to serve the total System obligation at any given time. An adequate set of lowest-cost generating resources is committed in advance to meet the total System obligation, with due regard for generation requirements associated with service area protection, voltage control, unit protection, and other operating limitations considerations.</w:t>
      </w:r>
    </w:p>
    <w:p w14:paraId="7EACEC17" w14:textId="77777777" w:rsidR="0042542C" w:rsidRDefault="0042542C" w:rsidP="009E0608">
      <w:pPr>
        <w:jc w:val="both"/>
      </w:pPr>
      <w:r>
        <w:t>For billing purposes under the IIC, each Operating Company is deemed to have retained its lowest-cost energy resources (most notably hydro and nuclear) to serve its own territorial customers, plus whichever of its resources that may have been operating outside of economic dispatch for purposes of service area protection or voltage control. To the extent an Operating Company’s generation exceeds its own load obligations, such energy is sold to the Pool under the IIC. If an Operating Company’s generation is not equal to or greater than its own load obligations, the difference is purchased from the Pool. The energy rate for energy sold to or purchased from the Pool by each Operating Company is referred to as the Associated Interchange Energy Rate and represents the incremental System cost of serving the Operating Companies’ aggregate firm obligations. Under the IIC, the determination of which Operating Companies are buying from and which are selling to the Pool is made on an hourly basis, and an invoice that accounts for these energy transactions is rendered monthly.</w:t>
      </w:r>
    </w:p>
    <w:p w14:paraId="4AEA3D65" w14:textId="5F49ED46" w:rsidR="0042542C" w:rsidRDefault="00773998" w:rsidP="009E0608">
      <w:pPr>
        <w:pStyle w:val="Heading2"/>
        <w:jc w:val="both"/>
      </w:pPr>
      <w:bookmarkStart w:id="110" w:name="_Toc189122823"/>
      <w:r>
        <w:lastRenderedPageBreak/>
        <w:t>G</w:t>
      </w:r>
      <w:r w:rsidR="00400D25">
        <w:t xml:space="preserve">.8 – </w:t>
      </w:r>
      <w:r w:rsidR="0042542C">
        <w:t>Peak-Period Load Ratios</w:t>
      </w:r>
      <w:bookmarkEnd w:id="110"/>
    </w:p>
    <w:p w14:paraId="17421C18" w14:textId="77777777" w:rsidR="0042542C" w:rsidRDefault="0042542C" w:rsidP="009E0608">
      <w:pPr>
        <w:jc w:val="both"/>
      </w:pPr>
      <w:r>
        <w:t>Peak-Period Load Ratios are utilized in the allocation of certain energy and capacity transactions by the Pool with non-associated systems, hydro regulation energy losses, increases in cost due to hydro regulation, and other allocations provided for in the IIC and the Manual to the IIC.</w:t>
      </w:r>
    </w:p>
    <w:p w14:paraId="5E3C745F" w14:textId="77777777" w:rsidR="0042542C" w:rsidRDefault="0042542C" w:rsidP="009E0608">
      <w:pPr>
        <w:jc w:val="both"/>
      </w:pPr>
      <w:r>
        <w:t>The Peak-Period Load Ratios for each contract year are based upon the prior year’s actual peak-period energy in the months of June, July, and August for each Operating Company. The peak period is defined to be the 14 hours between 7:00 a.m. and 9:00 p.m. of each weekday, excluding holidays. The System peak-period energy is equal to the sum of all the Operating Companies’ peak-period energy.</w:t>
      </w:r>
    </w:p>
    <w:p w14:paraId="50494E6E" w14:textId="73EBCF41" w:rsidR="0042542C" w:rsidRDefault="0042542C" w:rsidP="009E0608">
      <w:pPr>
        <w:jc w:val="both"/>
      </w:pPr>
      <w:r>
        <w:t>The Peak-Period Load Ratios are determined by dividing each Operating Company’s summation of the June, July, and August actual weekday peak-period energy loads by the total System June, July, and August actual weekday peak-period energy loads.</w:t>
      </w:r>
    </w:p>
    <w:p w14:paraId="3C02B654" w14:textId="1F460DA6" w:rsidR="009E0608" w:rsidRDefault="009E0608">
      <w:r>
        <w:br w:type="page"/>
      </w:r>
    </w:p>
    <w:p w14:paraId="2B963346" w14:textId="77777777" w:rsidR="001B2A68" w:rsidRDefault="001B2A68" w:rsidP="001B2A68">
      <w:pPr>
        <w:jc w:val="both"/>
      </w:pPr>
    </w:p>
    <w:p w14:paraId="3C39BBBA" w14:textId="77777777" w:rsidR="001B2A68" w:rsidRDefault="001B2A68" w:rsidP="001B2A68">
      <w:pPr>
        <w:jc w:val="both"/>
      </w:pPr>
    </w:p>
    <w:p w14:paraId="0DE3AA5C" w14:textId="77777777" w:rsidR="001B2A68" w:rsidRDefault="001B2A68" w:rsidP="001B2A68">
      <w:pPr>
        <w:jc w:val="both"/>
      </w:pPr>
    </w:p>
    <w:p w14:paraId="720B5273" w14:textId="77777777" w:rsidR="001B2A68" w:rsidRDefault="001B2A68" w:rsidP="001B2A68">
      <w:pPr>
        <w:jc w:val="both"/>
      </w:pPr>
    </w:p>
    <w:p w14:paraId="37670D79" w14:textId="77777777" w:rsidR="001B2A68" w:rsidRDefault="001B2A68" w:rsidP="001B2A68">
      <w:pPr>
        <w:jc w:val="both"/>
      </w:pPr>
    </w:p>
    <w:p w14:paraId="077CB300" w14:textId="77777777" w:rsidR="001B2A68" w:rsidRDefault="001B2A68" w:rsidP="001B2A68">
      <w:pPr>
        <w:jc w:val="both"/>
      </w:pPr>
    </w:p>
    <w:p w14:paraId="55EBCAE2" w14:textId="77777777" w:rsidR="001B2A68" w:rsidRDefault="001B2A68" w:rsidP="001B2A68">
      <w:pPr>
        <w:jc w:val="both"/>
      </w:pPr>
    </w:p>
    <w:p w14:paraId="51D32FAB" w14:textId="77777777" w:rsidR="001B2A68" w:rsidRDefault="001B2A68" w:rsidP="001B2A68">
      <w:pPr>
        <w:jc w:val="both"/>
      </w:pPr>
    </w:p>
    <w:p w14:paraId="2DD89EB8" w14:textId="77777777" w:rsidR="001B2A68" w:rsidRDefault="001B2A68" w:rsidP="001B2A68">
      <w:pPr>
        <w:jc w:val="both"/>
      </w:pPr>
    </w:p>
    <w:p w14:paraId="6A4DCC63" w14:textId="77777777" w:rsidR="001B2A68" w:rsidRDefault="001B2A68" w:rsidP="001B2A68">
      <w:pPr>
        <w:jc w:val="both"/>
      </w:pPr>
    </w:p>
    <w:p w14:paraId="45A6E01C" w14:textId="77777777" w:rsidR="001B2A68" w:rsidRDefault="001B2A68" w:rsidP="001B2A68">
      <w:pPr>
        <w:jc w:val="both"/>
      </w:pPr>
    </w:p>
    <w:p w14:paraId="238B21A3" w14:textId="2DF06C76" w:rsidR="001B2A68" w:rsidRDefault="001B2A68" w:rsidP="001B2A68">
      <w:pPr>
        <w:jc w:val="center"/>
        <w:rPr>
          <w:rFonts w:asciiTheme="majorHAnsi" w:eastAsiaTheme="majorEastAsia" w:hAnsiTheme="majorHAnsi" w:cstheme="majorBidi"/>
          <w:color w:val="0F4761" w:themeColor="accent1" w:themeShade="BF"/>
          <w:sz w:val="40"/>
          <w:szCs w:val="40"/>
        </w:rPr>
      </w:pPr>
      <w:r>
        <w:t>[This page is intentionally left blank.]</w:t>
      </w:r>
      <w:r>
        <w:br w:type="page"/>
      </w:r>
    </w:p>
    <w:p w14:paraId="5D865159" w14:textId="174A96E2" w:rsidR="009E0608" w:rsidRDefault="00B11CE6" w:rsidP="00B11CE6">
      <w:pPr>
        <w:pStyle w:val="Heading1"/>
      </w:pPr>
      <w:bookmarkStart w:id="111" w:name="_Toc189122824"/>
      <w:r>
        <w:lastRenderedPageBreak/>
        <w:t xml:space="preserve">Attachment </w:t>
      </w:r>
      <w:r w:rsidR="00352CA7">
        <w:t>H</w:t>
      </w:r>
      <w:r>
        <w:t xml:space="preserve"> </w:t>
      </w:r>
      <w:r w:rsidR="0067506E">
        <w:t>–</w:t>
      </w:r>
      <w:r>
        <w:t xml:space="preserve"> </w:t>
      </w:r>
      <w:r w:rsidR="0067506E">
        <w:t>Research Activities</w:t>
      </w:r>
      <w:bookmarkEnd w:id="111"/>
    </w:p>
    <w:p w14:paraId="00BF1BA0" w14:textId="77777777" w:rsidR="0072612B" w:rsidRDefault="0072612B" w:rsidP="00510CD7">
      <w:pPr>
        <w:jc w:val="both"/>
      </w:pPr>
      <w:r>
        <w:t xml:space="preserve">Georgia Power, as a subsidiary of Southern Company, is involved in a range of research activities and programs to facilitate the development of new technologies with the potential to benefit Georgia Power’s customers. Southern Company is an industry leader in the R&amp;D of emerging energy technologies and, on behalf of the Operating Companies, manages a diverse research portfolio. This ensures Southern Company and its subsidiaries have the capabilities and knowledge to successfully deploy technologies to meet customers' energy needs today and in the future. Current R&amp;D activities are organized into a comprehensive strategy designed to meet four primary needs for Southern Company, its Operating Companies, and its customers. The R&amp;D strategy is organized into four strategic aspirations, as outline below, that define the top-level focus areas within the R&amp;D portfolio. Each research program develops a specific portfolio strategy in support of these aspirations, as well as near-term objectives to ensure consistency between long-term strategy and near-term tactics. The R&amp;D organization operates in teams according to subject matter expertise including Generation Fleet; Advanced Energy Systems; Carbon Capture, Storage, and Utilization; Energy End-Use; Power Delivery; and Renewables, Storage and Distributed Generation. The R&amp;D program teams work collaboratively on projects that are directly connected to each specific research objectives to deliver the R&amp;D strategy in an efficient and aligned manner. SCS-lead R&amp;D projects within each of programs may be specific to a particular Operating Company. </w:t>
      </w:r>
    </w:p>
    <w:p w14:paraId="3E938C56" w14:textId="6B07A79C" w:rsidR="0072612B" w:rsidRDefault="0072612B" w:rsidP="00510CD7">
      <w:pPr>
        <w:jc w:val="both"/>
      </w:pPr>
      <w:r w:rsidRPr="001C2DE8">
        <w:rPr>
          <w:b/>
          <w:bCs/>
        </w:rPr>
        <w:t>Strategic Aspiration 1</w:t>
      </w:r>
      <w:r>
        <w:t>: Develop a sustainable energy future through customer-focused, cost-effective solutions</w:t>
      </w:r>
      <w:r w:rsidR="004622A6">
        <w:t>.</w:t>
      </w:r>
    </w:p>
    <w:p w14:paraId="3D7B9676" w14:textId="5616DE80" w:rsidR="0072612B" w:rsidRDefault="0072612B" w:rsidP="009A12F5">
      <w:pPr>
        <w:pStyle w:val="ListParagraph"/>
        <w:numPr>
          <w:ilvl w:val="0"/>
          <w:numId w:val="24"/>
        </w:numPr>
        <w:jc w:val="both"/>
      </w:pPr>
      <w:r>
        <w:t>Modernize the domestic nuclear industry landscape to enable broad deployment of advanced nuclear technology in the 2030s. As a part of this effort, R&amp;D will support the development and implementation of a new, risk-informed and performance-based NRC licensing pathway by mid-2020s for use regulating advanced reactors. R&amp;D will support the establishment of critical infrastructure and supply chains, including advanced reactor fuel, for advanced reactor demonstrations. Additionally, R&amp;D will explore sustainable technical options for nuclear fuel life cycles.</w:t>
      </w:r>
    </w:p>
    <w:p w14:paraId="5C6C0228" w14:textId="77777777" w:rsidR="00875B81" w:rsidRDefault="00875B81" w:rsidP="00510CD7">
      <w:pPr>
        <w:pStyle w:val="ListParagraph"/>
        <w:jc w:val="both"/>
      </w:pPr>
    </w:p>
    <w:p w14:paraId="4947FC4A" w14:textId="3E1B2843" w:rsidR="0072612B" w:rsidRDefault="0072612B" w:rsidP="009A12F5">
      <w:pPr>
        <w:pStyle w:val="ListParagraph"/>
        <w:numPr>
          <w:ilvl w:val="0"/>
          <w:numId w:val="24"/>
        </w:numPr>
        <w:jc w:val="both"/>
      </w:pPr>
      <w:r>
        <w:t>Develop low</w:t>
      </w:r>
      <w:r w:rsidR="00EF04DE">
        <w:t>-</w:t>
      </w:r>
      <w:r>
        <w:t>carbon generating options</w:t>
      </w:r>
      <w:r w:rsidR="0CD85254">
        <w:t>.</w:t>
      </w:r>
      <w:r>
        <w:t xml:space="preserve"> This area will focus on a broad range of generating technologies including wind, advanced nuclear, hydrogen, and oxy-combustion technologies. Included efforts will work to develop low-cost renewables that are predictable, dispatchable, and sustainable. Work on advanced power cycles will include efforts to assess, scale up, demonstrate, and validate novel power cycles</w:t>
      </w:r>
      <w:r w:rsidR="6827AF4C">
        <w:t>.</w:t>
      </w:r>
      <w:r>
        <w:t xml:space="preserve"> Advanced nuclear work will continue with demonstrations of various aspects of TerraPower’s Molten Chloride Fast Reactor technology. Additional research will examine the potential role of hydrogen for power production.</w:t>
      </w:r>
    </w:p>
    <w:p w14:paraId="0998B4B2" w14:textId="77777777" w:rsidR="00875B81" w:rsidRDefault="00875B81" w:rsidP="00510CD7">
      <w:pPr>
        <w:pStyle w:val="ListParagraph"/>
        <w:jc w:val="both"/>
      </w:pPr>
    </w:p>
    <w:p w14:paraId="1D8A4846" w14:textId="5BA75956" w:rsidR="00875B81" w:rsidRDefault="0072612B" w:rsidP="009A12F5">
      <w:pPr>
        <w:pStyle w:val="ListParagraph"/>
        <w:numPr>
          <w:ilvl w:val="0"/>
          <w:numId w:val="24"/>
        </w:numPr>
        <w:jc w:val="both"/>
      </w:pPr>
      <w:r>
        <w:t xml:space="preserve">Advance carbon capture for power generating technologies through improved flexibility and integration. The R&amp;D organization will continue to operate the DOE-sponsored National Carbon Capture Center in Wilsonville, AL to advance technologies to reduce </w:t>
      </w:r>
      <w:r w:rsidR="00884E75">
        <w:t>GHG</w:t>
      </w:r>
      <w:r>
        <w:t xml:space="preserve"> emissions from natural gas- and coal-based power plants.</w:t>
      </w:r>
    </w:p>
    <w:p w14:paraId="320152FE" w14:textId="77777777" w:rsidR="00875B81" w:rsidRDefault="00875B81" w:rsidP="00510CD7">
      <w:pPr>
        <w:pStyle w:val="ListParagraph"/>
        <w:jc w:val="both"/>
      </w:pPr>
    </w:p>
    <w:p w14:paraId="3624F330" w14:textId="561CD99C" w:rsidR="0072612B" w:rsidRDefault="0072612B" w:rsidP="009A12F5">
      <w:pPr>
        <w:pStyle w:val="ListParagraph"/>
        <w:numPr>
          <w:ilvl w:val="0"/>
          <w:numId w:val="24"/>
        </w:numPr>
        <w:jc w:val="both"/>
      </w:pPr>
      <w:r>
        <w:lastRenderedPageBreak/>
        <w:t>Continue to investigate relevant carbon capture technologies to develop cost models and front-end engineering and design (“FEED”) studies to develop cost models for deployment within natural gas generating plants.</w:t>
      </w:r>
    </w:p>
    <w:p w14:paraId="2A8CA610" w14:textId="77777777" w:rsidR="001C2DE8" w:rsidRDefault="001C2DE8" w:rsidP="00510CD7">
      <w:pPr>
        <w:pStyle w:val="ListParagraph"/>
        <w:jc w:val="both"/>
      </w:pPr>
    </w:p>
    <w:p w14:paraId="429238F3" w14:textId="5E60DFF1" w:rsidR="0072612B" w:rsidRDefault="0072612B" w:rsidP="009A12F5">
      <w:pPr>
        <w:pStyle w:val="ListParagraph"/>
        <w:numPr>
          <w:ilvl w:val="0"/>
          <w:numId w:val="24"/>
        </w:numPr>
        <w:jc w:val="both"/>
      </w:pPr>
      <w:r>
        <w:t>Engage in additional efforts to reduce atmospheric carbon through negative emissions technology. The R&amp;D team will perform cost/benefit analysis of DAC and natural systems technologies for carbon-negative approaches.</w:t>
      </w:r>
    </w:p>
    <w:p w14:paraId="443B3238" w14:textId="77777777" w:rsidR="001C2DE8" w:rsidRDefault="001C2DE8" w:rsidP="00510CD7">
      <w:pPr>
        <w:pStyle w:val="ListParagraph"/>
        <w:jc w:val="both"/>
      </w:pPr>
    </w:p>
    <w:p w14:paraId="7E9FAB2C" w14:textId="4778A267" w:rsidR="0072612B" w:rsidRDefault="0072612B" w:rsidP="009A12F5">
      <w:pPr>
        <w:pStyle w:val="ListParagraph"/>
        <w:numPr>
          <w:ilvl w:val="0"/>
          <w:numId w:val="24"/>
        </w:numPr>
        <w:jc w:val="both"/>
      </w:pPr>
      <w:r>
        <w:t>Enable the dispatchability, predictability, and sustainability of renewables. The R&amp;D team will work to develop technologies that will allow renewable to be deployed similar to fossil fuel plants. Through development of improved forecasting tools, the team will work to reduce impact of renewable variability.</w:t>
      </w:r>
    </w:p>
    <w:p w14:paraId="03BBD966" w14:textId="77777777" w:rsidR="001C2DE8" w:rsidRDefault="001C2DE8" w:rsidP="00510CD7">
      <w:pPr>
        <w:pStyle w:val="ListParagraph"/>
        <w:jc w:val="both"/>
      </w:pPr>
    </w:p>
    <w:p w14:paraId="4E76C293" w14:textId="32E45B05" w:rsidR="0072612B" w:rsidRDefault="0072612B" w:rsidP="009A12F5">
      <w:pPr>
        <w:pStyle w:val="ListParagraph"/>
        <w:numPr>
          <w:ilvl w:val="0"/>
          <w:numId w:val="24"/>
        </w:numPr>
        <w:jc w:val="both"/>
      </w:pPr>
      <w:r>
        <w:t>Demonstrate CO</w:t>
      </w:r>
      <w:r w:rsidRPr="007D10E5">
        <w:rPr>
          <w:vertAlign w:val="subscript"/>
        </w:rPr>
        <w:t>2</w:t>
      </w:r>
      <w:r>
        <w:t xml:space="preserve"> storage and utilization concepts to offset cost to the customer. Research will continue to demonstrate the feasibility of </w:t>
      </w:r>
      <w:r w:rsidR="007B24F7">
        <w:t>CO</w:t>
      </w:r>
      <w:r w:rsidR="007B24F7" w:rsidRPr="00010031">
        <w:rPr>
          <w:vertAlign w:val="subscript"/>
        </w:rPr>
        <w:t>2</w:t>
      </w:r>
      <w:r w:rsidR="007B24F7">
        <w:rPr>
          <w:vertAlign w:val="subscript"/>
        </w:rPr>
        <w:t xml:space="preserve"> </w:t>
      </w:r>
      <w:r>
        <w:t>storage at a commercial scale. Included scope will support the development of potential storage business models and perform key site assessments within the service territory.</w:t>
      </w:r>
    </w:p>
    <w:p w14:paraId="3D136A87" w14:textId="51A1BECE" w:rsidR="0072612B" w:rsidRDefault="0072612B" w:rsidP="00510CD7">
      <w:pPr>
        <w:jc w:val="both"/>
      </w:pPr>
      <w:r w:rsidRPr="00510CD7">
        <w:rPr>
          <w:b/>
          <w:bCs/>
        </w:rPr>
        <w:t>Strategic Aspiration 2</w:t>
      </w:r>
      <w:r>
        <w:t>: Provide delivery, storage, and distributed generating solutions that meet reliability, resiliency, and flexibility needs</w:t>
      </w:r>
      <w:r w:rsidR="004622A6">
        <w:t>.</w:t>
      </w:r>
    </w:p>
    <w:p w14:paraId="45BDEC8F" w14:textId="3A2DE6CB" w:rsidR="00510CD7" w:rsidRDefault="0072612B" w:rsidP="009A12F5">
      <w:pPr>
        <w:pStyle w:val="ListParagraph"/>
        <w:numPr>
          <w:ilvl w:val="0"/>
          <w:numId w:val="25"/>
        </w:numPr>
        <w:jc w:val="both"/>
      </w:pPr>
      <w:r>
        <w:t xml:space="preserve">Continue to demonstrate potential energy storage technologies at relevant scales, including hydrogen storage, thermal energy storage, and flow battery concepts to enable low-carbon storage with a sustainable life cycle. </w:t>
      </w:r>
    </w:p>
    <w:p w14:paraId="20DCFAF9" w14:textId="07446B82" w:rsidR="4E26FCA9" w:rsidRDefault="4E26FCA9" w:rsidP="4E26FCA9">
      <w:pPr>
        <w:pStyle w:val="ListParagraph"/>
        <w:jc w:val="both"/>
      </w:pPr>
    </w:p>
    <w:p w14:paraId="12EA4652" w14:textId="48E8FDF7" w:rsidR="0072612B" w:rsidRDefault="0072612B" w:rsidP="009A12F5">
      <w:pPr>
        <w:pStyle w:val="ListParagraph"/>
        <w:numPr>
          <w:ilvl w:val="0"/>
          <w:numId w:val="25"/>
        </w:numPr>
        <w:jc w:val="both"/>
      </w:pPr>
      <w:r>
        <w:t>Enhance System reliability and resilience while maintaining affordable energy to customers. This research includes a strategic focus on electromagnetic pulse (“EMP”)/geomagnetic disturbance (“GMD”) resiliency and driving efficiency and flexibility with digital applications. Work will focus on improving the ability for the grid to withstand and respond to major threats and extreme events from both man-made and natural domains. R&amp;D will leverage real-time digital simulation of power grid and network communications to develop alternative approaches to detect, and withstand, and respond to cyber-attack utilizing grid information. Additionally, to drive efficiency in power grid management, restoration, and security, R&amp;D will work to develop unmanned inspection technologies.</w:t>
      </w:r>
    </w:p>
    <w:p w14:paraId="6E09CE40" w14:textId="77777777" w:rsidR="00510CD7" w:rsidRDefault="00510CD7" w:rsidP="00510CD7">
      <w:pPr>
        <w:pStyle w:val="ListParagraph"/>
        <w:jc w:val="both"/>
      </w:pPr>
    </w:p>
    <w:p w14:paraId="75BED81E" w14:textId="69AC4A2F" w:rsidR="3A61C028" w:rsidRPr="007D10E5" w:rsidRDefault="3A61C028" w:rsidP="009A12F5">
      <w:pPr>
        <w:pStyle w:val="ListParagraph"/>
        <w:numPr>
          <w:ilvl w:val="0"/>
          <w:numId w:val="25"/>
        </w:numPr>
        <w:jc w:val="both"/>
      </w:pPr>
      <w:r w:rsidRPr="007D10E5">
        <w:t>Develop and demonstrate digital substation technologies that improve reliabi</w:t>
      </w:r>
      <w:r w:rsidR="007D10E5">
        <w:t>l</w:t>
      </w:r>
      <w:r w:rsidRPr="007D10E5">
        <w:t>ity and resiliency while lowering both capital cost and deployment time of new substations.</w:t>
      </w:r>
    </w:p>
    <w:p w14:paraId="2787EE24" w14:textId="0E6B2D10" w:rsidR="42D7DA61" w:rsidRDefault="42D7DA61" w:rsidP="42D7DA61">
      <w:pPr>
        <w:pStyle w:val="ListParagraph"/>
        <w:jc w:val="both"/>
      </w:pPr>
    </w:p>
    <w:p w14:paraId="409870CF" w14:textId="28B6EF9B" w:rsidR="0072612B" w:rsidRDefault="0072612B" w:rsidP="009A12F5">
      <w:pPr>
        <w:pStyle w:val="ListParagraph"/>
        <w:numPr>
          <w:ilvl w:val="0"/>
          <w:numId w:val="25"/>
        </w:numPr>
        <w:jc w:val="both"/>
      </w:pPr>
      <w:r>
        <w:t xml:space="preserve">Utilize grid data to enhance operational efficiencies by performing advanced analytics using machine learning combined with high powered simulation tools. Work will utilize data analytics and AI to predict, detect, and mitigate impending grid disturbances. R&amp;D will develop robust modeling and simulation techniques to address increased complexities on the grid that facilitate efficient analyses of offline and real-time scenarios including hardware-in-the-loop applications. Enhanced digital worker applications will be leveraged to address a rapidly changing workforce and increased regulatory and compliance </w:t>
      </w:r>
      <w:r>
        <w:lastRenderedPageBreak/>
        <w:t>requirements, while taking advantage of new all-digital design processes and their potential integration with digital substation. Finally, holistic power quality monitoring and automated data analysis will maintain superior power quality in the face of increasing grid complexity, delivering new insights and operational efficiencies.</w:t>
      </w:r>
    </w:p>
    <w:p w14:paraId="2801E66E" w14:textId="77777777" w:rsidR="00510CD7" w:rsidRDefault="00510CD7" w:rsidP="00510CD7">
      <w:pPr>
        <w:pStyle w:val="ListParagraph"/>
        <w:jc w:val="both"/>
      </w:pPr>
    </w:p>
    <w:p w14:paraId="332C97CE" w14:textId="599C4E7E" w:rsidR="0072612B" w:rsidRDefault="0072612B" w:rsidP="009A12F5">
      <w:pPr>
        <w:pStyle w:val="ListParagraph"/>
        <w:numPr>
          <w:ilvl w:val="0"/>
          <w:numId w:val="25"/>
        </w:numPr>
        <w:jc w:val="both"/>
      </w:pPr>
      <w:r>
        <w:t>Enable the necessary grid reliability and flexibility to accommodate changing generation sources and increasing electrification in a net-zero market. R&amp;D will support the development of multiple enabling technologies for deployment of DERMS platforms including power flow control devices, expanded fiber optic infrastructure for DER integration, and scalable communications systems for edge of grid awareness, advanced circuit protection to match the speed of inverter-based resources, and maintaining superior customer power quality in the presence of widespread inverter-based resources. These technologies will culminate in a System-level DERMS Pilot Demonstration.</w:t>
      </w:r>
    </w:p>
    <w:p w14:paraId="50C8952C" w14:textId="1F39EE35" w:rsidR="0072612B" w:rsidRDefault="0072612B" w:rsidP="00510CD7">
      <w:pPr>
        <w:jc w:val="both"/>
      </w:pPr>
      <w:r w:rsidRPr="00510CD7">
        <w:rPr>
          <w:b/>
          <w:bCs/>
        </w:rPr>
        <w:t>Strategic Aspiration 3</w:t>
      </w:r>
      <w:r>
        <w:t>: Develop end use technologies that support expanding customer needs</w:t>
      </w:r>
      <w:r w:rsidR="004622A6">
        <w:t>.</w:t>
      </w:r>
    </w:p>
    <w:p w14:paraId="3A0FA2EF" w14:textId="17D30164" w:rsidR="0072612B" w:rsidRDefault="0072612B" w:rsidP="009A12F5">
      <w:pPr>
        <w:pStyle w:val="ListParagraph"/>
        <w:numPr>
          <w:ilvl w:val="0"/>
          <w:numId w:val="26"/>
        </w:numPr>
        <w:jc w:val="both"/>
      </w:pPr>
      <w:r>
        <w:t>Support the advancement of the transportation sector through decarbonization technologies, enabling infrastructure, and identification of new business opportunities. This work will focus on a broad range of vehicle platforms including light-duty passenger vehicles, medium- and heavy-duty vehicles, bus, forklift, and off-road applications. Work will examine and demonstrate enabling technologies for low-carbon transportation.</w:t>
      </w:r>
    </w:p>
    <w:p w14:paraId="224AE08A" w14:textId="77777777" w:rsidR="004622A6" w:rsidRDefault="004622A6" w:rsidP="007D10E5">
      <w:pPr>
        <w:pStyle w:val="ListParagraph"/>
        <w:jc w:val="both"/>
      </w:pPr>
    </w:p>
    <w:p w14:paraId="7F51987F" w14:textId="48531490" w:rsidR="00510CD7" w:rsidRPr="00325F55" w:rsidRDefault="512BFDEE" w:rsidP="009A12F5">
      <w:pPr>
        <w:pStyle w:val="ListParagraph"/>
        <w:numPr>
          <w:ilvl w:val="0"/>
          <w:numId w:val="26"/>
        </w:numPr>
        <w:jc w:val="both"/>
      </w:pPr>
      <w:r w:rsidRPr="00325F55">
        <w:t>Develop key technologies to leverage load flexibility allowing for improved planning, demand-side management, and peak load reduction. These technologies include energy efficiency, advanced load controls, and load aggregation methodologies.</w:t>
      </w:r>
    </w:p>
    <w:p w14:paraId="62FB112A" w14:textId="1C83ABA2" w:rsidR="00510CD7" w:rsidRDefault="00510CD7" w:rsidP="00510CD7">
      <w:pPr>
        <w:pStyle w:val="ListParagraph"/>
        <w:jc w:val="both"/>
      </w:pPr>
    </w:p>
    <w:p w14:paraId="33048A09" w14:textId="6E7890F8" w:rsidR="0072612B" w:rsidRDefault="0072612B" w:rsidP="009A12F5">
      <w:pPr>
        <w:pStyle w:val="ListParagraph"/>
        <w:numPr>
          <w:ilvl w:val="0"/>
          <w:numId w:val="26"/>
        </w:numPr>
        <w:jc w:val="both"/>
      </w:pPr>
      <w:r>
        <w:t>Support customer needs for sustainability and resiliency through industrial process solutions. This research area will develop industrial sector decarbonization strategies and roadmaps for industrial customers. Technology focus areas will include zero-carbon energy carriers, process heat technologies, and technologies to retrofit heavy-emitting industry sectors.</w:t>
      </w:r>
    </w:p>
    <w:p w14:paraId="6EDEDB47" w14:textId="77777777" w:rsidR="00510CD7" w:rsidRDefault="00510CD7" w:rsidP="00510CD7">
      <w:pPr>
        <w:pStyle w:val="ListParagraph"/>
        <w:jc w:val="both"/>
      </w:pPr>
    </w:p>
    <w:p w14:paraId="6812F24B" w14:textId="163939E6" w:rsidR="0072612B" w:rsidRDefault="0072612B" w:rsidP="009A12F5">
      <w:pPr>
        <w:pStyle w:val="ListParagraph"/>
        <w:numPr>
          <w:ilvl w:val="0"/>
          <w:numId w:val="26"/>
        </w:numPr>
        <w:jc w:val="both"/>
      </w:pPr>
      <w:r>
        <w:t>Perform assessment and opportunity analysis of large data analytics technologies and applications. Work will leverage advanced data analytics, AI and Machine Intelligence, for insight into customer needs to advance customer targeting, energy efficiency, and other business objectives. A holistic value assessment will be developed, utilizing internal and external data repositories to identify compelling use cases.</w:t>
      </w:r>
    </w:p>
    <w:p w14:paraId="39E6073B" w14:textId="239B26CD" w:rsidR="0072612B" w:rsidRDefault="0072612B" w:rsidP="00510CD7">
      <w:pPr>
        <w:jc w:val="both"/>
      </w:pPr>
      <w:r w:rsidRPr="00510CD7">
        <w:rPr>
          <w:b/>
          <w:bCs/>
        </w:rPr>
        <w:t>Strategic Aspiration 4</w:t>
      </w:r>
      <w:r>
        <w:t>: Advance the existing generating fleet through minimizing cost and improving efficiency</w:t>
      </w:r>
      <w:r w:rsidR="004622A6">
        <w:t>.</w:t>
      </w:r>
    </w:p>
    <w:p w14:paraId="48B0300F" w14:textId="4D9EA75B" w:rsidR="0072612B" w:rsidRDefault="0072612B" w:rsidP="009A12F5">
      <w:pPr>
        <w:pStyle w:val="ListParagraph"/>
        <w:numPr>
          <w:ilvl w:val="0"/>
          <w:numId w:val="27"/>
        </w:numPr>
        <w:jc w:val="both"/>
      </w:pPr>
      <w:r>
        <w:t xml:space="preserve">Develop solutions to address environmental risks and look for business development opportunities in the process. This research will focus on improving and developing economical and technically viable solutions to support groundwater corrective action requirements associated with ash pond closures, water treatment requirements associated </w:t>
      </w:r>
      <w:r>
        <w:lastRenderedPageBreak/>
        <w:t>with ash pond closures and ELG compliance, and advancements in water conservation technologies that can be employed at Company facilities.</w:t>
      </w:r>
    </w:p>
    <w:p w14:paraId="098172BE" w14:textId="77777777" w:rsidR="00510CD7" w:rsidRDefault="00510CD7" w:rsidP="00510CD7">
      <w:pPr>
        <w:pStyle w:val="ListParagraph"/>
        <w:jc w:val="both"/>
      </w:pPr>
    </w:p>
    <w:p w14:paraId="2A30902F" w14:textId="231576F6" w:rsidR="0072612B" w:rsidRDefault="0072612B" w:rsidP="009A12F5">
      <w:pPr>
        <w:pStyle w:val="ListParagraph"/>
        <w:numPr>
          <w:ilvl w:val="0"/>
          <w:numId w:val="27"/>
        </w:numPr>
        <w:jc w:val="both"/>
      </w:pPr>
      <w:r>
        <w:t>Research the development of technologies to increase the overall amount of CCRs harvested from ponds for beneficial use projects, as well as development of specific beneficial use projects, such as separation of rare earth elements from CCRs.</w:t>
      </w:r>
    </w:p>
    <w:p w14:paraId="2CBF8EC9" w14:textId="77777777" w:rsidR="00510CD7" w:rsidRDefault="00510CD7" w:rsidP="00510CD7">
      <w:pPr>
        <w:pStyle w:val="ListParagraph"/>
        <w:jc w:val="both"/>
      </w:pPr>
    </w:p>
    <w:p w14:paraId="241821A9" w14:textId="2F59DF78" w:rsidR="0072612B" w:rsidRDefault="0072612B" w:rsidP="009A12F5">
      <w:pPr>
        <w:pStyle w:val="ListParagraph"/>
        <w:numPr>
          <w:ilvl w:val="0"/>
          <w:numId w:val="27"/>
        </w:numPr>
        <w:jc w:val="both"/>
      </w:pPr>
      <w:r>
        <w:t xml:space="preserve">Develop cross-cutting technologies that will lead to a reduction in O&amp;M, an increase in flexibility, and/or an increase in resiliency in the transforming fleet. R&amp;D will work to fully demonstrate a digital plant concept leading to development of Advanced Controls and AI, allowing </w:t>
      </w:r>
      <w:r w:rsidR="00EF04DE">
        <w:t xml:space="preserve">gas </w:t>
      </w:r>
      <w:r>
        <w:t>plants to reduce work force and transition to almost complete conditioned based maintenance.</w:t>
      </w:r>
    </w:p>
    <w:p w14:paraId="2DDABB8C" w14:textId="6E39A158" w:rsidR="0067506E" w:rsidRDefault="0067506E" w:rsidP="007D10E5">
      <w:pPr>
        <w:jc w:val="both"/>
      </w:pPr>
    </w:p>
    <w:p w14:paraId="023EFA1B" w14:textId="15B89720" w:rsidR="006D3216" w:rsidRDefault="006D3216">
      <w:r>
        <w:br w:type="page"/>
      </w:r>
    </w:p>
    <w:p w14:paraId="658A7539" w14:textId="37F9DE8B" w:rsidR="006D3216" w:rsidRDefault="006D3216" w:rsidP="006D3216">
      <w:pPr>
        <w:pStyle w:val="Heading1"/>
      </w:pPr>
      <w:bookmarkStart w:id="112" w:name="_Toc189122825"/>
      <w:r>
        <w:lastRenderedPageBreak/>
        <w:t xml:space="preserve">Attachment </w:t>
      </w:r>
      <w:r w:rsidR="00352CA7">
        <w:t>I</w:t>
      </w:r>
      <w:r>
        <w:t xml:space="preserve"> </w:t>
      </w:r>
      <w:r w:rsidR="00D17BA6">
        <w:t>–</w:t>
      </w:r>
      <w:r>
        <w:t xml:space="preserve"> </w:t>
      </w:r>
      <w:r w:rsidR="00D17BA6">
        <w:t xml:space="preserve">Acronyms, Abbreviations, and </w:t>
      </w:r>
      <w:r w:rsidR="0025110C">
        <w:t>Terminology</w:t>
      </w:r>
      <w:bookmarkEnd w:id="112"/>
    </w:p>
    <w:tbl>
      <w:tblPr>
        <w:tblStyle w:val="TableGrid"/>
        <w:tblW w:w="9360" w:type="dxa"/>
        <w:tblLook w:val="04A0" w:firstRow="1" w:lastRow="0" w:firstColumn="1" w:lastColumn="0" w:noHBand="0" w:noVBand="1"/>
      </w:tblPr>
      <w:tblGrid>
        <w:gridCol w:w="2678"/>
        <w:gridCol w:w="6682"/>
      </w:tblGrid>
      <w:tr w:rsidR="00D90B59" w:rsidRPr="003E2A3E" w14:paraId="3F89B25F" w14:textId="77777777" w:rsidTr="002D2D20">
        <w:trPr>
          <w:trHeight w:val="302"/>
        </w:trPr>
        <w:tc>
          <w:tcPr>
            <w:tcW w:w="2678" w:type="dxa"/>
            <w:noWrap/>
            <w:vAlign w:val="center"/>
          </w:tcPr>
          <w:p w14:paraId="7ADDF70C" w14:textId="4FC01FD3" w:rsidR="00D90B59" w:rsidRPr="008D2457" w:rsidRDefault="00D90B59" w:rsidP="002D2D20">
            <w:pPr>
              <w:rPr>
                <w:rFonts w:asciiTheme="minorHAnsi" w:hAnsiTheme="minorHAnsi" w:cs="Arial"/>
                <w:b/>
                <w:bCs/>
                <w:sz w:val="22"/>
              </w:rPr>
            </w:pPr>
            <w:r w:rsidRPr="008D2457">
              <w:rPr>
                <w:rFonts w:asciiTheme="minorHAnsi" w:hAnsiTheme="minorHAnsi" w:cs="Arial"/>
                <w:b/>
                <w:bCs/>
                <w:sz w:val="22"/>
              </w:rPr>
              <w:t>111 GHG Rules</w:t>
            </w:r>
          </w:p>
        </w:tc>
        <w:tc>
          <w:tcPr>
            <w:tcW w:w="6682" w:type="dxa"/>
            <w:vAlign w:val="center"/>
          </w:tcPr>
          <w:p w14:paraId="305B744E" w14:textId="1065B43B" w:rsidR="00D90B59" w:rsidRPr="008D2457" w:rsidRDefault="00D90B59" w:rsidP="002D2D20">
            <w:pPr>
              <w:rPr>
                <w:rFonts w:asciiTheme="minorHAnsi" w:hAnsiTheme="minorHAnsi" w:cs="Arial"/>
                <w:sz w:val="22"/>
              </w:rPr>
            </w:pPr>
            <w:r w:rsidRPr="008D2457">
              <w:rPr>
                <w:rFonts w:asciiTheme="minorHAnsi" w:hAnsiTheme="minorHAnsi" w:cs="Arial"/>
                <w:sz w:val="22"/>
              </w:rPr>
              <w:t xml:space="preserve">EPA’s </w:t>
            </w:r>
            <w:r w:rsidR="008D2457" w:rsidRPr="008D2457">
              <w:rPr>
                <w:rFonts w:asciiTheme="minorHAnsi" w:hAnsiTheme="minorHAnsi" w:cs="Arial"/>
                <w:sz w:val="22"/>
              </w:rPr>
              <w:t>111 Greenhouse Gas Rules</w:t>
            </w:r>
          </w:p>
        </w:tc>
      </w:tr>
      <w:tr w:rsidR="00FD3E52" w:rsidRPr="003E2A3E" w14:paraId="4DA7874F" w14:textId="77777777" w:rsidTr="002D2D20">
        <w:trPr>
          <w:trHeight w:val="302"/>
        </w:trPr>
        <w:tc>
          <w:tcPr>
            <w:tcW w:w="2678" w:type="dxa"/>
            <w:noWrap/>
            <w:vAlign w:val="center"/>
          </w:tcPr>
          <w:p w14:paraId="6CDC6E07" w14:textId="61866E7F" w:rsidR="00FD3E52" w:rsidRPr="00FD3E52" w:rsidRDefault="00FD3E52" w:rsidP="002D2D20">
            <w:pPr>
              <w:rPr>
                <w:rFonts w:asciiTheme="minorHAnsi" w:hAnsiTheme="minorHAnsi" w:cs="Arial"/>
                <w:b/>
                <w:bCs/>
                <w:sz w:val="22"/>
              </w:rPr>
            </w:pPr>
            <w:r w:rsidRPr="00FD3E52">
              <w:rPr>
                <w:rFonts w:asciiTheme="minorHAnsi" w:hAnsiTheme="minorHAnsi" w:cs="Arial"/>
                <w:b/>
                <w:bCs/>
                <w:sz w:val="22"/>
              </w:rPr>
              <w:t>111-HG0</w:t>
            </w:r>
          </w:p>
        </w:tc>
        <w:tc>
          <w:tcPr>
            <w:tcW w:w="6682" w:type="dxa"/>
            <w:vAlign w:val="center"/>
          </w:tcPr>
          <w:p w14:paraId="5F7604EB" w14:textId="70E8D87C" w:rsidR="00FD3E52" w:rsidRPr="00FD3E52" w:rsidRDefault="00FD3E52" w:rsidP="002D2D20">
            <w:pPr>
              <w:rPr>
                <w:rFonts w:asciiTheme="minorHAnsi" w:hAnsiTheme="minorHAnsi" w:cs="Arial"/>
                <w:sz w:val="22"/>
              </w:rPr>
            </w:pPr>
            <w:r w:rsidRPr="00FD3E52">
              <w:rPr>
                <w:rFonts w:asciiTheme="minorHAnsi" w:hAnsiTheme="minorHAnsi" w:cs="Arial"/>
                <w:sz w:val="22"/>
              </w:rPr>
              <w:t>High gas, zero-dollar carbon with 111 GHG Rules</w:t>
            </w:r>
          </w:p>
        </w:tc>
      </w:tr>
      <w:tr w:rsidR="00F6516E" w:rsidRPr="003E2A3E" w14:paraId="693A247E" w14:textId="77777777" w:rsidTr="002D2D20">
        <w:trPr>
          <w:trHeight w:val="302"/>
        </w:trPr>
        <w:tc>
          <w:tcPr>
            <w:tcW w:w="2678" w:type="dxa"/>
            <w:noWrap/>
            <w:vAlign w:val="center"/>
          </w:tcPr>
          <w:p w14:paraId="62C71EA1" w14:textId="69E87973" w:rsidR="00F6516E" w:rsidRPr="00FD3E52" w:rsidRDefault="00F6516E" w:rsidP="002D2D20">
            <w:pPr>
              <w:rPr>
                <w:rFonts w:asciiTheme="minorHAnsi" w:hAnsiTheme="minorHAnsi" w:cs="Arial"/>
                <w:b/>
                <w:bCs/>
                <w:sz w:val="22"/>
              </w:rPr>
            </w:pPr>
            <w:r w:rsidRPr="00FD3E52">
              <w:rPr>
                <w:rFonts w:asciiTheme="minorHAnsi" w:hAnsiTheme="minorHAnsi" w:cs="Arial"/>
                <w:b/>
                <w:bCs/>
                <w:sz w:val="22"/>
              </w:rPr>
              <w:t>111-MG0</w:t>
            </w:r>
          </w:p>
        </w:tc>
        <w:tc>
          <w:tcPr>
            <w:tcW w:w="6682" w:type="dxa"/>
            <w:vAlign w:val="center"/>
          </w:tcPr>
          <w:p w14:paraId="0BEEF503" w14:textId="21CDF3C7" w:rsidR="00F6516E" w:rsidRPr="00FD3E52" w:rsidRDefault="00F6516E" w:rsidP="002D2D20">
            <w:pPr>
              <w:rPr>
                <w:rFonts w:asciiTheme="minorHAnsi" w:hAnsiTheme="minorHAnsi" w:cs="Arial"/>
                <w:sz w:val="22"/>
              </w:rPr>
            </w:pPr>
            <w:r w:rsidRPr="00FD3E52">
              <w:rPr>
                <w:rFonts w:asciiTheme="minorHAnsi" w:hAnsiTheme="minorHAnsi" w:cs="Arial"/>
                <w:sz w:val="22"/>
              </w:rPr>
              <w:t xml:space="preserve">Moderate gas, zero-dollar carbon with </w:t>
            </w:r>
            <w:r w:rsidR="002B454B" w:rsidRPr="00FD3E52">
              <w:rPr>
                <w:rFonts w:asciiTheme="minorHAnsi" w:hAnsiTheme="minorHAnsi" w:cs="Arial"/>
                <w:sz w:val="22"/>
              </w:rPr>
              <w:t>111 GHG Rules</w:t>
            </w:r>
          </w:p>
        </w:tc>
      </w:tr>
      <w:tr w:rsidR="002B454B" w:rsidRPr="003E2A3E" w14:paraId="41DF8B33" w14:textId="77777777" w:rsidTr="002D2D20">
        <w:trPr>
          <w:trHeight w:val="302"/>
        </w:trPr>
        <w:tc>
          <w:tcPr>
            <w:tcW w:w="2678" w:type="dxa"/>
            <w:noWrap/>
            <w:vAlign w:val="center"/>
          </w:tcPr>
          <w:p w14:paraId="346905F5" w14:textId="1CFBA4CA" w:rsidR="002B454B" w:rsidRPr="00FD3E52" w:rsidRDefault="00BB7966" w:rsidP="002D2D20">
            <w:pPr>
              <w:rPr>
                <w:rFonts w:asciiTheme="minorHAnsi" w:hAnsiTheme="minorHAnsi" w:cs="Arial"/>
                <w:b/>
                <w:bCs/>
                <w:sz w:val="22"/>
              </w:rPr>
            </w:pPr>
            <w:r w:rsidRPr="00FD3E52">
              <w:rPr>
                <w:rFonts w:asciiTheme="minorHAnsi" w:hAnsiTheme="minorHAnsi" w:cs="Arial"/>
                <w:b/>
                <w:bCs/>
                <w:sz w:val="22"/>
              </w:rPr>
              <w:t>111-MG50</w:t>
            </w:r>
          </w:p>
        </w:tc>
        <w:tc>
          <w:tcPr>
            <w:tcW w:w="6682" w:type="dxa"/>
            <w:vAlign w:val="center"/>
          </w:tcPr>
          <w:p w14:paraId="3C1662F8" w14:textId="52E917DC" w:rsidR="002B454B" w:rsidRPr="00FD3E52" w:rsidRDefault="00FD3E52" w:rsidP="002D2D20">
            <w:pPr>
              <w:rPr>
                <w:rFonts w:asciiTheme="minorHAnsi" w:hAnsiTheme="minorHAnsi" w:cs="Arial"/>
                <w:sz w:val="22"/>
              </w:rPr>
            </w:pPr>
            <w:r w:rsidRPr="00FD3E52">
              <w:rPr>
                <w:rFonts w:asciiTheme="minorHAnsi" w:hAnsiTheme="minorHAnsi" w:cs="Arial"/>
                <w:sz w:val="22"/>
              </w:rPr>
              <w:t>Moderate gas, zero-dollar carbon with 111 GHG Rules</w:t>
            </w:r>
          </w:p>
        </w:tc>
      </w:tr>
      <w:tr w:rsidR="003E2A3E" w:rsidRPr="003E2A3E" w14:paraId="274C9267" w14:textId="77777777" w:rsidTr="004911AE">
        <w:trPr>
          <w:trHeight w:val="570"/>
        </w:trPr>
        <w:tc>
          <w:tcPr>
            <w:tcW w:w="2678" w:type="dxa"/>
            <w:noWrap/>
            <w:vAlign w:val="center"/>
            <w:hideMark/>
          </w:tcPr>
          <w:p w14:paraId="4041D3AB" w14:textId="77777777" w:rsidR="00B10D4C" w:rsidRPr="003E2A3E" w:rsidRDefault="00B10D4C" w:rsidP="004911AE">
            <w:pPr>
              <w:rPr>
                <w:rFonts w:asciiTheme="minorHAnsi" w:hAnsiTheme="minorHAnsi" w:cs="Arial"/>
                <w:b/>
                <w:bCs/>
                <w:sz w:val="22"/>
              </w:rPr>
            </w:pPr>
            <w:r w:rsidRPr="003E2A3E">
              <w:rPr>
                <w:rFonts w:asciiTheme="minorHAnsi" w:hAnsiTheme="minorHAnsi" w:cs="Arial"/>
                <w:b/>
                <w:bCs/>
                <w:sz w:val="22"/>
              </w:rPr>
              <w:t>2019 IRP Order</w:t>
            </w:r>
          </w:p>
        </w:tc>
        <w:tc>
          <w:tcPr>
            <w:tcW w:w="6682" w:type="dxa"/>
            <w:vAlign w:val="center"/>
            <w:hideMark/>
          </w:tcPr>
          <w:p w14:paraId="38621F03" w14:textId="77777777" w:rsidR="00B10D4C" w:rsidRPr="003E2A3E" w:rsidRDefault="00B10D4C" w:rsidP="004A29E2">
            <w:pPr>
              <w:rPr>
                <w:rFonts w:asciiTheme="minorHAnsi" w:hAnsiTheme="minorHAnsi" w:cs="Arial"/>
                <w:sz w:val="22"/>
              </w:rPr>
            </w:pPr>
            <w:r w:rsidRPr="003E2A3E">
              <w:rPr>
                <w:rFonts w:asciiTheme="minorHAnsi" w:hAnsiTheme="minorHAnsi" w:cs="Arial"/>
                <w:sz w:val="22"/>
              </w:rPr>
              <w:t>Commission Order on July 29, 2019, approving the 2019 IRP with modifications</w:t>
            </w:r>
          </w:p>
        </w:tc>
      </w:tr>
      <w:tr w:rsidR="003E2A3E" w:rsidRPr="003E2A3E" w14:paraId="0A2C075E" w14:textId="77777777" w:rsidTr="004911AE">
        <w:trPr>
          <w:trHeight w:val="300"/>
        </w:trPr>
        <w:tc>
          <w:tcPr>
            <w:tcW w:w="2678" w:type="dxa"/>
            <w:noWrap/>
            <w:vAlign w:val="center"/>
          </w:tcPr>
          <w:p w14:paraId="59F5EA55" w14:textId="561999CD" w:rsidR="00406724" w:rsidRPr="003E2A3E" w:rsidRDefault="00406724" w:rsidP="004911AE">
            <w:pPr>
              <w:rPr>
                <w:rFonts w:asciiTheme="minorHAnsi" w:hAnsiTheme="minorHAnsi" w:cs="Arial"/>
                <w:b/>
                <w:bCs/>
                <w:sz w:val="22"/>
              </w:rPr>
            </w:pPr>
            <w:r w:rsidRPr="003E2A3E">
              <w:rPr>
                <w:rFonts w:asciiTheme="minorHAnsi" w:hAnsiTheme="minorHAnsi" w:cs="Arial"/>
                <w:b/>
                <w:bCs/>
                <w:sz w:val="22"/>
              </w:rPr>
              <w:t>2022 IRP Order</w:t>
            </w:r>
          </w:p>
        </w:tc>
        <w:tc>
          <w:tcPr>
            <w:tcW w:w="6682" w:type="dxa"/>
            <w:noWrap/>
            <w:vAlign w:val="center"/>
          </w:tcPr>
          <w:p w14:paraId="4A2BB783" w14:textId="085F2C3F" w:rsidR="00406724" w:rsidRPr="003E2A3E" w:rsidRDefault="00054FC1" w:rsidP="004A29E2">
            <w:pPr>
              <w:rPr>
                <w:rFonts w:asciiTheme="minorHAnsi" w:hAnsiTheme="minorHAnsi" w:cs="Arial"/>
                <w:sz w:val="22"/>
              </w:rPr>
            </w:pPr>
            <w:r w:rsidRPr="003E2A3E">
              <w:rPr>
                <w:rFonts w:asciiTheme="minorHAnsi" w:hAnsiTheme="minorHAnsi" w:cs="Arial"/>
                <w:sz w:val="22"/>
              </w:rPr>
              <w:t>Order Adopting Stipulation, Docket No. 44160 (July 29, 2022)</w:t>
            </w:r>
          </w:p>
        </w:tc>
      </w:tr>
      <w:tr w:rsidR="003E2A3E" w:rsidRPr="003E2A3E" w14:paraId="569BDEA4" w14:textId="77777777" w:rsidTr="004911AE">
        <w:trPr>
          <w:trHeight w:val="300"/>
        </w:trPr>
        <w:tc>
          <w:tcPr>
            <w:tcW w:w="2678" w:type="dxa"/>
            <w:noWrap/>
            <w:vAlign w:val="center"/>
          </w:tcPr>
          <w:p w14:paraId="7DF07CF6" w14:textId="693122AF" w:rsidR="00406724" w:rsidRPr="003E2A3E" w:rsidRDefault="00406724" w:rsidP="004911AE">
            <w:pPr>
              <w:rPr>
                <w:rFonts w:asciiTheme="minorHAnsi" w:hAnsiTheme="minorHAnsi" w:cs="Arial"/>
                <w:b/>
                <w:bCs/>
                <w:sz w:val="22"/>
              </w:rPr>
            </w:pPr>
            <w:r w:rsidRPr="003E2A3E">
              <w:rPr>
                <w:rFonts w:asciiTheme="minorHAnsi" w:hAnsiTheme="minorHAnsi" w:cs="Arial"/>
                <w:b/>
                <w:bCs/>
                <w:sz w:val="22"/>
              </w:rPr>
              <w:t>2022 Rate Case Order</w:t>
            </w:r>
          </w:p>
        </w:tc>
        <w:tc>
          <w:tcPr>
            <w:tcW w:w="6682" w:type="dxa"/>
            <w:noWrap/>
            <w:vAlign w:val="center"/>
          </w:tcPr>
          <w:p w14:paraId="0DF6F82F" w14:textId="55F90E76" w:rsidR="00406724" w:rsidRPr="003E2A3E" w:rsidRDefault="00054FC1" w:rsidP="004A29E2">
            <w:pPr>
              <w:rPr>
                <w:rFonts w:asciiTheme="minorHAnsi" w:hAnsiTheme="minorHAnsi" w:cs="Arial"/>
                <w:sz w:val="22"/>
              </w:rPr>
            </w:pPr>
            <w:r w:rsidRPr="003E2A3E">
              <w:rPr>
                <w:rFonts w:asciiTheme="minorHAnsi" w:hAnsiTheme="minorHAnsi" w:cs="Arial"/>
                <w:sz w:val="22"/>
              </w:rPr>
              <w:t>Order Adopting Settlement</w:t>
            </w:r>
            <w:r w:rsidR="00EC4D1B" w:rsidRPr="003E2A3E">
              <w:rPr>
                <w:rFonts w:asciiTheme="minorHAnsi" w:hAnsiTheme="minorHAnsi" w:cs="Arial"/>
                <w:sz w:val="22"/>
              </w:rPr>
              <w:t xml:space="preserve"> as Modified</w:t>
            </w:r>
            <w:r w:rsidRPr="003E2A3E">
              <w:rPr>
                <w:rFonts w:asciiTheme="minorHAnsi" w:hAnsiTheme="minorHAnsi" w:cs="Arial"/>
                <w:sz w:val="22"/>
              </w:rPr>
              <w:t xml:space="preserve">, Docket No. </w:t>
            </w:r>
            <w:r w:rsidR="00BD00F6" w:rsidRPr="003E2A3E">
              <w:rPr>
                <w:rFonts w:asciiTheme="minorHAnsi" w:hAnsiTheme="minorHAnsi" w:cs="Arial"/>
                <w:sz w:val="22"/>
              </w:rPr>
              <w:t>44280 (</w:t>
            </w:r>
            <w:r w:rsidR="00EC4D1B" w:rsidRPr="003E2A3E">
              <w:rPr>
                <w:rFonts w:asciiTheme="minorHAnsi" w:hAnsiTheme="minorHAnsi" w:cs="Arial"/>
                <w:sz w:val="22"/>
              </w:rPr>
              <w:t>December 30, 2022</w:t>
            </w:r>
            <w:r w:rsidR="00BD00F6" w:rsidRPr="003E2A3E">
              <w:rPr>
                <w:rFonts w:asciiTheme="minorHAnsi" w:hAnsiTheme="minorHAnsi" w:cs="Arial"/>
                <w:sz w:val="22"/>
              </w:rPr>
              <w:t>)</w:t>
            </w:r>
          </w:p>
        </w:tc>
      </w:tr>
      <w:tr w:rsidR="003E2A3E" w:rsidRPr="003E2A3E" w14:paraId="11E63A5F" w14:textId="77777777" w:rsidTr="004911AE">
        <w:trPr>
          <w:trHeight w:val="300"/>
        </w:trPr>
        <w:tc>
          <w:tcPr>
            <w:tcW w:w="2678" w:type="dxa"/>
            <w:noWrap/>
            <w:vAlign w:val="center"/>
          </w:tcPr>
          <w:p w14:paraId="0632D4A4" w14:textId="06E94EF6" w:rsidR="00E9567D" w:rsidRPr="003E2A3E" w:rsidRDefault="00E9567D" w:rsidP="004911AE">
            <w:pPr>
              <w:rPr>
                <w:rFonts w:asciiTheme="minorHAnsi" w:hAnsiTheme="minorHAnsi" w:cs="Arial"/>
                <w:b/>
                <w:bCs/>
                <w:sz w:val="22"/>
              </w:rPr>
            </w:pPr>
            <w:r w:rsidRPr="003E2A3E">
              <w:rPr>
                <w:rFonts w:asciiTheme="minorHAnsi" w:hAnsiTheme="minorHAnsi" w:cs="Arial"/>
                <w:b/>
                <w:bCs/>
                <w:sz w:val="22"/>
              </w:rPr>
              <w:t>2023 IRP Update Order</w:t>
            </w:r>
          </w:p>
        </w:tc>
        <w:tc>
          <w:tcPr>
            <w:tcW w:w="6682" w:type="dxa"/>
            <w:noWrap/>
            <w:vAlign w:val="center"/>
          </w:tcPr>
          <w:p w14:paraId="671453F8" w14:textId="36B3D666" w:rsidR="00E9567D" w:rsidRPr="003E2A3E" w:rsidRDefault="00E9567D" w:rsidP="004A29E2">
            <w:pPr>
              <w:rPr>
                <w:rFonts w:asciiTheme="minorHAnsi" w:hAnsiTheme="minorHAnsi" w:cs="Arial"/>
                <w:sz w:val="22"/>
              </w:rPr>
            </w:pPr>
            <w:r w:rsidRPr="003E2A3E">
              <w:rPr>
                <w:rFonts w:asciiTheme="minorHAnsi" w:hAnsiTheme="minorHAnsi" w:cs="Arial"/>
                <w:sz w:val="22"/>
              </w:rPr>
              <w:t>Order Adopting Stipulated Agreement, Docket No. 55378 (March 26, 2024)</w:t>
            </w:r>
          </w:p>
        </w:tc>
      </w:tr>
      <w:tr w:rsidR="003E2A3E" w:rsidRPr="003E2A3E" w14:paraId="2B631F6B" w14:textId="77777777" w:rsidTr="004911AE">
        <w:trPr>
          <w:trHeight w:val="300"/>
        </w:trPr>
        <w:tc>
          <w:tcPr>
            <w:tcW w:w="2678" w:type="dxa"/>
            <w:noWrap/>
            <w:vAlign w:val="center"/>
          </w:tcPr>
          <w:p w14:paraId="7BFD316E" w14:textId="5ECEAA57" w:rsidR="00BF3DCE" w:rsidRPr="003E2A3E" w:rsidRDefault="00BF3DCE" w:rsidP="004911AE">
            <w:pPr>
              <w:rPr>
                <w:rFonts w:asciiTheme="minorHAnsi" w:hAnsiTheme="minorHAnsi" w:cs="Arial"/>
                <w:b/>
                <w:sz w:val="22"/>
              </w:rPr>
            </w:pPr>
            <w:r w:rsidRPr="003E2A3E">
              <w:rPr>
                <w:rFonts w:asciiTheme="minorHAnsi" w:hAnsiTheme="minorHAnsi" w:cs="Arial"/>
                <w:b/>
                <w:sz w:val="22"/>
              </w:rPr>
              <w:t>2025 DSM Application</w:t>
            </w:r>
          </w:p>
        </w:tc>
        <w:tc>
          <w:tcPr>
            <w:tcW w:w="6682" w:type="dxa"/>
            <w:noWrap/>
            <w:vAlign w:val="center"/>
          </w:tcPr>
          <w:p w14:paraId="3B5E4AAA" w14:textId="652EB3EA" w:rsidR="00BF3DCE" w:rsidRPr="003E2A3E" w:rsidRDefault="00AA0CDC" w:rsidP="004A29E2">
            <w:pPr>
              <w:rPr>
                <w:rFonts w:asciiTheme="minorHAnsi" w:hAnsiTheme="minorHAnsi" w:cs="Arial"/>
                <w:sz w:val="22"/>
              </w:rPr>
            </w:pPr>
            <w:r w:rsidRPr="003E2A3E">
              <w:rPr>
                <w:rFonts w:asciiTheme="minorHAnsi" w:hAnsiTheme="minorHAnsi" w:cs="Arial"/>
                <w:sz w:val="22"/>
              </w:rPr>
              <w:t>Application for the Certification, Decertification, and Amended Demand-Side Management Plan, Docket No. 56003</w:t>
            </w:r>
          </w:p>
        </w:tc>
      </w:tr>
      <w:tr w:rsidR="003E2A3E" w:rsidRPr="003E2A3E" w14:paraId="25865E3D" w14:textId="77777777" w:rsidTr="004911AE">
        <w:trPr>
          <w:trHeight w:val="300"/>
        </w:trPr>
        <w:tc>
          <w:tcPr>
            <w:tcW w:w="2678" w:type="dxa"/>
            <w:noWrap/>
            <w:vAlign w:val="center"/>
          </w:tcPr>
          <w:p w14:paraId="61396A2C" w14:textId="7FA1DD36" w:rsidR="00406724" w:rsidRPr="003E2A3E" w:rsidRDefault="00406724" w:rsidP="004911AE">
            <w:pPr>
              <w:rPr>
                <w:rFonts w:asciiTheme="minorHAnsi" w:hAnsiTheme="minorHAnsi" w:cs="Arial"/>
                <w:b/>
                <w:bCs/>
                <w:sz w:val="22"/>
              </w:rPr>
            </w:pPr>
            <w:r w:rsidRPr="003E2A3E">
              <w:rPr>
                <w:rFonts w:asciiTheme="minorHAnsi" w:hAnsiTheme="minorHAnsi" w:cs="Arial"/>
                <w:b/>
                <w:bCs/>
                <w:sz w:val="22"/>
              </w:rPr>
              <w:t>AAR</w:t>
            </w:r>
          </w:p>
        </w:tc>
        <w:tc>
          <w:tcPr>
            <w:tcW w:w="6682" w:type="dxa"/>
            <w:noWrap/>
            <w:vAlign w:val="center"/>
          </w:tcPr>
          <w:p w14:paraId="72AB025B" w14:textId="47D711FD" w:rsidR="00406724" w:rsidRPr="003E2A3E" w:rsidRDefault="00406724" w:rsidP="004A29E2">
            <w:pPr>
              <w:rPr>
                <w:rFonts w:asciiTheme="minorHAnsi" w:hAnsiTheme="minorHAnsi"/>
                <w:sz w:val="22"/>
              </w:rPr>
            </w:pPr>
            <w:r w:rsidRPr="003E2A3E">
              <w:rPr>
                <w:rFonts w:asciiTheme="minorHAnsi" w:hAnsiTheme="minorHAnsi" w:cs="Arial"/>
                <w:sz w:val="22"/>
              </w:rPr>
              <w:t>Ambient-Adjusted Rating</w:t>
            </w:r>
          </w:p>
        </w:tc>
      </w:tr>
      <w:tr w:rsidR="003E2A3E" w:rsidRPr="003E2A3E" w14:paraId="073C19E9" w14:textId="77777777" w:rsidTr="004911AE">
        <w:trPr>
          <w:trHeight w:val="300"/>
        </w:trPr>
        <w:tc>
          <w:tcPr>
            <w:tcW w:w="2678" w:type="dxa"/>
            <w:noWrap/>
            <w:vAlign w:val="center"/>
          </w:tcPr>
          <w:p w14:paraId="6F4574F4" w14:textId="38C953D9" w:rsidR="00406724" w:rsidRPr="003E2A3E" w:rsidRDefault="00406724" w:rsidP="004911AE">
            <w:pPr>
              <w:rPr>
                <w:rFonts w:asciiTheme="minorHAnsi" w:hAnsiTheme="minorHAnsi" w:cs="Arial"/>
                <w:b/>
                <w:bCs/>
                <w:sz w:val="22"/>
              </w:rPr>
            </w:pPr>
            <w:r w:rsidRPr="003E2A3E">
              <w:rPr>
                <w:rFonts w:asciiTheme="minorHAnsi" w:hAnsiTheme="minorHAnsi" w:cs="Arial"/>
                <w:b/>
                <w:bCs/>
                <w:sz w:val="22"/>
              </w:rPr>
              <w:t>AC</w:t>
            </w:r>
          </w:p>
        </w:tc>
        <w:tc>
          <w:tcPr>
            <w:tcW w:w="6682" w:type="dxa"/>
            <w:noWrap/>
            <w:vAlign w:val="center"/>
          </w:tcPr>
          <w:p w14:paraId="56A4B18C" w14:textId="547D9095" w:rsidR="00406724" w:rsidRPr="003E2A3E" w:rsidRDefault="00406724" w:rsidP="004A29E2">
            <w:pPr>
              <w:rPr>
                <w:rFonts w:asciiTheme="minorHAnsi" w:hAnsiTheme="minorHAnsi" w:cs="Arial"/>
                <w:sz w:val="22"/>
              </w:rPr>
            </w:pPr>
            <w:r w:rsidRPr="003E2A3E">
              <w:rPr>
                <w:rFonts w:asciiTheme="minorHAnsi" w:hAnsiTheme="minorHAnsi" w:cs="Arial"/>
                <w:sz w:val="22"/>
              </w:rPr>
              <w:t>Alternating Current</w:t>
            </w:r>
          </w:p>
        </w:tc>
      </w:tr>
      <w:tr w:rsidR="003E2A3E" w:rsidRPr="003E2A3E" w14:paraId="347CF318" w14:textId="77777777" w:rsidTr="004911AE">
        <w:trPr>
          <w:trHeight w:val="300"/>
        </w:trPr>
        <w:tc>
          <w:tcPr>
            <w:tcW w:w="2678" w:type="dxa"/>
            <w:noWrap/>
            <w:vAlign w:val="center"/>
            <w:hideMark/>
          </w:tcPr>
          <w:p w14:paraId="243C2A77" w14:textId="77777777" w:rsidR="00B10D4C" w:rsidRPr="003E2A3E" w:rsidRDefault="00B10D4C" w:rsidP="004911AE">
            <w:pPr>
              <w:rPr>
                <w:rFonts w:asciiTheme="minorHAnsi" w:hAnsiTheme="minorHAnsi" w:cs="Arial"/>
                <w:b/>
                <w:bCs/>
                <w:sz w:val="22"/>
              </w:rPr>
            </w:pPr>
            <w:r w:rsidRPr="003E2A3E">
              <w:rPr>
                <w:rFonts w:asciiTheme="minorHAnsi" w:hAnsiTheme="minorHAnsi" w:cs="Arial"/>
                <w:b/>
                <w:bCs/>
                <w:sz w:val="22"/>
              </w:rPr>
              <w:t>AEO</w:t>
            </w:r>
          </w:p>
        </w:tc>
        <w:tc>
          <w:tcPr>
            <w:tcW w:w="6682" w:type="dxa"/>
            <w:noWrap/>
            <w:vAlign w:val="center"/>
            <w:hideMark/>
          </w:tcPr>
          <w:p w14:paraId="3335DD70" w14:textId="77777777" w:rsidR="00B10D4C" w:rsidRPr="003E2A3E" w:rsidRDefault="00B10D4C" w:rsidP="004A29E2">
            <w:pPr>
              <w:rPr>
                <w:rFonts w:asciiTheme="minorHAnsi" w:hAnsiTheme="minorHAnsi" w:cs="Arial"/>
                <w:sz w:val="22"/>
              </w:rPr>
            </w:pPr>
            <w:r w:rsidRPr="003E2A3E">
              <w:rPr>
                <w:rFonts w:asciiTheme="minorHAnsi" w:hAnsiTheme="minorHAnsi" w:cs="Arial"/>
                <w:sz w:val="22"/>
              </w:rPr>
              <w:t>Annual Energy Outlook</w:t>
            </w:r>
          </w:p>
        </w:tc>
      </w:tr>
      <w:tr w:rsidR="003E2A3E" w:rsidRPr="003E2A3E" w14:paraId="35FFF1B8" w14:textId="77777777" w:rsidTr="004911AE">
        <w:trPr>
          <w:trHeight w:val="300"/>
        </w:trPr>
        <w:tc>
          <w:tcPr>
            <w:tcW w:w="2678" w:type="dxa"/>
            <w:noWrap/>
            <w:vAlign w:val="center"/>
            <w:hideMark/>
          </w:tcPr>
          <w:p w14:paraId="3886BEA7" w14:textId="77777777" w:rsidR="00B10D4C" w:rsidRPr="003E2A3E" w:rsidRDefault="00B10D4C" w:rsidP="004911AE">
            <w:pPr>
              <w:rPr>
                <w:rFonts w:asciiTheme="minorHAnsi" w:hAnsiTheme="minorHAnsi" w:cs="Arial"/>
                <w:b/>
                <w:bCs/>
                <w:sz w:val="22"/>
              </w:rPr>
            </w:pPr>
            <w:r w:rsidRPr="003E2A3E">
              <w:rPr>
                <w:rFonts w:asciiTheme="minorHAnsi" w:hAnsiTheme="minorHAnsi" w:cs="Arial"/>
                <w:b/>
                <w:bCs/>
                <w:sz w:val="22"/>
              </w:rPr>
              <w:t>AFB</w:t>
            </w:r>
          </w:p>
        </w:tc>
        <w:tc>
          <w:tcPr>
            <w:tcW w:w="6682" w:type="dxa"/>
            <w:noWrap/>
            <w:vAlign w:val="center"/>
            <w:hideMark/>
          </w:tcPr>
          <w:p w14:paraId="244CEBD4" w14:textId="77777777" w:rsidR="00B10D4C" w:rsidRPr="003E2A3E" w:rsidRDefault="00B10D4C" w:rsidP="004A29E2">
            <w:pPr>
              <w:rPr>
                <w:rFonts w:asciiTheme="minorHAnsi" w:hAnsiTheme="minorHAnsi" w:cs="Arial"/>
                <w:sz w:val="22"/>
              </w:rPr>
            </w:pPr>
            <w:r w:rsidRPr="003E2A3E">
              <w:rPr>
                <w:rFonts w:asciiTheme="minorHAnsi" w:hAnsiTheme="minorHAnsi" w:cs="Arial"/>
                <w:sz w:val="22"/>
              </w:rPr>
              <w:t>Air Force Base</w:t>
            </w:r>
          </w:p>
        </w:tc>
      </w:tr>
      <w:tr w:rsidR="003E2A3E" w:rsidRPr="003E2A3E" w14:paraId="696EAB55" w14:textId="77777777" w:rsidTr="004911AE">
        <w:trPr>
          <w:trHeight w:val="300"/>
        </w:trPr>
        <w:tc>
          <w:tcPr>
            <w:tcW w:w="2678" w:type="dxa"/>
            <w:noWrap/>
            <w:vAlign w:val="center"/>
            <w:hideMark/>
          </w:tcPr>
          <w:p w14:paraId="47DB27D4" w14:textId="77777777" w:rsidR="00B10D4C" w:rsidRPr="003E2A3E" w:rsidRDefault="00B10D4C" w:rsidP="004911AE">
            <w:pPr>
              <w:rPr>
                <w:rFonts w:asciiTheme="minorHAnsi" w:hAnsiTheme="minorHAnsi" w:cs="Arial"/>
                <w:b/>
                <w:bCs/>
                <w:sz w:val="22"/>
              </w:rPr>
            </w:pPr>
            <w:r w:rsidRPr="003E2A3E">
              <w:rPr>
                <w:rFonts w:asciiTheme="minorHAnsi" w:hAnsiTheme="minorHAnsi" w:cs="Arial"/>
                <w:b/>
                <w:bCs/>
                <w:sz w:val="22"/>
              </w:rPr>
              <w:t>AI</w:t>
            </w:r>
          </w:p>
        </w:tc>
        <w:tc>
          <w:tcPr>
            <w:tcW w:w="6682" w:type="dxa"/>
            <w:noWrap/>
            <w:vAlign w:val="center"/>
            <w:hideMark/>
          </w:tcPr>
          <w:p w14:paraId="3D93C80F" w14:textId="77777777" w:rsidR="00B10D4C" w:rsidRPr="003E2A3E" w:rsidRDefault="00B10D4C" w:rsidP="004A29E2">
            <w:pPr>
              <w:rPr>
                <w:rFonts w:asciiTheme="minorHAnsi" w:hAnsiTheme="minorHAnsi" w:cs="Arial"/>
                <w:sz w:val="22"/>
              </w:rPr>
            </w:pPr>
            <w:r w:rsidRPr="003E2A3E">
              <w:rPr>
                <w:rFonts w:asciiTheme="minorHAnsi" w:hAnsiTheme="minorHAnsi" w:cs="Arial"/>
                <w:sz w:val="22"/>
              </w:rPr>
              <w:t>Artificial Intelligence</w:t>
            </w:r>
          </w:p>
        </w:tc>
      </w:tr>
      <w:tr w:rsidR="003E2A3E" w:rsidRPr="003E2A3E" w14:paraId="6DFF06A2" w14:textId="77777777" w:rsidTr="004911AE">
        <w:trPr>
          <w:trHeight w:val="300"/>
        </w:trPr>
        <w:tc>
          <w:tcPr>
            <w:tcW w:w="2678" w:type="dxa"/>
            <w:noWrap/>
            <w:vAlign w:val="center"/>
            <w:hideMark/>
          </w:tcPr>
          <w:p w14:paraId="55AFCB72" w14:textId="77777777" w:rsidR="00B10D4C" w:rsidRPr="003E2A3E" w:rsidRDefault="00B10D4C" w:rsidP="004911AE">
            <w:pPr>
              <w:rPr>
                <w:rFonts w:asciiTheme="minorHAnsi" w:hAnsiTheme="minorHAnsi" w:cs="Arial"/>
                <w:b/>
                <w:bCs/>
                <w:sz w:val="22"/>
              </w:rPr>
            </w:pPr>
            <w:r w:rsidRPr="003E2A3E">
              <w:rPr>
                <w:rFonts w:asciiTheme="minorHAnsi" w:hAnsiTheme="minorHAnsi" w:cs="Arial"/>
                <w:b/>
                <w:bCs/>
                <w:sz w:val="22"/>
              </w:rPr>
              <w:t>APC</w:t>
            </w:r>
          </w:p>
        </w:tc>
        <w:tc>
          <w:tcPr>
            <w:tcW w:w="6682" w:type="dxa"/>
            <w:noWrap/>
            <w:vAlign w:val="center"/>
            <w:hideMark/>
          </w:tcPr>
          <w:p w14:paraId="541CC003" w14:textId="77777777" w:rsidR="00B10D4C" w:rsidRPr="003E2A3E" w:rsidRDefault="00B10D4C" w:rsidP="004A29E2">
            <w:pPr>
              <w:rPr>
                <w:rFonts w:asciiTheme="minorHAnsi" w:hAnsiTheme="minorHAnsi" w:cs="Arial"/>
                <w:sz w:val="22"/>
              </w:rPr>
            </w:pPr>
            <w:r w:rsidRPr="003E2A3E">
              <w:rPr>
                <w:rFonts w:asciiTheme="minorHAnsi" w:hAnsiTheme="minorHAnsi" w:cs="Arial"/>
                <w:sz w:val="22"/>
              </w:rPr>
              <w:t>Alabama Power Company</w:t>
            </w:r>
          </w:p>
        </w:tc>
      </w:tr>
      <w:tr w:rsidR="003E2A3E" w:rsidRPr="003E2A3E" w14:paraId="31A75D32" w14:textId="77777777" w:rsidTr="004911AE">
        <w:trPr>
          <w:trHeight w:val="300"/>
        </w:trPr>
        <w:tc>
          <w:tcPr>
            <w:tcW w:w="2678" w:type="dxa"/>
            <w:noWrap/>
            <w:vAlign w:val="center"/>
            <w:hideMark/>
          </w:tcPr>
          <w:p w14:paraId="204AA7A9" w14:textId="77777777" w:rsidR="00B10D4C" w:rsidRPr="003E2A3E" w:rsidRDefault="00B10D4C" w:rsidP="004911AE">
            <w:pPr>
              <w:rPr>
                <w:rFonts w:asciiTheme="minorHAnsi" w:hAnsiTheme="minorHAnsi" w:cs="Arial"/>
                <w:b/>
                <w:bCs/>
                <w:sz w:val="22"/>
              </w:rPr>
            </w:pPr>
            <w:r w:rsidRPr="003E2A3E">
              <w:rPr>
                <w:rFonts w:asciiTheme="minorHAnsi" w:hAnsiTheme="minorHAnsi" w:cs="Arial"/>
                <w:b/>
                <w:bCs/>
                <w:sz w:val="22"/>
              </w:rPr>
              <w:t>ARO</w:t>
            </w:r>
          </w:p>
        </w:tc>
        <w:tc>
          <w:tcPr>
            <w:tcW w:w="6682" w:type="dxa"/>
            <w:noWrap/>
            <w:vAlign w:val="center"/>
            <w:hideMark/>
          </w:tcPr>
          <w:p w14:paraId="6B0ECBA5" w14:textId="77777777" w:rsidR="00B10D4C" w:rsidRPr="003E2A3E" w:rsidRDefault="00B10D4C" w:rsidP="004A29E2">
            <w:pPr>
              <w:rPr>
                <w:rFonts w:asciiTheme="minorHAnsi" w:hAnsiTheme="minorHAnsi" w:cs="Arial"/>
                <w:sz w:val="22"/>
              </w:rPr>
            </w:pPr>
            <w:r w:rsidRPr="003E2A3E">
              <w:rPr>
                <w:rFonts w:asciiTheme="minorHAnsi" w:hAnsiTheme="minorHAnsi" w:cs="Arial"/>
                <w:sz w:val="22"/>
              </w:rPr>
              <w:t>Asset Retirement Obligation</w:t>
            </w:r>
          </w:p>
        </w:tc>
      </w:tr>
      <w:tr w:rsidR="003E2A3E" w:rsidRPr="003E2A3E" w14:paraId="48F2799F" w14:textId="77777777" w:rsidTr="004911AE">
        <w:trPr>
          <w:trHeight w:val="300"/>
        </w:trPr>
        <w:tc>
          <w:tcPr>
            <w:tcW w:w="2678" w:type="dxa"/>
            <w:noWrap/>
            <w:vAlign w:val="center"/>
          </w:tcPr>
          <w:p w14:paraId="7CAF2280" w14:textId="51837C6A" w:rsidR="00B10D4C" w:rsidRPr="003E2A3E" w:rsidRDefault="00F10A0E" w:rsidP="004911AE">
            <w:pPr>
              <w:rPr>
                <w:rFonts w:asciiTheme="minorHAnsi" w:hAnsiTheme="minorHAnsi" w:cs="Arial"/>
                <w:b/>
                <w:bCs/>
                <w:sz w:val="22"/>
              </w:rPr>
            </w:pPr>
            <w:r w:rsidRPr="003E2A3E">
              <w:rPr>
                <w:rFonts w:asciiTheme="minorHAnsi" w:hAnsiTheme="minorHAnsi" w:cs="Arial"/>
                <w:b/>
                <w:bCs/>
                <w:sz w:val="22"/>
              </w:rPr>
              <w:t>Aurora</w:t>
            </w:r>
          </w:p>
        </w:tc>
        <w:tc>
          <w:tcPr>
            <w:tcW w:w="6682" w:type="dxa"/>
            <w:noWrap/>
            <w:vAlign w:val="center"/>
          </w:tcPr>
          <w:p w14:paraId="65CB7272" w14:textId="52B69438" w:rsidR="00B10D4C" w:rsidRPr="003E2A3E" w:rsidRDefault="00AC73BA" w:rsidP="004A29E2">
            <w:pPr>
              <w:rPr>
                <w:rFonts w:asciiTheme="minorHAnsi" w:hAnsiTheme="minorHAnsi" w:cs="Arial"/>
                <w:sz w:val="22"/>
              </w:rPr>
            </w:pPr>
            <w:r w:rsidRPr="003E2A3E">
              <w:rPr>
                <w:rFonts w:asciiTheme="minorHAnsi" w:hAnsiTheme="minorHAnsi" w:cs="Arial"/>
                <w:sz w:val="22"/>
              </w:rPr>
              <w:t xml:space="preserve">Capacity expansion and production cost model. </w:t>
            </w:r>
            <w:r w:rsidR="00B10D4C" w:rsidRPr="003E2A3E">
              <w:rPr>
                <w:rFonts w:asciiTheme="minorHAnsi" w:hAnsiTheme="minorHAnsi" w:cs="Arial"/>
                <w:sz w:val="22"/>
              </w:rPr>
              <w:t>See model description in</w:t>
            </w:r>
            <w:r w:rsidR="00B916B4">
              <w:rPr>
                <w:rFonts w:asciiTheme="minorHAnsi" w:hAnsiTheme="minorHAnsi" w:cs="Arial"/>
                <w:sz w:val="22"/>
              </w:rPr>
              <w:t xml:space="preserve"> E.3.1</w:t>
            </w:r>
            <w:r w:rsidR="00B471B7">
              <w:rPr>
                <w:rFonts w:asciiTheme="minorHAnsi" w:hAnsiTheme="minorHAnsi" w:cs="Arial"/>
                <w:sz w:val="22"/>
              </w:rPr>
              <w:t>.</w:t>
            </w:r>
          </w:p>
        </w:tc>
      </w:tr>
      <w:tr w:rsidR="003E2A3E" w:rsidRPr="003E2A3E" w14:paraId="11CBD252" w14:textId="77777777" w:rsidTr="004911AE">
        <w:trPr>
          <w:trHeight w:val="300"/>
        </w:trPr>
        <w:tc>
          <w:tcPr>
            <w:tcW w:w="2678" w:type="dxa"/>
            <w:noWrap/>
            <w:vAlign w:val="center"/>
            <w:hideMark/>
          </w:tcPr>
          <w:p w14:paraId="4023C32C" w14:textId="44D8FD10" w:rsidR="00B10D4C" w:rsidRPr="003E2A3E" w:rsidRDefault="00B10D4C" w:rsidP="004911AE">
            <w:pPr>
              <w:rPr>
                <w:rFonts w:asciiTheme="minorHAnsi" w:hAnsiTheme="minorHAnsi" w:cs="Arial"/>
                <w:b/>
                <w:bCs/>
                <w:sz w:val="22"/>
              </w:rPr>
            </w:pPr>
            <w:r w:rsidRPr="003E2A3E">
              <w:rPr>
                <w:rFonts w:asciiTheme="minorHAnsi" w:hAnsiTheme="minorHAnsi" w:cs="Arial"/>
                <w:b/>
                <w:bCs/>
                <w:sz w:val="22"/>
              </w:rPr>
              <w:t>B2</w:t>
            </w:r>
            <w:r w:rsidR="00CA1F0E" w:rsidRPr="003E2A3E">
              <w:rPr>
                <w:rFonts w:asciiTheme="minorHAnsi" w:hAnsiTheme="minorHAnsi" w:cs="Arial"/>
                <w:b/>
                <w:bCs/>
                <w:sz w:val="22"/>
              </w:rPr>
              <w:t>5</w:t>
            </w:r>
            <w:r w:rsidRPr="003E2A3E">
              <w:rPr>
                <w:rFonts w:asciiTheme="minorHAnsi" w:hAnsiTheme="minorHAnsi" w:cs="Arial"/>
                <w:b/>
                <w:bCs/>
                <w:sz w:val="22"/>
              </w:rPr>
              <w:t xml:space="preserve"> or B202</w:t>
            </w:r>
            <w:r w:rsidR="00CA1F0E" w:rsidRPr="003E2A3E">
              <w:rPr>
                <w:rFonts w:asciiTheme="minorHAnsi" w:hAnsiTheme="minorHAnsi" w:cs="Arial"/>
                <w:b/>
                <w:bCs/>
                <w:sz w:val="22"/>
              </w:rPr>
              <w:t>5</w:t>
            </w:r>
          </w:p>
        </w:tc>
        <w:tc>
          <w:tcPr>
            <w:tcW w:w="6682" w:type="dxa"/>
            <w:noWrap/>
            <w:vAlign w:val="center"/>
            <w:hideMark/>
          </w:tcPr>
          <w:p w14:paraId="370339C4" w14:textId="06960F04" w:rsidR="00B10D4C" w:rsidRPr="003E2A3E" w:rsidRDefault="00B10D4C" w:rsidP="004A29E2">
            <w:pPr>
              <w:rPr>
                <w:rFonts w:asciiTheme="minorHAnsi" w:hAnsiTheme="minorHAnsi" w:cs="Arial"/>
                <w:sz w:val="22"/>
              </w:rPr>
            </w:pPr>
            <w:r w:rsidRPr="003E2A3E">
              <w:rPr>
                <w:rFonts w:asciiTheme="minorHAnsi" w:hAnsiTheme="minorHAnsi" w:cs="Arial"/>
                <w:sz w:val="22"/>
              </w:rPr>
              <w:t>Budget 202</w:t>
            </w:r>
            <w:r w:rsidR="00CA1F0E" w:rsidRPr="003E2A3E">
              <w:rPr>
                <w:rFonts w:asciiTheme="minorHAnsi" w:hAnsiTheme="minorHAnsi" w:cs="Arial"/>
                <w:sz w:val="22"/>
              </w:rPr>
              <w:t>5</w:t>
            </w:r>
          </w:p>
        </w:tc>
      </w:tr>
      <w:tr w:rsidR="003E2A3E" w:rsidRPr="003E2A3E" w14:paraId="73E68ECA" w14:textId="77777777" w:rsidTr="004911AE">
        <w:trPr>
          <w:trHeight w:val="300"/>
        </w:trPr>
        <w:tc>
          <w:tcPr>
            <w:tcW w:w="2678" w:type="dxa"/>
            <w:noWrap/>
            <w:vAlign w:val="center"/>
            <w:hideMark/>
          </w:tcPr>
          <w:p w14:paraId="53505D85" w14:textId="77777777" w:rsidR="00B10D4C" w:rsidRPr="003E2A3E" w:rsidRDefault="00B10D4C" w:rsidP="004911AE">
            <w:pPr>
              <w:rPr>
                <w:rFonts w:asciiTheme="minorHAnsi" w:hAnsiTheme="minorHAnsi" w:cs="Arial"/>
                <w:b/>
                <w:bCs/>
                <w:sz w:val="22"/>
              </w:rPr>
            </w:pPr>
            <w:r w:rsidRPr="003E2A3E">
              <w:rPr>
                <w:rFonts w:asciiTheme="minorHAnsi" w:hAnsiTheme="minorHAnsi" w:cs="Arial"/>
                <w:b/>
                <w:bCs/>
                <w:sz w:val="22"/>
              </w:rPr>
              <w:t>BESS</w:t>
            </w:r>
          </w:p>
        </w:tc>
        <w:tc>
          <w:tcPr>
            <w:tcW w:w="6682" w:type="dxa"/>
            <w:noWrap/>
            <w:vAlign w:val="center"/>
            <w:hideMark/>
          </w:tcPr>
          <w:p w14:paraId="4D2086F7" w14:textId="25934D19" w:rsidR="00B10D4C" w:rsidRPr="003E2A3E" w:rsidRDefault="00B10D4C" w:rsidP="004A29E2">
            <w:pPr>
              <w:rPr>
                <w:rFonts w:asciiTheme="minorHAnsi" w:hAnsiTheme="minorHAnsi" w:cs="Arial"/>
                <w:sz w:val="22"/>
              </w:rPr>
            </w:pPr>
            <w:r w:rsidRPr="003E2A3E">
              <w:rPr>
                <w:rFonts w:asciiTheme="minorHAnsi" w:hAnsiTheme="minorHAnsi" w:cs="Arial"/>
                <w:sz w:val="22"/>
              </w:rPr>
              <w:t>Battery energy storage system</w:t>
            </w:r>
            <w:r w:rsidR="000D36BD" w:rsidRPr="003E2A3E">
              <w:rPr>
                <w:rFonts w:asciiTheme="minorHAnsi" w:hAnsiTheme="minorHAnsi" w:cs="Arial"/>
                <w:sz w:val="22"/>
              </w:rPr>
              <w:t>. A system that stores energy for later use.</w:t>
            </w:r>
          </w:p>
        </w:tc>
      </w:tr>
      <w:tr w:rsidR="003E2A3E" w:rsidRPr="003E2A3E" w14:paraId="25E25E1E" w14:textId="77777777" w:rsidTr="00C231C3">
        <w:trPr>
          <w:trHeight w:val="2465"/>
        </w:trPr>
        <w:tc>
          <w:tcPr>
            <w:tcW w:w="2678" w:type="dxa"/>
            <w:noWrap/>
            <w:vAlign w:val="center"/>
            <w:hideMark/>
          </w:tcPr>
          <w:p w14:paraId="6F00CC26" w14:textId="77777777" w:rsidR="00B10D4C" w:rsidRPr="003E2A3E" w:rsidRDefault="00B10D4C" w:rsidP="004911AE">
            <w:pPr>
              <w:rPr>
                <w:rFonts w:asciiTheme="minorHAnsi" w:hAnsiTheme="minorHAnsi" w:cs="Arial"/>
                <w:b/>
                <w:bCs/>
                <w:sz w:val="22"/>
              </w:rPr>
            </w:pPr>
            <w:r w:rsidRPr="003E2A3E">
              <w:rPr>
                <w:rFonts w:asciiTheme="minorHAnsi" w:hAnsiTheme="minorHAnsi" w:cs="Arial"/>
                <w:b/>
                <w:bCs/>
                <w:sz w:val="22"/>
              </w:rPr>
              <w:t>Blackstart Resources</w:t>
            </w:r>
          </w:p>
        </w:tc>
        <w:tc>
          <w:tcPr>
            <w:tcW w:w="6682" w:type="dxa"/>
            <w:vAlign w:val="center"/>
            <w:hideMark/>
          </w:tcPr>
          <w:p w14:paraId="0CA4B5E2" w14:textId="77777777" w:rsidR="00B10D4C" w:rsidRPr="003E2A3E" w:rsidRDefault="00B10D4C" w:rsidP="004A29E2">
            <w:pPr>
              <w:rPr>
                <w:rFonts w:asciiTheme="minorHAnsi" w:hAnsiTheme="minorHAnsi" w:cs="Arial"/>
                <w:sz w:val="22"/>
              </w:rPr>
            </w:pPr>
            <w:r w:rsidRPr="003E2A3E">
              <w:rPr>
                <w:rFonts w:asciiTheme="minorHAnsi" w:hAnsiTheme="minorHAnsi" w:cs="Arial"/>
                <w:sz w:val="22"/>
              </w:rPr>
              <w:t>Defined by the NERC Reliability Standards[1] as “a generating unit(s) and its associated set of equipment which has the ability to be started without support from the System or is designed to remain energized without connection to the remainder of the System, with the ability to energize a bus, meeting the Transmission Operator’s restoration plan needs for Real and Reactive Power capability, frequency and voltage control, and that has been included in the Transmission Operator’s restoration plan</w:t>
            </w:r>
          </w:p>
        </w:tc>
      </w:tr>
      <w:tr w:rsidR="003E2A3E" w:rsidRPr="003E2A3E" w14:paraId="400AAFA5" w14:textId="77777777" w:rsidTr="004911AE">
        <w:trPr>
          <w:trHeight w:val="300"/>
        </w:trPr>
        <w:tc>
          <w:tcPr>
            <w:tcW w:w="2678" w:type="dxa"/>
            <w:noWrap/>
            <w:vAlign w:val="center"/>
          </w:tcPr>
          <w:p w14:paraId="18B33613" w14:textId="36F678CF" w:rsidR="004B2C47" w:rsidRPr="003E2A3E" w:rsidRDefault="004B2C47" w:rsidP="004911AE">
            <w:pPr>
              <w:rPr>
                <w:rFonts w:asciiTheme="minorHAnsi" w:hAnsiTheme="minorHAnsi" w:cs="Arial"/>
                <w:b/>
                <w:sz w:val="22"/>
              </w:rPr>
            </w:pPr>
            <w:r w:rsidRPr="003E2A3E">
              <w:rPr>
                <w:rFonts w:asciiTheme="minorHAnsi" w:hAnsiTheme="minorHAnsi" w:cs="Arial"/>
                <w:b/>
                <w:sz w:val="22"/>
              </w:rPr>
              <w:t>BOP</w:t>
            </w:r>
          </w:p>
        </w:tc>
        <w:tc>
          <w:tcPr>
            <w:tcW w:w="6682" w:type="dxa"/>
            <w:noWrap/>
            <w:vAlign w:val="center"/>
          </w:tcPr>
          <w:p w14:paraId="2E2E449B" w14:textId="75754EF6" w:rsidR="004B2C47" w:rsidRPr="003E2A3E" w:rsidRDefault="004B2C47" w:rsidP="004A29E2">
            <w:pPr>
              <w:rPr>
                <w:rFonts w:asciiTheme="minorHAnsi" w:hAnsiTheme="minorHAnsi" w:cs="Arial"/>
                <w:sz w:val="22"/>
              </w:rPr>
            </w:pPr>
            <w:r w:rsidRPr="003E2A3E">
              <w:rPr>
                <w:rFonts w:asciiTheme="minorHAnsi" w:hAnsiTheme="minorHAnsi" w:cs="Arial"/>
                <w:sz w:val="22"/>
              </w:rPr>
              <w:t>Balance of plant</w:t>
            </w:r>
          </w:p>
        </w:tc>
      </w:tr>
      <w:tr w:rsidR="003E2A3E" w:rsidRPr="003E2A3E" w14:paraId="6FF95A4C" w14:textId="77777777" w:rsidTr="004911AE">
        <w:trPr>
          <w:trHeight w:val="300"/>
        </w:trPr>
        <w:tc>
          <w:tcPr>
            <w:tcW w:w="2678" w:type="dxa"/>
            <w:noWrap/>
            <w:vAlign w:val="center"/>
          </w:tcPr>
          <w:p w14:paraId="3C822860" w14:textId="313206A9" w:rsidR="000B6BD2" w:rsidRPr="003E2A3E" w:rsidRDefault="000B6BD2" w:rsidP="004911AE">
            <w:pPr>
              <w:rPr>
                <w:rFonts w:asciiTheme="minorHAnsi" w:hAnsiTheme="minorHAnsi" w:cs="Arial"/>
                <w:b/>
                <w:sz w:val="22"/>
              </w:rPr>
            </w:pPr>
            <w:r w:rsidRPr="003E2A3E">
              <w:rPr>
                <w:rFonts w:asciiTheme="minorHAnsi" w:hAnsiTheme="minorHAnsi" w:cs="Arial"/>
                <w:b/>
                <w:sz w:val="22"/>
              </w:rPr>
              <w:t>BTM</w:t>
            </w:r>
          </w:p>
        </w:tc>
        <w:tc>
          <w:tcPr>
            <w:tcW w:w="6682" w:type="dxa"/>
            <w:noWrap/>
            <w:vAlign w:val="center"/>
          </w:tcPr>
          <w:p w14:paraId="6853BFFE" w14:textId="663ABC80" w:rsidR="000B6BD2" w:rsidRPr="003E2A3E" w:rsidRDefault="000B6BD2" w:rsidP="004A29E2">
            <w:pPr>
              <w:rPr>
                <w:rFonts w:asciiTheme="minorHAnsi" w:hAnsiTheme="minorHAnsi" w:cs="Arial"/>
                <w:sz w:val="22"/>
              </w:rPr>
            </w:pPr>
            <w:r w:rsidRPr="003E2A3E">
              <w:rPr>
                <w:rFonts w:asciiTheme="minorHAnsi" w:hAnsiTheme="minorHAnsi" w:cs="Arial"/>
                <w:sz w:val="22"/>
              </w:rPr>
              <w:t>Behind the meter</w:t>
            </w:r>
          </w:p>
        </w:tc>
      </w:tr>
      <w:tr w:rsidR="003E2A3E" w:rsidRPr="003E2A3E" w14:paraId="1C0E9562" w14:textId="77777777" w:rsidTr="004911AE">
        <w:trPr>
          <w:trHeight w:val="300"/>
        </w:trPr>
        <w:tc>
          <w:tcPr>
            <w:tcW w:w="2678" w:type="dxa"/>
            <w:noWrap/>
            <w:vAlign w:val="center"/>
            <w:hideMark/>
          </w:tcPr>
          <w:p w14:paraId="414F19B0" w14:textId="77777777" w:rsidR="00B10D4C" w:rsidRPr="003E2A3E" w:rsidRDefault="00B10D4C" w:rsidP="004911AE">
            <w:pPr>
              <w:rPr>
                <w:rFonts w:asciiTheme="minorHAnsi" w:hAnsiTheme="minorHAnsi" w:cs="Arial"/>
                <w:b/>
                <w:bCs/>
                <w:sz w:val="22"/>
              </w:rPr>
            </w:pPr>
            <w:r w:rsidRPr="003E2A3E">
              <w:rPr>
                <w:rFonts w:asciiTheme="minorHAnsi" w:hAnsiTheme="minorHAnsi" w:cs="Arial"/>
                <w:b/>
                <w:bCs/>
                <w:sz w:val="22"/>
              </w:rPr>
              <w:t>C&amp;I</w:t>
            </w:r>
          </w:p>
        </w:tc>
        <w:tc>
          <w:tcPr>
            <w:tcW w:w="6682" w:type="dxa"/>
            <w:noWrap/>
            <w:vAlign w:val="center"/>
            <w:hideMark/>
          </w:tcPr>
          <w:p w14:paraId="12993EE5" w14:textId="77777777" w:rsidR="00B10D4C" w:rsidRPr="003E2A3E" w:rsidRDefault="00B10D4C" w:rsidP="004A29E2">
            <w:pPr>
              <w:rPr>
                <w:rFonts w:asciiTheme="minorHAnsi" w:hAnsiTheme="minorHAnsi" w:cs="Arial"/>
                <w:sz w:val="22"/>
              </w:rPr>
            </w:pPr>
            <w:r w:rsidRPr="003E2A3E">
              <w:rPr>
                <w:rFonts w:asciiTheme="minorHAnsi" w:hAnsiTheme="minorHAnsi" w:cs="Arial"/>
                <w:sz w:val="22"/>
              </w:rPr>
              <w:t>Commercial &amp; Industrial</w:t>
            </w:r>
          </w:p>
        </w:tc>
      </w:tr>
      <w:tr w:rsidR="003E2A3E" w:rsidRPr="003E2A3E" w14:paraId="655D55EF" w14:textId="77777777" w:rsidTr="004911AE">
        <w:trPr>
          <w:trHeight w:val="300"/>
        </w:trPr>
        <w:tc>
          <w:tcPr>
            <w:tcW w:w="2678" w:type="dxa"/>
            <w:noWrap/>
            <w:vAlign w:val="center"/>
            <w:hideMark/>
          </w:tcPr>
          <w:p w14:paraId="7685A14C" w14:textId="77777777" w:rsidR="00B10D4C" w:rsidRPr="003E2A3E" w:rsidRDefault="00B10D4C" w:rsidP="004911AE">
            <w:pPr>
              <w:rPr>
                <w:rFonts w:asciiTheme="minorHAnsi" w:hAnsiTheme="minorHAnsi" w:cs="Arial"/>
                <w:b/>
                <w:bCs/>
                <w:sz w:val="22"/>
              </w:rPr>
            </w:pPr>
            <w:r w:rsidRPr="003E2A3E">
              <w:rPr>
                <w:rFonts w:asciiTheme="minorHAnsi" w:hAnsiTheme="minorHAnsi" w:cs="Arial"/>
                <w:b/>
                <w:bCs/>
                <w:sz w:val="22"/>
              </w:rPr>
              <w:t>CARES</w:t>
            </w:r>
          </w:p>
        </w:tc>
        <w:tc>
          <w:tcPr>
            <w:tcW w:w="6682" w:type="dxa"/>
            <w:noWrap/>
            <w:vAlign w:val="center"/>
            <w:hideMark/>
          </w:tcPr>
          <w:p w14:paraId="7F89D27F" w14:textId="50309893" w:rsidR="00B10D4C" w:rsidRPr="003E2A3E" w:rsidRDefault="00B10D4C" w:rsidP="004A29E2">
            <w:pPr>
              <w:rPr>
                <w:rFonts w:asciiTheme="minorHAnsi" w:hAnsiTheme="minorHAnsi" w:cs="Arial"/>
                <w:sz w:val="22"/>
              </w:rPr>
            </w:pPr>
            <w:r w:rsidRPr="003E2A3E">
              <w:rPr>
                <w:rFonts w:asciiTheme="minorHAnsi" w:hAnsiTheme="minorHAnsi" w:cs="Arial"/>
                <w:sz w:val="22"/>
              </w:rPr>
              <w:t>Clean And Renewable Energy Subscription</w:t>
            </w:r>
            <w:r w:rsidR="00EB0E61" w:rsidRPr="003E2A3E">
              <w:rPr>
                <w:rFonts w:asciiTheme="minorHAnsi" w:hAnsiTheme="minorHAnsi" w:cs="Arial"/>
                <w:sz w:val="22"/>
              </w:rPr>
              <w:t>. A subscription program for renewable energy.</w:t>
            </w:r>
          </w:p>
        </w:tc>
      </w:tr>
      <w:tr w:rsidR="003E2A3E" w:rsidRPr="003E2A3E" w14:paraId="379E42EC" w14:textId="77777777" w:rsidTr="004911AE">
        <w:trPr>
          <w:trHeight w:val="300"/>
        </w:trPr>
        <w:tc>
          <w:tcPr>
            <w:tcW w:w="2678" w:type="dxa"/>
            <w:noWrap/>
            <w:vAlign w:val="center"/>
            <w:hideMark/>
          </w:tcPr>
          <w:p w14:paraId="48B69F25" w14:textId="77777777" w:rsidR="00B10D4C" w:rsidRPr="003E2A3E" w:rsidRDefault="00B10D4C" w:rsidP="004911AE">
            <w:pPr>
              <w:rPr>
                <w:rFonts w:asciiTheme="minorHAnsi" w:hAnsiTheme="minorHAnsi" w:cs="Arial"/>
                <w:b/>
                <w:bCs/>
                <w:sz w:val="22"/>
              </w:rPr>
            </w:pPr>
            <w:r w:rsidRPr="003E2A3E">
              <w:rPr>
                <w:rFonts w:asciiTheme="minorHAnsi" w:hAnsiTheme="minorHAnsi" w:cs="Arial"/>
                <w:b/>
                <w:bCs/>
                <w:sz w:val="22"/>
              </w:rPr>
              <w:t>CC</w:t>
            </w:r>
          </w:p>
        </w:tc>
        <w:tc>
          <w:tcPr>
            <w:tcW w:w="6682" w:type="dxa"/>
            <w:noWrap/>
            <w:vAlign w:val="center"/>
            <w:hideMark/>
          </w:tcPr>
          <w:p w14:paraId="210428CF" w14:textId="2B26634D" w:rsidR="00B10D4C" w:rsidRPr="003E2A3E" w:rsidRDefault="00B10D4C" w:rsidP="004A29E2">
            <w:pPr>
              <w:rPr>
                <w:rFonts w:asciiTheme="minorHAnsi" w:hAnsiTheme="minorHAnsi" w:cs="Arial"/>
                <w:sz w:val="22"/>
              </w:rPr>
            </w:pPr>
            <w:r w:rsidRPr="003E2A3E">
              <w:rPr>
                <w:rFonts w:asciiTheme="minorHAnsi" w:hAnsiTheme="minorHAnsi" w:cs="Arial"/>
                <w:sz w:val="22"/>
              </w:rPr>
              <w:t xml:space="preserve">Combined </w:t>
            </w:r>
            <w:r w:rsidR="001F0C74" w:rsidRPr="003E2A3E">
              <w:rPr>
                <w:rFonts w:asciiTheme="minorHAnsi" w:hAnsiTheme="minorHAnsi" w:cs="Arial"/>
                <w:sz w:val="22"/>
              </w:rPr>
              <w:t>C</w:t>
            </w:r>
            <w:r w:rsidRPr="003E2A3E">
              <w:rPr>
                <w:rFonts w:asciiTheme="minorHAnsi" w:hAnsiTheme="minorHAnsi" w:cs="Arial"/>
                <w:sz w:val="22"/>
              </w:rPr>
              <w:t>ycle</w:t>
            </w:r>
            <w:r w:rsidR="003A32B0" w:rsidRPr="003E2A3E">
              <w:rPr>
                <w:rFonts w:asciiTheme="minorHAnsi" w:hAnsiTheme="minorHAnsi" w:cs="Arial"/>
                <w:sz w:val="22"/>
              </w:rPr>
              <w:t>. A type of power plant that uses both gas and steam turbines to generate electricity</w:t>
            </w:r>
            <w:r w:rsidR="00D97A96" w:rsidRPr="003E2A3E">
              <w:rPr>
                <w:rFonts w:asciiTheme="minorHAnsi" w:hAnsiTheme="minorHAnsi" w:cs="Arial"/>
                <w:sz w:val="22"/>
              </w:rPr>
              <w:t>.</w:t>
            </w:r>
          </w:p>
        </w:tc>
      </w:tr>
      <w:tr w:rsidR="003E2A3E" w:rsidRPr="003E2A3E" w14:paraId="5C540D10" w14:textId="77777777" w:rsidTr="004911AE">
        <w:trPr>
          <w:trHeight w:val="300"/>
        </w:trPr>
        <w:tc>
          <w:tcPr>
            <w:tcW w:w="2678" w:type="dxa"/>
            <w:noWrap/>
            <w:vAlign w:val="center"/>
            <w:hideMark/>
          </w:tcPr>
          <w:p w14:paraId="4D7A3AA4" w14:textId="77777777" w:rsidR="00B10D4C" w:rsidRPr="003E2A3E" w:rsidRDefault="00B10D4C" w:rsidP="004911AE">
            <w:pPr>
              <w:rPr>
                <w:rFonts w:asciiTheme="minorHAnsi" w:hAnsiTheme="minorHAnsi" w:cs="Arial"/>
                <w:b/>
                <w:bCs/>
                <w:sz w:val="22"/>
              </w:rPr>
            </w:pPr>
            <w:r w:rsidRPr="003E2A3E">
              <w:rPr>
                <w:rFonts w:asciiTheme="minorHAnsi" w:hAnsiTheme="minorHAnsi" w:cs="Arial"/>
                <w:b/>
                <w:bCs/>
                <w:sz w:val="22"/>
              </w:rPr>
              <w:t>CCR</w:t>
            </w:r>
          </w:p>
        </w:tc>
        <w:tc>
          <w:tcPr>
            <w:tcW w:w="6682" w:type="dxa"/>
            <w:noWrap/>
            <w:vAlign w:val="center"/>
            <w:hideMark/>
          </w:tcPr>
          <w:p w14:paraId="6528766C" w14:textId="77777777" w:rsidR="00B10D4C" w:rsidRPr="003E2A3E" w:rsidRDefault="00B10D4C" w:rsidP="004A29E2">
            <w:pPr>
              <w:rPr>
                <w:rFonts w:asciiTheme="minorHAnsi" w:hAnsiTheme="minorHAnsi" w:cs="Arial"/>
                <w:sz w:val="22"/>
              </w:rPr>
            </w:pPr>
            <w:r w:rsidRPr="003E2A3E">
              <w:rPr>
                <w:rFonts w:asciiTheme="minorHAnsi" w:hAnsiTheme="minorHAnsi" w:cs="Arial"/>
                <w:sz w:val="22"/>
              </w:rPr>
              <w:t>Coal Combustion Residuals</w:t>
            </w:r>
          </w:p>
        </w:tc>
      </w:tr>
      <w:tr w:rsidR="003E2A3E" w:rsidRPr="003E2A3E" w14:paraId="72ABF362" w14:textId="77777777" w:rsidTr="004911AE">
        <w:trPr>
          <w:trHeight w:val="300"/>
        </w:trPr>
        <w:tc>
          <w:tcPr>
            <w:tcW w:w="2678" w:type="dxa"/>
            <w:noWrap/>
            <w:vAlign w:val="center"/>
          </w:tcPr>
          <w:p w14:paraId="6C3C0625" w14:textId="29C6A5F1" w:rsidR="00837C96" w:rsidRPr="003E2A3E" w:rsidRDefault="00837C96" w:rsidP="00837C96">
            <w:pPr>
              <w:rPr>
                <w:rFonts w:cs="Arial"/>
                <w:b/>
                <w:bCs/>
              </w:rPr>
            </w:pPr>
            <w:r w:rsidRPr="003E2A3E">
              <w:rPr>
                <w:rFonts w:asciiTheme="minorHAnsi" w:hAnsiTheme="minorHAnsi" w:cs="Arial"/>
                <w:b/>
                <w:bCs/>
                <w:sz w:val="22"/>
              </w:rPr>
              <w:lastRenderedPageBreak/>
              <w:t>CCR ARO</w:t>
            </w:r>
          </w:p>
        </w:tc>
        <w:tc>
          <w:tcPr>
            <w:tcW w:w="6682" w:type="dxa"/>
            <w:noWrap/>
            <w:vAlign w:val="center"/>
          </w:tcPr>
          <w:p w14:paraId="55C49C45" w14:textId="0446DF3F" w:rsidR="00837C96" w:rsidRPr="003E2A3E" w:rsidRDefault="00837C96" w:rsidP="00837C96">
            <w:pPr>
              <w:rPr>
                <w:rFonts w:cs="Arial"/>
              </w:rPr>
            </w:pPr>
            <w:r w:rsidRPr="003E2A3E">
              <w:rPr>
                <w:rFonts w:asciiTheme="minorHAnsi" w:hAnsiTheme="minorHAnsi" w:cs="Arial"/>
                <w:sz w:val="22"/>
              </w:rPr>
              <w:t>Coal Combustion Residuals Asset Retirement Obligation</w:t>
            </w:r>
          </w:p>
        </w:tc>
      </w:tr>
      <w:tr w:rsidR="003E2A3E" w:rsidRPr="003E2A3E" w14:paraId="11236DC7" w14:textId="77777777" w:rsidTr="004911AE">
        <w:trPr>
          <w:trHeight w:val="300"/>
        </w:trPr>
        <w:tc>
          <w:tcPr>
            <w:tcW w:w="2678" w:type="dxa"/>
            <w:noWrap/>
            <w:vAlign w:val="center"/>
            <w:hideMark/>
          </w:tcPr>
          <w:p w14:paraId="1F85F402" w14:textId="77777777" w:rsidR="00B10D4C" w:rsidRPr="003E2A3E" w:rsidRDefault="00B10D4C" w:rsidP="004911AE">
            <w:pPr>
              <w:rPr>
                <w:rFonts w:asciiTheme="minorHAnsi" w:hAnsiTheme="minorHAnsi" w:cs="Arial"/>
                <w:b/>
                <w:bCs/>
                <w:sz w:val="22"/>
              </w:rPr>
            </w:pPr>
            <w:r w:rsidRPr="003E2A3E">
              <w:rPr>
                <w:rFonts w:asciiTheme="minorHAnsi" w:hAnsiTheme="minorHAnsi" w:cs="Arial"/>
                <w:b/>
                <w:bCs/>
                <w:sz w:val="22"/>
              </w:rPr>
              <w:t>CCS</w:t>
            </w:r>
          </w:p>
        </w:tc>
        <w:tc>
          <w:tcPr>
            <w:tcW w:w="6682" w:type="dxa"/>
            <w:noWrap/>
            <w:vAlign w:val="center"/>
            <w:hideMark/>
          </w:tcPr>
          <w:p w14:paraId="70EEB85B" w14:textId="7136B4F7" w:rsidR="00B10D4C" w:rsidRPr="003E2A3E" w:rsidRDefault="00B10D4C" w:rsidP="004A29E2">
            <w:pPr>
              <w:rPr>
                <w:rFonts w:asciiTheme="minorHAnsi" w:hAnsiTheme="minorHAnsi" w:cs="Arial"/>
                <w:sz w:val="22"/>
              </w:rPr>
            </w:pPr>
            <w:r w:rsidRPr="003E2A3E">
              <w:rPr>
                <w:rFonts w:asciiTheme="minorHAnsi" w:hAnsiTheme="minorHAnsi" w:cs="Arial"/>
                <w:sz w:val="22"/>
              </w:rPr>
              <w:t>Carbon Capture and Sequestration</w:t>
            </w:r>
            <w:r w:rsidR="000F6D0D" w:rsidRPr="003E2A3E">
              <w:rPr>
                <w:rFonts w:asciiTheme="minorHAnsi" w:hAnsiTheme="minorHAnsi" w:cs="Arial"/>
                <w:sz w:val="22"/>
              </w:rPr>
              <w:t xml:space="preserve">. </w:t>
            </w:r>
            <w:r w:rsidR="00B9410D" w:rsidRPr="003E2A3E">
              <w:rPr>
                <w:rFonts w:asciiTheme="minorHAnsi" w:hAnsiTheme="minorHAnsi" w:cs="Arial"/>
                <w:sz w:val="22"/>
              </w:rPr>
              <w:t>A technology to capture and store carbon dioxide emissions from power plants and industrial sources.</w:t>
            </w:r>
          </w:p>
        </w:tc>
      </w:tr>
      <w:tr w:rsidR="003E2A3E" w:rsidRPr="003E2A3E" w14:paraId="3D02014D" w14:textId="77777777" w:rsidTr="004911AE">
        <w:trPr>
          <w:trHeight w:val="300"/>
        </w:trPr>
        <w:tc>
          <w:tcPr>
            <w:tcW w:w="2678" w:type="dxa"/>
            <w:noWrap/>
            <w:vAlign w:val="center"/>
            <w:hideMark/>
          </w:tcPr>
          <w:p w14:paraId="1737225E" w14:textId="77777777" w:rsidR="00B10D4C" w:rsidRPr="003E2A3E" w:rsidRDefault="00B10D4C" w:rsidP="004911AE">
            <w:pPr>
              <w:rPr>
                <w:rFonts w:asciiTheme="minorHAnsi" w:hAnsiTheme="minorHAnsi" w:cs="Arial"/>
                <w:b/>
                <w:bCs/>
                <w:sz w:val="22"/>
              </w:rPr>
            </w:pPr>
            <w:r w:rsidRPr="003E2A3E">
              <w:rPr>
                <w:rFonts w:asciiTheme="minorHAnsi" w:hAnsiTheme="minorHAnsi" w:cs="Arial"/>
                <w:b/>
                <w:bCs/>
                <w:sz w:val="22"/>
              </w:rPr>
              <w:t>CCSP</w:t>
            </w:r>
          </w:p>
        </w:tc>
        <w:tc>
          <w:tcPr>
            <w:tcW w:w="6682" w:type="dxa"/>
            <w:noWrap/>
            <w:vAlign w:val="center"/>
            <w:hideMark/>
          </w:tcPr>
          <w:p w14:paraId="392E3708" w14:textId="77777777" w:rsidR="00B10D4C" w:rsidRPr="003E2A3E" w:rsidRDefault="00B10D4C" w:rsidP="004A29E2">
            <w:pPr>
              <w:rPr>
                <w:rFonts w:asciiTheme="minorHAnsi" w:hAnsiTheme="minorHAnsi" w:cs="Arial"/>
                <w:sz w:val="22"/>
              </w:rPr>
            </w:pPr>
            <w:r w:rsidRPr="003E2A3E">
              <w:rPr>
                <w:rFonts w:asciiTheme="minorHAnsi" w:hAnsiTheme="minorHAnsi" w:cs="Arial"/>
                <w:sz w:val="22"/>
              </w:rPr>
              <w:t>Customer-Connected Solar Program</w:t>
            </w:r>
          </w:p>
        </w:tc>
      </w:tr>
      <w:tr w:rsidR="003E2A3E" w:rsidRPr="003E2A3E" w14:paraId="2A60E6E5" w14:textId="77777777" w:rsidTr="004911AE">
        <w:trPr>
          <w:trHeight w:val="300"/>
        </w:trPr>
        <w:tc>
          <w:tcPr>
            <w:tcW w:w="2678" w:type="dxa"/>
            <w:noWrap/>
            <w:vAlign w:val="center"/>
          </w:tcPr>
          <w:p w14:paraId="0B38D133" w14:textId="54FB4526" w:rsidR="00C82FA6" w:rsidRPr="003E2A3E" w:rsidRDefault="00C82FA6" w:rsidP="004911AE">
            <w:pPr>
              <w:rPr>
                <w:rFonts w:asciiTheme="minorHAnsi" w:hAnsiTheme="minorHAnsi" w:cs="Arial"/>
                <w:b/>
                <w:bCs/>
                <w:sz w:val="22"/>
              </w:rPr>
            </w:pPr>
            <w:r w:rsidRPr="003E2A3E">
              <w:rPr>
                <w:rFonts w:asciiTheme="minorHAnsi" w:hAnsiTheme="minorHAnsi" w:cs="Arial"/>
                <w:b/>
                <w:bCs/>
                <w:sz w:val="22"/>
              </w:rPr>
              <w:t>CIR</w:t>
            </w:r>
          </w:p>
        </w:tc>
        <w:tc>
          <w:tcPr>
            <w:tcW w:w="6682" w:type="dxa"/>
            <w:noWrap/>
            <w:vAlign w:val="center"/>
          </w:tcPr>
          <w:p w14:paraId="1DBE58C9" w14:textId="652164CB" w:rsidR="00C82FA6" w:rsidRPr="003E2A3E" w:rsidRDefault="00C82FA6" w:rsidP="004A29E2">
            <w:pPr>
              <w:rPr>
                <w:rFonts w:asciiTheme="minorHAnsi" w:hAnsiTheme="minorHAnsi" w:cs="Arial"/>
                <w:sz w:val="22"/>
              </w:rPr>
            </w:pPr>
            <w:r w:rsidRPr="003E2A3E">
              <w:rPr>
                <w:rFonts w:asciiTheme="minorHAnsi" w:hAnsiTheme="minorHAnsi" w:cs="Arial"/>
                <w:sz w:val="22"/>
              </w:rPr>
              <w:t>Customer Identified Resource</w:t>
            </w:r>
          </w:p>
        </w:tc>
      </w:tr>
      <w:tr w:rsidR="003E2A3E" w:rsidRPr="003E2A3E" w14:paraId="38535871" w14:textId="77777777" w:rsidTr="004911AE">
        <w:trPr>
          <w:trHeight w:val="300"/>
        </w:trPr>
        <w:tc>
          <w:tcPr>
            <w:tcW w:w="2678" w:type="dxa"/>
            <w:noWrap/>
            <w:vAlign w:val="center"/>
          </w:tcPr>
          <w:p w14:paraId="076DD40E" w14:textId="2A6581F3" w:rsidR="002632FB" w:rsidRPr="003E2A3E" w:rsidRDefault="002632FB" w:rsidP="00E7337E">
            <w:pPr>
              <w:rPr>
                <w:rFonts w:asciiTheme="minorHAnsi" w:hAnsiTheme="minorHAnsi" w:cs="Arial"/>
                <w:b/>
                <w:bCs/>
                <w:sz w:val="22"/>
              </w:rPr>
            </w:pPr>
            <w:r w:rsidRPr="003E2A3E">
              <w:rPr>
                <w:rFonts w:asciiTheme="minorHAnsi" w:hAnsiTheme="minorHAnsi" w:cs="Arial"/>
                <w:b/>
                <w:bCs/>
                <w:sz w:val="22"/>
              </w:rPr>
              <w:t>CL</w:t>
            </w:r>
          </w:p>
        </w:tc>
        <w:tc>
          <w:tcPr>
            <w:tcW w:w="6682" w:type="dxa"/>
            <w:noWrap/>
            <w:vAlign w:val="center"/>
          </w:tcPr>
          <w:p w14:paraId="1B6CCF24" w14:textId="36A19EDC" w:rsidR="002632FB" w:rsidRPr="003E2A3E" w:rsidRDefault="002632FB" w:rsidP="00E7337E">
            <w:pPr>
              <w:rPr>
                <w:rFonts w:asciiTheme="minorHAnsi" w:hAnsiTheme="minorHAnsi" w:cs="Arial"/>
                <w:sz w:val="22"/>
              </w:rPr>
            </w:pPr>
            <w:r w:rsidRPr="003E2A3E">
              <w:rPr>
                <w:rFonts w:asciiTheme="minorHAnsi" w:hAnsiTheme="minorHAnsi" w:cs="Arial"/>
                <w:sz w:val="22"/>
              </w:rPr>
              <w:t>Curtailable Load</w:t>
            </w:r>
          </w:p>
        </w:tc>
      </w:tr>
      <w:tr w:rsidR="003E2A3E" w:rsidRPr="003E2A3E" w14:paraId="4C53D40D" w14:textId="77777777" w:rsidTr="002D2D20">
        <w:trPr>
          <w:trHeight w:val="302"/>
        </w:trPr>
        <w:tc>
          <w:tcPr>
            <w:tcW w:w="2678" w:type="dxa"/>
            <w:noWrap/>
            <w:vAlign w:val="center"/>
            <w:hideMark/>
          </w:tcPr>
          <w:p w14:paraId="3ABAA9B0" w14:textId="77777777" w:rsidR="00B10D4C" w:rsidRPr="003E2A3E" w:rsidRDefault="00B10D4C" w:rsidP="004911AE">
            <w:pPr>
              <w:rPr>
                <w:rFonts w:asciiTheme="minorHAnsi" w:hAnsiTheme="minorHAnsi" w:cs="Arial"/>
                <w:b/>
                <w:bCs/>
                <w:sz w:val="22"/>
              </w:rPr>
            </w:pPr>
            <w:r w:rsidRPr="003E2A3E">
              <w:rPr>
                <w:rFonts w:asciiTheme="minorHAnsi" w:hAnsiTheme="minorHAnsi" w:cs="Arial"/>
                <w:b/>
                <w:bCs/>
                <w:sz w:val="22"/>
              </w:rPr>
              <w:t>CO</w:t>
            </w:r>
            <w:r w:rsidRPr="003E2A3E">
              <w:rPr>
                <w:rFonts w:asciiTheme="minorHAnsi" w:hAnsiTheme="minorHAnsi" w:cs="Arial"/>
                <w:b/>
                <w:bCs/>
                <w:sz w:val="22"/>
                <w:vertAlign w:val="subscript"/>
              </w:rPr>
              <w:t>2</w:t>
            </w:r>
          </w:p>
        </w:tc>
        <w:tc>
          <w:tcPr>
            <w:tcW w:w="6682" w:type="dxa"/>
            <w:noWrap/>
            <w:vAlign w:val="center"/>
            <w:hideMark/>
          </w:tcPr>
          <w:p w14:paraId="260C98EF" w14:textId="77777777" w:rsidR="00B10D4C" w:rsidRPr="003E2A3E" w:rsidRDefault="00B10D4C" w:rsidP="004A29E2">
            <w:pPr>
              <w:rPr>
                <w:rFonts w:asciiTheme="minorHAnsi" w:hAnsiTheme="minorHAnsi" w:cs="Arial"/>
                <w:sz w:val="22"/>
              </w:rPr>
            </w:pPr>
            <w:r w:rsidRPr="003E2A3E">
              <w:rPr>
                <w:rFonts w:asciiTheme="minorHAnsi" w:hAnsiTheme="minorHAnsi" w:cs="Arial"/>
                <w:sz w:val="22"/>
              </w:rPr>
              <w:t>Carbon dioxide</w:t>
            </w:r>
          </w:p>
        </w:tc>
      </w:tr>
      <w:tr w:rsidR="003E2A3E" w:rsidRPr="003E2A3E" w14:paraId="2B0A1009" w14:textId="77777777" w:rsidTr="002D2D20">
        <w:trPr>
          <w:trHeight w:val="302"/>
        </w:trPr>
        <w:tc>
          <w:tcPr>
            <w:tcW w:w="2678" w:type="dxa"/>
            <w:noWrap/>
            <w:vAlign w:val="center"/>
          </w:tcPr>
          <w:p w14:paraId="32D10206" w14:textId="21C7D6E9" w:rsidR="002B488B" w:rsidRPr="003E2A3E" w:rsidRDefault="002B488B" w:rsidP="002B488B">
            <w:pPr>
              <w:rPr>
                <w:rFonts w:cs="Arial"/>
                <w:b/>
                <w:bCs/>
              </w:rPr>
            </w:pPr>
            <w:r w:rsidRPr="003E2A3E">
              <w:rPr>
                <w:rFonts w:asciiTheme="minorHAnsi" w:hAnsiTheme="minorHAnsi" w:cs="Arial"/>
                <w:b/>
                <w:sz w:val="22"/>
              </w:rPr>
              <w:t>COD</w:t>
            </w:r>
          </w:p>
        </w:tc>
        <w:tc>
          <w:tcPr>
            <w:tcW w:w="6682" w:type="dxa"/>
            <w:noWrap/>
            <w:vAlign w:val="center"/>
          </w:tcPr>
          <w:p w14:paraId="174772C1" w14:textId="7C9395C9" w:rsidR="002B488B" w:rsidRPr="003E2A3E" w:rsidRDefault="002B488B" w:rsidP="002B488B">
            <w:pPr>
              <w:rPr>
                <w:rFonts w:cs="Arial"/>
              </w:rPr>
            </w:pPr>
            <w:r w:rsidRPr="003E2A3E">
              <w:rPr>
                <w:rFonts w:asciiTheme="minorHAnsi" w:hAnsiTheme="minorHAnsi" w:cs="Arial"/>
                <w:sz w:val="22"/>
              </w:rPr>
              <w:t>Commercial Operation Date</w:t>
            </w:r>
          </w:p>
        </w:tc>
      </w:tr>
      <w:tr w:rsidR="003E2A3E" w:rsidRPr="003E2A3E" w14:paraId="080A30FB" w14:textId="77777777" w:rsidTr="004911AE">
        <w:trPr>
          <w:trHeight w:val="300"/>
        </w:trPr>
        <w:tc>
          <w:tcPr>
            <w:tcW w:w="2678" w:type="dxa"/>
            <w:noWrap/>
            <w:vAlign w:val="center"/>
            <w:hideMark/>
          </w:tcPr>
          <w:p w14:paraId="61D38358"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Commission</w:t>
            </w:r>
          </w:p>
        </w:tc>
        <w:tc>
          <w:tcPr>
            <w:tcW w:w="6682" w:type="dxa"/>
            <w:noWrap/>
            <w:vAlign w:val="center"/>
            <w:hideMark/>
          </w:tcPr>
          <w:p w14:paraId="0A62B6C4"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Georgia Public Service Commission</w:t>
            </w:r>
          </w:p>
        </w:tc>
      </w:tr>
      <w:tr w:rsidR="003E2A3E" w:rsidRPr="003E2A3E" w14:paraId="49035FCF" w14:textId="77777777" w:rsidTr="004911AE">
        <w:trPr>
          <w:trHeight w:val="300"/>
        </w:trPr>
        <w:tc>
          <w:tcPr>
            <w:tcW w:w="2678" w:type="dxa"/>
            <w:noWrap/>
            <w:vAlign w:val="center"/>
            <w:hideMark/>
          </w:tcPr>
          <w:p w14:paraId="0A05D45E"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Company</w:t>
            </w:r>
          </w:p>
        </w:tc>
        <w:tc>
          <w:tcPr>
            <w:tcW w:w="6682" w:type="dxa"/>
            <w:noWrap/>
            <w:vAlign w:val="center"/>
            <w:hideMark/>
          </w:tcPr>
          <w:p w14:paraId="1CB0E30E"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Georgia Power Company</w:t>
            </w:r>
          </w:p>
        </w:tc>
      </w:tr>
      <w:tr w:rsidR="003E2A3E" w:rsidRPr="003E2A3E" w14:paraId="0F689B8B" w14:textId="77777777" w:rsidTr="004911AE">
        <w:trPr>
          <w:trHeight w:val="300"/>
        </w:trPr>
        <w:tc>
          <w:tcPr>
            <w:tcW w:w="2678" w:type="dxa"/>
            <w:noWrap/>
            <w:vAlign w:val="center"/>
          </w:tcPr>
          <w:p w14:paraId="090A9160"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CRSP</w:t>
            </w:r>
          </w:p>
        </w:tc>
        <w:tc>
          <w:tcPr>
            <w:tcW w:w="6682" w:type="dxa"/>
            <w:noWrap/>
            <w:vAlign w:val="center"/>
          </w:tcPr>
          <w:p w14:paraId="7577C90B" w14:textId="2585DE81" w:rsidR="002B488B" w:rsidRPr="003E2A3E" w:rsidRDefault="002B488B" w:rsidP="002B488B">
            <w:pPr>
              <w:rPr>
                <w:rFonts w:asciiTheme="minorHAnsi" w:hAnsiTheme="minorHAnsi" w:cs="Arial"/>
                <w:sz w:val="22"/>
              </w:rPr>
            </w:pPr>
            <w:r w:rsidRPr="003E2A3E">
              <w:rPr>
                <w:rFonts w:asciiTheme="minorHAnsi" w:hAnsiTheme="minorHAnsi" w:cs="Arial"/>
                <w:sz w:val="22"/>
              </w:rPr>
              <w:t>Customer Renewable Supply Procurement</w:t>
            </w:r>
            <w:r w:rsidR="00492699" w:rsidRPr="003E2A3E">
              <w:rPr>
                <w:rFonts w:asciiTheme="minorHAnsi" w:hAnsiTheme="minorHAnsi" w:cs="Arial"/>
                <w:sz w:val="22"/>
              </w:rPr>
              <w:t>. A program for procuring renewable energy for customers.</w:t>
            </w:r>
          </w:p>
        </w:tc>
      </w:tr>
      <w:tr w:rsidR="003E2A3E" w:rsidRPr="003E2A3E" w14:paraId="1340C501" w14:textId="77777777" w:rsidTr="004911AE">
        <w:trPr>
          <w:trHeight w:val="315"/>
        </w:trPr>
        <w:tc>
          <w:tcPr>
            <w:tcW w:w="2678" w:type="dxa"/>
            <w:noWrap/>
            <w:vAlign w:val="center"/>
            <w:hideMark/>
          </w:tcPr>
          <w:p w14:paraId="3B23D061"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CS</w:t>
            </w:r>
          </w:p>
        </w:tc>
        <w:tc>
          <w:tcPr>
            <w:tcW w:w="6682" w:type="dxa"/>
            <w:noWrap/>
            <w:vAlign w:val="center"/>
            <w:hideMark/>
          </w:tcPr>
          <w:p w14:paraId="67FDEB82" w14:textId="7CC51FE7" w:rsidR="002B488B" w:rsidRPr="003E2A3E" w:rsidRDefault="002B488B" w:rsidP="002B488B">
            <w:pPr>
              <w:rPr>
                <w:rFonts w:asciiTheme="minorHAnsi" w:hAnsiTheme="minorHAnsi" w:cs="Arial"/>
                <w:sz w:val="22"/>
              </w:rPr>
            </w:pPr>
            <w:r w:rsidRPr="003E2A3E">
              <w:rPr>
                <w:rFonts w:asciiTheme="minorHAnsi" w:hAnsiTheme="minorHAnsi" w:cs="Arial"/>
                <w:sz w:val="22"/>
              </w:rPr>
              <w:t>Customer-Sited</w:t>
            </w:r>
            <w:r w:rsidR="00E61CD9" w:rsidRPr="003E2A3E">
              <w:rPr>
                <w:rFonts w:asciiTheme="minorHAnsi" w:hAnsiTheme="minorHAnsi" w:cs="Arial"/>
                <w:sz w:val="22"/>
              </w:rPr>
              <w:t>. Refers to energy resources located at the customer's site.</w:t>
            </w:r>
          </w:p>
        </w:tc>
      </w:tr>
      <w:tr w:rsidR="003E2A3E" w:rsidRPr="003E2A3E" w14:paraId="627FD5C1" w14:textId="77777777" w:rsidTr="004911AE">
        <w:trPr>
          <w:trHeight w:val="300"/>
        </w:trPr>
        <w:tc>
          <w:tcPr>
            <w:tcW w:w="2678" w:type="dxa"/>
            <w:noWrap/>
            <w:vAlign w:val="center"/>
            <w:hideMark/>
          </w:tcPr>
          <w:p w14:paraId="36D2649F"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CSE</w:t>
            </w:r>
          </w:p>
        </w:tc>
        <w:tc>
          <w:tcPr>
            <w:tcW w:w="6682" w:type="dxa"/>
            <w:noWrap/>
            <w:vAlign w:val="center"/>
            <w:hideMark/>
          </w:tcPr>
          <w:p w14:paraId="406AF683"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Cost of Saved Energy</w:t>
            </w:r>
          </w:p>
        </w:tc>
      </w:tr>
      <w:tr w:rsidR="003E2A3E" w:rsidRPr="003E2A3E" w14:paraId="609910D0" w14:textId="77777777" w:rsidTr="004911AE">
        <w:trPr>
          <w:trHeight w:val="300"/>
        </w:trPr>
        <w:tc>
          <w:tcPr>
            <w:tcW w:w="2678" w:type="dxa"/>
            <w:noWrap/>
            <w:vAlign w:val="center"/>
            <w:hideMark/>
          </w:tcPr>
          <w:p w14:paraId="5D3848F8"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CT</w:t>
            </w:r>
          </w:p>
        </w:tc>
        <w:tc>
          <w:tcPr>
            <w:tcW w:w="6682" w:type="dxa"/>
            <w:noWrap/>
            <w:vAlign w:val="center"/>
            <w:hideMark/>
          </w:tcPr>
          <w:p w14:paraId="53543599" w14:textId="6FF1CC94" w:rsidR="002B488B" w:rsidRPr="003E2A3E" w:rsidRDefault="002B488B" w:rsidP="002B488B">
            <w:pPr>
              <w:rPr>
                <w:rFonts w:asciiTheme="minorHAnsi" w:hAnsiTheme="minorHAnsi" w:cs="Arial"/>
                <w:sz w:val="22"/>
              </w:rPr>
            </w:pPr>
            <w:r w:rsidRPr="003E2A3E">
              <w:rPr>
                <w:rFonts w:asciiTheme="minorHAnsi" w:hAnsiTheme="minorHAnsi" w:cs="Arial"/>
                <w:sz w:val="22"/>
              </w:rPr>
              <w:t>Combustion Turbine</w:t>
            </w:r>
            <w:r w:rsidR="00D97A96" w:rsidRPr="003E2A3E">
              <w:rPr>
                <w:rFonts w:asciiTheme="minorHAnsi" w:hAnsiTheme="minorHAnsi" w:cs="Arial"/>
                <w:sz w:val="22"/>
              </w:rPr>
              <w:t>. A type of gas turbine used for electricity generation.</w:t>
            </w:r>
          </w:p>
        </w:tc>
      </w:tr>
      <w:tr w:rsidR="003E2A3E" w:rsidRPr="003E2A3E" w14:paraId="3A25DC7F" w14:textId="77777777" w:rsidTr="004911AE">
        <w:trPr>
          <w:trHeight w:val="300"/>
        </w:trPr>
        <w:tc>
          <w:tcPr>
            <w:tcW w:w="2678" w:type="dxa"/>
            <w:noWrap/>
            <w:vAlign w:val="center"/>
            <w:hideMark/>
          </w:tcPr>
          <w:p w14:paraId="6B26DA6B"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DAC</w:t>
            </w:r>
          </w:p>
        </w:tc>
        <w:tc>
          <w:tcPr>
            <w:tcW w:w="6682" w:type="dxa"/>
            <w:noWrap/>
            <w:vAlign w:val="center"/>
            <w:hideMark/>
          </w:tcPr>
          <w:p w14:paraId="4C96396D" w14:textId="28D3DD6E" w:rsidR="002B488B" w:rsidRPr="003E2A3E" w:rsidRDefault="002B488B" w:rsidP="002B488B">
            <w:pPr>
              <w:rPr>
                <w:rFonts w:asciiTheme="minorHAnsi" w:hAnsiTheme="minorHAnsi" w:cs="Arial"/>
                <w:sz w:val="22"/>
              </w:rPr>
            </w:pPr>
            <w:r w:rsidRPr="003E2A3E">
              <w:rPr>
                <w:rFonts w:asciiTheme="minorHAnsi" w:hAnsiTheme="minorHAnsi" w:cs="Arial"/>
                <w:sz w:val="22"/>
              </w:rPr>
              <w:t>Direct Air Capture</w:t>
            </w:r>
            <w:r w:rsidR="00523A88" w:rsidRPr="003E2A3E">
              <w:rPr>
                <w:rFonts w:asciiTheme="minorHAnsi" w:hAnsiTheme="minorHAnsi" w:cs="Arial"/>
                <w:sz w:val="22"/>
              </w:rPr>
              <w:t>. A technology to capture carbon dioxide directly from the air.</w:t>
            </w:r>
          </w:p>
        </w:tc>
      </w:tr>
      <w:tr w:rsidR="003E2A3E" w:rsidRPr="003E2A3E" w14:paraId="1258F010" w14:textId="77777777" w:rsidTr="004911AE">
        <w:trPr>
          <w:trHeight w:val="300"/>
        </w:trPr>
        <w:tc>
          <w:tcPr>
            <w:tcW w:w="2678" w:type="dxa"/>
            <w:noWrap/>
            <w:vAlign w:val="center"/>
          </w:tcPr>
          <w:p w14:paraId="4A2AE7B1" w14:textId="20656967" w:rsidR="00BD32BE" w:rsidRPr="003E2A3E" w:rsidRDefault="00BD32BE" w:rsidP="002B488B">
            <w:pPr>
              <w:rPr>
                <w:rFonts w:asciiTheme="minorHAnsi" w:hAnsiTheme="minorHAnsi" w:cs="Arial"/>
                <w:b/>
                <w:sz w:val="22"/>
              </w:rPr>
            </w:pPr>
            <w:r w:rsidRPr="003E2A3E">
              <w:rPr>
                <w:rFonts w:asciiTheme="minorHAnsi" w:hAnsiTheme="minorHAnsi" w:cs="Arial"/>
                <w:b/>
                <w:sz w:val="22"/>
              </w:rPr>
              <w:t>DCL</w:t>
            </w:r>
          </w:p>
        </w:tc>
        <w:tc>
          <w:tcPr>
            <w:tcW w:w="6682" w:type="dxa"/>
            <w:noWrap/>
            <w:vAlign w:val="center"/>
          </w:tcPr>
          <w:p w14:paraId="6B074E6F" w14:textId="370C477E" w:rsidR="00BD32BE" w:rsidRPr="003E2A3E" w:rsidRDefault="00BD32BE" w:rsidP="002B488B">
            <w:pPr>
              <w:rPr>
                <w:rFonts w:asciiTheme="minorHAnsi" w:hAnsiTheme="minorHAnsi" w:cs="Arial"/>
                <w:sz w:val="22"/>
              </w:rPr>
            </w:pPr>
            <w:r w:rsidRPr="003E2A3E">
              <w:rPr>
                <w:rFonts w:asciiTheme="minorHAnsi" w:hAnsiTheme="minorHAnsi" w:cs="Arial"/>
                <w:sz w:val="22"/>
              </w:rPr>
              <w:t>DER Colocation Program</w:t>
            </w:r>
          </w:p>
        </w:tc>
      </w:tr>
      <w:tr w:rsidR="003E2A3E" w:rsidRPr="003E2A3E" w14:paraId="4735FB41" w14:textId="77777777" w:rsidTr="004911AE">
        <w:trPr>
          <w:trHeight w:val="300"/>
        </w:trPr>
        <w:tc>
          <w:tcPr>
            <w:tcW w:w="2678" w:type="dxa"/>
            <w:noWrap/>
            <w:vAlign w:val="center"/>
          </w:tcPr>
          <w:p w14:paraId="78FE537A" w14:textId="16AB0C79" w:rsidR="00BD32BE" w:rsidRPr="003E2A3E" w:rsidRDefault="00BD32BE" w:rsidP="002B488B">
            <w:pPr>
              <w:rPr>
                <w:rFonts w:asciiTheme="minorHAnsi" w:hAnsiTheme="minorHAnsi" w:cs="Arial"/>
                <w:b/>
                <w:sz w:val="22"/>
              </w:rPr>
            </w:pPr>
            <w:r w:rsidRPr="003E2A3E">
              <w:rPr>
                <w:rFonts w:asciiTheme="minorHAnsi" w:hAnsiTheme="minorHAnsi" w:cs="Arial"/>
                <w:b/>
                <w:sz w:val="22"/>
              </w:rPr>
              <w:t>DCO</w:t>
            </w:r>
          </w:p>
        </w:tc>
        <w:tc>
          <w:tcPr>
            <w:tcW w:w="6682" w:type="dxa"/>
            <w:noWrap/>
            <w:vAlign w:val="center"/>
          </w:tcPr>
          <w:p w14:paraId="4FD55BF7" w14:textId="3297B920" w:rsidR="00BD32BE" w:rsidRPr="003E2A3E" w:rsidRDefault="00BD32BE" w:rsidP="002B488B">
            <w:pPr>
              <w:rPr>
                <w:rFonts w:asciiTheme="minorHAnsi" w:hAnsiTheme="minorHAnsi" w:cs="Arial"/>
                <w:sz w:val="22"/>
              </w:rPr>
            </w:pPr>
            <w:r w:rsidRPr="003E2A3E">
              <w:rPr>
                <w:rFonts w:asciiTheme="minorHAnsi" w:hAnsiTheme="minorHAnsi" w:cs="Arial"/>
                <w:sz w:val="22"/>
              </w:rPr>
              <w:t>DER Customer-Owned Program</w:t>
            </w:r>
          </w:p>
        </w:tc>
      </w:tr>
      <w:tr w:rsidR="003A0A45" w:rsidRPr="003E2A3E" w14:paraId="254FEA79" w14:textId="77777777" w:rsidTr="004911AE">
        <w:trPr>
          <w:trHeight w:val="300"/>
        </w:trPr>
        <w:tc>
          <w:tcPr>
            <w:tcW w:w="2678" w:type="dxa"/>
            <w:noWrap/>
            <w:vAlign w:val="center"/>
          </w:tcPr>
          <w:p w14:paraId="216A4612" w14:textId="09DB4B40" w:rsidR="003A0A45" w:rsidRPr="003A0A45" w:rsidRDefault="003A0A45" w:rsidP="002B488B">
            <w:pPr>
              <w:rPr>
                <w:rFonts w:asciiTheme="minorHAnsi" w:hAnsiTheme="minorHAnsi" w:cs="Arial"/>
                <w:b/>
                <w:sz w:val="22"/>
              </w:rPr>
            </w:pPr>
            <w:r w:rsidRPr="003A0A45">
              <w:rPr>
                <w:rFonts w:asciiTheme="minorHAnsi" w:hAnsiTheme="minorHAnsi" w:cs="Arial"/>
                <w:b/>
                <w:sz w:val="22"/>
              </w:rPr>
              <w:t>DEF</w:t>
            </w:r>
          </w:p>
        </w:tc>
        <w:tc>
          <w:tcPr>
            <w:tcW w:w="6682" w:type="dxa"/>
            <w:noWrap/>
            <w:vAlign w:val="center"/>
          </w:tcPr>
          <w:p w14:paraId="050ED6B7" w14:textId="3B215B5E" w:rsidR="003A0A45" w:rsidRPr="003A0A45" w:rsidRDefault="003A0A45" w:rsidP="002B488B">
            <w:pPr>
              <w:rPr>
                <w:rFonts w:asciiTheme="minorHAnsi" w:hAnsiTheme="minorHAnsi" w:cs="Arial"/>
                <w:sz w:val="22"/>
              </w:rPr>
            </w:pPr>
            <w:r w:rsidRPr="003A0A45">
              <w:rPr>
                <w:rFonts w:asciiTheme="minorHAnsi" w:hAnsiTheme="minorHAnsi" w:cs="Arial"/>
                <w:sz w:val="22"/>
              </w:rPr>
              <w:t>Duke Energy Florida</w:t>
            </w:r>
          </w:p>
        </w:tc>
      </w:tr>
      <w:tr w:rsidR="003E2A3E" w:rsidRPr="003E2A3E" w14:paraId="5503C911" w14:textId="77777777" w:rsidTr="004911AE">
        <w:trPr>
          <w:trHeight w:val="300"/>
        </w:trPr>
        <w:tc>
          <w:tcPr>
            <w:tcW w:w="2678" w:type="dxa"/>
            <w:noWrap/>
            <w:vAlign w:val="center"/>
            <w:hideMark/>
          </w:tcPr>
          <w:p w14:paraId="0FE62FE0"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DER</w:t>
            </w:r>
          </w:p>
        </w:tc>
        <w:tc>
          <w:tcPr>
            <w:tcW w:w="6682" w:type="dxa"/>
            <w:noWrap/>
            <w:vAlign w:val="center"/>
            <w:hideMark/>
          </w:tcPr>
          <w:p w14:paraId="0CC74DE4" w14:textId="016258C2" w:rsidR="002B488B" w:rsidRPr="003E2A3E" w:rsidRDefault="002B488B" w:rsidP="002B488B">
            <w:pPr>
              <w:rPr>
                <w:rFonts w:asciiTheme="minorHAnsi" w:hAnsiTheme="minorHAnsi" w:cs="Arial"/>
                <w:sz w:val="22"/>
              </w:rPr>
            </w:pPr>
            <w:r w:rsidRPr="003E2A3E">
              <w:rPr>
                <w:rFonts w:asciiTheme="minorHAnsi" w:hAnsiTheme="minorHAnsi" w:cs="Arial"/>
                <w:sz w:val="22"/>
              </w:rPr>
              <w:t>Distributed Energy Resource</w:t>
            </w:r>
            <w:r w:rsidR="00DF61A3" w:rsidRPr="003E2A3E">
              <w:rPr>
                <w:rFonts w:asciiTheme="minorHAnsi" w:hAnsiTheme="minorHAnsi" w:cs="Arial"/>
                <w:sz w:val="22"/>
              </w:rPr>
              <w:t xml:space="preserve">. </w:t>
            </w:r>
            <w:r w:rsidR="00EE0B62" w:rsidRPr="003E2A3E">
              <w:rPr>
                <w:rFonts w:asciiTheme="minorHAnsi" w:hAnsiTheme="minorHAnsi" w:cs="Arial"/>
                <w:sz w:val="22"/>
              </w:rPr>
              <w:t>Small-scale units of local generation connected to the grid at distribution level.</w:t>
            </w:r>
          </w:p>
        </w:tc>
      </w:tr>
      <w:tr w:rsidR="003E2A3E" w:rsidRPr="003E2A3E" w14:paraId="2A1BD99A" w14:textId="77777777" w:rsidTr="004911AE">
        <w:trPr>
          <w:trHeight w:val="1200"/>
        </w:trPr>
        <w:tc>
          <w:tcPr>
            <w:tcW w:w="2678" w:type="dxa"/>
            <w:noWrap/>
            <w:vAlign w:val="center"/>
            <w:hideMark/>
          </w:tcPr>
          <w:p w14:paraId="0D457595" w14:textId="72C3062A"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DER Customer Program Pilot</w:t>
            </w:r>
          </w:p>
        </w:tc>
        <w:tc>
          <w:tcPr>
            <w:tcW w:w="6682" w:type="dxa"/>
            <w:vAlign w:val="center"/>
            <w:hideMark/>
          </w:tcPr>
          <w:p w14:paraId="3CBC97E4"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Customer-focused program that addresses the emerging resilience needs of commercial and industrial customers through dispatchable DER-based solutions, while also providing demand response value to the benefit of all customers</w:t>
            </w:r>
          </w:p>
        </w:tc>
      </w:tr>
      <w:tr w:rsidR="003E2A3E" w:rsidRPr="003E2A3E" w14:paraId="4241D184" w14:textId="77777777" w:rsidTr="004911AE">
        <w:trPr>
          <w:trHeight w:val="300"/>
        </w:trPr>
        <w:tc>
          <w:tcPr>
            <w:tcW w:w="2678" w:type="dxa"/>
            <w:noWrap/>
            <w:vAlign w:val="center"/>
            <w:hideMark/>
          </w:tcPr>
          <w:p w14:paraId="09779F46"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DERMS</w:t>
            </w:r>
          </w:p>
        </w:tc>
        <w:tc>
          <w:tcPr>
            <w:tcW w:w="6682" w:type="dxa"/>
            <w:noWrap/>
            <w:vAlign w:val="center"/>
            <w:hideMark/>
          </w:tcPr>
          <w:p w14:paraId="4D25E7FE" w14:textId="43E56541" w:rsidR="002B488B" w:rsidRPr="003E2A3E" w:rsidRDefault="002B488B" w:rsidP="002B488B">
            <w:pPr>
              <w:rPr>
                <w:rFonts w:asciiTheme="minorHAnsi" w:hAnsiTheme="minorHAnsi" w:cs="Arial"/>
                <w:sz w:val="22"/>
              </w:rPr>
            </w:pPr>
            <w:r w:rsidRPr="003E2A3E">
              <w:rPr>
                <w:rFonts w:asciiTheme="minorHAnsi" w:hAnsiTheme="minorHAnsi" w:cs="Arial"/>
                <w:sz w:val="22"/>
              </w:rPr>
              <w:t>Distributed Energy Resource Management System</w:t>
            </w:r>
            <w:r w:rsidR="00AA5CFB" w:rsidRPr="003E2A3E">
              <w:rPr>
                <w:rFonts w:asciiTheme="minorHAnsi" w:hAnsiTheme="minorHAnsi" w:cs="Arial"/>
                <w:sz w:val="22"/>
              </w:rPr>
              <w:t>. A system to manage distributed energy resources</w:t>
            </w:r>
            <w:r w:rsidR="003B36E2" w:rsidRPr="003E2A3E">
              <w:rPr>
                <w:rFonts w:asciiTheme="minorHAnsi" w:hAnsiTheme="minorHAnsi" w:cs="Arial"/>
                <w:sz w:val="22"/>
              </w:rPr>
              <w:t>.</w:t>
            </w:r>
          </w:p>
        </w:tc>
      </w:tr>
      <w:tr w:rsidR="003E2A3E" w:rsidRPr="003E2A3E" w14:paraId="748D0381" w14:textId="77777777" w:rsidTr="004911AE">
        <w:trPr>
          <w:trHeight w:val="300"/>
        </w:trPr>
        <w:tc>
          <w:tcPr>
            <w:tcW w:w="2678" w:type="dxa"/>
            <w:noWrap/>
            <w:vAlign w:val="center"/>
            <w:hideMark/>
          </w:tcPr>
          <w:p w14:paraId="720F9169"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DG</w:t>
            </w:r>
          </w:p>
        </w:tc>
        <w:tc>
          <w:tcPr>
            <w:tcW w:w="6682" w:type="dxa"/>
            <w:noWrap/>
            <w:vAlign w:val="center"/>
            <w:hideMark/>
          </w:tcPr>
          <w:p w14:paraId="5A4A6EE4" w14:textId="3DEC7032" w:rsidR="002B488B" w:rsidRPr="003E2A3E" w:rsidRDefault="002B488B" w:rsidP="002B488B">
            <w:pPr>
              <w:rPr>
                <w:rFonts w:asciiTheme="minorHAnsi" w:hAnsiTheme="minorHAnsi" w:cs="Arial"/>
                <w:sz w:val="22"/>
              </w:rPr>
            </w:pPr>
            <w:r w:rsidRPr="003E2A3E">
              <w:rPr>
                <w:rFonts w:asciiTheme="minorHAnsi" w:hAnsiTheme="minorHAnsi" w:cs="Arial"/>
                <w:sz w:val="22"/>
              </w:rPr>
              <w:t>Distributed Generation</w:t>
            </w:r>
          </w:p>
        </w:tc>
      </w:tr>
      <w:tr w:rsidR="003E2A3E" w:rsidRPr="003E2A3E" w14:paraId="56A0F0B9" w14:textId="77777777" w:rsidTr="004911AE">
        <w:trPr>
          <w:trHeight w:val="300"/>
        </w:trPr>
        <w:tc>
          <w:tcPr>
            <w:tcW w:w="2678" w:type="dxa"/>
            <w:noWrap/>
            <w:vAlign w:val="center"/>
          </w:tcPr>
          <w:p w14:paraId="092255CC" w14:textId="4198AADF"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DLR</w:t>
            </w:r>
          </w:p>
        </w:tc>
        <w:tc>
          <w:tcPr>
            <w:tcW w:w="6682" w:type="dxa"/>
            <w:noWrap/>
            <w:vAlign w:val="center"/>
          </w:tcPr>
          <w:p w14:paraId="05422C0F" w14:textId="0C5E4C9F" w:rsidR="002B488B" w:rsidRPr="003E2A3E" w:rsidRDefault="002B488B" w:rsidP="002B488B">
            <w:pPr>
              <w:rPr>
                <w:rFonts w:asciiTheme="minorHAnsi" w:hAnsiTheme="minorHAnsi" w:cs="Arial"/>
                <w:sz w:val="22"/>
              </w:rPr>
            </w:pPr>
            <w:r w:rsidRPr="003E2A3E">
              <w:rPr>
                <w:rFonts w:asciiTheme="minorHAnsi" w:hAnsiTheme="minorHAnsi" w:cs="Arial"/>
                <w:sz w:val="22"/>
              </w:rPr>
              <w:t>Dynamic Line Rating</w:t>
            </w:r>
          </w:p>
        </w:tc>
      </w:tr>
      <w:tr w:rsidR="003E2A3E" w:rsidRPr="003E2A3E" w14:paraId="64E1B0DD" w14:textId="77777777" w:rsidTr="004911AE">
        <w:trPr>
          <w:trHeight w:val="300"/>
        </w:trPr>
        <w:tc>
          <w:tcPr>
            <w:tcW w:w="2678" w:type="dxa"/>
            <w:noWrap/>
            <w:vAlign w:val="center"/>
            <w:hideMark/>
          </w:tcPr>
          <w:p w14:paraId="60CC7488"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DOE</w:t>
            </w:r>
          </w:p>
        </w:tc>
        <w:tc>
          <w:tcPr>
            <w:tcW w:w="6682" w:type="dxa"/>
            <w:noWrap/>
            <w:vAlign w:val="center"/>
            <w:hideMark/>
          </w:tcPr>
          <w:p w14:paraId="1E9F6B3C"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Department of Energy</w:t>
            </w:r>
          </w:p>
        </w:tc>
      </w:tr>
      <w:tr w:rsidR="003E2A3E" w:rsidRPr="003E2A3E" w14:paraId="53AA052B" w14:textId="77777777" w:rsidTr="004911AE">
        <w:trPr>
          <w:trHeight w:val="300"/>
        </w:trPr>
        <w:tc>
          <w:tcPr>
            <w:tcW w:w="2678" w:type="dxa"/>
            <w:noWrap/>
            <w:vAlign w:val="center"/>
            <w:hideMark/>
          </w:tcPr>
          <w:p w14:paraId="414B06D8"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DPEC</w:t>
            </w:r>
          </w:p>
        </w:tc>
        <w:tc>
          <w:tcPr>
            <w:tcW w:w="6682" w:type="dxa"/>
            <w:noWrap/>
            <w:vAlign w:val="center"/>
            <w:hideMark/>
          </w:tcPr>
          <w:p w14:paraId="76527045"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Demand Plus Energy Credit</w:t>
            </w:r>
          </w:p>
        </w:tc>
      </w:tr>
      <w:tr w:rsidR="003E2A3E" w:rsidRPr="003E2A3E" w14:paraId="1EE2168C" w14:textId="77777777" w:rsidTr="004911AE">
        <w:trPr>
          <w:trHeight w:val="300"/>
        </w:trPr>
        <w:tc>
          <w:tcPr>
            <w:tcW w:w="2678" w:type="dxa"/>
            <w:noWrap/>
            <w:vAlign w:val="center"/>
          </w:tcPr>
          <w:p w14:paraId="2282ADA2" w14:textId="28FAD20F" w:rsidR="006E73CC" w:rsidRPr="003E2A3E" w:rsidRDefault="006E73CC" w:rsidP="002B488B">
            <w:pPr>
              <w:rPr>
                <w:rFonts w:asciiTheme="minorHAnsi" w:hAnsiTheme="minorHAnsi" w:cs="Arial"/>
                <w:b/>
                <w:sz w:val="22"/>
              </w:rPr>
            </w:pPr>
            <w:r w:rsidRPr="003E2A3E">
              <w:rPr>
                <w:rFonts w:asciiTheme="minorHAnsi" w:hAnsiTheme="minorHAnsi" w:cs="Arial"/>
                <w:b/>
                <w:sz w:val="22"/>
              </w:rPr>
              <w:t>DR</w:t>
            </w:r>
          </w:p>
        </w:tc>
        <w:tc>
          <w:tcPr>
            <w:tcW w:w="6682" w:type="dxa"/>
            <w:noWrap/>
            <w:vAlign w:val="center"/>
          </w:tcPr>
          <w:p w14:paraId="0A4BF426" w14:textId="18CAFB3A" w:rsidR="006E73CC" w:rsidRPr="003E2A3E" w:rsidRDefault="006E73CC" w:rsidP="002B488B">
            <w:pPr>
              <w:rPr>
                <w:rFonts w:asciiTheme="minorHAnsi" w:hAnsiTheme="minorHAnsi" w:cs="Arial"/>
                <w:sz w:val="22"/>
              </w:rPr>
            </w:pPr>
            <w:r w:rsidRPr="003E2A3E">
              <w:rPr>
                <w:rFonts w:asciiTheme="minorHAnsi" w:hAnsiTheme="minorHAnsi" w:cs="Arial"/>
                <w:sz w:val="22"/>
              </w:rPr>
              <w:t>Demand Response</w:t>
            </w:r>
          </w:p>
        </w:tc>
      </w:tr>
      <w:tr w:rsidR="003E2A3E" w:rsidRPr="003E2A3E" w14:paraId="19F9EC2A" w14:textId="77777777" w:rsidTr="004911AE">
        <w:trPr>
          <w:trHeight w:val="300"/>
        </w:trPr>
        <w:tc>
          <w:tcPr>
            <w:tcW w:w="2678" w:type="dxa"/>
            <w:noWrap/>
            <w:vAlign w:val="center"/>
            <w:hideMark/>
          </w:tcPr>
          <w:p w14:paraId="3C95376F"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DRC-1</w:t>
            </w:r>
          </w:p>
        </w:tc>
        <w:tc>
          <w:tcPr>
            <w:tcW w:w="6682" w:type="dxa"/>
            <w:noWrap/>
            <w:vAlign w:val="center"/>
            <w:hideMark/>
          </w:tcPr>
          <w:p w14:paraId="437C7DFB"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Demand Response Credit Tariff</w:t>
            </w:r>
          </w:p>
        </w:tc>
      </w:tr>
      <w:tr w:rsidR="003E2A3E" w:rsidRPr="003E2A3E" w14:paraId="12500C92" w14:textId="77777777" w:rsidTr="004911AE">
        <w:trPr>
          <w:trHeight w:val="300"/>
        </w:trPr>
        <w:tc>
          <w:tcPr>
            <w:tcW w:w="2678" w:type="dxa"/>
            <w:noWrap/>
            <w:vAlign w:val="center"/>
            <w:hideMark/>
          </w:tcPr>
          <w:p w14:paraId="23E5C2E7"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DSM</w:t>
            </w:r>
          </w:p>
        </w:tc>
        <w:tc>
          <w:tcPr>
            <w:tcW w:w="6682" w:type="dxa"/>
            <w:noWrap/>
            <w:vAlign w:val="center"/>
            <w:hideMark/>
          </w:tcPr>
          <w:p w14:paraId="4072E1DF"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Demand-Side Management</w:t>
            </w:r>
          </w:p>
        </w:tc>
      </w:tr>
      <w:tr w:rsidR="003E2A3E" w:rsidRPr="003E2A3E" w14:paraId="497E61DA" w14:textId="77777777" w:rsidTr="004911AE">
        <w:trPr>
          <w:trHeight w:val="300"/>
        </w:trPr>
        <w:tc>
          <w:tcPr>
            <w:tcW w:w="2678" w:type="dxa"/>
            <w:noWrap/>
            <w:vAlign w:val="center"/>
            <w:hideMark/>
          </w:tcPr>
          <w:p w14:paraId="23FEE760"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DSMWG</w:t>
            </w:r>
          </w:p>
        </w:tc>
        <w:tc>
          <w:tcPr>
            <w:tcW w:w="6682" w:type="dxa"/>
            <w:noWrap/>
            <w:vAlign w:val="center"/>
            <w:hideMark/>
          </w:tcPr>
          <w:p w14:paraId="04FF1968"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Demand-Side Management Working Group</w:t>
            </w:r>
          </w:p>
        </w:tc>
      </w:tr>
      <w:tr w:rsidR="003E2A3E" w:rsidRPr="003E2A3E" w14:paraId="65FDAC9F" w14:textId="77777777" w:rsidTr="004911AE">
        <w:trPr>
          <w:trHeight w:val="300"/>
        </w:trPr>
        <w:tc>
          <w:tcPr>
            <w:tcW w:w="2678" w:type="dxa"/>
            <w:noWrap/>
            <w:vAlign w:val="center"/>
            <w:hideMark/>
          </w:tcPr>
          <w:p w14:paraId="107CD572"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DSOs</w:t>
            </w:r>
          </w:p>
        </w:tc>
        <w:tc>
          <w:tcPr>
            <w:tcW w:w="6682" w:type="dxa"/>
            <w:noWrap/>
            <w:vAlign w:val="center"/>
            <w:hideMark/>
          </w:tcPr>
          <w:p w14:paraId="20152373" w14:textId="13D56109" w:rsidR="002B488B" w:rsidRPr="003E2A3E" w:rsidRDefault="002B488B" w:rsidP="002B488B">
            <w:pPr>
              <w:rPr>
                <w:rFonts w:asciiTheme="minorHAnsi" w:hAnsiTheme="minorHAnsi" w:cs="Arial"/>
                <w:sz w:val="22"/>
              </w:rPr>
            </w:pPr>
            <w:r w:rsidRPr="003E2A3E">
              <w:rPr>
                <w:rFonts w:asciiTheme="minorHAnsi" w:hAnsiTheme="minorHAnsi" w:cs="Arial"/>
                <w:sz w:val="22"/>
              </w:rPr>
              <w:t>Demand-side options</w:t>
            </w:r>
            <w:r w:rsidR="005600BA" w:rsidRPr="003E2A3E">
              <w:rPr>
                <w:rFonts w:asciiTheme="minorHAnsi" w:hAnsiTheme="minorHAnsi" w:cs="Arial"/>
                <w:sz w:val="22"/>
              </w:rPr>
              <w:t>. Strategies to reduce energy consumption through various programs and incentives.</w:t>
            </w:r>
          </w:p>
        </w:tc>
      </w:tr>
      <w:tr w:rsidR="003E2A3E" w:rsidRPr="003E2A3E" w14:paraId="5DB250A7" w14:textId="77777777" w:rsidTr="004911AE">
        <w:trPr>
          <w:trHeight w:val="300"/>
        </w:trPr>
        <w:tc>
          <w:tcPr>
            <w:tcW w:w="2678" w:type="dxa"/>
            <w:noWrap/>
            <w:vAlign w:val="center"/>
          </w:tcPr>
          <w:p w14:paraId="1A01D6CD" w14:textId="4F6C67AA" w:rsidR="00850137" w:rsidRPr="003E2A3E" w:rsidRDefault="00850137" w:rsidP="002B488B">
            <w:pPr>
              <w:rPr>
                <w:rFonts w:asciiTheme="minorHAnsi" w:hAnsiTheme="minorHAnsi" w:cs="Arial"/>
                <w:b/>
                <w:sz w:val="22"/>
              </w:rPr>
            </w:pPr>
            <w:r w:rsidRPr="003E2A3E">
              <w:rPr>
                <w:rFonts w:asciiTheme="minorHAnsi" w:hAnsiTheme="minorHAnsi" w:cs="Arial"/>
                <w:b/>
                <w:sz w:val="22"/>
              </w:rPr>
              <w:t>EASE</w:t>
            </w:r>
          </w:p>
        </w:tc>
        <w:tc>
          <w:tcPr>
            <w:tcW w:w="6682" w:type="dxa"/>
            <w:noWrap/>
            <w:vAlign w:val="center"/>
          </w:tcPr>
          <w:p w14:paraId="539A3363" w14:textId="1B287E92" w:rsidR="00850137" w:rsidRPr="003E2A3E" w:rsidRDefault="00850137" w:rsidP="002B488B">
            <w:pPr>
              <w:rPr>
                <w:rFonts w:asciiTheme="minorHAnsi" w:hAnsiTheme="minorHAnsi" w:cs="Arial"/>
                <w:sz w:val="22"/>
              </w:rPr>
            </w:pPr>
            <w:r w:rsidRPr="003E2A3E">
              <w:rPr>
                <w:rFonts w:asciiTheme="minorHAnsi" w:hAnsiTheme="minorHAnsi" w:cs="Arial"/>
                <w:sz w:val="22"/>
              </w:rPr>
              <w:t>Energy Assistance for Savings and Effic</w:t>
            </w:r>
            <w:r w:rsidR="009739A0" w:rsidRPr="003E2A3E">
              <w:rPr>
                <w:rFonts w:asciiTheme="minorHAnsi" w:hAnsiTheme="minorHAnsi" w:cs="Arial"/>
                <w:sz w:val="22"/>
              </w:rPr>
              <w:t>iency</w:t>
            </w:r>
          </w:p>
        </w:tc>
      </w:tr>
      <w:tr w:rsidR="003E2A3E" w:rsidRPr="003E2A3E" w14:paraId="29EDE41B" w14:textId="77777777" w:rsidTr="004911AE">
        <w:trPr>
          <w:trHeight w:val="300"/>
        </w:trPr>
        <w:tc>
          <w:tcPr>
            <w:tcW w:w="2678" w:type="dxa"/>
            <w:noWrap/>
            <w:vAlign w:val="center"/>
            <w:hideMark/>
          </w:tcPr>
          <w:p w14:paraId="4FD4324B"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ECCR</w:t>
            </w:r>
          </w:p>
        </w:tc>
        <w:tc>
          <w:tcPr>
            <w:tcW w:w="6682" w:type="dxa"/>
            <w:noWrap/>
            <w:vAlign w:val="center"/>
            <w:hideMark/>
          </w:tcPr>
          <w:p w14:paraId="1A9A3B9E"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Environmental Compliance Cost Recovery</w:t>
            </w:r>
          </w:p>
        </w:tc>
      </w:tr>
      <w:tr w:rsidR="003E2A3E" w:rsidRPr="003E2A3E" w14:paraId="4255E1B9" w14:textId="77777777" w:rsidTr="004911AE">
        <w:trPr>
          <w:trHeight w:val="300"/>
        </w:trPr>
        <w:tc>
          <w:tcPr>
            <w:tcW w:w="2678" w:type="dxa"/>
            <w:noWrap/>
            <w:vAlign w:val="center"/>
            <w:hideMark/>
          </w:tcPr>
          <w:p w14:paraId="2654B321"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lastRenderedPageBreak/>
              <w:t>ECS</w:t>
            </w:r>
          </w:p>
        </w:tc>
        <w:tc>
          <w:tcPr>
            <w:tcW w:w="6682" w:type="dxa"/>
            <w:noWrap/>
            <w:vAlign w:val="center"/>
            <w:hideMark/>
          </w:tcPr>
          <w:p w14:paraId="1A68D23B" w14:textId="7AA3473F" w:rsidR="002B488B" w:rsidRPr="003E2A3E" w:rsidRDefault="002B488B" w:rsidP="002B488B">
            <w:pPr>
              <w:rPr>
                <w:rFonts w:asciiTheme="minorHAnsi" w:hAnsiTheme="minorHAnsi" w:cs="Arial"/>
                <w:sz w:val="22"/>
              </w:rPr>
            </w:pPr>
            <w:r w:rsidRPr="003E2A3E">
              <w:rPr>
                <w:rFonts w:asciiTheme="minorHAnsi" w:hAnsiTheme="minorHAnsi" w:cs="Arial"/>
                <w:sz w:val="22"/>
              </w:rPr>
              <w:t>Environmental Compliance Strategy</w:t>
            </w:r>
            <w:r w:rsidR="004C71E9" w:rsidRPr="003E2A3E">
              <w:rPr>
                <w:rFonts w:asciiTheme="minorHAnsi" w:hAnsiTheme="minorHAnsi" w:cs="Arial"/>
                <w:sz w:val="22"/>
              </w:rPr>
              <w:t>. A strategy to comply with environmental laws and regulations.</w:t>
            </w:r>
          </w:p>
        </w:tc>
      </w:tr>
      <w:tr w:rsidR="003E2A3E" w:rsidRPr="003E2A3E" w14:paraId="4C34FED3" w14:textId="77777777" w:rsidTr="004911AE">
        <w:trPr>
          <w:trHeight w:val="300"/>
        </w:trPr>
        <w:tc>
          <w:tcPr>
            <w:tcW w:w="2678" w:type="dxa"/>
            <w:noWrap/>
            <w:vAlign w:val="center"/>
            <w:hideMark/>
          </w:tcPr>
          <w:p w14:paraId="73C14A33"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EIA</w:t>
            </w:r>
          </w:p>
        </w:tc>
        <w:tc>
          <w:tcPr>
            <w:tcW w:w="6682" w:type="dxa"/>
            <w:noWrap/>
            <w:vAlign w:val="center"/>
            <w:hideMark/>
          </w:tcPr>
          <w:p w14:paraId="5948781E" w14:textId="42815592" w:rsidR="002B488B" w:rsidRPr="003E2A3E" w:rsidRDefault="002B488B" w:rsidP="002B488B">
            <w:pPr>
              <w:rPr>
                <w:rFonts w:asciiTheme="minorHAnsi" w:hAnsiTheme="minorHAnsi" w:cs="Arial"/>
                <w:sz w:val="22"/>
              </w:rPr>
            </w:pPr>
            <w:r w:rsidRPr="003E2A3E">
              <w:rPr>
                <w:rFonts w:asciiTheme="minorHAnsi" w:hAnsiTheme="minorHAnsi" w:cs="Arial"/>
                <w:sz w:val="22"/>
              </w:rPr>
              <w:t>Energy Information Administration</w:t>
            </w:r>
            <w:r w:rsidR="0084605F" w:rsidRPr="003E2A3E">
              <w:rPr>
                <w:rFonts w:asciiTheme="minorHAnsi" w:hAnsiTheme="minorHAnsi" w:cs="Arial"/>
                <w:sz w:val="22"/>
              </w:rPr>
              <w:t>. A U.S. government agency responsible for collecting and analyzing energy data.</w:t>
            </w:r>
          </w:p>
        </w:tc>
      </w:tr>
      <w:tr w:rsidR="003E2A3E" w:rsidRPr="003E2A3E" w14:paraId="7C929915" w14:textId="77777777" w:rsidTr="004911AE">
        <w:trPr>
          <w:trHeight w:val="315"/>
        </w:trPr>
        <w:tc>
          <w:tcPr>
            <w:tcW w:w="2678" w:type="dxa"/>
            <w:noWrap/>
            <w:vAlign w:val="center"/>
          </w:tcPr>
          <w:p w14:paraId="5220157D" w14:textId="2984ADF0" w:rsidR="00195705" w:rsidRPr="003E2A3E" w:rsidRDefault="00195705" w:rsidP="002B488B">
            <w:pPr>
              <w:rPr>
                <w:rFonts w:asciiTheme="minorHAnsi" w:hAnsiTheme="minorHAnsi" w:cs="Arial"/>
                <w:b/>
                <w:sz w:val="22"/>
              </w:rPr>
            </w:pPr>
            <w:r w:rsidRPr="003E2A3E">
              <w:rPr>
                <w:rFonts w:asciiTheme="minorHAnsi" w:hAnsiTheme="minorHAnsi" w:cs="Arial"/>
                <w:b/>
                <w:sz w:val="22"/>
              </w:rPr>
              <w:t>EL</w:t>
            </w:r>
          </w:p>
        </w:tc>
        <w:tc>
          <w:tcPr>
            <w:tcW w:w="6682" w:type="dxa"/>
            <w:noWrap/>
            <w:vAlign w:val="center"/>
          </w:tcPr>
          <w:p w14:paraId="33E53E44" w14:textId="0C446E83" w:rsidR="00195705" w:rsidRPr="003E2A3E" w:rsidRDefault="00195705" w:rsidP="002B488B">
            <w:pPr>
              <w:rPr>
                <w:rFonts w:asciiTheme="minorHAnsi" w:hAnsiTheme="minorHAnsi" w:cs="Arial"/>
                <w:sz w:val="22"/>
              </w:rPr>
            </w:pPr>
            <w:r w:rsidRPr="003E2A3E">
              <w:rPr>
                <w:rFonts w:asciiTheme="minorHAnsi" w:hAnsiTheme="minorHAnsi" w:cs="Arial"/>
                <w:sz w:val="22"/>
              </w:rPr>
              <w:t>Emissions Limit scenario</w:t>
            </w:r>
          </w:p>
        </w:tc>
      </w:tr>
      <w:tr w:rsidR="003E2A3E" w:rsidRPr="003E2A3E" w14:paraId="320637BE" w14:textId="77777777" w:rsidTr="004911AE">
        <w:trPr>
          <w:trHeight w:val="315"/>
        </w:trPr>
        <w:tc>
          <w:tcPr>
            <w:tcW w:w="2678" w:type="dxa"/>
            <w:noWrap/>
            <w:vAlign w:val="center"/>
            <w:hideMark/>
          </w:tcPr>
          <w:p w14:paraId="30A70D5F"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ELCC</w:t>
            </w:r>
          </w:p>
        </w:tc>
        <w:tc>
          <w:tcPr>
            <w:tcW w:w="6682" w:type="dxa"/>
            <w:noWrap/>
            <w:vAlign w:val="center"/>
            <w:hideMark/>
          </w:tcPr>
          <w:p w14:paraId="13B8C264" w14:textId="2EF05F34" w:rsidR="002B488B" w:rsidRPr="003E2A3E" w:rsidRDefault="002B488B" w:rsidP="002B488B">
            <w:pPr>
              <w:rPr>
                <w:rFonts w:asciiTheme="minorHAnsi" w:hAnsiTheme="minorHAnsi" w:cs="Arial"/>
                <w:sz w:val="22"/>
              </w:rPr>
            </w:pPr>
            <w:r w:rsidRPr="003E2A3E">
              <w:rPr>
                <w:rFonts w:asciiTheme="minorHAnsi" w:hAnsiTheme="minorHAnsi" w:cs="Arial"/>
                <w:sz w:val="22"/>
              </w:rPr>
              <w:t>Effective Load Carrying Capability</w:t>
            </w:r>
            <w:r w:rsidR="0024426E" w:rsidRPr="003E2A3E">
              <w:rPr>
                <w:rFonts w:asciiTheme="minorHAnsi" w:hAnsiTheme="minorHAnsi" w:cs="Arial"/>
                <w:sz w:val="22"/>
              </w:rPr>
              <w:t xml:space="preserve">. </w:t>
            </w:r>
            <w:r w:rsidR="00A63DB5" w:rsidRPr="003E2A3E">
              <w:rPr>
                <w:rFonts w:asciiTheme="minorHAnsi" w:hAnsiTheme="minorHAnsi" w:cs="Arial"/>
                <w:sz w:val="22"/>
              </w:rPr>
              <w:t>A measure of the contribution of a power source to system reliability.</w:t>
            </w:r>
          </w:p>
        </w:tc>
      </w:tr>
      <w:tr w:rsidR="003E2A3E" w:rsidRPr="003E2A3E" w14:paraId="23314257" w14:textId="77777777" w:rsidTr="004911AE">
        <w:trPr>
          <w:trHeight w:val="300"/>
        </w:trPr>
        <w:tc>
          <w:tcPr>
            <w:tcW w:w="2678" w:type="dxa"/>
            <w:noWrap/>
            <w:vAlign w:val="center"/>
            <w:hideMark/>
          </w:tcPr>
          <w:p w14:paraId="33953D74"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ELG</w:t>
            </w:r>
          </w:p>
        </w:tc>
        <w:tc>
          <w:tcPr>
            <w:tcW w:w="6682" w:type="dxa"/>
            <w:noWrap/>
            <w:vAlign w:val="center"/>
            <w:hideMark/>
          </w:tcPr>
          <w:p w14:paraId="7F636547"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Effluent Limitations Guidelines</w:t>
            </w:r>
          </w:p>
        </w:tc>
      </w:tr>
      <w:tr w:rsidR="003E2A3E" w:rsidRPr="003E2A3E" w14:paraId="3A0AEDE0" w14:textId="77777777" w:rsidTr="004911AE">
        <w:trPr>
          <w:trHeight w:val="300"/>
        </w:trPr>
        <w:tc>
          <w:tcPr>
            <w:tcW w:w="2678" w:type="dxa"/>
            <w:noWrap/>
            <w:vAlign w:val="center"/>
            <w:hideMark/>
          </w:tcPr>
          <w:p w14:paraId="33CACCA9" w14:textId="77777777" w:rsidR="002B488B" w:rsidRPr="008B7BC8" w:rsidRDefault="002B488B" w:rsidP="002B488B">
            <w:pPr>
              <w:rPr>
                <w:rFonts w:ascii="Aptos" w:hAnsi="Aptos" w:cs="Arial"/>
                <w:b/>
                <w:bCs/>
                <w:sz w:val="22"/>
              </w:rPr>
            </w:pPr>
            <w:r w:rsidRPr="008B7BC8">
              <w:rPr>
                <w:rFonts w:ascii="Aptos" w:hAnsi="Aptos" w:cs="Arial"/>
                <w:b/>
                <w:bCs/>
                <w:sz w:val="22"/>
              </w:rPr>
              <w:t>EMP</w:t>
            </w:r>
          </w:p>
        </w:tc>
        <w:tc>
          <w:tcPr>
            <w:tcW w:w="6682" w:type="dxa"/>
            <w:noWrap/>
            <w:vAlign w:val="center"/>
            <w:hideMark/>
          </w:tcPr>
          <w:p w14:paraId="061A4D0F" w14:textId="7666A5D5" w:rsidR="002B488B" w:rsidRPr="008B7BC8" w:rsidRDefault="002B488B" w:rsidP="002B488B">
            <w:pPr>
              <w:rPr>
                <w:rFonts w:ascii="Aptos" w:hAnsi="Aptos" w:cs="Arial"/>
                <w:sz w:val="22"/>
              </w:rPr>
            </w:pPr>
            <w:r w:rsidRPr="008B7BC8">
              <w:rPr>
                <w:rFonts w:ascii="Aptos" w:hAnsi="Aptos" w:cs="Arial"/>
                <w:sz w:val="22"/>
              </w:rPr>
              <w:t>Electromagnetic Pulse</w:t>
            </w:r>
            <w:r w:rsidR="001D4E38" w:rsidRPr="008B7BC8">
              <w:rPr>
                <w:rFonts w:ascii="Aptos" w:hAnsi="Aptos" w:cs="Arial"/>
                <w:sz w:val="22"/>
              </w:rPr>
              <w:t xml:space="preserve">. </w:t>
            </w:r>
            <w:r w:rsidR="003F2384" w:rsidRPr="008B7BC8">
              <w:rPr>
                <w:rFonts w:ascii="Aptos" w:hAnsi="Aptos" w:cs="Arial"/>
                <w:sz w:val="22"/>
              </w:rPr>
              <w:t>A burst of electromagnetic radiation that can disrupt electronic equipment and infrastructure.</w:t>
            </w:r>
          </w:p>
        </w:tc>
      </w:tr>
      <w:tr w:rsidR="001E7F96" w:rsidRPr="003E2A3E" w14:paraId="0861CDAA" w14:textId="77777777" w:rsidTr="004911AE">
        <w:trPr>
          <w:trHeight w:val="300"/>
        </w:trPr>
        <w:tc>
          <w:tcPr>
            <w:tcW w:w="2678" w:type="dxa"/>
            <w:noWrap/>
            <w:vAlign w:val="center"/>
          </w:tcPr>
          <w:p w14:paraId="59829DEE" w14:textId="6C35A4C6" w:rsidR="001E7F96" w:rsidRPr="008B7BC8" w:rsidRDefault="001E7F96" w:rsidP="002B488B">
            <w:pPr>
              <w:rPr>
                <w:rFonts w:ascii="Aptos" w:hAnsi="Aptos" w:cs="Arial"/>
                <w:b/>
                <w:bCs/>
                <w:sz w:val="22"/>
              </w:rPr>
            </w:pPr>
            <w:r w:rsidRPr="008B7BC8">
              <w:rPr>
                <w:rFonts w:ascii="Aptos" w:hAnsi="Aptos" w:cs="Arial"/>
                <w:b/>
                <w:bCs/>
                <w:sz w:val="22"/>
              </w:rPr>
              <w:t>EnergyUnited</w:t>
            </w:r>
          </w:p>
        </w:tc>
        <w:tc>
          <w:tcPr>
            <w:tcW w:w="6682" w:type="dxa"/>
            <w:noWrap/>
            <w:vAlign w:val="center"/>
          </w:tcPr>
          <w:p w14:paraId="02F1915A" w14:textId="33049105" w:rsidR="001E7F96" w:rsidRPr="008B7BC8" w:rsidRDefault="001E7F96" w:rsidP="002B488B">
            <w:pPr>
              <w:rPr>
                <w:rFonts w:ascii="Aptos" w:hAnsi="Aptos" w:cs="Arial"/>
                <w:sz w:val="22"/>
              </w:rPr>
            </w:pPr>
            <w:r w:rsidRPr="008B7BC8">
              <w:rPr>
                <w:rFonts w:ascii="Aptos" w:hAnsi="Aptos" w:cs="Arial"/>
                <w:sz w:val="22"/>
              </w:rPr>
              <w:t>EnergyUnited Electric Membership Corporation</w:t>
            </w:r>
          </w:p>
        </w:tc>
      </w:tr>
      <w:tr w:rsidR="003E2A3E" w:rsidRPr="003E2A3E" w14:paraId="66CC2480" w14:textId="77777777" w:rsidTr="004911AE">
        <w:trPr>
          <w:trHeight w:val="300"/>
        </w:trPr>
        <w:tc>
          <w:tcPr>
            <w:tcW w:w="2678" w:type="dxa"/>
            <w:noWrap/>
            <w:vAlign w:val="center"/>
            <w:hideMark/>
          </w:tcPr>
          <w:p w14:paraId="50547168"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EOO</w:t>
            </w:r>
          </w:p>
        </w:tc>
        <w:tc>
          <w:tcPr>
            <w:tcW w:w="6682" w:type="dxa"/>
            <w:noWrap/>
            <w:vAlign w:val="center"/>
            <w:hideMark/>
          </w:tcPr>
          <w:p w14:paraId="528F841D"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Energy Offset Only</w:t>
            </w:r>
          </w:p>
        </w:tc>
      </w:tr>
      <w:tr w:rsidR="003E2A3E" w:rsidRPr="003E2A3E" w14:paraId="24D12668" w14:textId="77777777" w:rsidTr="004911AE">
        <w:trPr>
          <w:trHeight w:val="300"/>
        </w:trPr>
        <w:tc>
          <w:tcPr>
            <w:tcW w:w="2678" w:type="dxa"/>
            <w:noWrap/>
            <w:vAlign w:val="center"/>
            <w:hideMark/>
          </w:tcPr>
          <w:p w14:paraId="40A125C8"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EPA</w:t>
            </w:r>
          </w:p>
        </w:tc>
        <w:tc>
          <w:tcPr>
            <w:tcW w:w="6682" w:type="dxa"/>
            <w:noWrap/>
            <w:vAlign w:val="center"/>
            <w:hideMark/>
          </w:tcPr>
          <w:p w14:paraId="013336FD" w14:textId="5823A9E0" w:rsidR="002B488B" w:rsidRPr="003E2A3E" w:rsidRDefault="002B488B" w:rsidP="002B488B">
            <w:pPr>
              <w:rPr>
                <w:rFonts w:asciiTheme="minorHAnsi" w:hAnsiTheme="minorHAnsi" w:cs="Arial"/>
                <w:sz w:val="22"/>
              </w:rPr>
            </w:pPr>
            <w:r w:rsidRPr="003E2A3E">
              <w:rPr>
                <w:rFonts w:asciiTheme="minorHAnsi" w:hAnsiTheme="minorHAnsi" w:cs="Arial"/>
                <w:sz w:val="22"/>
              </w:rPr>
              <w:t>Environmental Protection Agency</w:t>
            </w:r>
            <w:r w:rsidR="00754C72" w:rsidRPr="003E2A3E">
              <w:rPr>
                <w:rFonts w:asciiTheme="minorHAnsi" w:hAnsiTheme="minorHAnsi" w:cs="Arial"/>
                <w:sz w:val="22"/>
              </w:rPr>
              <w:t xml:space="preserve">. </w:t>
            </w:r>
            <w:r w:rsidR="00A0541A" w:rsidRPr="003E2A3E">
              <w:rPr>
                <w:rFonts w:asciiTheme="minorHAnsi" w:hAnsiTheme="minorHAnsi" w:cs="Arial"/>
                <w:sz w:val="22"/>
              </w:rPr>
              <w:t>A federal agency tasked with protecting human health and the environment.</w:t>
            </w:r>
          </w:p>
        </w:tc>
      </w:tr>
      <w:tr w:rsidR="003E2A3E" w:rsidRPr="003E2A3E" w14:paraId="01833FE9" w14:textId="77777777" w:rsidTr="004911AE">
        <w:trPr>
          <w:trHeight w:val="300"/>
        </w:trPr>
        <w:tc>
          <w:tcPr>
            <w:tcW w:w="2678" w:type="dxa"/>
            <w:noWrap/>
            <w:vAlign w:val="center"/>
            <w:hideMark/>
          </w:tcPr>
          <w:p w14:paraId="06BB3ADA"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EPC</w:t>
            </w:r>
          </w:p>
        </w:tc>
        <w:tc>
          <w:tcPr>
            <w:tcW w:w="6682" w:type="dxa"/>
            <w:noWrap/>
            <w:vAlign w:val="center"/>
            <w:hideMark/>
          </w:tcPr>
          <w:p w14:paraId="57CD7EB8"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Engineering, procurement, and construction</w:t>
            </w:r>
          </w:p>
        </w:tc>
      </w:tr>
      <w:tr w:rsidR="003E2A3E" w:rsidRPr="003E2A3E" w14:paraId="268D135D" w14:textId="77777777" w:rsidTr="004911AE">
        <w:trPr>
          <w:trHeight w:val="300"/>
        </w:trPr>
        <w:tc>
          <w:tcPr>
            <w:tcW w:w="2678" w:type="dxa"/>
            <w:noWrap/>
            <w:vAlign w:val="center"/>
            <w:hideMark/>
          </w:tcPr>
          <w:p w14:paraId="23378E62"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EPD</w:t>
            </w:r>
          </w:p>
        </w:tc>
        <w:tc>
          <w:tcPr>
            <w:tcW w:w="6682" w:type="dxa"/>
            <w:noWrap/>
            <w:vAlign w:val="center"/>
            <w:hideMark/>
          </w:tcPr>
          <w:p w14:paraId="255E1D0C"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Environmental Protection Division</w:t>
            </w:r>
          </w:p>
        </w:tc>
      </w:tr>
      <w:tr w:rsidR="003E2A3E" w:rsidRPr="003E2A3E" w14:paraId="25999C45" w14:textId="77777777" w:rsidTr="004911AE">
        <w:trPr>
          <w:trHeight w:val="300"/>
        </w:trPr>
        <w:tc>
          <w:tcPr>
            <w:tcW w:w="2678" w:type="dxa"/>
            <w:noWrap/>
            <w:vAlign w:val="center"/>
            <w:hideMark/>
          </w:tcPr>
          <w:p w14:paraId="0D2CA93F"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EPRI</w:t>
            </w:r>
          </w:p>
        </w:tc>
        <w:tc>
          <w:tcPr>
            <w:tcW w:w="6682" w:type="dxa"/>
            <w:noWrap/>
            <w:vAlign w:val="center"/>
            <w:hideMark/>
          </w:tcPr>
          <w:p w14:paraId="0565988A" w14:textId="486078AE" w:rsidR="002B488B" w:rsidRPr="003E2A3E" w:rsidRDefault="002B488B" w:rsidP="002B488B">
            <w:pPr>
              <w:rPr>
                <w:rFonts w:asciiTheme="minorHAnsi" w:hAnsiTheme="minorHAnsi" w:cs="Arial"/>
                <w:sz w:val="22"/>
              </w:rPr>
            </w:pPr>
            <w:r w:rsidRPr="003E2A3E">
              <w:rPr>
                <w:rFonts w:asciiTheme="minorHAnsi" w:hAnsiTheme="minorHAnsi" w:cs="Arial"/>
                <w:sz w:val="22"/>
              </w:rPr>
              <w:t>Electric Power Research Institute</w:t>
            </w:r>
            <w:r w:rsidR="000E7031" w:rsidRPr="003E2A3E">
              <w:rPr>
                <w:rFonts w:asciiTheme="minorHAnsi" w:hAnsiTheme="minorHAnsi" w:cs="Arial"/>
                <w:sz w:val="22"/>
              </w:rPr>
              <w:t>. An independent, nonprofit organization conducting research and development in the electricity sector</w:t>
            </w:r>
            <w:r w:rsidR="0099558A" w:rsidRPr="003E2A3E">
              <w:rPr>
                <w:rFonts w:asciiTheme="minorHAnsi" w:hAnsiTheme="minorHAnsi" w:cs="Arial"/>
                <w:sz w:val="22"/>
              </w:rPr>
              <w:t>.</w:t>
            </w:r>
          </w:p>
        </w:tc>
      </w:tr>
      <w:tr w:rsidR="003E2A3E" w:rsidRPr="003E2A3E" w14:paraId="325287D3" w14:textId="77777777" w:rsidTr="004911AE">
        <w:trPr>
          <w:trHeight w:val="300"/>
        </w:trPr>
        <w:tc>
          <w:tcPr>
            <w:tcW w:w="2678" w:type="dxa"/>
            <w:noWrap/>
            <w:vAlign w:val="center"/>
          </w:tcPr>
          <w:p w14:paraId="0B755089" w14:textId="4AF2FA81" w:rsidR="00A1379A" w:rsidRPr="003E2A3E" w:rsidRDefault="00A1379A" w:rsidP="002B488B">
            <w:pPr>
              <w:rPr>
                <w:rFonts w:asciiTheme="minorHAnsi" w:hAnsiTheme="minorHAnsi" w:cs="Arial"/>
                <w:b/>
                <w:sz w:val="22"/>
              </w:rPr>
            </w:pPr>
            <w:r w:rsidRPr="003E2A3E">
              <w:rPr>
                <w:rFonts w:asciiTheme="minorHAnsi" w:hAnsiTheme="minorHAnsi" w:cs="Arial"/>
                <w:b/>
                <w:sz w:val="22"/>
              </w:rPr>
              <w:t>EPU</w:t>
            </w:r>
          </w:p>
        </w:tc>
        <w:tc>
          <w:tcPr>
            <w:tcW w:w="6682" w:type="dxa"/>
            <w:noWrap/>
            <w:vAlign w:val="center"/>
          </w:tcPr>
          <w:p w14:paraId="2E9F5A28" w14:textId="11BA6C3C" w:rsidR="00A1379A" w:rsidRPr="003E2A3E" w:rsidRDefault="00A1379A" w:rsidP="002B488B">
            <w:pPr>
              <w:rPr>
                <w:rFonts w:asciiTheme="minorHAnsi" w:hAnsiTheme="minorHAnsi" w:cs="Arial"/>
                <w:sz w:val="22"/>
              </w:rPr>
            </w:pPr>
            <w:r w:rsidRPr="003E2A3E">
              <w:rPr>
                <w:rFonts w:asciiTheme="minorHAnsi" w:hAnsiTheme="minorHAnsi" w:cs="Arial"/>
                <w:sz w:val="22"/>
              </w:rPr>
              <w:t>Extended Power Uprate</w:t>
            </w:r>
          </w:p>
        </w:tc>
      </w:tr>
      <w:tr w:rsidR="003E2A3E" w:rsidRPr="003E2A3E" w14:paraId="1C271CF3" w14:textId="77777777" w:rsidTr="004911AE">
        <w:trPr>
          <w:trHeight w:val="300"/>
        </w:trPr>
        <w:tc>
          <w:tcPr>
            <w:tcW w:w="2678" w:type="dxa"/>
            <w:noWrap/>
            <w:vAlign w:val="center"/>
          </w:tcPr>
          <w:p w14:paraId="5C8DBBF2" w14:textId="1020659F" w:rsidR="002F08A1" w:rsidRPr="003E2A3E" w:rsidRDefault="002F08A1" w:rsidP="002B488B">
            <w:pPr>
              <w:rPr>
                <w:rFonts w:asciiTheme="minorHAnsi" w:hAnsiTheme="minorHAnsi" w:cs="Arial"/>
                <w:b/>
                <w:sz w:val="22"/>
              </w:rPr>
            </w:pPr>
            <w:r w:rsidRPr="003E2A3E">
              <w:rPr>
                <w:rFonts w:asciiTheme="minorHAnsi" w:hAnsiTheme="minorHAnsi" w:cs="Arial"/>
                <w:b/>
                <w:sz w:val="22"/>
              </w:rPr>
              <w:t>ER</w:t>
            </w:r>
          </w:p>
        </w:tc>
        <w:tc>
          <w:tcPr>
            <w:tcW w:w="6682" w:type="dxa"/>
            <w:noWrap/>
            <w:vAlign w:val="center"/>
          </w:tcPr>
          <w:p w14:paraId="44701D76" w14:textId="14A75ABA" w:rsidR="002F08A1" w:rsidRPr="003E2A3E" w:rsidRDefault="002F08A1" w:rsidP="002B488B">
            <w:pPr>
              <w:rPr>
                <w:rFonts w:asciiTheme="minorHAnsi" w:hAnsiTheme="minorHAnsi" w:cs="Arial"/>
                <w:sz w:val="22"/>
              </w:rPr>
            </w:pPr>
            <w:r w:rsidRPr="003E2A3E">
              <w:rPr>
                <w:rFonts w:asciiTheme="minorHAnsi" w:hAnsiTheme="minorHAnsi" w:cs="Arial"/>
                <w:sz w:val="22"/>
              </w:rPr>
              <w:t>Environmental Report</w:t>
            </w:r>
          </w:p>
        </w:tc>
      </w:tr>
      <w:tr w:rsidR="003E2A3E" w:rsidRPr="003E2A3E" w14:paraId="32D83AD9" w14:textId="77777777" w:rsidTr="004911AE">
        <w:trPr>
          <w:trHeight w:val="300"/>
        </w:trPr>
        <w:tc>
          <w:tcPr>
            <w:tcW w:w="2678" w:type="dxa"/>
            <w:noWrap/>
            <w:vAlign w:val="center"/>
            <w:hideMark/>
          </w:tcPr>
          <w:p w14:paraId="110CD2C1"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ESS</w:t>
            </w:r>
          </w:p>
        </w:tc>
        <w:tc>
          <w:tcPr>
            <w:tcW w:w="6682" w:type="dxa"/>
            <w:noWrap/>
            <w:vAlign w:val="center"/>
            <w:hideMark/>
          </w:tcPr>
          <w:p w14:paraId="33FE037A"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Energy Storage Systems</w:t>
            </w:r>
          </w:p>
        </w:tc>
      </w:tr>
      <w:tr w:rsidR="003E2A3E" w:rsidRPr="003E2A3E" w14:paraId="3C674FB9" w14:textId="77777777" w:rsidTr="004911AE">
        <w:trPr>
          <w:trHeight w:val="300"/>
        </w:trPr>
        <w:tc>
          <w:tcPr>
            <w:tcW w:w="2678" w:type="dxa"/>
            <w:noWrap/>
            <w:vAlign w:val="center"/>
          </w:tcPr>
          <w:p w14:paraId="4DF943A3" w14:textId="37B83CCE" w:rsidR="0020222A" w:rsidRPr="003E2A3E" w:rsidRDefault="0020222A" w:rsidP="002B488B">
            <w:pPr>
              <w:rPr>
                <w:rFonts w:asciiTheme="minorHAnsi" w:hAnsiTheme="minorHAnsi" w:cs="Arial"/>
                <w:b/>
                <w:sz w:val="22"/>
              </w:rPr>
            </w:pPr>
            <w:r w:rsidRPr="003E2A3E">
              <w:rPr>
                <w:rFonts w:asciiTheme="minorHAnsi" w:hAnsiTheme="minorHAnsi" w:cs="Arial"/>
                <w:b/>
                <w:sz w:val="22"/>
              </w:rPr>
              <w:t>ET</w:t>
            </w:r>
          </w:p>
        </w:tc>
        <w:tc>
          <w:tcPr>
            <w:tcW w:w="6682" w:type="dxa"/>
            <w:noWrap/>
            <w:vAlign w:val="center"/>
          </w:tcPr>
          <w:p w14:paraId="6EA49EA7" w14:textId="1D54038E" w:rsidR="0020222A" w:rsidRPr="003E2A3E" w:rsidRDefault="0020222A" w:rsidP="002B488B">
            <w:pPr>
              <w:rPr>
                <w:rFonts w:asciiTheme="minorHAnsi" w:hAnsiTheme="minorHAnsi" w:cs="Arial"/>
                <w:sz w:val="22"/>
              </w:rPr>
            </w:pPr>
            <w:r w:rsidRPr="003E2A3E">
              <w:rPr>
                <w:rFonts w:asciiTheme="minorHAnsi" w:hAnsiTheme="minorHAnsi" w:cs="Arial"/>
                <w:sz w:val="22"/>
              </w:rPr>
              <w:t>Electric Transportation</w:t>
            </w:r>
          </w:p>
        </w:tc>
      </w:tr>
      <w:tr w:rsidR="003E2A3E" w:rsidRPr="003E2A3E" w14:paraId="540E6DF6" w14:textId="77777777" w:rsidTr="004911AE">
        <w:trPr>
          <w:trHeight w:val="300"/>
        </w:trPr>
        <w:tc>
          <w:tcPr>
            <w:tcW w:w="2678" w:type="dxa"/>
            <w:noWrap/>
            <w:vAlign w:val="center"/>
            <w:hideMark/>
          </w:tcPr>
          <w:p w14:paraId="2C5658A8"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EV</w:t>
            </w:r>
          </w:p>
        </w:tc>
        <w:tc>
          <w:tcPr>
            <w:tcW w:w="6682" w:type="dxa"/>
            <w:noWrap/>
            <w:vAlign w:val="center"/>
            <w:hideMark/>
          </w:tcPr>
          <w:p w14:paraId="0794019C"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Electric Vehicle</w:t>
            </w:r>
          </w:p>
        </w:tc>
      </w:tr>
      <w:tr w:rsidR="003E2A3E" w:rsidRPr="003E2A3E" w14:paraId="0F92B15C" w14:textId="77777777" w:rsidTr="004911AE">
        <w:trPr>
          <w:trHeight w:val="300"/>
        </w:trPr>
        <w:tc>
          <w:tcPr>
            <w:tcW w:w="2678" w:type="dxa"/>
            <w:noWrap/>
            <w:vAlign w:val="center"/>
          </w:tcPr>
          <w:p w14:paraId="60C56AF0" w14:textId="7A6E9C49" w:rsidR="00F52853" w:rsidRPr="003E2A3E" w:rsidRDefault="00F52853" w:rsidP="002B488B">
            <w:pPr>
              <w:rPr>
                <w:rFonts w:asciiTheme="minorHAnsi" w:hAnsiTheme="minorHAnsi" w:cs="Arial"/>
                <w:b/>
                <w:sz w:val="22"/>
              </w:rPr>
            </w:pPr>
            <w:r w:rsidRPr="003E2A3E">
              <w:rPr>
                <w:rFonts w:asciiTheme="minorHAnsi" w:hAnsiTheme="minorHAnsi" w:cs="Arial"/>
                <w:b/>
                <w:sz w:val="22"/>
              </w:rPr>
              <w:t>FACTS</w:t>
            </w:r>
          </w:p>
        </w:tc>
        <w:tc>
          <w:tcPr>
            <w:tcW w:w="6682" w:type="dxa"/>
            <w:noWrap/>
            <w:vAlign w:val="center"/>
          </w:tcPr>
          <w:p w14:paraId="10A47113" w14:textId="1FD23A1E" w:rsidR="00F52853" w:rsidRPr="003E2A3E" w:rsidRDefault="00F52853" w:rsidP="002B488B">
            <w:pPr>
              <w:rPr>
                <w:rFonts w:asciiTheme="minorHAnsi" w:hAnsiTheme="minorHAnsi" w:cs="Arial"/>
                <w:sz w:val="22"/>
              </w:rPr>
            </w:pPr>
            <w:r w:rsidRPr="003E2A3E">
              <w:rPr>
                <w:rFonts w:asciiTheme="minorHAnsi" w:hAnsiTheme="minorHAnsi" w:cs="Arial"/>
                <w:sz w:val="22"/>
              </w:rPr>
              <w:t>Flexible AC transmission systems</w:t>
            </w:r>
          </w:p>
        </w:tc>
      </w:tr>
      <w:tr w:rsidR="003E2A3E" w:rsidRPr="003E2A3E" w14:paraId="3BA6AE34" w14:textId="77777777" w:rsidTr="004911AE">
        <w:trPr>
          <w:trHeight w:val="300"/>
        </w:trPr>
        <w:tc>
          <w:tcPr>
            <w:tcW w:w="2678" w:type="dxa"/>
            <w:noWrap/>
            <w:vAlign w:val="center"/>
            <w:hideMark/>
          </w:tcPr>
          <w:p w14:paraId="068E0299"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FEED</w:t>
            </w:r>
          </w:p>
        </w:tc>
        <w:tc>
          <w:tcPr>
            <w:tcW w:w="6682" w:type="dxa"/>
            <w:noWrap/>
            <w:vAlign w:val="center"/>
            <w:hideMark/>
          </w:tcPr>
          <w:p w14:paraId="11065990" w14:textId="60FA3D4B" w:rsidR="002B488B" w:rsidRPr="003E2A3E" w:rsidRDefault="002B488B" w:rsidP="002B488B">
            <w:pPr>
              <w:rPr>
                <w:rFonts w:asciiTheme="minorHAnsi" w:hAnsiTheme="minorHAnsi" w:cs="Arial"/>
                <w:sz w:val="22"/>
              </w:rPr>
            </w:pPr>
            <w:r w:rsidRPr="003E2A3E">
              <w:rPr>
                <w:rFonts w:asciiTheme="minorHAnsi" w:hAnsiTheme="minorHAnsi" w:cs="Arial"/>
                <w:sz w:val="22"/>
              </w:rPr>
              <w:t>Front-End Engineering and Design</w:t>
            </w:r>
            <w:r w:rsidR="00653E17" w:rsidRPr="003E2A3E">
              <w:rPr>
                <w:rFonts w:asciiTheme="minorHAnsi" w:hAnsiTheme="minorHAnsi" w:cs="Arial"/>
                <w:sz w:val="22"/>
              </w:rPr>
              <w:t>.</w:t>
            </w:r>
            <w:r w:rsidR="00F027FD" w:rsidRPr="003E2A3E">
              <w:rPr>
                <w:rFonts w:asciiTheme="minorHAnsi" w:hAnsiTheme="minorHAnsi" w:cs="Arial"/>
                <w:sz w:val="22"/>
              </w:rPr>
              <w:t xml:space="preserve"> A project development phase that includes detailed engineering and design work.</w:t>
            </w:r>
          </w:p>
        </w:tc>
      </w:tr>
      <w:tr w:rsidR="003E2A3E" w:rsidRPr="003E2A3E" w14:paraId="3AE94C43" w14:textId="77777777" w:rsidTr="004911AE">
        <w:trPr>
          <w:trHeight w:val="300"/>
        </w:trPr>
        <w:tc>
          <w:tcPr>
            <w:tcW w:w="2678" w:type="dxa"/>
            <w:noWrap/>
            <w:vAlign w:val="center"/>
            <w:hideMark/>
          </w:tcPr>
          <w:p w14:paraId="0475E701" w14:textId="77777777" w:rsidR="002B488B" w:rsidRPr="0050098C" w:rsidRDefault="002B488B" w:rsidP="002B488B">
            <w:pPr>
              <w:rPr>
                <w:rFonts w:asciiTheme="minorHAnsi" w:hAnsiTheme="minorHAnsi" w:cs="Arial"/>
                <w:b/>
                <w:bCs/>
                <w:sz w:val="22"/>
              </w:rPr>
            </w:pPr>
            <w:r w:rsidRPr="0050098C">
              <w:rPr>
                <w:rFonts w:asciiTheme="minorHAnsi" w:hAnsiTheme="minorHAnsi" w:cs="Arial"/>
                <w:b/>
                <w:bCs/>
                <w:sz w:val="22"/>
              </w:rPr>
              <w:t>FERC</w:t>
            </w:r>
          </w:p>
        </w:tc>
        <w:tc>
          <w:tcPr>
            <w:tcW w:w="6682" w:type="dxa"/>
            <w:noWrap/>
            <w:vAlign w:val="center"/>
            <w:hideMark/>
          </w:tcPr>
          <w:p w14:paraId="3A2BBC73" w14:textId="370EEED4" w:rsidR="002B488B" w:rsidRPr="0050098C" w:rsidRDefault="002B488B" w:rsidP="002B488B">
            <w:pPr>
              <w:rPr>
                <w:rFonts w:asciiTheme="minorHAnsi" w:hAnsiTheme="minorHAnsi" w:cs="Arial"/>
                <w:sz w:val="22"/>
              </w:rPr>
            </w:pPr>
            <w:r w:rsidRPr="0050098C">
              <w:rPr>
                <w:rFonts w:asciiTheme="minorHAnsi" w:hAnsiTheme="minorHAnsi" w:cs="Arial"/>
                <w:sz w:val="22"/>
              </w:rPr>
              <w:t>Federal Energy Regulatory Commission</w:t>
            </w:r>
            <w:r w:rsidR="004D0DD2" w:rsidRPr="0050098C">
              <w:rPr>
                <w:rFonts w:asciiTheme="minorHAnsi" w:hAnsiTheme="minorHAnsi" w:cs="Arial"/>
                <w:sz w:val="22"/>
              </w:rPr>
              <w:t>. An independent agency that regulates the interstate transmission of electricity, natural gas, and oil.</w:t>
            </w:r>
          </w:p>
        </w:tc>
      </w:tr>
      <w:tr w:rsidR="0050098C" w:rsidRPr="003E2A3E" w14:paraId="3131EAAB" w14:textId="77777777" w:rsidTr="004911AE">
        <w:trPr>
          <w:trHeight w:val="300"/>
        </w:trPr>
        <w:tc>
          <w:tcPr>
            <w:tcW w:w="2678" w:type="dxa"/>
            <w:noWrap/>
            <w:vAlign w:val="center"/>
          </w:tcPr>
          <w:p w14:paraId="718B7799" w14:textId="7EB7DC91" w:rsidR="0050098C" w:rsidRPr="0050098C" w:rsidRDefault="0050098C" w:rsidP="002B488B">
            <w:pPr>
              <w:rPr>
                <w:rFonts w:asciiTheme="minorHAnsi" w:hAnsiTheme="minorHAnsi" w:cs="Arial"/>
                <w:b/>
                <w:bCs/>
                <w:sz w:val="22"/>
              </w:rPr>
            </w:pPr>
            <w:r w:rsidRPr="0050098C">
              <w:rPr>
                <w:rFonts w:asciiTheme="minorHAnsi" w:hAnsiTheme="minorHAnsi" w:cs="Arial"/>
                <w:b/>
                <w:bCs/>
                <w:sz w:val="22"/>
              </w:rPr>
              <w:t>Flint EMC</w:t>
            </w:r>
          </w:p>
        </w:tc>
        <w:tc>
          <w:tcPr>
            <w:tcW w:w="6682" w:type="dxa"/>
            <w:noWrap/>
            <w:vAlign w:val="center"/>
          </w:tcPr>
          <w:p w14:paraId="0E781E5F" w14:textId="6A9E5B3D" w:rsidR="0050098C" w:rsidRPr="0050098C" w:rsidRDefault="0050098C" w:rsidP="002B488B">
            <w:pPr>
              <w:rPr>
                <w:rFonts w:asciiTheme="minorHAnsi" w:hAnsiTheme="minorHAnsi" w:cs="Arial"/>
                <w:sz w:val="22"/>
              </w:rPr>
            </w:pPr>
            <w:r w:rsidRPr="0050098C">
              <w:rPr>
                <w:rFonts w:asciiTheme="minorHAnsi" w:hAnsiTheme="minorHAnsi" w:cs="Arial"/>
                <w:sz w:val="22"/>
              </w:rPr>
              <w:t>Flint Electric Membership Corporation</w:t>
            </w:r>
          </w:p>
        </w:tc>
      </w:tr>
      <w:tr w:rsidR="003E2A3E" w:rsidRPr="003E2A3E" w14:paraId="24EA1BA9" w14:textId="77777777" w:rsidTr="004911AE">
        <w:trPr>
          <w:trHeight w:val="300"/>
        </w:trPr>
        <w:tc>
          <w:tcPr>
            <w:tcW w:w="2678" w:type="dxa"/>
            <w:noWrap/>
            <w:vAlign w:val="center"/>
            <w:hideMark/>
          </w:tcPr>
          <w:p w14:paraId="10D3CE88"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FPC</w:t>
            </w:r>
          </w:p>
        </w:tc>
        <w:tc>
          <w:tcPr>
            <w:tcW w:w="6682" w:type="dxa"/>
            <w:noWrap/>
            <w:vAlign w:val="center"/>
            <w:hideMark/>
          </w:tcPr>
          <w:p w14:paraId="28A6DFF2"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Federal Power Commission</w:t>
            </w:r>
          </w:p>
        </w:tc>
      </w:tr>
      <w:tr w:rsidR="003E2A3E" w:rsidRPr="003E2A3E" w14:paraId="31ADC2B5" w14:textId="77777777" w:rsidTr="004911AE">
        <w:trPr>
          <w:trHeight w:val="300"/>
        </w:trPr>
        <w:tc>
          <w:tcPr>
            <w:tcW w:w="2678" w:type="dxa"/>
            <w:noWrap/>
            <w:vAlign w:val="center"/>
          </w:tcPr>
          <w:p w14:paraId="6F259760" w14:textId="5C6423CB" w:rsidR="002B488B" w:rsidRPr="003E2A3E" w:rsidRDefault="002B488B" w:rsidP="002B488B">
            <w:pPr>
              <w:rPr>
                <w:rFonts w:asciiTheme="minorHAnsi" w:hAnsiTheme="minorHAnsi" w:cs="Arial"/>
                <w:b/>
                <w:sz w:val="22"/>
              </w:rPr>
            </w:pPr>
            <w:r w:rsidRPr="003E2A3E">
              <w:rPr>
                <w:rFonts w:asciiTheme="minorHAnsi" w:hAnsiTheme="minorHAnsi" w:cs="Arial"/>
                <w:b/>
                <w:bCs/>
                <w:sz w:val="22"/>
              </w:rPr>
              <w:t>FPA</w:t>
            </w:r>
          </w:p>
        </w:tc>
        <w:tc>
          <w:tcPr>
            <w:tcW w:w="6682" w:type="dxa"/>
            <w:noWrap/>
            <w:vAlign w:val="center"/>
          </w:tcPr>
          <w:p w14:paraId="102D3743" w14:textId="2CDEDE22" w:rsidR="002B488B" w:rsidRPr="003E2A3E" w:rsidRDefault="002B488B" w:rsidP="002B488B">
            <w:pPr>
              <w:rPr>
                <w:rFonts w:asciiTheme="minorHAnsi" w:hAnsiTheme="minorHAnsi" w:cs="Arial"/>
                <w:sz w:val="22"/>
              </w:rPr>
            </w:pPr>
            <w:r w:rsidRPr="003E2A3E">
              <w:rPr>
                <w:rFonts w:asciiTheme="minorHAnsi" w:hAnsiTheme="minorHAnsi" w:cs="Arial"/>
                <w:sz w:val="22"/>
              </w:rPr>
              <w:t>Federal Power Act</w:t>
            </w:r>
          </w:p>
        </w:tc>
      </w:tr>
      <w:tr w:rsidR="003E2A3E" w:rsidRPr="003E2A3E" w14:paraId="23245995" w14:textId="77777777" w:rsidTr="004911AE">
        <w:trPr>
          <w:trHeight w:val="300"/>
        </w:trPr>
        <w:tc>
          <w:tcPr>
            <w:tcW w:w="2678" w:type="dxa"/>
            <w:noWrap/>
            <w:vAlign w:val="center"/>
            <w:hideMark/>
          </w:tcPr>
          <w:p w14:paraId="4433E694"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FPL</w:t>
            </w:r>
          </w:p>
        </w:tc>
        <w:tc>
          <w:tcPr>
            <w:tcW w:w="6682" w:type="dxa"/>
            <w:noWrap/>
            <w:vAlign w:val="center"/>
            <w:hideMark/>
          </w:tcPr>
          <w:p w14:paraId="1621A0D9"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Florida Power and Light</w:t>
            </w:r>
          </w:p>
        </w:tc>
      </w:tr>
      <w:tr w:rsidR="003E2A3E" w:rsidRPr="003E2A3E" w14:paraId="277050BA" w14:textId="77777777" w:rsidTr="004911AE">
        <w:trPr>
          <w:trHeight w:val="300"/>
        </w:trPr>
        <w:tc>
          <w:tcPr>
            <w:tcW w:w="2678" w:type="dxa"/>
            <w:noWrap/>
            <w:vAlign w:val="center"/>
          </w:tcPr>
          <w:p w14:paraId="346D99F9" w14:textId="36787B19" w:rsidR="000B6BD2" w:rsidRPr="003E2A3E" w:rsidRDefault="000B6BD2" w:rsidP="002B488B">
            <w:pPr>
              <w:rPr>
                <w:rFonts w:asciiTheme="minorHAnsi" w:hAnsiTheme="minorHAnsi" w:cs="Arial"/>
                <w:b/>
                <w:sz w:val="22"/>
              </w:rPr>
            </w:pPr>
            <w:r w:rsidRPr="003E2A3E">
              <w:rPr>
                <w:rFonts w:asciiTheme="minorHAnsi" w:hAnsiTheme="minorHAnsi" w:cs="Arial"/>
                <w:b/>
                <w:sz w:val="22"/>
              </w:rPr>
              <w:t>FTM</w:t>
            </w:r>
          </w:p>
        </w:tc>
        <w:tc>
          <w:tcPr>
            <w:tcW w:w="6682" w:type="dxa"/>
            <w:noWrap/>
            <w:vAlign w:val="center"/>
          </w:tcPr>
          <w:p w14:paraId="6BB8B122" w14:textId="2E987DC6" w:rsidR="000B6BD2" w:rsidRPr="003E2A3E" w:rsidRDefault="000B6BD2" w:rsidP="002B488B">
            <w:pPr>
              <w:rPr>
                <w:rFonts w:asciiTheme="minorHAnsi" w:hAnsiTheme="minorHAnsi" w:cs="Arial"/>
                <w:sz w:val="22"/>
              </w:rPr>
            </w:pPr>
            <w:r w:rsidRPr="003E2A3E">
              <w:rPr>
                <w:rFonts w:asciiTheme="minorHAnsi" w:hAnsiTheme="minorHAnsi" w:cs="Arial"/>
                <w:sz w:val="22"/>
              </w:rPr>
              <w:t>Front of the meter</w:t>
            </w:r>
          </w:p>
        </w:tc>
      </w:tr>
      <w:tr w:rsidR="003E2A3E" w:rsidRPr="003E2A3E" w14:paraId="524B400F" w14:textId="77777777" w:rsidTr="004911AE">
        <w:trPr>
          <w:trHeight w:val="300"/>
        </w:trPr>
        <w:tc>
          <w:tcPr>
            <w:tcW w:w="2678" w:type="dxa"/>
            <w:noWrap/>
            <w:vAlign w:val="center"/>
            <w:hideMark/>
          </w:tcPr>
          <w:p w14:paraId="7C2D04D3"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Georgia Power</w:t>
            </w:r>
          </w:p>
        </w:tc>
        <w:tc>
          <w:tcPr>
            <w:tcW w:w="6682" w:type="dxa"/>
            <w:noWrap/>
            <w:vAlign w:val="center"/>
            <w:hideMark/>
          </w:tcPr>
          <w:p w14:paraId="661F1A92"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Georgia Power Company</w:t>
            </w:r>
          </w:p>
        </w:tc>
      </w:tr>
      <w:tr w:rsidR="003E2A3E" w:rsidRPr="003E2A3E" w14:paraId="3CC9C9E0" w14:textId="77777777" w:rsidTr="004911AE">
        <w:trPr>
          <w:trHeight w:val="300"/>
        </w:trPr>
        <w:tc>
          <w:tcPr>
            <w:tcW w:w="2678" w:type="dxa"/>
            <w:noWrap/>
            <w:vAlign w:val="center"/>
          </w:tcPr>
          <w:p w14:paraId="20ECEFED" w14:textId="7057BE49" w:rsidR="002B488B" w:rsidRPr="003E2A3E" w:rsidRDefault="002B488B" w:rsidP="002B488B">
            <w:pPr>
              <w:rPr>
                <w:rFonts w:asciiTheme="minorHAnsi" w:hAnsiTheme="minorHAnsi" w:cs="Arial"/>
                <w:b/>
                <w:sz w:val="22"/>
              </w:rPr>
            </w:pPr>
            <w:r w:rsidRPr="003E2A3E">
              <w:rPr>
                <w:rFonts w:asciiTheme="minorHAnsi" w:hAnsiTheme="minorHAnsi" w:cs="Arial"/>
                <w:b/>
                <w:bCs/>
                <w:sz w:val="22"/>
              </w:rPr>
              <w:t>GETs</w:t>
            </w:r>
          </w:p>
        </w:tc>
        <w:tc>
          <w:tcPr>
            <w:tcW w:w="6682" w:type="dxa"/>
            <w:noWrap/>
            <w:vAlign w:val="center"/>
          </w:tcPr>
          <w:p w14:paraId="3CBD148A" w14:textId="5B71C3DD" w:rsidR="002B488B" w:rsidRPr="003E2A3E" w:rsidRDefault="002B488B" w:rsidP="002B488B">
            <w:pPr>
              <w:rPr>
                <w:rFonts w:asciiTheme="minorHAnsi" w:hAnsiTheme="minorHAnsi" w:cs="Arial"/>
                <w:sz w:val="22"/>
              </w:rPr>
            </w:pPr>
            <w:r w:rsidRPr="003E2A3E">
              <w:rPr>
                <w:rFonts w:asciiTheme="minorHAnsi" w:hAnsiTheme="minorHAnsi" w:cs="Arial"/>
                <w:sz w:val="22"/>
              </w:rPr>
              <w:t>Grid-Enhancing Technologies</w:t>
            </w:r>
          </w:p>
        </w:tc>
      </w:tr>
      <w:tr w:rsidR="003E2A3E" w:rsidRPr="003E2A3E" w14:paraId="096C725F" w14:textId="77777777" w:rsidTr="004911AE">
        <w:trPr>
          <w:trHeight w:val="300"/>
        </w:trPr>
        <w:tc>
          <w:tcPr>
            <w:tcW w:w="2678" w:type="dxa"/>
            <w:noWrap/>
            <w:vAlign w:val="center"/>
          </w:tcPr>
          <w:p w14:paraId="578A89C7" w14:textId="2A867EF3" w:rsidR="00867526" w:rsidRPr="003E2A3E" w:rsidRDefault="00645696" w:rsidP="002B488B">
            <w:pPr>
              <w:rPr>
                <w:rFonts w:asciiTheme="minorHAnsi" w:hAnsiTheme="minorHAnsi" w:cs="Arial"/>
                <w:b/>
                <w:sz w:val="22"/>
              </w:rPr>
            </w:pPr>
            <w:r w:rsidRPr="003E2A3E">
              <w:rPr>
                <w:rFonts w:asciiTheme="minorHAnsi" w:hAnsiTheme="minorHAnsi" w:cs="Arial"/>
                <w:b/>
                <w:sz w:val="22"/>
              </w:rPr>
              <w:t>GEFA</w:t>
            </w:r>
          </w:p>
        </w:tc>
        <w:tc>
          <w:tcPr>
            <w:tcW w:w="6682" w:type="dxa"/>
            <w:noWrap/>
            <w:vAlign w:val="center"/>
          </w:tcPr>
          <w:p w14:paraId="78D473D4" w14:textId="02754CDA" w:rsidR="00867526" w:rsidRPr="003E2A3E" w:rsidRDefault="00645696" w:rsidP="002B488B">
            <w:pPr>
              <w:rPr>
                <w:rFonts w:asciiTheme="minorHAnsi" w:hAnsiTheme="minorHAnsi" w:cs="Arial"/>
                <w:sz w:val="22"/>
              </w:rPr>
            </w:pPr>
            <w:r w:rsidRPr="003E2A3E">
              <w:rPr>
                <w:rFonts w:asciiTheme="minorHAnsi" w:hAnsiTheme="minorHAnsi" w:cs="Arial"/>
                <w:sz w:val="22"/>
              </w:rPr>
              <w:t>Georgia Environmental Finance Authority</w:t>
            </w:r>
          </w:p>
        </w:tc>
      </w:tr>
      <w:tr w:rsidR="003E2A3E" w:rsidRPr="003E2A3E" w14:paraId="027817E8" w14:textId="77777777" w:rsidTr="004911AE">
        <w:trPr>
          <w:trHeight w:val="300"/>
        </w:trPr>
        <w:tc>
          <w:tcPr>
            <w:tcW w:w="2678" w:type="dxa"/>
            <w:noWrap/>
            <w:vAlign w:val="center"/>
            <w:hideMark/>
          </w:tcPr>
          <w:p w14:paraId="2BE5644E"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GHG</w:t>
            </w:r>
          </w:p>
        </w:tc>
        <w:tc>
          <w:tcPr>
            <w:tcW w:w="6682" w:type="dxa"/>
            <w:noWrap/>
            <w:vAlign w:val="center"/>
            <w:hideMark/>
          </w:tcPr>
          <w:p w14:paraId="1A45CA8C" w14:textId="374D353D" w:rsidR="002B488B" w:rsidRPr="003E2A3E" w:rsidRDefault="002B488B" w:rsidP="002B488B">
            <w:pPr>
              <w:rPr>
                <w:rFonts w:asciiTheme="minorHAnsi" w:hAnsiTheme="minorHAnsi" w:cs="Arial"/>
                <w:sz w:val="22"/>
              </w:rPr>
            </w:pPr>
            <w:r w:rsidRPr="003E2A3E">
              <w:rPr>
                <w:rFonts w:asciiTheme="minorHAnsi" w:hAnsiTheme="minorHAnsi" w:cs="Arial"/>
                <w:sz w:val="22"/>
              </w:rPr>
              <w:t xml:space="preserve">Greenhouse </w:t>
            </w:r>
            <w:r w:rsidR="00226D1D" w:rsidRPr="003E2A3E">
              <w:rPr>
                <w:rFonts w:asciiTheme="minorHAnsi" w:hAnsiTheme="minorHAnsi" w:cs="Arial"/>
                <w:sz w:val="22"/>
              </w:rPr>
              <w:t>G</w:t>
            </w:r>
            <w:r w:rsidRPr="003E2A3E">
              <w:rPr>
                <w:rFonts w:asciiTheme="minorHAnsi" w:hAnsiTheme="minorHAnsi" w:cs="Arial"/>
                <w:sz w:val="22"/>
              </w:rPr>
              <w:t>as</w:t>
            </w:r>
            <w:r w:rsidR="00A10078" w:rsidRPr="003E2A3E">
              <w:rPr>
                <w:rFonts w:asciiTheme="minorHAnsi" w:hAnsiTheme="minorHAnsi" w:cs="Arial"/>
                <w:sz w:val="22"/>
              </w:rPr>
              <w:t xml:space="preserve">. </w:t>
            </w:r>
            <w:r w:rsidR="00226D1D" w:rsidRPr="003E2A3E">
              <w:rPr>
                <w:rFonts w:asciiTheme="minorHAnsi" w:hAnsiTheme="minorHAnsi" w:cs="Arial"/>
                <w:sz w:val="22"/>
              </w:rPr>
              <w:t>Gases that trap heat in the atmosphere.</w:t>
            </w:r>
          </w:p>
        </w:tc>
      </w:tr>
      <w:tr w:rsidR="003E2A3E" w:rsidRPr="003E2A3E" w14:paraId="7B4678C2" w14:textId="77777777" w:rsidTr="004911AE">
        <w:trPr>
          <w:trHeight w:val="300"/>
        </w:trPr>
        <w:tc>
          <w:tcPr>
            <w:tcW w:w="2678" w:type="dxa"/>
            <w:noWrap/>
            <w:vAlign w:val="center"/>
            <w:hideMark/>
          </w:tcPr>
          <w:p w14:paraId="5439D7DA"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GMD</w:t>
            </w:r>
          </w:p>
        </w:tc>
        <w:tc>
          <w:tcPr>
            <w:tcW w:w="6682" w:type="dxa"/>
            <w:noWrap/>
            <w:vAlign w:val="center"/>
            <w:hideMark/>
          </w:tcPr>
          <w:p w14:paraId="4A1AA55B" w14:textId="5FC8490E" w:rsidR="002B488B" w:rsidRPr="003E2A3E" w:rsidRDefault="002B488B" w:rsidP="002B488B">
            <w:pPr>
              <w:rPr>
                <w:rFonts w:asciiTheme="minorHAnsi" w:hAnsiTheme="minorHAnsi" w:cs="Arial"/>
                <w:sz w:val="22"/>
              </w:rPr>
            </w:pPr>
            <w:r w:rsidRPr="003E2A3E">
              <w:rPr>
                <w:rFonts w:asciiTheme="minorHAnsi" w:hAnsiTheme="minorHAnsi" w:cs="Arial"/>
                <w:sz w:val="22"/>
              </w:rPr>
              <w:t>Geomagnetic Disturbance</w:t>
            </w:r>
            <w:r w:rsidR="00D874B0" w:rsidRPr="003E2A3E">
              <w:rPr>
                <w:rFonts w:asciiTheme="minorHAnsi" w:hAnsiTheme="minorHAnsi" w:cs="Arial"/>
                <w:sz w:val="22"/>
              </w:rPr>
              <w:t xml:space="preserve">. </w:t>
            </w:r>
            <w:r w:rsidR="0004104D" w:rsidRPr="003E2A3E">
              <w:rPr>
                <w:rFonts w:asciiTheme="minorHAnsi" w:hAnsiTheme="minorHAnsi" w:cs="Arial"/>
                <w:sz w:val="22"/>
              </w:rPr>
              <w:t>A temporary disturbance of the Earth's magnetosphere caused by solar wind.</w:t>
            </w:r>
          </w:p>
        </w:tc>
      </w:tr>
      <w:tr w:rsidR="003E2A3E" w:rsidRPr="003E2A3E" w14:paraId="63740689" w14:textId="77777777" w:rsidTr="004911AE">
        <w:trPr>
          <w:trHeight w:val="300"/>
        </w:trPr>
        <w:tc>
          <w:tcPr>
            <w:tcW w:w="2678" w:type="dxa"/>
            <w:noWrap/>
            <w:vAlign w:val="center"/>
          </w:tcPr>
          <w:p w14:paraId="21308262" w14:textId="3A0AFA4E" w:rsidR="009E5949" w:rsidRPr="003E2A3E" w:rsidRDefault="009E5949" w:rsidP="002B488B">
            <w:pPr>
              <w:rPr>
                <w:rFonts w:asciiTheme="minorHAnsi" w:hAnsiTheme="minorHAnsi" w:cs="Arial"/>
                <w:b/>
                <w:sz w:val="22"/>
              </w:rPr>
            </w:pPr>
            <w:r w:rsidRPr="003E2A3E">
              <w:rPr>
                <w:rFonts w:asciiTheme="minorHAnsi" w:hAnsiTheme="minorHAnsi" w:cs="Arial"/>
                <w:b/>
                <w:sz w:val="22"/>
              </w:rPr>
              <w:t>GRIP</w:t>
            </w:r>
          </w:p>
        </w:tc>
        <w:tc>
          <w:tcPr>
            <w:tcW w:w="6682" w:type="dxa"/>
            <w:noWrap/>
            <w:vAlign w:val="center"/>
          </w:tcPr>
          <w:p w14:paraId="5D06A851" w14:textId="731D5B02" w:rsidR="009E5949" w:rsidRPr="003E2A3E" w:rsidRDefault="00E55F3E" w:rsidP="002B488B">
            <w:pPr>
              <w:rPr>
                <w:rFonts w:asciiTheme="minorHAnsi" w:hAnsiTheme="minorHAnsi" w:cs="Arial"/>
                <w:sz w:val="22"/>
              </w:rPr>
            </w:pPr>
            <w:r w:rsidRPr="003E2A3E">
              <w:rPr>
                <w:rFonts w:asciiTheme="minorHAnsi" w:hAnsiTheme="minorHAnsi" w:cs="Arial"/>
                <w:sz w:val="22"/>
              </w:rPr>
              <w:t>Grid R</w:t>
            </w:r>
            <w:r w:rsidR="00867526" w:rsidRPr="003E2A3E">
              <w:rPr>
                <w:rFonts w:asciiTheme="minorHAnsi" w:hAnsiTheme="minorHAnsi" w:cs="Arial"/>
                <w:sz w:val="22"/>
              </w:rPr>
              <w:t>esilience and Innovation Partnerships</w:t>
            </w:r>
          </w:p>
        </w:tc>
      </w:tr>
      <w:tr w:rsidR="003E2A3E" w:rsidRPr="003E2A3E" w14:paraId="7F375E5C" w14:textId="77777777" w:rsidTr="004911AE">
        <w:trPr>
          <w:trHeight w:val="300"/>
        </w:trPr>
        <w:tc>
          <w:tcPr>
            <w:tcW w:w="2678" w:type="dxa"/>
            <w:noWrap/>
            <w:vAlign w:val="center"/>
            <w:hideMark/>
          </w:tcPr>
          <w:p w14:paraId="5993AF79"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GTC</w:t>
            </w:r>
          </w:p>
        </w:tc>
        <w:tc>
          <w:tcPr>
            <w:tcW w:w="6682" w:type="dxa"/>
            <w:noWrap/>
            <w:vAlign w:val="center"/>
            <w:hideMark/>
          </w:tcPr>
          <w:p w14:paraId="11BF9EAF"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Georgia Transmission Corporation</w:t>
            </w:r>
          </w:p>
        </w:tc>
      </w:tr>
      <w:tr w:rsidR="003E2A3E" w:rsidRPr="003E2A3E" w14:paraId="49669859" w14:textId="77777777" w:rsidTr="004911AE">
        <w:trPr>
          <w:trHeight w:val="300"/>
        </w:trPr>
        <w:tc>
          <w:tcPr>
            <w:tcW w:w="2678" w:type="dxa"/>
            <w:noWrap/>
            <w:vAlign w:val="center"/>
          </w:tcPr>
          <w:p w14:paraId="4B7312AA" w14:textId="3A3348C0" w:rsidR="002B488B" w:rsidRPr="003E2A3E" w:rsidRDefault="002B488B" w:rsidP="002B488B">
            <w:pPr>
              <w:rPr>
                <w:rFonts w:asciiTheme="minorHAnsi" w:hAnsiTheme="minorHAnsi" w:cs="Arial"/>
                <w:b/>
                <w:sz w:val="22"/>
              </w:rPr>
            </w:pPr>
            <w:r w:rsidRPr="003E2A3E">
              <w:rPr>
                <w:rFonts w:asciiTheme="minorHAnsi" w:hAnsiTheme="minorHAnsi" w:cs="Arial"/>
                <w:b/>
                <w:sz w:val="22"/>
              </w:rPr>
              <w:t>GW</w:t>
            </w:r>
          </w:p>
        </w:tc>
        <w:tc>
          <w:tcPr>
            <w:tcW w:w="6682" w:type="dxa"/>
            <w:noWrap/>
            <w:vAlign w:val="center"/>
          </w:tcPr>
          <w:p w14:paraId="189FE6D1" w14:textId="2A36D3CD" w:rsidR="002B488B" w:rsidRPr="003E2A3E" w:rsidRDefault="002B488B" w:rsidP="002B488B">
            <w:pPr>
              <w:rPr>
                <w:rFonts w:asciiTheme="minorHAnsi" w:hAnsiTheme="minorHAnsi" w:cs="Arial"/>
                <w:sz w:val="22"/>
              </w:rPr>
            </w:pPr>
            <w:r w:rsidRPr="003E2A3E">
              <w:rPr>
                <w:rFonts w:asciiTheme="minorHAnsi" w:hAnsiTheme="minorHAnsi" w:cs="Arial"/>
                <w:sz w:val="22"/>
              </w:rPr>
              <w:t>Gigawatt</w:t>
            </w:r>
          </w:p>
        </w:tc>
      </w:tr>
      <w:tr w:rsidR="003E2A3E" w:rsidRPr="003E2A3E" w14:paraId="5775E2BC" w14:textId="77777777" w:rsidTr="004911AE">
        <w:trPr>
          <w:trHeight w:val="300"/>
        </w:trPr>
        <w:tc>
          <w:tcPr>
            <w:tcW w:w="2678" w:type="dxa"/>
            <w:noWrap/>
            <w:vAlign w:val="center"/>
            <w:hideMark/>
          </w:tcPr>
          <w:p w14:paraId="064042C5"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lastRenderedPageBreak/>
              <w:t>HG0</w:t>
            </w:r>
          </w:p>
        </w:tc>
        <w:tc>
          <w:tcPr>
            <w:tcW w:w="6682" w:type="dxa"/>
            <w:noWrap/>
            <w:vAlign w:val="center"/>
            <w:hideMark/>
          </w:tcPr>
          <w:p w14:paraId="6A4E4339" w14:textId="18EF427F" w:rsidR="002B488B" w:rsidRPr="003E2A3E" w:rsidRDefault="002B488B" w:rsidP="002B488B">
            <w:pPr>
              <w:rPr>
                <w:rFonts w:asciiTheme="minorHAnsi" w:hAnsiTheme="minorHAnsi" w:cs="Arial"/>
                <w:sz w:val="22"/>
              </w:rPr>
            </w:pPr>
            <w:r w:rsidRPr="003E2A3E">
              <w:rPr>
                <w:rFonts w:asciiTheme="minorHAnsi" w:hAnsiTheme="minorHAnsi" w:cs="Arial"/>
                <w:sz w:val="22"/>
              </w:rPr>
              <w:t>High gas</w:t>
            </w:r>
            <w:r w:rsidR="002D2D20">
              <w:rPr>
                <w:rFonts w:asciiTheme="minorHAnsi" w:hAnsiTheme="minorHAnsi" w:cs="Arial"/>
                <w:sz w:val="22"/>
              </w:rPr>
              <w:t xml:space="preserve">, </w:t>
            </w:r>
            <w:r w:rsidRPr="003E2A3E">
              <w:rPr>
                <w:rFonts w:asciiTheme="minorHAnsi" w:hAnsiTheme="minorHAnsi" w:cs="Arial"/>
                <w:sz w:val="22"/>
              </w:rPr>
              <w:t>zero</w:t>
            </w:r>
            <w:r w:rsidR="00FD3E52">
              <w:rPr>
                <w:rFonts w:asciiTheme="minorHAnsi" w:hAnsiTheme="minorHAnsi" w:cs="Arial"/>
                <w:sz w:val="22"/>
              </w:rPr>
              <w:t>-dollar</w:t>
            </w:r>
            <w:r w:rsidRPr="003E2A3E">
              <w:rPr>
                <w:rFonts w:asciiTheme="minorHAnsi" w:hAnsiTheme="minorHAnsi" w:cs="Arial"/>
                <w:sz w:val="22"/>
              </w:rPr>
              <w:t xml:space="preserve"> carbon</w:t>
            </w:r>
          </w:p>
        </w:tc>
      </w:tr>
      <w:tr w:rsidR="003E2A3E" w:rsidRPr="003E2A3E" w14:paraId="51D4A9B3" w14:textId="77777777" w:rsidTr="004911AE">
        <w:trPr>
          <w:trHeight w:val="300"/>
        </w:trPr>
        <w:tc>
          <w:tcPr>
            <w:tcW w:w="2678" w:type="dxa"/>
            <w:noWrap/>
            <w:vAlign w:val="center"/>
            <w:hideMark/>
          </w:tcPr>
          <w:p w14:paraId="47FFBDFB"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Hydro</w:t>
            </w:r>
          </w:p>
        </w:tc>
        <w:tc>
          <w:tcPr>
            <w:tcW w:w="6682" w:type="dxa"/>
            <w:noWrap/>
            <w:vAlign w:val="center"/>
            <w:hideMark/>
          </w:tcPr>
          <w:p w14:paraId="392815AF"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Hydroelectric</w:t>
            </w:r>
          </w:p>
        </w:tc>
      </w:tr>
      <w:tr w:rsidR="003E2A3E" w:rsidRPr="003E2A3E" w14:paraId="6EA97082" w14:textId="77777777" w:rsidTr="004911AE">
        <w:trPr>
          <w:trHeight w:val="300"/>
        </w:trPr>
        <w:tc>
          <w:tcPr>
            <w:tcW w:w="2678" w:type="dxa"/>
            <w:noWrap/>
            <w:vAlign w:val="center"/>
            <w:hideMark/>
          </w:tcPr>
          <w:p w14:paraId="01F9F17A"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IE</w:t>
            </w:r>
          </w:p>
        </w:tc>
        <w:tc>
          <w:tcPr>
            <w:tcW w:w="6682" w:type="dxa"/>
            <w:noWrap/>
            <w:vAlign w:val="center"/>
            <w:hideMark/>
          </w:tcPr>
          <w:p w14:paraId="6CB17384"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Independent Evaluator</w:t>
            </w:r>
          </w:p>
        </w:tc>
      </w:tr>
      <w:tr w:rsidR="003E2A3E" w:rsidRPr="003E2A3E" w14:paraId="7F492ABB" w14:textId="77777777" w:rsidTr="004911AE">
        <w:trPr>
          <w:trHeight w:val="300"/>
        </w:trPr>
        <w:tc>
          <w:tcPr>
            <w:tcW w:w="2678" w:type="dxa"/>
            <w:noWrap/>
            <w:vAlign w:val="center"/>
            <w:hideMark/>
          </w:tcPr>
          <w:p w14:paraId="397CF8A6"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IIC</w:t>
            </w:r>
          </w:p>
        </w:tc>
        <w:tc>
          <w:tcPr>
            <w:tcW w:w="6682" w:type="dxa"/>
            <w:noWrap/>
            <w:vAlign w:val="center"/>
            <w:hideMark/>
          </w:tcPr>
          <w:p w14:paraId="0A5BD00D"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Intercompany Interchange Contract</w:t>
            </w:r>
          </w:p>
        </w:tc>
      </w:tr>
      <w:tr w:rsidR="003E2A3E" w:rsidRPr="003E2A3E" w14:paraId="7AF91D33" w14:textId="77777777" w:rsidTr="004911AE">
        <w:trPr>
          <w:trHeight w:val="300"/>
        </w:trPr>
        <w:tc>
          <w:tcPr>
            <w:tcW w:w="2678" w:type="dxa"/>
            <w:noWrap/>
            <w:vAlign w:val="center"/>
          </w:tcPr>
          <w:p w14:paraId="77EBF79B" w14:textId="33494547" w:rsidR="005F4A77" w:rsidRPr="003E2A3E" w:rsidRDefault="005F4A77" w:rsidP="002B488B">
            <w:pPr>
              <w:rPr>
                <w:rFonts w:asciiTheme="minorHAnsi" w:hAnsiTheme="minorHAnsi" w:cs="Arial"/>
                <w:b/>
                <w:sz w:val="22"/>
              </w:rPr>
            </w:pPr>
            <w:r w:rsidRPr="003E2A3E">
              <w:rPr>
                <w:rFonts w:asciiTheme="minorHAnsi" w:hAnsiTheme="minorHAnsi" w:cs="Arial"/>
                <w:b/>
                <w:sz w:val="22"/>
              </w:rPr>
              <w:t>IIJA</w:t>
            </w:r>
          </w:p>
        </w:tc>
        <w:tc>
          <w:tcPr>
            <w:tcW w:w="6682" w:type="dxa"/>
            <w:noWrap/>
            <w:vAlign w:val="center"/>
          </w:tcPr>
          <w:p w14:paraId="3286DDD6" w14:textId="06A057A3" w:rsidR="005F4A77" w:rsidRPr="003E2A3E" w:rsidRDefault="005F4A77" w:rsidP="002B488B">
            <w:pPr>
              <w:rPr>
                <w:rFonts w:asciiTheme="minorHAnsi" w:hAnsiTheme="minorHAnsi" w:cs="Arial"/>
                <w:sz w:val="22"/>
              </w:rPr>
            </w:pPr>
            <w:r w:rsidRPr="003E2A3E">
              <w:rPr>
                <w:rFonts w:asciiTheme="minorHAnsi" w:hAnsiTheme="minorHAnsi" w:cs="Arial"/>
                <w:sz w:val="22"/>
              </w:rPr>
              <w:t>Infrastructure Investment and Jobs Act</w:t>
            </w:r>
            <w:r w:rsidR="008A4D0B" w:rsidRPr="003E2A3E">
              <w:rPr>
                <w:rFonts w:asciiTheme="minorHAnsi" w:hAnsiTheme="minorHAnsi" w:cs="Arial"/>
                <w:sz w:val="22"/>
              </w:rPr>
              <w:t>. A U.S. federal law focused on infrastructure investment, including energy infrastructure.</w:t>
            </w:r>
          </w:p>
        </w:tc>
      </w:tr>
      <w:tr w:rsidR="003E2A3E" w:rsidRPr="003E2A3E" w14:paraId="306E0938" w14:textId="77777777" w:rsidTr="004911AE">
        <w:trPr>
          <w:trHeight w:val="300"/>
        </w:trPr>
        <w:tc>
          <w:tcPr>
            <w:tcW w:w="2678" w:type="dxa"/>
            <w:noWrap/>
            <w:vAlign w:val="center"/>
          </w:tcPr>
          <w:p w14:paraId="6E1EC1FD" w14:textId="36130DD0"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IRA</w:t>
            </w:r>
          </w:p>
        </w:tc>
        <w:tc>
          <w:tcPr>
            <w:tcW w:w="6682" w:type="dxa"/>
            <w:noWrap/>
            <w:vAlign w:val="center"/>
          </w:tcPr>
          <w:p w14:paraId="2D04E911" w14:textId="319C2840" w:rsidR="002B488B" w:rsidRPr="003E2A3E" w:rsidRDefault="002B488B" w:rsidP="002B488B">
            <w:pPr>
              <w:rPr>
                <w:rFonts w:asciiTheme="minorHAnsi" w:hAnsiTheme="minorHAnsi" w:cs="Arial"/>
                <w:sz w:val="22"/>
              </w:rPr>
            </w:pPr>
            <w:r w:rsidRPr="003E2A3E">
              <w:rPr>
                <w:rFonts w:asciiTheme="minorHAnsi" w:hAnsiTheme="minorHAnsi" w:cs="Arial"/>
                <w:sz w:val="22"/>
              </w:rPr>
              <w:t>Inflation Reduction Act</w:t>
            </w:r>
            <w:r w:rsidR="000F1823" w:rsidRPr="003E2A3E">
              <w:rPr>
                <w:rFonts w:asciiTheme="minorHAnsi" w:hAnsiTheme="minorHAnsi" w:cs="Arial"/>
                <w:sz w:val="22"/>
              </w:rPr>
              <w:t xml:space="preserve">. </w:t>
            </w:r>
            <w:r w:rsidR="00136796" w:rsidRPr="003E2A3E">
              <w:rPr>
                <w:rFonts w:asciiTheme="minorHAnsi" w:hAnsiTheme="minorHAnsi" w:cs="Arial"/>
                <w:sz w:val="22"/>
              </w:rPr>
              <w:t>A U.S. federal law aimed at reducing inflation, which includes provisions for renewable energy and energy efficiency.</w:t>
            </w:r>
          </w:p>
        </w:tc>
      </w:tr>
      <w:tr w:rsidR="003E2A3E" w:rsidRPr="003E2A3E" w14:paraId="1C631372" w14:textId="77777777" w:rsidTr="004911AE">
        <w:trPr>
          <w:trHeight w:val="300"/>
        </w:trPr>
        <w:tc>
          <w:tcPr>
            <w:tcW w:w="2678" w:type="dxa"/>
            <w:noWrap/>
            <w:vAlign w:val="center"/>
          </w:tcPr>
          <w:p w14:paraId="34F947FD"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IRP</w:t>
            </w:r>
          </w:p>
        </w:tc>
        <w:tc>
          <w:tcPr>
            <w:tcW w:w="6682" w:type="dxa"/>
            <w:noWrap/>
            <w:vAlign w:val="center"/>
          </w:tcPr>
          <w:p w14:paraId="5A4B78B8" w14:textId="670D1F95" w:rsidR="002B488B" w:rsidRPr="003E2A3E" w:rsidRDefault="002B488B" w:rsidP="002B488B">
            <w:pPr>
              <w:rPr>
                <w:rFonts w:asciiTheme="minorHAnsi" w:hAnsiTheme="minorHAnsi" w:cs="Arial"/>
                <w:sz w:val="22"/>
              </w:rPr>
            </w:pPr>
            <w:r w:rsidRPr="003E2A3E">
              <w:rPr>
                <w:rFonts w:asciiTheme="minorHAnsi" w:hAnsiTheme="minorHAnsi" w:cs="Arial"/>
                <w:sz w:val="22"/>
              </w:rPr>
              <w:t>Integrated Resource Plan</w:t>
            </w:r>
            <w:r w:rsidR="00AB44F8" w:rsidRPr="003E2A3E">
              <w:rPr>
                <w:rFonts w:asciiTheme="minorHAnsi" w:hAnsiTheme="minorHAnsi" w:cs="Arial"/>
                <w:sz w:val="22"/>
              </w:rPr>
              <w:t xml:space="preserve">. </w:t>
            </w:r>
            <w:r w:rsidR="00DB6748" w:rsidRPr="003E2A3E">
              <w:rPr>
                <w:rFonts w:asciiTheme="minorHAnsi" w:hAnsiTheme="minorHAnsi" w:cs="Arial"/>
                <w:sz w:val="22"/>
              </w:rPr>
              <w:t>A long-term plan to meet forecasted energy demand with a mix of supply-side and demand-side resources</w:t>
            </w:r>
            <w:r w:rsidR="005B477E" w:rsidRPr="003E2A3E">
              <w:rPr>
                <w:rFonts w:asciiTheme="minorHAnsi" w:hAnsiTheme="minorHAnsi" w:cs="Arial"/>
                <w:sz w:val="22"/>
              </w:rPr>
              <w:t>.</w:t>
            </w:r>
          </w:p>
        </w:tc>
      </w:tr>
      <w:tr w:rsidR="003E2A3E" w:rsidRPr="003E2A3E" w14:paraId="59BBC2F6" w14:textId="77777777" w:rsidTr="004911AE">
        <w:trPr>
          <w:trHeight w:val="300"/>
        </w:trPr>
        <w:tc>
          <w:tcPr>
            <w:tcW w:w="2678" w:type="dxa"/>
            <w:noWrap/>
            <w:vAlign w:val="center"/>
            <w:hideMark/>
          </w:tcPr>
          <w:p w14:paraId="1FEDC5C5"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IRP Act</w:t>
            </w:r>
          </w:p>
        </w:tc>
        <w:tc>
          <w:tcPr>
            <w:tcW w:w="6682" w:type="dxa"/>
            <w:noWrap/>
            <w:vAlign w:val="center"/>
            <w:hideMark/>
          </w:tcPr>
          <w:p w14:paraId="7FC8E9BC"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Integrated Resource Planning Act of 1991</w:t>
            </w:r>
          </w:p>
        </w:tc>
      </w:tr>
      <w:tr w:rsidR="003E2A3E" w:rsidRPr="003E2A3E" w14:paraId="3D6A92F2" w14:textId="77777777" w:rsidTr="004911AE">
        <w:trPr>
          <w:trHeight w:val="300"/>
        </w:trPr>
        <w:tc>
          <w:tcPr>
            <w:tcW w:w="2678" w:type="dxa"/>
            <w:noWrap/>
            <w:vAlign w:val="center"/>
          </w:tcPr>
          <w:p w14:paraId="5FAAABE7" w14:textId="56CADB76" w:rsidR="0000279B" w:rsidRPr="003E2A3E" w:rsidRDefault="0000279B" w:rsidP="002B488B">
            <w:pPr>
              <w:rPr>
                <w:rFonts w:asciiTheme="minorHAnsi" w:hAnsiTheme="minorHAnsi" w:cs="Arial"/>
                <w:b/>
                <w:sz w:val="22"/>
              </w:rPr>
            </w:pPr>
            <w:r w:rsidRPr="003E2A3E">
              <w:rPr>
                <w:rFonts w:asciiTheme="minorHAnsi" w:hAnsiTheme="minorHAnsi" w:cs="Arial"/>
                <w:b/>
                <w:sz w:val="22"/>
              </w:rPr>
              <w:t>ITC</w:t>
            </w:r>
          </w:p>
        </w:tc>
        <w:tc>
          <w:tcPr>
            <w:tcW w:w="6682" w:type="dxa"/>
            <w:noWrap/>
            <w:vAlign w:val="center"/>
          </w:tcPr>
          <w:p w14:paraId="3191B21B" w14:textId="2D511C79" w:rsidR="0000279B" w:rsidRPr="003E2A3E" w:rsidRDefault="0000279B" w:rsidP="002B488B">
            <w:pPr>
              <w:rPr>
                <w:rFonts w:asciiTheme="minorHAnsi" w:hAnsiTheme="minorHAnsi" w:cs="Arial"/>
                <w:sz w:val="22"/>
              </w:rPr>
            </w:pPr>
            <w:r w:rsidRPr="003E2A3E">
              <w:rPr>
                <w:rFonts w:asciiTheme="minorHAnsi" w:hAnsiTheme="minorHAnsi" w:cs="Arial"/>
                <w:sz w:val="22"/>
              </w:rPr>
              <w:t>Investment Tax Credits</w:t>
            </w:r>
          </w:p>
        </w:tc>
      </w:tr>
      <w:tr w:rsidR="003E2A3E" w:rsidRPr="003E2A3E" w14:paraId="6D75F5A7" w14:textId="77777777" w:rsidTr="004911AE">
        <w:trPr>
          <w:trHeight w:val="300"/>
        </w:trPr>
        <w:tc>
          <w:tcPr>
            <w:tcW w:w="2678" w:type="dxa"/>
            <w:noWrap/>
            <w:vAlign w:val="center"/>
            <w:hideMark/>
          </w:tcPr>
          <w:p w14:paraId="13334657"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ITS</w:t>
            </w:r>
          </w:p>
        </w:tc>
        <w:tc>
          <w:tcPr>
            <w:tcW w:w="6682" w:type="dxa"/>
            <w:noWrap/>
            <w:vAlign w:val="center"/>
            <w:hideMark/>
          </w:tcPr>
          <w:p w14:paraId="311E2B75"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Integrated Transmission System</w:t>
            </w:r>
          </w:p>
        </w:tc>
      </w:tr>
      <w:tr w:rsidR="003E2A3E" w:rsidRPr="003E2A3E" w14:paraId="6394E26D" w14:textId="77777777" w:rsidTr="004911AE">
        <w:trPr>
          <w:trHeight w:val="570"/>
        </w:trPr>
        <w:tc>
          <w:tcPr>
            <w:tcW w:w="2678" w:type="dxa"/>
            <w:noWrap/>
            <w:vAlign w:val="center"/>
            <w:hideMark/>
          </w:tcPr>
          <w:p w14:paraId="615DF2D0"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ITS Participants</w:t>
            </w:r>
          </w:p>
        </w:tc>
        <w:tc>
          <w:tcPr>
            <w:tcW w:w="6682" w:type="dxa"/>
            <w:vAlign w:val="center"/>
            <w:hideMark/>
          </w:tcPr>
          <w:p w14:paraId="6C390C2C"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Georgia Power, Georgia Transmission Corporation, MEAG Power, and Dalton Utilities</w:t>
            </w:r>
          </w:p>
        </w:tc>
      </w:tr>
      <w:tr w:rsidR="003E2A3E" w:rsidRPr="003E2A3E" w14:paraId="79521443" w14:textId="77777777" w:rsidTr="004911AE">
        <w:trPr>
          <w:trHeight w:val="300"/>
        </w:trPr>
        <w:tc>
          <w:tcPr>
            <w:tcW w:w="2678" w:type="dxa"/>
            <w:noWrap/>
            <w:vAlign w:val="center"/>
            <w:hideMark/>
          </w:tcPr>
          <w:p w14:paraId="61BF65E8"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JEA</w:t>
            </w:r>
          </w:p>
        </w:tc>
        <w:tc>
          <w:tcPr>
            <w:tcW w:w="6682" w:type="dxa"/>
            <w:noWrap/>
            <w:vAlign w:val="center"/>
            <w:hideMark/>
          </w:tcPr>
          <w:p w14:paraId="06B56E38"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Jacksonville Electric Authority</w:t>
            </w:r>
          </w:p>
        </w:tc>
      </w:tr>
      <w:tr w:rsidR="003E2A3E" w:rsidRPr="003E2A3E" w14:paraId="274C8224" w14:textId="77777777" w:rsidTr="004911AE">
        <w:trPr>
          <w:trHeight w:val="300"/>
        </w:trPr>
        <w:tc>
          <w:tcPr>
            <w:tcW w:w="2678" w:type="dxa"/>
            <w:noWrap/>
            <w:vAlign w:val="center"/>
            <w:hideMark/>
          </w:tcPr>
          <w:p w14:paraId="5CE037D6" w14:textId="73D9E97B" w:rsidR="002B488B" w:rsidRPr="003E2A3E" w:rsidRDefault="001B2893" w:rsidP="002B488B">
            <w:pPr>
              <w:rPr>
                <w:rFonts w:asciiTheme="minorHAnsi" w:hAnsiTheme="minorHAnsi" w:cs="Arial"/>
                <w:b/>
                <w:bCs/>
                <w:sz w:val="22"/>
              </w:rPr>
            </w:pPr>
            <w:r w:rsidRPr="003E2A3E">
              <w:rPr>
                <w:rFonts w:asciiTheme="minorHAnsi" w:hAnsiTheme="minorHAnsi" w:cs="Arial"/>
                <w:b/>
                <w:bCs/>
                <w:sz w:val="22"/>
              </w:rPr>
              <w:t>k</w:t>
            </w:r>
            <w:r w:rsidR="002B488B" w:rsidRPr="003E2A3E">
              <w:rPr>
                <w:rFonts w:asciiTheme="minorHAnsi" w:hAnsiTheme="minorHAnsi" w:cs="Arial"/>
                <w:b/>
                <w:bCs/>
                <w:sz w:val="22"/>
              </w:rPr>
              <w:t>W</w:t>
            </w:r>
          </w:p>
        </w:tc>
        <w:tc>
          <w:tcPr>
            <w:tcW w:w="6682" w:type="dxa"/>
            <w:noWrap/>
            <w:vAlign w:val="center"/>
            <w:hideMark/>
          </w:tcPr>
          <w:p w14:paraId="20CB035B"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Kilowatt</w:t>
            </w:r>
          </w:p>
        </w:tc>
      </w:tr>
      <w:tr w:rsidR="003E2A3E" w:rsidRPr="003E2A3E" w14:paraId="0F238F0A" w14:textId="77777777" w:rsidTr="004911AE">
        <w:trPr>
          <w:trHeight w:val="300"/>
        </w:trPr>
        <w:tc>
          <w:tcPr>
            <w:tcW w:w="2678" w:type="dxa"/>
            <w:noWrap/>
            <w:vAlign w:val="center"/>
            <w:hideMark/>
          </w:tcPr>
          <w:p w14:paraId="3D296EE1"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kWh</w:t>
            </w:r>
          </w:p>
        </w:tc>
        <w:tc>
          <w:tcPr>
            <w:tcW w:w="6682" w:type="dxa"/>
            <w:noWrap/>
            <w:vAlign w:val="center"/>
            <w:hideMark/>
          </w:tcPr>
          <w:p w14:paraId="798F725F"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Kilowatt Hour</w:t>
            </w:r>
          </w:p>
        </w:tc>
      </w:tr>
      <w:tr w:rsidR="003E2A3E" w:rsidRPr="003E2A3E" w14:paraId="5506DEFD" w14:textId="77777777" w:rsidTr="004911AE">
        <w:trPr>
          <w:trHeight w:val="300"/>
        </w:trPr>
        <w:tc>
          <w:tcPr>
            <w:tcW w:w="2678" w:type="dxa"/>
            <w:noWrap/>
            <w:vAlign w:val="center"/>
            <w:hideMark/>
          </w:tcPr>
          <w:p w14:paraId="62333518"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LG0</w:t>
            </w:r>
          </w:p>
        </w:tc>
        <w:tc>
          <w:tcPr>
            <w:tcW w:w="6682" w:type="dxa"/>
            <w:noWrap/>
            <w:vAlign w:val="center"/>
            <w:hideMark/>
          </w:tcPr>
          <w:p w14:paraId="6188B7FA" w14:textId="04A48FE7" w:rsidR="002B488B" w:rsidRPr="003E2A3E" w:rsidRDefault="002B488B" w:rsidP="002B488B">
            <w:pPr>
              <w:rPr>
                <w:rFonts w:asciiTheme="minorHAnsi" w:hAnsiTheme="minorHAnsi" w:cs="Arial"/>
                <w:sz w:val="22"/>
              </w:rPr>
            </w:pPr>
            <w:r w:rsidRPr="003E2A3E">
              <w:rPr>
                <w:rFonts w:asciiTheme="minorHAnsi" w:hAnsiTheme="minorHAnsi" w:cs="Arial"/>
                <w:sz w:val="22"/>
              </w:rPr>
              <w:t>Low gas</w:t>
            </w:r>
            <w:r w:rsidR="002D2D20">
              <w:rPr>
                <w:rFonts w:asciiTheme="minorHAnsi" w:hAnsiTheme="minorHAnsi" w:cs="Arial"/>
                <w:sz w:val="22"/>
              </w:rPr>
              <w:t>,</w:t>
            </w:r>
            <w:r w:rsidRPr="003E2A3E">
              <w:rPr>
                <w:rFonts w:asciiTheme="minorHAnsi" w:hAnsiTheme="minorHAnsi" w:cs="Arial"/>
                <w:sz w:val="22"/>
              </w:rPr>
              <w:t xml:space="preserve"> zero</w:t>
            </w:r>
            <w:r w:rsidR="002D2D20">
              <w:rPr>
                <w:rFonts w:asciiTheme="minorHAnsi" w:hAnsiTheme="minorHAnsi" w:cs="Arial"/>
                <w:sz w:val="22"/>
              </w:rPr>
              <w:t>-dollar</w:t>
            </w:r>
            <w:r w:rsidRPr="003E2A3E">
              <w:rPr>
                <w:rFonts w:asciiTheme="minorHAnsi" w:hAnsiTheme="minorHAnsi" w:cs="Arial"/>
                <w:sz w:val="22"/>
              </w:rPr>
              <w:t xml:space="preserve"> carbon</w:t>
            </w:r>
          </w:p>
        </w:tc>
      </w:tr>
      <w:tr w:rsidR="003E2A3E" w:rsidRPr="003E2A3E" w14:paraId="6139B761" w14:textId="77777777" w:rsidTr="004911AE">
        <w:trPr>
          <w:trHeight w:val="300"/>
        </w:trPr>
        <w:tc>
          <w:tcPr>
            <w:tcW w:w="2678" w:type="dxa"/>
            <w:noWrap/>
            <w:vAlign w:val="center"/>
            <w:hideMark/>
          </w:tcPr>
          <w:p w14:paraId="168AA006"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LoadMAP</w:t>
            </w:r>
          </w:p>
        </w:tc>
        <w:tc>
          <w:tcPr>
            <w:tcW w:w="6682" w:type="dxa"/>
            <w:noWrap/>
            <w:vAlign w:val="center"/>
            <w:hideMark/>
          </w:tcPr>
          <w:p w14:paraId="5F29CA10"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Load Management Analysis and Planning</w:t>
            </w:r>
          </w:p>
        </w:tc>
      </w:tr>
      <w:tr w:rsidR="003E2A3E" w:rsidRPr="003E2A3E" w14:paraId="0FAFB6BE" w14:textId="77777777" w:rsidTr="004911AE">
        <w:trPr>
          <w:trHeight w:val="300"/>
        </w:trPr>
        <w:tc>
          <w:tcPr>
            <w:tcW w:w="2678" w:type="dxa"/>
            <w:noWrap/>
            <w:vAlign w:val="center"/>
            <w:hideMark/>
          </w:tcPr>
          <w:p w14:paraId="7E3CEFD5"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LOLE</w:t>
            </w:r>
          </w:p>
        </w:tc>
        <w:tc>
          <w:tcPr>
            <w:tcW w:w="6682" w:type="dxa"/>
            <w:noWrap/>
            <w:vAlign w:val="center"/>
            <w:hideMark/>
          </w:tcPr>
          <w:p w14:paraId="02C9B84B" w14:textId="6306E5E0" w:rsidR="002B488B" w:rsidRPr="003E2A3E" w:rsidRDefault="002B488B" w:rsidP="002B488B">
            <w:pPr>
              <w:rPr>
                <w:rFonts w:asciiTheme="minorHAnsi" w:hAnsiTheme="minorHAnsi" w:cs="Arial"/>
                <w:sz w:val="22"/>
              </w:rPr>
            </w:pPr>
            <w:r w:rsidRPr="003E2A3E">
              <w:rPr>
                <w:rFonts w:asciiTheme="minorHAnsi" w:hAnsiTheme="minorHAnsi" w:cs="Arial"/>
                <w:sz w:val="22"/>
              </w:rPr>
              <w:t>Loss of Load Expectation</w:t>
            </w:r>
            <w:r w:rsidR="00A63DB5" w:rsidRPr="003E2A3E">
              <w:rPr>
                <w:rFonts w:asciiTheme="minorHAnsi" w:hAnsiTheme="minorHAnsi" w:cs="Arial"/>
                <w:sz w:val="22"/>
              </w:rPr>
              <w:t>. A reliability metric representing the expected number of days per year that the system's load will exceed available generation capacity.</w:t>
            </w:r>
          </w:p>
        </w:tc>
      </w:tr>
      <w:tr w:rsidR="003E2A3E" w:rsidRPr="003E2A3E" w14:paraId="01CEF6DA" w14:textId="77777777" w:rsidTr="004911AE">
        <w:trPr>
          <w:trHeight w:val="300"/>
        </w:trPr>
        <w:tc>
          <w:tcPr>
            <w:tcW w:w="2678" w:type="dxa"/>
            <w:noWrap/>
            <w:vAlign w:val="center"/>
            <w:hideMark/>
          </w:tcPr>
          <w:p w14:paraId="630251EB"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MARTA</w:t>
            </w:r>
          </w:p>
        </w:tc>
        <w:tc>
          <w:tcPr>
            <w:tcW w:w="6682" w:type="dxa"/>
            <w:noWrap/>
            <w:vAlign w:val="center"/>
            <w:hideMark/>
          </w:tcPr>
          <w:p w14:paraId="6B0D8C5F"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Metropolitan Atlanta Rapid Transit Authority</w:t>
            </w:r>
          </w:p>
        </w:tc>
      </w:tr>
      <w:tr w:rsidR="003E2A3E" w:rsidRPr="003E2A3E" w14:paraId="1F2AC54E" w14:textId="77777777" w:rsidTr="004911AE">
        <w:trPr>
          <w:trHeight w:val="300"/>
        </w:trPr>
        <w:tc>
          <w:tcPr>
            <w:tcW w:w="2678" w:type="dxa"/>
            <w:noWrap/>
            <w:vAlign w:val="center"/>
          </w:tcPr>
          <w:p w14:paraId="56AAFFE9" w14:textId="66E49608" w:rsidR="0071392F" w:rsidRPr="003E2A3E" w:rsidRDefault="0071392F" w:rsidP="002B488B">
            <w:pPr>
              <w:rPr>
                <w:rFonts w:asciiTheme="minorHAnsi" w:hAnsiTheme="minorHAnsi" w:cs="Arial"/>
                <w:b/>
                <w:sz w:val="22"/>
              </w:rPr>
            </w:pPr>
            <w:r w:rsidRPr="003E2A3E">
              <w:rPr>
                <w:rFonts w:asciiTheme="minorHAnsi" w:hAnsiTheme="minorHAnsi" w:cs="Arial"/>
                <w:b/>
                <w:sz w:val="22"/>
              </w:rPr>
              <w:t>MATS</w:t>
            </w:r>
          </w:p>
        </w:tc>
        <w:tc>
          <w:tcPr>
            <w:tcW w:w="6682" w:type="dxa"/>
            <w:noWrap/>
            <w:vAlign w:val="center"/>
          </w:tcPr>
          <w:p w14:paraId="79286EAC" w14:textId="7CE62883" w:rsidR="0071392F" w:rsidRPr="003E2A3E" w:rsidRDefault="0028605D" w:rsidP="002B488B">
            <w:pPr>
              <w:rPr>
                <w:rFonts w:asciiTheme="minorHAnsi" w:hAnsiTheme="minorHAnsi" w:cs="Arial"/>
                <w:sz w:val="22"/>
              </w:rPr>
            </w:pPr>
            <w:r w:rsidRPr="003E2A3E">
              <w:rPr>
                <w:rFonts w:asciiTheme="minorHAnsi" w:hAnsiTheme="minorHAnsi" w:cs="Arial"/>
                <w:sz w:val="22"/>
              </w:rPr>
              <w:t>Mercury and Air Toxics Standards</w:t>
            </w:r>
          </w:p>
        </w:tc>
      </w:tr>
      <w:tr w:rsidR="003E2A3E" w:rsidRPr="003E2A3E" w14:paraId="38E5947E" w14:textId="77777777" w:rsidTr="004911AE">
        <w:trPr>
          <w:trHeight w:val="300"/>
        </w:trPr>
        <w:tc>
          <w:tcPr>
            <w:tcW w:w="2678" w:type="dxa"/>
            <w:noWrap/>
            <w:vAlign w:val="center"/>
            <w:hideMark/>
          </w:tcPr>
          <w:p w14:paraId="7BE0B0AE"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MDA</w:t>
            </w:r>
          </w:p>
        </w:tc>
        <w:tc>
          <w:tcPr>
            <w:tcW w:w="6682" w:type="dxa"/>
            <w:noWrap/>
            <w:vAlign w:val="center"/>
            <w:hideMark/>
          </w:tcPr>
          <w:p w14:paraId="75E6F8D9"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Market Differential Adjustment</w:t>
            </w:r>
          </w:p>
        </w:tc>
      </w:tr>
      <w:tr w:rsidR="003E2A3E" w:rsidRPr="003E2A3E" w14:paraId="260E078E" w14:textId="77777777" w:rsidTr="004911AE">
        <w:trPr>
          <w:trHeight w:val="315"/>
        </w:trPr>
        <w:tc>
          <w:tcPr>
            <w:tcW w:w="2678" w:type="dxa"/>
            <w:noWrap/>
            <w:vAlign w:val="center"/>
            <w:hideMark/>
          </w:tcPr>
          <w:p w14:paraId="5A7E82C2"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MEAG Power</w:t>
            </w:r>
          </w:p>
        </w:tc>
        <w:tc>
          <w:tcPr>
            <w:tcW w:w="6682" w:type="dxa"/>
            <w:noWrap/>
            <w:vAlign w:val="center"/>
            <w:hideMark/>
          </w:tcPr>
          <w:p w14:paraId="426B3647"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Municipal Electric Authority of Georgia</w:t>
            </w:r>
          </w:p>
        </w:tc>
      </w:tr>
      <w:tr w:rsidR="003E2A3E" w:rsidRPr="003E2A3E" w14:paraId="04AC5F6E" w14:textId="77777777" w:rsidTr="004911AE">
        <w:trPr>
          <w:trHeight w:val="300"/>
        </w:trPr>
        <w:tc>
          <w:tcPr>
            <w:tcW w:w="2678" w:type="dxa"/>
            <w:noWrap/>
            <w:vAlign w:val="center"/>
            <w:hideMark/>
          </w:tcPr>
          <w:p w14:paraId="03448A30"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MG0</w:t>
            </w:r>
          </w:p>
        </w:tc>
        <w:tc>
          <w:tcPr>
            <w:tcW w:w="6682" w:type="dxa"/>
            <w:noWrap/>
            <w:vAlign w:val="center"/>
            <w:hideMark/>
          </w:tcPr>
          <w:p w14:paraId="7775FE5E"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Moderate gas, zero-dollar carbon</w:t>
            </w:r>
          </w:p>
        </w:tc>
      </w:tr>
      <w:tr w:rsidR="003E2A3E" w:rsidRPr="003E2A3E" w14:paraId="57BB20EE" w14:textId="77777777" w:rsidTr="004911AE">
        <w:trPr>
          <w:trHeight w:val="300"/>
        </w:trPr>
        <w:tc>
          <w:tcPr>
            <w:tcW w:w="2678" w:type="dxa"/>
            <w:noWrap/>
            <w:vAlign w:val="center"/>
          </w:tcPr>
          <w:p w14:paraId="6264B2B6" w14:textId="6F21B641" w:rsidR="0096761B" w:rsidRPr="003E2A3E" w:rsidRDefault="0096761B" w:rsidP="002B488B">
            <w:pPr>
              <w:rPr>
                <w:rFonts w:asciiTheme="minorHAnsi" w:hAnsiTheme="minorHAnsi" w:cs="Arial"/>
                <w:b/>
                <w:sz w:val="22"/>
              </w:rPr>
            </w:pPr>
            <w:r w:rsidRPr="003E2A3E">
              <w:rPr>
                <w:rFonts w:asciiTheme="minorHAnsi" w:hAnsiTheme="minorHAnsi" w:cs="Arial"/>
                <w:b/>
                <w:sz w:val="22"/>
              </w:rPr>
              <w:t>MG20</w:t>
            </w:r>
          </w:p>
        </w:tc>
        <w:tc>
          <w:tcPr>
            <w:tcW w:w="6682" w:type="dxa"/>
            <w:noWrap/>
            <w:vAlign w:val="center"/>
          </w:tcPr>
          <w:p w14:paraId="4C28E3E2" w14:textId="758ECF66" w:rsidR="0096761B" w:rsidRPr="003E2A3E" w:rsidRDefault="0096761B" w:rsidP="002B488B">
            <w:pPr>
              <w:rPr>
                <w:rFonts w:asciiTheme="minorHAnsi" w:hAnsiTheme="minorHAnsi" w:cs="Arial"/>
                <w:sz w:val="22"/>
              </w:rPr>
            </w:pPr>
            <w:r w:rsidRPr="003E2A3E">
              <w:rPr>
                <w:rFonts w:asciiTheme="minorHAnsi" w:hAnsiTheme="minorHAnsi" w:cs="Arial"/>
                <w:sz w:val="22"/>
              </w:rPr>
              <w:t xml:space="preserve">Moderate gas, </w:t>
            </w:r>
            <w:r w:rsidR="00C36E67" w:rsidRPr="003E2A3E">
              <w:rPr>
                <w:rFonts w:asciiTheme="minorHAnsi" w:hAnsiTheme="minorHAnsi" w:cs="Arial"/>
                <w:sz w:val="22"/>
              </w:rPr>
              <w:t>twenty-dollar carbon</w:t>
            </w:r>
          </w:p>
        </w:tc>
      </w:tr>
      <w:tr w:rsidR="003E2A3E" w:rsidRPr="003E2A3E" w14:paraId="5D65D863" w14:textId="77777777" w:rsidTr="004911AE">
        <w:trPr>
          <w:trHeight w:val="300"/>
        </w:trPr>
        <w:tc>
          <w:tcPr>
            <w:tcW w:w="2678" w:type="dxa"/>
            <w:noWrap/>
            <w:vAlign w:val="center"/>
          </w:tcPr>
          <w:p w14:paraId="40EB1D68" w14:textId="7D049876" w:rsidR="0096761B" w:rsidRPr="003E2A3E" w:rsidRDefault="0096761B" w:rsidP="002B488B">
            <w:pPr>
              <w:rPr>
                <w:rFonts w:asciiTheme="minorHAnsi" w:hAnsiTheme="minorHAnsi" w:cs="Arial"/>
                <w:b/>
                <w:sz w:val="22"/>
              </w:rPr>
            </w:pPr>
            <w:r w:rsidRPr="003E2A3E">
              <w:rPr>
                <w:rFonts w:asciiTheme="minorHAnsi" w:hAnsiTheme="minorHAnsi" w:cs="Arial"/>
                <w:b/>
                <w:sz w:val="22"/>
              </w:rPr>
              <w:t>MG50</w:t>
            </w:r>
          </w:p>
        </w:tc>
        <w:tc>
          <w:tcPr>
            <w:tcW w:w="6682" w:type="dxa"/>
            <w:noWrap/>
            <w:vAlign w:val="center"/>
          </w:tcPr>
          <w:p w14:paraId="16D3FB8C" w14:textId="2505DD55" w:rsidR="0096761B" w:rsidRPr="003E2A3E" w:rsidRDefault="00C36E67" w:rsidP="002B488B">
            <w:pPr>
              <w:rPr>
                <w:rFonts w:asciiTheme="minorHAnsi" w:hAnsiTheme="minorHAnsi" w:cs="Arial"/>
                <w:sz w:val="22"/>
              </w:rPr>
            </w:pPr>
            <w:r w:rsidRPr="003E2A3E">
              <w:rPr>
                <w:rFonts w:asciiTheme="minorHAnsi" w:hAnsiTheme="minorHAnsi" w:cs="Arial"/>
                <w:sz w:val="22"/>
              </w:rPr>
              <w:t>Moderate gas, fifty-dollar carbon</w:t>
            </w:r>
          </w:p>
        </w:tc>
      </w:tr>
      <w:tr w:rsidR="003E2A3E" w:rsidRPr="003E2A3E" w14:paraId="2FCE72A1" w14:textId="77777777" w:rsidTr="004911AE">
        <w:trPr>
          <w:trHeight w:val="300"/>
        </w:trPr>
        <w:tc>
          <w:tcPr>
            <w:tcW w:w="2678" w:type="dxa"/>
            <w:noWrap/>
            <w:vAlign w:val="center"/>
            <w:hideMark/>
          </w:tcPr>
          <w:p w14:paraId="7A06E6C1"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MPC</w:t>
            </w:r>
          </w:p>
        </w:tc>
        <w:tc>
          <w:tcPr>
            <w:tcW w:w="6682" w:type="dxa"/>
            <w:noWrap/>
            <w:vAlign w:val="center"/>
            <w:hideMark/>
          </w:tcPr>
          <w:p w14:paraId="75CF6123"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Mississippi Power Company</w:t>
            </w:r>
          </w:p>
        </w:tc>
      </w:tr>
      <w:tr w:rsidR="003E2A3E" w:rsidRPr="003E2A3E" w14:paraId="38297C2D" w14:textId="77777777" w:rsidTr="004911AE">
        <w:trPr>
          <w:trHeight w:val="300"/>
        </w:trPr>
        <w:tc>
          <w:tcPr>
            <w:tcW w:w="2678" w:type="dxa"/>
            <w:noWrap/>
            <w:vAlign w:val="center"/>
            <w:hideMark/>
          </w:tcPr>
          <w:p w14:paraId="39672A94"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MUSH</w:t>
            </w:r>
          </w:p>
        </w:tc>
        <w:tc>
          <w:tcPr>
            <w:tcW w:w="6682" w:type="dxa"/>
            <w:noWrap/>
            <w:vAlign w:val="center"/>
            <w:hideMark/>
          </w:tcPr>
          <w:p w14:paraId="45D93094"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Municipalities, universities, schools, and hospitals</w:t>
            </w:r>
          </w:p>
        </w:tc>
      </w:tr>
      <w:tr w:rsidR="003E2A3E" w:rsidRPr="003E2A3E" w14:paraId="765DC5FE" w14:textId="77777777" w:rsidTr="004911AE">
        <w:trPr>
          <w:trHeight w:val="300"/>
        </w:trPr>
        <w:tc>
          <w:tcPr>
            <w:tcW w:w="2678" w:type="dxa"/>
            <w:noWrap/>
            <w:vAlign w:val="center"/>
            <w:hideMark/>
          </w:tcPr>
          <w:p w14:paraId="2A8D9F18"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MW</w:t>
            </w:r>
          </w:p>
        </w:tc>
        <w:tc>
          <w:tcPr>
            <w:tcW w:w="6682" w:type="dxa"/>
            <w:noWrap/>
            <w:vAlign w:val="center"/>
            <w:hideMark/>
          </w:tcPr>
          <w:p w14:paraId="161D1FE8"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Megawatt</w:t>
            </w:r>
          </w:p>
        </w:tc>
      </w:tr>
      <w:tr w:rsidR="003E2A3E" w:rsidRPr="003E2A3E" w14:paraId="54866FCE" w14:textId="77777777" w:rsidTr="004911AE">
        <w:trPr>
          <w:trHeight w:val="300"/>
        </w:trPr>
        <w:tc>
          <w:tcPr>
            <w:tcW w:w="2678" w:type="dxa"/>
            <w:noWrap/>
            <w:vAlign w:val="center"/>
            <w:hideMark/>
          </w:tcPr>
          <w:p w14:paraId="0681A2C1"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MWh</w:t>
            </w:r>
          </w:p>
        </w:tc>
        <w:tc>
          <w:tcPr>
            <w:tcW w:w="6682" w:type="dxa"/>
            <w:noWrap/>
            <w:vAlign w:val="center"/>
            <w:hideMark/>
          </w:tcPr>
          <w:p w14:paraId="364D74CB"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Megawatt hour</w:t>
            </w:r>
          </w:p>
        </w:tc>
      </w:tr>
      <w:tr w:rsidR="003E2A3E" w:rsidRPr="003E2A3E" w14:paraId="1FAA7C5D" w14:textId="77777777" w:rsidTr="004911AE">
        <w:trPr>
          <w:trHeight w:val="300"/>
        </w:trPr>
        <w:tc>
          <w:tcPr>
            <w:tcW w:w="2678" w:type="dxa"/>
            <w:noWrap/>
            <w:vAlign w:val="center"/>
            <w:hideMark/>
          </w:tcPr>
          <w:p w14:paraId="447C066E"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NEMS</w:t>
            </w:r>
          </w:p>
        </w:tc>
        <w:tc>
          <w:tcPr>
            <w:tcW w:w="6682" w:type="dxa"/>
            <w:noWrap/>
            <w:vAlign w:val="center"/>
            <w:hideMark/>
          </w:tcPr>
          <w:p w14:paraId="650F8692" w14:textId="2BAFE65D" w:rsidR="002B488B" w:rsidRPr="003E2A3E" w:rsidRDefault="002B488B" w:rsidP="002B488B">
            <w:pPr>
              <w:rPr>
                <w:rFonts w:asciiTheme="minorHAnsi" w:hAnsiTheme="minorHAnsi" w:cs="Arial"/>
                <w:sz w:val="22"/>
              </w:rPr>
            </w:pPr>
            <w:r w:rsidRPr="003E2A3E">
              <w:rPr>
                <w:rFonts w:asciiTheme="minorHAnsi" w:hAnsiTheme="minorHAnsi" w:cs="Arial"/>
                <w:sz w:val="22"/>
              </w:rPr>
              <w:t>National Energy Modeling System</w:t>
            </w:r>
            <w:r w:rsidR="00DA5B33" w:rsidRPr="003E2A3E">
              <w:rPr>
                <w:rFonts w:asciiTheme="minorHAnsi" w:hAnsiTheme="minorHAnsi" w:cs="Arial"/>
                <w:sz w:val="22"/>
              </w:rPr>
              <w:t>. A computer-based, energy-economy modeling system of the U.S. energy economy.</w:t>
            </w:r>
          </w:p>
        </w:tc>
      </w:tr>
      <w:tr w:rsidR="003E2A3E" w:rsidRPr="003E2A3E" w14:paraId="6D6584B6" w14:textId="77777777" w:rsidTr="004911AE">
        <w:trPr>
          <w:trHeight w:val="300"/>
        </w:trPr>
        <w:tc>
          <w:tcPr>
            <w:tcW w:w="2678" w:type="dxa"/>
            <w:noWrap/>
            <w:vAlign w:val="center"/>
            <w:hideMark/>
          </w:tcPr>
          <w:p w14:paraId="6A71AFC8"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NERC</w:t>
            </w:r>
          </w:p>
        </w:tc>
        <w:tc>
          <w:tcPr>
            <w:tcW w:w="6682" w:type="dxa"/>
            <w:noWrap/>
            <w:vAlign w:val="center"/>
            <w:hideMark/>
          </w:tcPr>
          <w:p w14:paraId="26718E1C"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North American Electric Reliability Council</w:t>
            </w:r>
          </w:p>
        </w:tc>
      </w:tr>
      <w:tr w:rsidR="003E2A3E" w:rsidRPr="003E2A3E" w14:paraId="02A91E40" w14:textId="77777777" w:rsidTr="004911AE">
        <w:trPr>
          <w:trHeight w:val="300"/>
        </w:trPr>
        <w:tc>
          <w:tcPr>
            <w:tcW w:w="2678" w:type="dxa"/>
            <w:noWrap/>
            <w:vAlign w:val="center"/>
            <w:hideMark/>
          </w:tcPr>
          <w:p w14:paraId="6AA13153"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NGCC</w:t>
            </w:r>
          </w:p>
        </w:tc>
        <w:tc>
          <w:tcPr>
            <w:tcW w:w="6682" w:type="dxa"/>
            <w:noWrap/>
            <w:vAlign w:val="center"/>
            <w:hideMark/>
          </w:tcPr>
          <w:p w14:paraId="44EE3D0E"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Natural Gas Combined Cycle</w:t>
            </w:r>
          </w:p>
        </w:tc>
      </w:tr>
      <w:tr w:rsidR="003E2A3E" w:rsidRPr="003E2A3E" w14:paraId="07E0BC86" w14:textId="77777777" w:rsidTr="004911AE">
        <w:trPr>
          <w:trHeight w:val="300"/>
        </w:trPr>
        <w:tc>
          <w:tcPr>
            <w:tcW w:w="2678" w:type="dxa"/>
            <w:noWrap/>
            <w:vAlign w:val="center"/>
            <w:hideMark/>
          </w:tcPr>
          <w:p w14:paraId="2CFA40C3" w14:textId="38E8E540"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NGCC</w:t>
            </w:r>
            <w:r w:rsidR="007446F0">
              <w:rPr>
                <w:rFonts w:asciiTheme="minorHAnsi" w:hAnsiTheme="minorHAnsi" w:cs="Arial"/>
                <w:b/>
                <w:bCs/>
                <w:sz w:val="22"/>
              </w:rPr>
              <w:t xml:space="preserve"> with CCS</w:t>
            </w:r>
          </w:p>
        </w:tc>
        <w:tc>
          <w:tcPr>
            <w:tcW w:w="6682" w:type="dxa"/>
            <w:noWrap/>
            <w:vAlign w:val="center"/>
            <w:hideMark/>
          </w:tcPr>
          <w:p w14:paraId="17934592" w14:textId="63905201" w:rsidR="002B488B" w:rsidRPr="003E2A3E" w:rsidRDefault="002B488B" w:rsidP="002B488B">
            <w:pPr>
              <w:rPr>
                <w:rFonts w:asciiTheme="minorHAnsi" w:hAnsiTheme="minorHAnsi" w:cs="Arial"/>
                <w:sz w:val="22"/>
              </w:rPr>
            </w:pPr>
            <w:r w:rsidRPr="003E2A3E">
              <w:rPr>
                <w:rFonts w:asciiTheme="minorHAnsi" w:hAnsiTheme="minorHAnsi" w:cs="Arial"/>
                <w:sz w:val="22"/>
              </w:rPr>
              <w:t xml:space="preserve">Natural Gas Combined Cycle with Carbon Capture and </w:t>
            </w:r>
            <w:r w:rsidR="007446F0">
              <w:rPr>
                <w:rFonts w:asciiTheme="minorHAnsi" w:hAnsiTheme="minorHAnsi" w:cs="Arial"/>
                <w:sz w:val="22"/>
              </w:rPr>
              <w:t>Sequestration</w:t>
            </w:r>
          </w:p>
        </w:tc>
      </w:tr>
      <w:tr w:rsidR="003E2A3E" w:rsidRPr="003E2A3E" w14:paraId="3EB4E18E" w14:textId="77777777" w:rsidTr="004911AE">
        <w:trPr>
          <w:trHeight w:val="300"/>
        </w:trPr>
        <w:tc>
          <w:tcPr>
            <w:tcW w:w="2678" w:type="dxa"/>
            <w:noWrap/>
            <w:vAlign w:val="center"/>
            <w:hideMark/>
          </w:tcPr>
          <w:p w14:paraId="36B5D1BF"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lastRenderedPageBreak/>
              <w:t>NOI</w:t>
            </w:r>
          </w:p>
        </w:tc>
        <w:tc>
          <w:tcPr>
            <w:tcW w:w="6682" w:type="dxa"/>
            <w:noWrap/>
            <w:vAlign w:val="center"/>
            <w:hideMark/>
          </w:tcPr>
          <w:p w14:paraId="783C5C7B" w14:textId="734C416C" w:rsidR="002B488B" w:rsidRPr="003E2A3E" w:rsidRDefault="002B488B" w:rsidP="002B488B">
            <w:pPr>
              <w:rPr>
                <w:rFonts w:asciiTheme="minorHAnsi" w:hAnsiTheme="minorHAnsi" w:cs="Arial"/>
                <w:sz w:val="22"/>
              </w:rPr>
            </w:pPr>
            <w:r w:rsidRPr="003E2A3E">
              <w:rPr>
                <w:rFonts w:asciiTheme="minorHAnsi" w:hAnsiTheme="minorHAnsi" w:cs="Arial"/>
                <w:sz w:val="22"/>
              </w:rPr>
              <w:t>Notice of Intent</w:t>
            </w:r>
            <w:r w:rsidR="00C758A0" w:rsidRPr="003E2A3E">
              <w:rPr>
                <w:rFonts w:asciiTheme="minorHAnsi" w:hAnsiTheme="minorHAnsi" w:cs="Arial"/>
                <w:sz w:val="22"/>
              </w:rPr>
              <w:t xml:space="preserve">. </w:t>
            </w:r>
            <w:r w:rsidR="00CF262F" w:rsidRPr="003E2A3E">
              <w:rPr>
                <w:rFonts w:asciiTheme="minorHAnsi" w:hAnsiTheme="minorHAnsi" w:cs="Arial"/>
                <w:sz w:val="22"/>
              </w:rPr>
              <w:t>A formal declaration of intent to participate in a program or project.</w:t>
            </w:r>
          </w:p>
        </w:tc>
      </w:tr>
      <w:tr w:rsidR="003E2A3E" w:rsidRPr="003E2A3E" w14:paraId="051DA851" w14:textId="77777777" w:rsidTr="004911AE">
        <w:trPr>
          <w:trHeight w:val="300"/>
        </w:trPr>
        <w:tc>
          <w:tcPr>
            <w:tcW w:w="2678" w:type="dxa"/>
            <w:noWrap/>
            <w:vAlign w:val="center"/>
          </w:tcPr>
          <w:p w14:paraId="11809074" w14:textId="6ACAF1AB" w:rsidR="00D0718D" w:rsidRPr="003E2A3E" w:rsidRDefault="00D0718D" w:rsidP="002B488B">
            <w:pPr>
              <w:rPr>
                <w:rFonts w:asciiTheme="minorHAnsi" w:hAnsiTheme="minorHAnsi" w:cs="Arial"/>
                <w:b/>
                <w:sz w:val="22"/>
              </w:rPr>
            </w:pPr>
            <w:r w:rsidRPr="003E2A3E">
              <w:rPr>
                <w:rFonts w:asciiTheme="minorHAnsi" w:hAnsiTheme="minorHAnsi" w:cs="Arial"/>
                <w:b/>
                <w:sz w:val="22"/>
              </w:rPr>
              <w:t>NPDES</w:t>
            </w:r>
          </w:p>
        </w:tc>
        <w:tc>
          <w:tcPr>
            <w:tcW w:w="6682" w:type="dxa"/>
            <w:noWrap/>
            <w:vAlign w:val="center"/>
          </w:tcPr>
          <w:p w14:paraId="0C326A1E" w14:textId="783666F3" w:rsidR="00D0718D" w:rsidRPr="003E2A3E" w:rsidRDefault="00D0718D" w:rsidP="002B488B">
            <w:pPr>
              <w:rPr>
                <w:rFonts w:asciiTheme="minorHAnsi" w:hAnsiTheme="minorHAnsi" w:cs="Arial"/>
                <w:sz w:val="22"/>
              </w:rPr>
            </w:pPr>
            <w:r w:rsidRPr="003E2A3E">
              <w:rPr>
                <w:rFonts w:asciiTheme="minorHAnsi" w:hAnsiTheme="minorHAnsi" w:cs="Arial"/>
                <w:sz w:val="22"/>
              </w:rPr>
              <w:t>National Pollutant Discharge Elimination System</w:t>
            </w:r>
          </w:p>
        </w:tc>
      </w:tr>
      <w:tr w:rsidR="003E2A3E" w:rsidRPr="003E2A3E" w14:paraId="237AA63D" w14:textId="77777777" w:rsidTr="004911AE">
        <w:trPr>
          <w:trHeight w:val="300"/>
        </w:trPr>
        <w:tc>
          <w:tcPr>
            <w:tcW w:w="2678" w:type="dxa"/>
            <w:noWrap/>
            <w:vAlign w:val="center"/>
            <w:hideMark/>
          </w:tcPr>
          <w:p w14:paraId="79D736DC"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NPV</w:t>
            </w:r>
          </w:p>
        </w:tc>
        <w:tc>
          <w:tcPr>
            <w:tcW w:w="6682" w:type="dxa"/>
            <w:noWrap/>
            <w:vAlign w:val="center"/>
            <w:hideMark/>
          </w:tcPr>
          <w:p w14:paraId="50608FD4"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Net Present Value</w:t>
            </w:r>
          </w:p>
        </w:tc>
      </w:tr>
      <w:tr w:rsidR="003E2A3E" w:rsidRPr="003E2A3E" w14:paraId="461B6408" w14:textId="77777777" w:rsidTr="004911AE">
        <w:trPr>
          <w:trHeight w:val="300"/>
        </w:trPr>
        <w:tc>
          <w:tcPr>
            <w:tcW w:w="2678" w:type="dxa"/>
            <w:noWrap/>
            <w:vAlign w:val="center"/>
            <w:hideMark/>
          </w:tcPr>
          <w:p w14:paraId="33482D0E"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NRC</w:t>
            </w:r>
          </w:p>
        </w:tc>
        <w:tc>
          <w:tcPr>
            <w:tcW w:w="6682" w:type="dxa"/>
            <w:noWrap/>
            <w:vAlign w:val="center"/>
            <w:hideMark/>
          </w:tcPr>
          <w:p w14:paraId="72F54315"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Nuclear Regulatory Commission</w:t>
            </w:r>
          </w:p>
        </w:tc>
      </w:tr>
      <w:tr w:rsidR="003E2A3E" w:rsidRPr="003E2A3E" w14:paraId="277ACCE7" w14:textId="77777777" w:rsidTr="004911AE">
        <w:trPr>
          <w:trHeight w:val="300"/>
        </w:trPr>
        <w:tc>
          <w:tcPr>
            <w:tcW w:w="2678" w:type="dxa"/>
            <w:noWrap/>
            <w:vAlign w:val="center"/>
          </w:tcPr>
          <w:p w14:paraId="0E981D83" w14:textId="29961214" w:rsidR="001D2EA2" w:rsidRPr="003E2A3E" w:rsidRDefault="001D2EA2" w:rsidP="002B488B">
            <w:pPr>
              <w:rPr>
                <w:rFonts w:asciiTheme="minorHAnsi" w:hAnsiTheme="minorHAnsi" w:cs="Arial"/>
                <w:b/>
                <w:sz w:val="22"/>
              </w:rPr>
            </w:pPr>
            <w:r w:rsidRPr="003E2A3E">
              <w:rPr>
                <w:rFonts w:asciiTheme="minorHAnsi" w:hAnsiTheme="minorHAnsi" w:cs="Arial"/>
                <w:b/>
                <w:sz w:val="22"/>
              </w:rPr>
              <w:t>NWA</w:t>
            </w:r>
          </w:p>
        </w:tc>
        <w:tc>
          <w:tcPr>
            <w:tcW w:w="6682" w:type="dxa"/>
            <w:noWrap/>
            <w:vAlign w:val="center"/>
          </w:tcPr>
          <w:p w14:paraId="7CB0D8D1" w14:textId="76DAC8D0" w:rsidR="001D2EA2" w:rsidRPr="003E2A3E" w:rsidRDefault="001D2EA2" w:rsidP="002B488B">
            <w:pPr>
              <w:rPr>
                <w:rFonts w:asciiTheme="minorHAnsi" w:hAnsiTheme="minorHAnsi" w:cs="Arial"/>
                <w:sz w:val="22"/>
              </w:rPr>
            </w:pPr>
            <w:r w:rsidRPr="003E2A3E">
              <w:rPr>
                <w:rFonts w:asciiTheme="minorHAnsi" w:hAnsiTheme="minorHAnsi" w:cs="Arial"/>
                <w:sz w:val="22"/>
              </w:rPr>
              <w:t>Non</w:t>
            </w:r>
            <w:r w:rsidR="00F52853" w:rsidRPr="003E2A3E">
              <w:rPr>
                <w:rFonts w:asciiTheme="minorHAnsi" w:hAnsiTheme="minorHAnsi" w:cs="Arial"/>
                <w:sz w:val="22"/>
              </w:rPr>
              <w:t>-wires alternative</w:t>
            </w:r>
          </w:p>
        </w:tc>
      </w:tr>
      <w:tr w:rsidR="003E2A3E" w:rsidRPr="003E2A3E" w14:paraId="7FCDAD87" w14:textId="77777777" w:rsidTr="004911AE">
        <w:trPr>
          <w:trHeight w:val="300"/>
        </w:trPr>
        <w:tc>
          <w:tcPr>
            <w:tcW w:w="2678" w:type="dxa"/>
            <w:noWrap/>
            <w:vAlign w:val="center"/>
          </w:tcPr>
          <w:p w14:paraId="46C01E28" w14:textId="6576F37D" w:rsidR="002A2C16" w:rsidRPr="003E2A3E" w:rsidRDefault="005F058A" w:rsidP="002B488B">
            <w:pPr>
              <w:rPr>
                <w:rFonts w:asciiTheme="minorHAnsi" w:hAnsiTheme="minorHAnsi" w:cs="Arial"/>
                <w:b/>
                <w:sz w:val="22"/>
              </w:rPr>
            </w:pPr>
            <w:r w:rsidRPr="003E2A3E">
              <w:rPr>
                <w:rFonts w:asciiTheme="minorHAnsi" w:hAnsiTheme="minorHAnsi" w:cs="Arial"/>
                <w:b/>
                <w:sz w:val="22"/>
              </w:rPr>
              <w:t>NYMEX</w:t>
            </w:r>
          </w:p>
        </w:tc>
        <w:tc>
          <w:tcPr>
            <w:tcW w:w="6682" w:type="dxa"/>
            <w:noWrap/>
            <w:vAlign w:val="center"/>
          </w:tcPr>
          <w:p w14:paraId="5351AFAF" w14:textId="06EFE377" w:rsidR="002A2C16" w:rsidRPr="003E2A3E" w:rsidRDefault="005F058A" w:rsidP="002B488B">
            <w:pPr>
              <w:rPr>
                <w:rFonts w:asciiTheme="minorHAnsi" w:hAnsiTheme="minorHAnsi" w:cs="Arial"/>
                <w:sz w:val="22"/>
              </w:rPr>
            </w:pPr>
            <w:r w:rsidRPr="003E2A3E">
              <w:rPr>
                <w:rFonts w:asciiTheme="minorHAnsi" w:hAnsiTheme="minorHAnsi" w:cs="Arial"/>
                <w:sz w:val="22"/>
              </w:rPr>
              <w:t>New York Mercantile Exchange</w:t>
            </w:r>
          </w:p>
        </w:tc>
      </w:tr>
      <w:tr w:rsidR="003E2A3E" w:rsidRPr="003E2A3E" w14:paraId="4CC3D5EC" w14:textId="77777777" w:rsidTr="004911AE">
        <w:trPr>
          <w:trHeight w:val="300"/>
        </w:trPr>
        <w:tc>
          <w:tcPr>
            <w:tcW w:w="2678" w:type="dxa"/>
            <w:noWrap/>
            <w:vAlign w:val="center"/>
            <w:hideMark/>
          </w:tcPr>
          <w:p w14:paraId="57287474"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O&amp;M</w:t>
            </w:r>
          </w:p>
        </w:tc>
        <w:tc>
          <w:tcPr>
            <w:tcW w:w="6682" w:type="dxa"/>
            <w:noWrap/>
            <w:vAlign w:val="center"/>
            <w:hideMark/>
          </w:tcPr>
          <w:p w14:paraId="4608702A"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Operations and Maintenance</w:t>
            </w:r>
          </w:p>
        </w:tc>
      </w:tr>
      <w:tr w:rsidR="003E2A3E" w:rsidRPr="003E2A3E" w14:paraId="4D11C439" w14:textId="77777777" w:rsidTr="004911AE">
        <w:trPr>
          <w:trHeight w:val="300"/>
        </w:trPr>
        <w:tc>
          <w:tcPr>
            <w:tcW w:w="2678" w:type="dxa"/>
            <w:noWrap/>
            <w:vAlign w:val="center"/>
          </w:tcPr>
          <w:p w14:paraId="5D70765A" w14:textId="732D22F5" w:rsidR="00460289" w:rsidRPr="003E2A3E" w:rsidRDefault="00460289" w:rsidP="002B488B">
            <w:pPr>
              <w:rPr>
                <w:rFonts w:asciiTheme="minorHAnsi" w:hAnsiTheme="minorHAnsi" w:cs="Arial"/>
                <w:b/>
                <w:sz w:val="22"/>
              </w:rPr>
            </w:pPr>
            <w:r w:rsidRPr="003E2A3E">
              <w:rPr>
                <w:rFonts w:asciiTheme="minorHAnsi" w:hAnsiTheme="minorHAnsi" w:cs="Arial"/>
                <w:b/>
                <w:sz w:val="22"/>
              </w:rPr>
              <w:t>OEM</w:t>
            </w:r>
          </w:p>
        </w:tc>
        <w:tc>
          <w:tcPr>
            <w:tcW w:w="6682" w:type="dxa"/>
            <w:noWrap/>
            <w:vAlign w:val="center"/>
          </w:tcPr>
          <w:p w14:paraId="3E794325" w14:textId="053369B0" w:rsidR="00460289" w:rsidRPr="003E2A3E" w:rsidRDefault="00460289" w:rsidP="002B488B">
            <w:pPr>
              <w:rPr>
                <w:rFonts w:asciiTheme="minorHAnsi" w:hAnsiTheme="minorHAnsi" w:cs="Arial"/>
                <w:sz w:val="22"/>
              </w:rPr>
            </w:pPr>
            <w:r w:rsidRPr="003E2A3E">
              <w:rPr>
                <w:rFonts w:asciiTheme="minorHAnsi" w:hAnsiTheme="minorHAnsi" w:cs="Arial"/>
                <w:sz w:val="22"/>
              </w:rPr>
              <w:t>Original equipment manufacturer</w:t>
            </w:r>
          </w:p>
        </w:tc>
      </w:tr>
      <w:tr w:rsidR="003E2A3E" w:rsidRPr="003E2A3E" w14:paraId="485E5F52" w14:textId="77777777" w:rsidTr="004911AE">
        <w:trPr>
          <w:trHeight w:val="300"/>
        </w:trPr>
        <w:tc>
          <w:tcPr>
            <w:tcW w:w="2678" w:type="dxa"/>
            <w:noWrap/>
            <w:vAlign w:val="center"/>
            <w:hideMark/>
          </w:tcPr>
          <w:p w14:paraId="0FF29056"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Operating Companies</w:t>
            </w:r>
          </w:p>
        </w:tc>
        <w:tc>
          <w:tcPr>
            <w:tcW w:w="6682" w:type="dxa"/>
            <w:noWrap/>
            <w:vAlign w:val="center"/>
            <w:hideMark/>
          </w:tcPr>
          <w:p w14:paraId="6797DF4C"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Georgia Power Company, Alabama Power Company, Mississippi Power Company, and Southern Power Company</w:t>
            </w:r>
          </w:p>
        </w:tc>
      </w:tr>
      <w:tr w:rsidR="003E2A3E" w:rsidRPr="003E2A3E" w14:paraId="33F86963" w14:textId="77777777" w:rsidTr="004911AE">
        <w:trPr>
          <w:trHeight w:val="300"/>
        </w:trPr>
        <w:tc>
          <w:tcPr>
            <w:tcW w:w="2678" w:type="dxa"/>
            <w:noWrap/>
            <w:vAlign w:val="center"/>
            <w:hideMark/>
          </w:tcPr>
          <w:p w14:paraId="677B982A"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PACT</w:t>
            </w:r>
          </w:p>
        </w:tc>
        <w:tc>
          <w:tcPr>
            <w:tcW w:w="6682" w:type="dxa"/>
            <w:noWrap/>
            <w:vAlign w:val="center"/>
            <w:hideMark/>
          </w:tcPr>
          <w:p w14:paraId="0B897920"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Program Administrator Cost Test</w:t>
            </w:r>
          </w:p>
        </w:tc>
      </w:tr>
      <w:tr w:rsidR="003E2A3E" w:rsidRPr="003E2A3E" w14:paraId="665628B2" w14:textId="77777777" w:rsidTr="004911AE">
        <w:trPr>
          <w:trHeight w:val="300"/>
        </w:trPr>
        <w:tc>
          <w:tcPr>
            <w:tcW w:w="2678" w:type="dxa"/>
            <w:noWrap/>
            <w:vAlign w:val="center"/>
            <w:hideMark/>
          </w:tcPr>
          <w:p w14:paraId="51494028"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PIA</w:t>
            </w:r>
          </w:p>
        </w:tc>
        <w:tc>
          <w:tcPr>
            <w:tcW w:w="6682" w:type="dxa"/>
            <w:noWrap/>
            <w:vAlign w:val="center"/>
            <w:hideMark/>
          </w:tcPr>
          <w:p w14:paraId="022F2975"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Public Interest Advocacy</w:t>
            </w:r>
          </w:p>
        </w:tc>
      </w:tr>
      <w:tr w:rsidR="003E2A3E" w:rsidRPr="003E2A3E" w14:paraId="5B3F1784" w14:textId="77777777" w:rsidTr="004911AE">
        <w:trPr>
          <w:trHeight w:val="300"/>
        </w:trPr>
        <w:tc>
          <w:tcPr>
            <w:tcW w:w="2678" w:type="dxa"/>
            <w:noWrap/>
            <w:vAlign w:val="center"/>
          </w:tcPr>
          <w:p w14:paraId="4D604920" w14:textId="562F8B5F" w:rsidR="00D3714F" w:rsidRPr="003E2A3E" w:rsidRDefault="00D3714F" w:rsidP="002B488B">
            <w:pPr>
              <w:rPr>
                <w:rFonts w:asciiTheme="minorHAnsi" w:hAnsiTheme="minorHAnsi" w:cs="Arial"/>
                <w:b/>
                <w:sz w:val="22"/>
              </w:rPr>
            </w:pPr>
            <w:r w:rsidRPr="003E2A3E">
              <w:rPr>
                <w:rFonts w:asciiTheme="minorHAnsi" w:hAnsiTheme="minorHAnsi" w:cs="Arial"/>
                <w:b/>
                <w:sz w:val="22"/>
              </w:rPr>
              <w:t>POI</w:t>
            </w:r>
          </w:p>
        </w:tc>
        <w:tc>
          <w:tcPr>
            <w:tcW w:w="6682" w:type="dxa"/>
            <w:noWrap/>
            <w:vAlign w:val="center"/>
          </w:tcPr>
          <w:p w14:paraId="01E22200" w14:textId="14D95724" w:rsidR="00D3714F" w:rsidRPr="003E2A3E" w:rsidRDefault="00D3714F" w:rsidP="002B488B">
            <w:pPr>
              <w:rPr>
                <w:rFonts w:asciiTheme="minorHAnsi" w:hAnsiTheme="minorHAnsi" w:cs="Arial"/>
                <w:sz w:val="22"/>
              </w:rPr>
            </w:pPr>
            <w:r w:rsidRPr="003E2A3E">
              <w:rPr>
                <w:rFonts w:asciiTheme="minorHAnsi" w:hAnsiTheme="minorHAnsi" w:cs="Arial"/>
                <w:sz w:val="22"/>
              </w:rPr>
              <w:t>Point of Interconnection</w:t>
            </w:r>
          </w:p>
        </w:tc>
      </w:tr>
      <w:tr w:rsidR="003E2A3E" w:rsidRPr="003E2A3E" w14:paraId="69A7B5AF" w14:textId="77777777" w:rsidTr="004911AE">
        <w:trPr>
          <w:trHeight w:val="300"/>
        </w:trPr>
        <w:tc>
          <w:tcPr>
            <w:tcW w:w="2678" w:type="dxa"/>
            <w:noWrap/>
            <w:vAlign w:val="center"/>
            <w:hideMark/>
          </w:tcPr>
          <w:p w14:paraId="1264218A"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Pool</w:t>
            </w:r>
          </w:p>
        </w:tc>
        <w:tc>
          <w:tcPr>
            <w:tcW w:w="6682" w:type="dxa"/>
            <w:noWrap/>
            <w:vAlign w:val="center"/>
            <w:hideMark/>
          </w:tcPr>
          <w:p w14:paraId="266772B1"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The Operating Companies operate their respective electric generating facilities and conduct their system operations</w:t>
            </w:r>
          </w:p>
        </w:tc>
      </w:tr>
      <w:tr w:rsidR="003E2A3E" w:rsidRPr="003E2A3E" w14:paraId="43AAC6F3" w14:textId="77777777" w:rsidTr="004911AE">
        <w:trPr>
          <w:trHeight w:val="300"/>
        </w:trPr>
        <w:tc>
          <w:tcPr>
            <w:tcW w:w="2678" w:type="dxa"/>
            <w:noWrap/>
            <w:vAlign w:val="center"/>
            <w:hideMark/>
          </w:tcPr>
          <w:p w14:paraId="61F1DC0E"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PPAs</w:t>
            </w:r>
          </w:p>
        </w:tc>
        <w:tc>
          <w:tcPr>
            <w:tcW w:w="6682" w:type="dxa"/>
            <w:noWrap/>
            <w:vAlign w:val="center"/>
            <w:hideMark/>
          </w:tcPr>
          <w:p w14:paraId="1693EAFE"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Power Purchase Agreements</w:t>
            </w:r>
          </w:p>
        </w:tc>
      </w:tr>
      <w:tr w:rsidR="003E2A3E" w:rsidRPr="003E2A3E" w14:paraId="45061B98" w14:textId="77777777" w:rsidTr="004911AE">
        <w:trPr>
          <w:trHeight w:val="300"/>
        </w:trPr>
        <w:tc>
          <w:tcPr>
            <w:tcW w:w="2678" w:type="dxa"/>
            <w:noWrap/>
            <w:vAlign w:val="center"/>
            <w:hideMark/>
          </w:tcPr>
          <w:p w14:paraId="099F265B"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PRICEM</w:t>
            </w:r>
          </w:p>
        </w:tc>
        <w:tc>
          <w:tcPr>
            <w:tcW w:w="6682" w:type="dxa"/>
            <w:noWrap/>
            <w:vAlign w:val="center"/>
            <w:hideMark/>
          </w:tcPr>
          <w:p w14:paraId="398F2EE0" w14:textId="16AC7EDB" w:rsidR="002B488B" w:rsidRPr="003E2A3E" w:rsidRDefault="002B488B" w:rsidP="002B488B">
            <w:pPr>
              <w:rPr>
                <w:rFonts w:asciiTheme="minorHAnsi" w:hAnsiTheme="minorHAnsi" w:cs="Arial"/>
                <w:sz w:val="22"/>
              </w:rPr>
            </w:pPr>
            <w:r w:rsidRPr="003E2A3E">
              <w:rPr>
                <w:rFonts w:asciiTheme="minorHAnsi" w:hAnsiTheme="minorHAnsi" w:cs="Arial"/>
                <w:sz w:val="22"/>
              </w:rPr>
              <w:t xml:space="preserve">Profitability Reliability Incremental Cost Evaluation Model - See model description in </w:t>
            </w:r>
            <w:r w:rsidR="00F630E1">
              <w:rPr>
                <w:rFonts w:asciiTheme="minorHAnsi" w:hAnsiTheme="minorHAnsi" w:cs="Arial"/>
                <w:sz w:val="22"/>
              </w:rPr>
              <w:t>E.3.2.</w:t>
            </w:r>
          </w:p>
        </w:tc>
      </w:tr>
      <w:tr w:rsidR="003E2A3E" w:rsidRPr="003E2A3E" w14:paraId="76385A77" w14:textId="77777777" w:rsidTr="004911AE">
        <w:trPr>
          <w:trHeight w:val="300"/>
        </w:trPr>
        <w:tc>
          <w:tcPr>
            <w:tcW w:w="2678" w:type="dxa"/>
            <w:noWrap/>
            <w:vAlign w:val="center"/>
            <w:hideMark/>
          </w:tcPr>
          <w:p w14:paraId="165D765B"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PT</w:t>
            </w:r>
          </w:p>
        </w:tc>
        <w:tc>
          <w:tcPr>
            <w:tcW w:w="6682" w:type="dxa"/>
            <w:noWrap/>
            <w:vAlign w:val="center"/>
            <w:hideMark/>
          </w:tcPr>
          <w:p w14:paraId="1A923643"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Participants Test</w:t>
            </w:r>
          </w:p>
        </w:tc>
      </w:tr>
      <w:tr w:rsidR="003E2A3E" w:rsidRPr="003E2A3E" w14:paraId="7FAFAF0A" w14:textId="77777777" w:rsidTr="004911AE">
        <w:trPr>
          <w:trHeight w:val="300"/>
        </w:trPr>
        <w:tc>
          <w:tcPr>
            <w:tcW w:w="2678" w:type="dxa"/>
            <w:noWrap/>
            <w:vAlign w:val="center"/>
          </w:tcPr>
          <w:p w14:paraId="4B7E62C7" w14:textId="035F2F45" w:rsidR="0000279B" w:rsidRPr="003E2A3E" w:rsidRDefault="00FE53D3" w:rsidP="002B488B">
            <w:pPr>
              <w:rPr>
                <w:rFonts w:asciiTheme="minorHAnsi" w:hAnsiTheme="minorHAnsi" w:cs="Arial"/>
                <w:b/>
                <w:sz w:val="22"/>
              </w:rPr>
            </w:pPr>
            <w:r w:rsidRPr="003E2A3E">
              <w:rPr>
                <w:rFonts w:asciiTheme="minorHAnsi" w:hAnsiTheme="minorHAnsi" w:cs="Arial"/>
                <w:b/>
                <w:sz w:val="22"/>
              </w:rPr>
              <w:t>PTC</w:t>
            </w:r>
          </w:p>
        </w:tc>
        <w:tc>
          <w:tcPr>
            <w:tcW w:w="6682" w:type="dxa"/>
            <w:noWrap/>
            <w:vAlign w:val="center"/>
          </w:tcPr>
          <w:p w14:paraId="4AA038CB" w14:textId="2BC0E140" w:rsidR="0000279B" w:rsidRPr="003E2A3E" w:rsidRDefault="00FE53D3" w:rsidP="002B488B">
            <w:pPr>
              <w:rPr>
                <w:rFonts w:asciiTheme="minorHAnsi" w:hAnsiTheme="minorHAnsi" w:cs="Arial"/>
                <w:sz w:val="22"/>
              </w:rPr>
            </w:pPr>
            <w:r w:rsidRPr="003E2A3E">
              <w:rPr>
                <w:rFonts w:asciiTheme="minorHAnsi" w:hAnsiTheme="minorHAnsi" w:cs="Arial"/>
                <w:sz w:val="22"/>
              </w:rPr>
              <w:t>Production Tax Credits</w:t>
            </w:r>
          </w:p>
        </w:tc>
      </w:tr>
      <w:tr w:rsidR="003E2A3E" w:rsidRPr="003E2A3E" w14:paraId="6AE7AB1B" w14:textId="77777777" w:rsidTr="004911AE">
        <w:trPr>
          <w:trHeight w:val="300"/>
        </w:trPr>
        <w:tc>
          <w:tcPr>
            <w:tcW w:w="2678" w:type="dxa"/>
            <w:noWrap/>
            <w:vAlign w:val="center"/>
            <w:hideMark/>
          </w:tcPr>
          <w:p w14:paraId="6AF374EC"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PURPA</w:t>
            </w:r>
          </w:p>
        </w:tc>
        <w:tc>
          <w:tcPr>
            <w:tcW w:w="6682" w:type="dxa"/>
            <w:noWrap/>
            <w:vAlign w:val="center"/>
            <w:hideMark/>
          </w:tcPr>
          <w:p w14:paraId="18D97EF1"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Public Utility Regulatory Policies Act</w:t>
            </w:r>
          </w:p>
        </w:tc>
      </w:tr>
      <w:tr w:rsidR="003E2A3E" w:rsidRPr="003E2A3E" w14:paraId="3C36C86F" w14:textId="77777777" w:rsidTr="004911AE">
        <w:trPr>
          <w:trHeight w:val="315"/>
        </w:trPr>
        <w:tc>
          <w:tcPr>
            <w:tcW w:w="2678" w:type="dxa"/>
            <w:noWrap/>
            <w:vAlign w:val="center"/>
            <w:hideMark/>
          </w:tcPr>
          <w:p w14:paraId="6E78B716"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PV</w:t>
            </w:r>
          </w:p>
        </w:tc>
        <w:tc>
          <w:tcPr>
            <w:tcW w:w="6682" w:type="dxa"/>
            <w:noWrap/>
            <w:vAlign w:val="center"/>
            <w:hideMark/>
          </w:tcPr>
          <w:p w14:paraId="2814ACD2"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Photovoltaic</w:t>
            </w:r>
          </w:p>
        </w:tc>
      </w:tr>
      <w:tr w:rsidR="003E2A3E" w:rsidRPr="003E2A3E" w14:paraId="4AD43AD6" w14:textId="77777777" w:rsidTr="004911AE">
        <w:trPr>
          <w:trHeight w:val="300"/>
        </w:trPr>
        <w:tc>
          <w:tcPr>
            <w:tcW w:w="2678" w:type="dxa"/>
            <w:noWrap/>
            <w:vAlign w:val="center"/>
            <w:hideMark/>
          </w:tcPr>
          <w:p w14:paraId="1CB4237E"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QF</w:t>
            </w:r>
          </w:p>
        </w:tc>
        <w:tc>
          <w:tcPr>
            <w:tcW w:w="6682" w:type="dxa"/>
            <w:noWrap/>
            <w:vAlign w:val="center"/>
            <w:hideMark/>
          </w:tcPr>
          <w:p w14:paraId="45C25218" w14:textId="089F8DCC" w:rsidR="002B488B" w:rsidRPr="003E2A3E" w:rsidRDefault="002B488B" w:rsidP="002B488B">
            <w:pPr>
              <w:rPr>
                <w:rFonts w:asciiTheme="minorHAnsi" w:hAnsiTheme="minorHAnsi" w:cs="Arial"/>
                <w:sz w:val="22"/>
              </w:rPr>
            </w:pPr>
            <w:r w:rsidRPr="003E2A3E">
              <w:rPr>
                <w:rFonts w:asciiTheme="minorHAnsi" w:hAnsiTheme="minorHAnsi" w:cs="Arial"/>
                <w:sz w:val="22"/>
              </w:rPr>
              <w:t>Qualifying Facilities</w:t>
            </w:r>
            <w:r w:rsidR="00741613" w:rsidRPr="003E2A3E">
              <w:rPr>
                <w:rFonts w:asciiTheme="minorHAnsi" w:hAnsiTheme="minorHAnsi" w:cs="Arial"/>
                <w:sz w:val="22"/>
              </w:rPr>
              <w:t>.</w:t>
            </w:r>
            <w:r w:rsidR="00384AF4" w:rsidRPr="003E2A3E">
              <w:rPr>
                <w:rFonts w:asciiTheme="minorHAnsi" w:hAnsiTheme="minorHAnsi" w:cs="Arial"/>
                <w:sz w:val="22"/>
              </w:rPr>
              <w:t xml:space="preserve"> Small power producers or cogenerators that meet certain criteria under </w:t>
            </w:r>
            <w:r w:rsidR="007446F0">
              <w:rPr>
                <w:rFonts w:asciiTheme="minorHAnsi" w:hAnsiTheme="minorHAnsi" w:cs="Arial"/>
                <w:sz w:val="22"/>
              </w:rPr>
              <w:t>PURPA</w:t>
            </w:r>
          </w:p>
        </w:tc>
      </w:tr>
      <w:tr w:rsidR="003E2A3E" w:rsidRPr="003E2A3E" w14:paraId="6DA3EDBA" w14:textId="77777777" w:rsidTr="004911AE">
        <w:trPr>
          <w:trHeight w:val="300"/>
        </w:trPr>
        <w:tc>
          <w:tcPr>
            <w:tcW w:w="2678" w:type="dxa"/>
            <w:noWrap/>
            <w:vAlign w:val="center"/>
            <w:hideMark/>
          </w:tcPr>
          <w:p w14:paraId="4AE1EE98"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R&amp;D</w:t>
            </w:r>
          </w:p>
        </w:tc>
        <w:tc>
          <w:tcPr>
            <w:tcW w:w="6682" w:type="dxa"/>
            <w:noWrap/>
            <w:vAlign w:val="center"/>
            <w:hideMark/>
          </w:tcPr>
          <w:p w14:paraId="588B28AA"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Research and Development</w:t>
            </w:r>
          </w:p>
        </w:tc>
      </w:tr>
      <w:tr w:rsidR="003E2A3E" w:rsidRPr="003E2A3E" w14:paraId="472EDEA8" w14:textId="77777777" w:rsidTr="004911AE">
        <w:trPr>
          <w:trHeight w:val="300"/>
        </w:trPr>
        <w:tc>
          <w:tcPr>
            <w:tcW w:w="2678" w:type="dxa"/>
            <w:noWrap/>
            <w:vAlign w:val="center"/>
            <w:hideMark/>
          </w:tcPr>
          <w:p w14:paraId="44E3EEF5"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R3</w:t>
            </w:r>
          </w:p>
        </w:tc>
        <w:tc>
          <w:tcPr>
            <w:tcW w:w="6682" w:type="dxa"/>
            <w:noWrap/>
            <w:vAlign w:val="center"/>
            <w:hideMark/>
          </w:tcPr>
          <w:p w14:paraId="7753068A"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Retail REC Retirement</w:t>
            </w:r>
          </w:p>
        </w:tc>
      </w:tr>
      <w:tr w:rsidR="003E2A3E" w:rsidRPr="003E2A3E" w14:paraId="3BE7437F" w14:textId="77777777" w:rsidTr="004911AE">
        <w:trPr>
          <w:trHeight w:val="300"/>
        </w:trPr>
        <w:tc>
          <w:tcPr>
            <w:tcW w:w="2678" w:type="dxa"/>
            <w:noWrap/>
            <w:vAlign w:val="center"/>
            <w:hideMark/>
          </w:tcPr>
          <w:p w14:paraId="6C20BD0D" w14:textId="4914D4E6"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RAS</w:t>
            </w:r>
            <w:r w:rsidRPr="003E2A3E">
              <w:rPr>
                <w:rFonts w:asciiTheme="minorHAnsi" w:hAnsiTheme="minorHAnsi" w:cs="Arial"/>
                <w:b/>
                <w:bCs/>
                <w:sz w:val="22"/>
              </w:rPr>
              <w:noBreakHyphen/>
              <w:t>1</w:t>
            </w:r>
          </w:p>
        </w:tc>
        <w:tc>
          <w:tcPr>
            <w:tcW w:w="6682" w:type="dxa"/>
            <w:noWrap/>
            <w:vAlign w:val="center"/>
            <w:hideMark/>
          </w:tcPr>
          <w:p w14:paraId="3F019CC0" w14:textId="298F3E5C" w:rsidR="002B488B" w:rsidRPr="003E2A3E" w:rsidRDefault="00793F1B" w:rsidP="002B488B">
            <w:pPr>
              <w:rPr>
                <w:rFonts w:asciiTheme="minorHAnsi" w:hAnsiTheme="minorHAnsi" w:cs="Arial"/>
                <w:sz w:val="22"/>
              </w:rPr>
            </w:pPr>
            <w:r w:rsidRPr="003E2A3E">
              <w:rPr>
                <w:rFonts w:asciiTheme="minorHAnsi" w:hAnsiTheme="minorHAnsi" w:cs="Arial"/>
                <w:sz w:val="22"/>
              </w:rPr>
              <w:t xml:space="preserve">Resiliency </w:t>
            </w:r>
            <w:r w:rsidR="002B488B" w:rsidRPr="003E2A3E">
              <w:rPr>
                <w:rFonts w:asciiTheme="minorHAnsi" w:hAnsiTheme="minorHAnsi" w:cs="Arial"/>
                <w:sz w:val="22"/>
              </w:rPr>
              <w:t>Asset Service</w:t>
            </w:r>
          </w:p>
        </w:tc>
      </w:tr>
      <w:tr w:rsidR="003E2A3E" w:rsidRPr="003E2A3E" w14:paraId="3202D7A7" w14:textId="77777777" w:rsidTr="004911AE">
        <w:trPr>
          <w:trHeight w:val="300"/>
        </w:trPr>
        <w:tc>
          <w:tcPr>
            <w:tcW w:w="2678" w:type="dxa"/>
            <w:noWrap/>
            <w:vAlign w:val="center"/>
            <w:hideMark/>
          </w:tcPr>
          <w:p w14:paraId="32153F7F"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RCB</w:t>
            </w:r>
          </w:p>
        </w:tc>
        <w:tc>
          <w:tcPr>
            <w:tcW w:w="6682" w:type="dxa"/>
            <w:noWrap/>
            <w:vAlign w:val="center"/>
            <w:hideMark/>
          </w:tcPr>
          <w:p w14:paraId="7431B53D"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Renewable Cost Benefit</w:t>
            </w:r>
          </w:p>
        </w:tc>
      </w:tr>
      <w:tr w:rsidR="003E2A3E" w:rsidRPr="003E2A3E" w14:paraId="471F9078" w14:textId="77777777" w:rsidTr="004911AE">
        <w:trPr>
          <w:trHeight w:val="300"/>
        </w:trPr>
        <w:tc>
          <w:tcPr>
            <w:tcW w:w="2678" w:type="dxa"/>
            <w:noWrap/>
            <w:vAlign w:val="center"/>
          </w:tcPr>
          <w:p w14:paraId="178911E3" w14:textId="249D9222" w:rsidR="002B488B" w:rsidRPr="003E2A3E" w:rsidRDefault="002B488B" w:rsidP="002B488B">
            <w:pPr>
              <w:rPr>
                <w:rFonts w:asciiTheme="minorHAnsi" w:hAnsiTheme="minorHAnsi" w:cs="Arial"/>
                <w:b/>
                <w:bCs/>
                <w:sz w:val="22"/>
              </w:rPr>
            </w:pPr>
            <w:r w:rsidRPr="003E2A3E">
              <w:rPr>
                <w:rFonts w:asciiTheme="minorHAnsi" w:hAnsiTheme="minorHAnsi" w:cs="Arial"/>
                <w:b/>
                <w:sz w:val="22"/>
              </w:rPr>
              <w:t>RCOD</w:t>
            </w:r>
          </w:p>
        </w:tc>
        <w:tc>
          <w:tcPr>
            <w:tcW w:w="6682" w:type="dxa"/>
            <w:noWrap/>
            <w:vAlign w:val="center"/>
          </w:tcPr>
          <w:p w14:paraId="007FEFCF" w14:textId="44FA8FC7" w:rsidR="002B488B" w:rsidRPr="003E2A3E" w:rsidRDefault="002B488B" w:rsidP="002B488B">
            <w:pPr>
              <w:rPr>
                <w:rFonts w:asciiTheme="minorHAnsi" w:hAnsiTheme="minorHAnsi" w:cs="Arial"/>
                <w:sz w:val="22"/>
              </w:rPr>
            </w:pPr>
            <w:r w:rsidRPr="003E2A3E">
              <w:rPr>
                <w:rFonts w:asciiTheme="minorHAnsi" w:hAnsiTheme="minorHAnsi" w:cs="Arial"/>
                <w:sz w:val="22"/>
              </w:rPr>
              <w:t>Required Commercial Operation Date</w:t>
            </w:r>
          </w:p>
        </w:tc>
      </w:tr>
      <w:tr w:rsidR="003E2A3E" w:rsidRPr="003E2A3E" w14:paraId="1F860950" w14:textId="77777777" w:rsidTr="004911AE">
        <w:trPr>
          <w:trHeight w:val="300"/>
        </w:trPr>
        <w:tc>
          <w:tcPr>
            <w:tcW w:w="2678" w:type="dxa"/>
            <w:noWrap/>
            <w:vAlign w:val="center"/>
            <w:hideMark/>
          </w:tcPr>
          <w:p w14:paraId="3217EA20"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REC</w:t>
            </w:r>
          </w:p>
        </w:tc>
        <w:tc>
          <w:tcPr>
            <w:tcW w:w="6682" w:type="dxa"/>
            <w:noWrap/>
            <w:vAlign w:val="center"/>
            <w:hideMark/>
          </w:tcPr>
          <w:p w14:paraId="5A7D99E7" w14:textId="52EB8304" w:rsidR="002B488B" w:rsidRPr="003E2A3E" w:rsidRDefault="002B488B" w:rsidP="002B488B">
            <w:pPr>
              <w:rPr>
                <w:rFonts w:asciiTheme="minorHAnsi" w:hAnsiTheme="minorHAnsi" w:cs="Arial"/>
                <w:sz w:val="22"/>
              </w:rPr>
            </w:pPr>
            <w:r w:rsidRPr="003E2A3E">
              <w:rPr>
                <w:rFonts w:asciiTheme="minorHAnsi" w:hAnsiTheme="minorHAnsi" w:cs="Arial"/>
                <w:sz w:val="22"/>
              </w:rPr>
              <w:t>Renewable Energy Credit</w:t>
            </w:r>
            <w:r w:rsidR="00E71FE0" w:rsidRPr="003E2A3E">
              <w:rPr>
                <w:rFonts w:asciiTheme="minorHAnsi" w:hAnsiTheme="minorHAnsi" w:cs="Arial"/>
                <w:sz w:val="22"/>
              </w:rPr>
              <w:t xml:space="preserve">. </w:t>
            </w:r>
            <w:r w:rsidR="00C37920" w:rsidRPr="003E2A3E">
              <w:rPr>
                <w:rFonts w:asciiTheme="minorHAnsi" w:hAnsiTheme="minorHAnsi" w:cs="Arial"/>
                <w:sz w:val="22"/>
              </w:rPr>
              <w:t>A certificate representing the environmental benefits of generating one megawatt-hour of electricity from renewable sources.</w:t>
            </w:r>
          </w:p>
        </w:tc>
      </w:tr>
      <w:tr w:rsidR="003E2A3E" w:rsidRPr="003E2A3E" w14:paraId="31F2A223" w14:textId="77777777" w:rsidTr="004911AE">
        <w:trPr>
          <w:trHeight w:val="300"/>
        </w:trPr>
        <w:tc>
          <w:tcPr>
            <w:tcW w:w="2678" w:type="dxa"/>
            <w:noWrap/>
            <w:vAlign w:val="center"/>
          </w:tcPr>
          <w:p w14:paraId="74200618"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Reconsideration Rule</w:t>
            </w:r>
          </w:p>
        </w:tc>
        <w:tc>
          <w:tcPr>
            <w:tcW w:w="6682" w:type="dxa"/>
            <w:noWrap/>
            <w:vAlign w:val="center"/>
          </w:tcPr>
          <w:p w14:paraId="0B96C43A"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2020 ELG Reconsideration Rule</w:t>
            </w:r>
          </w:p>
        </w:tc>
      </w:tr>
      <w:tr w:rsidR="003E2A3E" w:rsidRPr="003E2A3E" w14:paraId="48A3B04A" w14:textId="77777777" w:rsidTr="004911AE">
        <w:trPr>
          <w:trHeight w:val="300"/>
        </w:trPr>
        <w:tc>
          <w:tcPr>
            <w:tcW w:w="2678" w:type="dxa"/>
            <w:noWrap/>
            <w:vAlign w:val="center"/>
            <w:hideMark/>
          </w:tcPr>
          <w:p w14:paraId="4442F3FA"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REDI</w:t>
            </w:r>
          </w:p>
        </w:tc>
        <w:tc>
          <w:tcPr>
            <w:tcW w:w="6682" w:type="dxa"/>
            <w:noWrap/>
            <w:vAlign w:val="center"/>
            <w:hideMark/>
          </w:tcPr>
          <w:p w14:paraId="5796A0CD"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Renewable Energy Development Initiative</w:t>
            </w:r>
          </w:p>
        </w:tc>
      </w:tr>
      <w:tr w:rsidR="003E2A3E" w:rsidRPr="003E2A3E" w14:paraId="0391C1B1" w14:textId="77777777" w:rsidTr="004911AE">
        <w:trPr>
          <w:trHeight w:val="300"/>
        </w:trPr>
        <w:tc>
          <w:tcPr>
            <w:tcW w:w="2678" w:type="dxa"/>
            <w:noWrap/>
            <w:vAlign w:val="center"/>
            <w:hideMark/>
          </w:tcPr>
          <w:p w14:paraId="4AAEDC3A"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Resource Adequacy</w:t>
            </w:r>
          </w:p>
        </w:tc>
        <w:tc>
          <w:tcPr>
            <w:tcW w:w="6682" w:type="dxa"/>
            <w:noWrap/>
            <w:vAlign w:val="center"/>
            <w:hideMark/>
          </w:tcPr>
          <w:p w14:paraId="314372A4"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The ability of supply-side and demand-side resources to meet electrical demand and maintain an appropriate level of system reliability</w:t>
            </w:r>
          </w:p>
        </w:tc>
      </w:tr>
      <w:tr w:rsidR="003E2A3E" w:rsidRPr="003E2A3E" w14:paraId="2D102DE4" w14:textId="77777777" w:rsidTr="004911AE">
        <w:trPr>
          <w:trHeight w:val="300"/>
        </w:trPr>
        <w:tc>
          <w:tcPr>
            <w:tcW w:w="2678" w:type="dxa"/>
            <w:noWrap/>
            <w:vAlign w:val="center"/>
            <w:hideMark/>
          </w:tcPr>
          <w:p w14:paraId="09C05B0D" w14:textId="6CE933D0"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Retail Op</w:t>
            </w:r>
            <w:r w:rsidR="002A5FB0" w:rsidRPr="003E2A3E">
              <w:rPr>
                <w:rFonts w:asciiTheme="minorHAnsi" w:hAnsiTheme="minorHAnsi" w:cs="Arial"/>
                <w:b/>
                <w:bCs/>
                <w:sz w:val="22"/>
              </w:rPr>
              <w:t xml:space="preserve">erating </w:t>
            </w:r>
            <w:r w:rsidRPr="003E2A3E">
              <w:rPr>
                <w:rFonts w:asciiTheme="minorHAnsi" w:hAnsiTheme="minorHAnsi" w:cs="Arial"/>
                <w:b/>
                <w:bCs/>
                <w:sz w:val="22"/>
              </w:rPr>
              <w:t>Co</w:t>
            </w:r>
            <w:r w:rsidR="002A5FB0" w:rsidRPr="003E2A3E">
              <w:rPr>
                <w:rFonts w:asciiTheme="minorHAnsi" w:hAnsiTheme="minorHAnsi" w:cs="Arial"/>
                <w:b/>
                <w:bCs/>
                <w:sz w:val="22"/>
              </w:rPr>
              <w:t>mpanie</w:t>
            </w:r>
            <w:r w:rsidRPr="003E2A3E">
              <w:rPr>
                <w:rFonts w:asciiTheme="minorHAnsi" w:hAnsiTheme="minorHAnsi" w:cs="Arial"/>
                <w:b/>
                <w:bCs/>
                <w:sz w:val="22"/>
              </w:rPr>
              <w:t>s</w:t>
            </w:r>
          </w:p>
        </w:tc>
        <w:tc>
          <w:tcPr>
            <w:tcW w:w="6682" w:type="dxa"/>
            <w:noWrap/>
            <w:vAlign w:val="center"/>
            <w:hideMark/>
          </w:tcPr>
          <w:p w14:paraId="3371BA98"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Georgia Power Company, Alabama Power Company, and Mississippi Power Company</w:t>
            </w:r>
          </w:p>
        </w:tc>
      </w:tr>
      <w:tr w:rsidR="003E2A3E" w:rsidRPr="003E2A3E" w14:paraId="452D54E7" w14:textId="77777777" w:rsidTr="004911AE">
        <w:trPr>
          <w:trHeight w:val="300"/>
        </w:trPr>
        <w:tc>
          <w:tcPr>
            <w:tcW w:w="2678" w:type="dxa"/>
            <w:noWrap/>
            <w:vAlign w:val="center"/>
            <w:hideMark/>
          </w:tcPr>
          <w:p w14:paraId="60BD410B"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RFP</w:t>
            </w:r>
          </w:p>
        </w:tc>
        <w:tc>
          <w:tcPr>
            <w:tcW w:w="6682" w:type="dxa"/>
            <w:noWrap/>
            <w:vAlign w:val="center"/>
            <w:hideMark/>
          </w:tcPr>
          <w:p w14:paraId="57752C32" w14:textId="27992E8B" w:rsidR="002B488B" w:rsidRPr="003E2A3E" w:rsidRDefault="002B488B" w:rsidP="002B488B">
            <w:pPr>
              <w:rPr>
                <w:rFonts w:asciiTheme="minorHAnsi" w:hAnsiTheme="minorHAnsi" w:cs="Arial"/>
                <w:sz w:val="22"/>
              </w:rPr>
            </w:pPr>
            <w:bookmarkStart w:id="113" w:name="RANGE!B144"/>
            <w:r w:rsidRPr="003E2A3E">
              <w:rPr>
                <w:rFonts w:asciiTheme="minorHAnsi" w:hAnsiTheme="minorHAnsi" w:cs="Arial"/>
                <w:sz w:val="22"/>
              </w:rPr>
              <w:t>Request for Proposals</w:t>
            </w:r>
            <w:bookmarkEnd w:id="113"/>
            <w:r w:rsidR="00480C3A" w:rsidRPr="003E2A3E">
              <w:rPr>
                <w:rFonts w:asciiTheme="minorHAnsi" w:hAnsiTheme="minorHAnsi" w:cs="Arial"/>
                <w:sz w:val="22"/>
              </w:rPr>
              <w:t>. A document soliciting proposals from potential suppliers or contractors.</w:t>
            </w:r>
          </w:p>
        </w:tc>
      </w:tr>
      <w:tr w:rsidR="003E2A3E" w:rsidRPr="003E2A3E" w14:paraId="26B489EF" w14:textId="77777777" w:rsidTr="004911AE">
        <w:trPr>
          <w:trHeight w:val="300"/>
        </w:trPr>
        <w:tc>
          <w:tcPr>
            <w:tcW w:w="2678" w:type="dxa"/>
            <w:noWrap/>
            <w:vAlign w:val="center"/>
            <w:hideMark/>
          </w:tcPr>
          <w:p w14:paraId="3BBDA323"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RIM</w:t>
            </w:r>
          </w:p>
        </w:tc>
        <w:tc>
          <w:tcPr>
            <w:tcW w:w="6682" w:type="dxa"/>
            <w:noWrap/>
            <w:vAlign w:val="center"/>
            <w:hideMark/>
          </w:tcPr>
          <w:p w14:paraId="752850E6"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Rate Impact Measure</w:t>
            </w:r>
          </w:p>
        </w:tc>
      </w:tr>
      <w:tr w:rsidR="003E2A3E" w:rsidRPr="003E2A3E" w14:paraId="39840ED1" w14:textId="77777777" w:rsidTr="004911AE">
        <w:trPr>
          <w:trHeight w:val="300"/>
        </w:trPr>
        <w:tc>
          <w:tcPr>
            <w:tcW w:w="2678" w:type="dxa"/>
            <w:noWrap/>
            <w:vAlign w:val="center"/>
            <w:hideMark/>
          </w:tcPr>
          <w:p w14:paraId="25D45786"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RNR</w:t>
            </w:r>
          </w:p>
        </w:tc>
        <w:tc>
          <w:tcPr>
            <w:tcW w:w="6682" w:type="dxa"/>
            <w:noWrap/>
            <w:vAlign w:val="center"/>
            <w:hideMark/>
          </w:tcPr>
          <w:p w14:paraId="5E2E83D3" w14:textId="767F2650" w:rsidR="002B488B" w:rsidRPr="003E2A3E" w:rsidRDefault="002B488B" w:rsidP="002B488B">
            <w:pPr>
              <w:rPr>
                <w:rFonts w:asciiTheme="minorHAnsi" w:hAnsiTheme="minorHAnsi" w:cs="Arial"/>
                <w:sz w:val="22"/>
              </w:rPr>
            </w:pPr>
            <w:r w:rsidRPr="003E2A3E">
              <w:rPr>
                <w:rFonts w:asciiTheme="minorHAnsi" w:hAnsiTheme="minorHAnsi" w:cs="Arial"/>
                <w:sz w:val="22"/>
              </w:rPr>
              <w:t xml:space="preserve">Renewable </w:t>
            </w:r>
            <w:r w:rsidR="00BD52F0" w:rsidRPr="003E2A3E">
              <w:rPr>
                <w:rFonts w:asciiTheme="minorHAnsi" w:hAnsiTheme="minorHAnsi" w:cs="Arial"/>
                <w:sz w:val="22"/>
              </w:rPr>
              <w:t>and</w:t>
            </w:r>
            <w:r w:rsidRPr="003E2A3E">
              <w:rPr>
                <w:rFonts w:asciiTheme="minorHAnsi" w:hAnsiTheme="minorHAnsi" w:cs="Arial"/>
                <w:sz w:val="22"/>
              </w:rPr>
              <w:t xml:space="preserve"> Non-Renewable</w:t>
            </w:r>
          </w:p>
        </w:tc>
      </w:tr>
      <w:tr w:rsidR="003E2A3E" w:rsidRPr="003E2A3E" w14:paraId="4448D520" w14:textId="77777777" w:rsidTr="004911AE">
        <w:trPr>
          <w:trHeight w:val="300"/>
        </w:trPr>
        <w:tc>
          <w:tcPr>
            <w:tcW w:w="2678" w:type="dxa"/>
            <w:noWrap/>
            <w:vAlign w:val="center"/>
            <w:hideMark/>
          </w:tcPr>
          <w:p w14:paraId="1C03204F"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lastRenderedPageBreak/>
              <w:t>SAM</w:t>
            </w:r>
          </w:p>
        </w:tc>
        <w:tc>
          <w:tcPr>
            <w:tcW w:w="6682" w:type="dxa"/>
            <w:noWrap/>
            <w:vAlign w:val="center"/>
            <w:hideMark/>
          </w:tcPr>
          <w:p w14:paraId="3EFB2861" w14:textId="412ACE83" w:rsidR="002B488B" w:rsidRPr="003E2A3E" w:rsidRDefault="002B488B" w:rsidP="002B488B">
            <w:pPr>
              <w:rPr>
                <w:rFonts w:asciiTheme="minorHAnsi" w:hAnsiTheme="minorHAnsi" w:cs="Arial"/>
                <w:sz w:val="22"/>
              </w:rPr>
            </w:pPr>
            <w:r w:rsidRPr="003E2A3E">
              <w:rPr>
                <w:rFonts w:asciiTheme="minorHAnsi" w:hAnsiTheme="minorHAnsi" w:cs="Arial"/>
                <w:sz w:val="22"/>
              </w:rPr>
              <w:t xml:space="preserve">Standard Analysis Model </w:t>
            </w:r>
          </w:p>
        </w:tc>
      </w:tr>
      <w:tr w:rsidR="003E2A3E" w:rsidRPr="003E2A3E" w14:paraId="0E65A795" w14:textId="77777777" w:rsidTr="004911AE">
        <w:trPr>
          <w:trHeight w:val="300"/>
        </w:trPr>
        <w:tc>
          <w:tcPr>
            <w:tcW w:w="2678" w:type="dxa"/>
            <w:noWrap/>
            <w:vAlign w:val="center"/>
            <w:hideMark/>
          </w:tcPr>
          <w:p w14:paraId="3924F5D5"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SCR</w:t>
            </w:r>
          </w:p>
        </w:tc>
        <w:tc>
          <w:tcPr>
            <w:tcW w:w="6682" w:type="dxa"/>
            <w:noWrap/>
            <w:vAlign w:val="center"/>
            <w:hideMark/>
          </w:tcPr>
          <w:p w14:paraId="59F7B19D"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Selective Catalytic Reduction</w:t>
            </w:r>
          </w:p>
        </w:tc>
      </w:tr>
      <w:tr w:rsidR="003E2A3E" w:rsidRPr="003E2A3E" w14:paraId="48965004" w14:textId="77777777" w:rsidTr="004911AE">
        <w:trPr>
          <w:trHeight w:val="300"/>
        </w:trPr>
        <w:tc>
          <w:tcPr>
            <w:tcW w:w="2678" w:type="dxa"/>
            <w:noWrap/>
            <w:vAlign w:val="center"/>
            <w:hideMark/>
          </w:tcPr>
          <w:p w14:paraId="6CDAC6E8"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SCS</w:t>
            </w:r>
          </w:p>
        </w:tc>
        <w:tc>
          <w:tcPr>
            <w:tcW w:w="6682" w:type="dxa"/>
            <w:noWrap/>
            <w:vAlign w:val="center"/>
            <w:hideMark/>
          </w:tcPr>
          <w:p w14:paraId="200DB2EF"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Southern Company Services</w:t>
            </w:r>
          </w:p>
        </w:tc>
      </w:tr>
      <w:tr w:rsidR="003E2A3E" w:rsidRPr="003E2A3E" w14:paraId="26E4465A" w14:textId="77777777" w:rsidTr="004911AE">
        <w:trPr>
          <w:trHeight w:val="300"/>
        </w:trPr>
        <w:tc>
          <w:tcPr>
            <w:tcW w:w="2678" w:type="dxa"/>
            <w:noWrap/>
            <w:vAlign w:val="center"/>
            <w:hideMark/>
          </w:tcPr>
          <w:p w14:paraId="49889773"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SCT</w:t>
            </w:r>
          </w:p>
        </w:tc>
        <w:tc>
          <w:tcPr>
            <w:tcW w:w="6682" w:type="dxa"/>
            <w:noWrap/>
            <w:vAlign w:val="center"/>
            <w:hideMark/>
          </w:tcPr>
          <w:p w14:paraId="1826E322"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Societal Cost Test</w:t>
            </w:r>
          </w:p>
        </w:tc>
      </w:tr>
      <w:tr w:rsidR="003E2A3E" w:rsidRPr="003E2A3E" w14:paraId="7AB76088" w14:textId="77777777" w:rsidTr="004911AE">
        <w:trPr>
          <w:trHeight w:val="300"/>
        </w:trPr>
        <w:tc>
          <w:tcPr>
            <w:tcW w:w="2678" w:type="dxa"/>
            <w:noWrap/>
            <w:vAlign w:val="center"/>
            <w:hideMark/>
          </w:tcPr>
          <w:p w14:paraId="2129D42F"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SEIA</w:t>
            </w:r>
          </w:p>
        </w:tc>
        <w:tc>
          <w:tcPr>
            <w:tcW w:w="6682" w:type="dxa"/>
            <w:noWrap/>
            <w:vAlign w:val="center"/>
            <w:hideMark/>
          </w:tcPr>
          <w:p w14:paraId="5CBDDC40"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Solar Energy Industries Association</w:t>
            </w:r>
          </w:p>
        </w:tc>
      </w:tr>
      <w:tr w:rsidR="003E2A3E" w:rsidRPr="003E2A3E" w14:paraId="5AADEE84" w14:textId="77777777" w:rsidTr="004911AE">
        <w:trPr>
          <w:trHeight w:val="300"/>
        </w:trPr>
        <w:tc>
          <w:tcPr>
            <w:tcW w:w="2678" w:type="dxa"/>
            <w:noWrap/>
            <w:vAlign w:val="center"/>
            <w:hideMark/>
          </w:tcPr>
          <w:p w14:paraId="3805FBC2"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SERC</w:t>
            </w:r>
          </w:p>
        </w:tc>
        <w:tc>
          <w:tcPr>
            <w:tcW w:w="6682" w:type="dxa"/>
            <w:noWrap/>
            <w:vAlign w:val="center"/>
            <w:hideMark/>
          </w:tcPr>
          <w:p w14:paraId="589802BD" w14:textId="20A619D5" w:rsidR="002B488B" w:rsidRPr="003E2A3E" w:rsidRDefault="002B488B" w:rsidP="002B488B">
            <w:pPr>
              <w:rPr>
                <w:rFonts w:asciiTheme="minorHAnsi" w:hAnsiTheme="minorHAnsi" w:cs="Arial"/>
                <w:sz w:val="22"/>
              </w:rPr>
            </w:pPr>
            <w:r w:rsidRPr="003E2A3E">
              <w:rPr>
                <w:rFonts w:asciiTheme="minorHAnsi" w:hAnsiTheme="minorHAnsi" w:cs="Arial"/>
                <w:sz w:val="22"/>
              </w:rPr>
              <w:t>Southeastern Electric Reliability Council</w:t>
            </w:r>
            <w:r w:rsidR="00625047" w:rsidRPr="003E2A3E">
              <w:rPr>
                <w:rFonts w:asciiTheme="minorHAnsi" w:hAnsiTheme="minorHAnsi" w:cs="Arial"/>
                <w:sz w:val="22"/>
              </w:rPr>
              <w:t>. A group of electric utilities coordinating operations to maintain system reliability in the Southeastern U.S.</w:t>
            </w:r>
          </w:p>
        </w:tc>
      </w:tr>
      <w:tr w:rsidR="003E2A3E" w:rsidRPr="003E2A3E" w14:paraId="540C41CC" w14:textId="77777777" w:rsidTr="004911AE">
        <w:trPr>
          <w:trHeight w:val="300"/>
        </w:trPr>
        <w:tc>
          <w:tcPr>
            <w:tcW w:w="2678" w:type="dxa"/>
            <w:noWrap/>
            <w:vAlign w:val="center"/>
            <w:hideMark/>
          </w:tcPr>
          <w:p w14:paraId="5DA42055"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SERVM</w:t>
            </w:r>
          </w:p>
        </w:tc>
        <w:tc>
          <w:tcPr>
            <w:tcW w:w="6682" w:type="dxa"/>
            <w:noWrap/>
            <w:vAlign w:val="center"/>
            <w:hideMark/>
          </w:tcPr>
          <w:p w14:paraId="7C7949AC" w14:textId="0CE7D9DE" w:rsidR="002B488B" w:rsidRPr="003E2A3E" w:rsidRDefault="002B488B" w:rsidP="002B488B">
            <w:pPr>
              <w:rPr>
                <w:rFonts w:asciiTheme="minorHAnsi" w:hAnsiTheme="minorHAnsi" w:cs="Arial"/>
                <w:sz w:val="22"/>
              </w:rPr>
            </w:pPr>
            <w:r w:rsidRPr="003E2A3E">
              <w:rPr>
                <w:rFonts w:asciiTheme="minorHAnsi" w:hAnsiTheme="minorHAnsi" w:cs="Arial"/>
                <w:sz w:val="22"/>
              </w:rPr>
              <w:t>Strategic Energy Risk Evaluation Model</w:t>
            </w:r>
          </w:p>
        </w:tc>
      </w:tr>
      <w:tr w:rsidR="003E2A3E" w:rsidRPr="003E2A3E" w14:paraId="7289454F" w14:textId="77777777" w:rsidTr="004911AE">
        <w:trPr>
          <w:trHeight w:val="300"/>
        </w:trPr>
        <w:tc>
          <w:tcPr>
            <w:tcW w:w="2678" w:type="dxa"/>
            <w:noWrap/>
            <w:vAlign w:val="center"/>
            <w:hideMark/>
          </w:tcPr>
          <w:p w14:paraId="754501C1"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SLR</w:t>
            </w:r>
          </w:p>
        </w:tc>
        <w:tc>
          <w:tcPr>
            <w:tcW w:w="6682" w:type="dxa"/>
            <w:noWrap/>
            <w:vAlign w:val="center"/>
            <w:hideMark/>
          </w:tcPr>
          <w:p w14:paraId="7361305D"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Subsequent License Renewal</w:t>
            </w:r>
          </w:p>
        </w:tc>
      </w:tr>
      <w:tr w:rsidR="003E2A3E" w:rsidRPr="003E2A3E" w14:paraId="378A851E" w14:textId="77777777" w:rsidTr="004911AE">
        <w:trPr>
          <w:trHeight w:val="300"/>
        </w:trPr>
        <w:tc>
          <w:tcPr>
            <w:tcW w:w="2678" w:type="dxa"/>
            <w:noWrap/>
            <w:vAlign w:val="center"/>
            <w:hideMark/>
          </w:tcPr>
          <w:p w14:paraId="1734ECB3"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SLRA</w:t>
            </w:r>
          </w:p>
        </w:tc>
        <w:tc>
          <w:tcPr>
            <w:tcW w:w="6682" w:type="dxa"/>
            <w:noWrap/>
            <w:vAlign w:val="center"/>
            <w:hideMark/>
          </w:tcPr>
          <w:p w14:paraId="64695263"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SLR Application</w:t>
            </w:r>
          </w:p>
        </w:tc>
      </w:tr>
      <w:tr w:rsidR="003E2A3E" w:rsidRPr="003E2A3E" w14:paraId="29EF6C36" w14:textId="77777777" w:rsidTr="004911AE">
        <w:trPr>
          <w:trHeight w:val="300"/>
        </w:trPr>
        <w:tc>
          <w:tcPr>
            <w:tcW w:w="2678" w:type="dxa"/>
            <w:noWrap/>
            <w:vAlign w:val="center"/>
          </w:tcPr>
          <w:p w14:paraId="656EFEE8" w14:textId="5E6E5329" w:rsidR="00E06F72" w:rsidRPr="003E2A3E" w:rsidRDefault="00E06F72" w:rsidP="002B488B">
            <w:pPr>
              <w:rPr>
                <w:rFonts w:asciiTheme="minorHAnsi" w:hAnsiTheme="minorHAnsi" w:cs="Arial"/>
                <w:b/>
                <w:sz w:val="22"/>
              </w:rPr>
            </w:pPr>
            <w:r w:rsidRPr="003E2A3E">
              <w:rPr>
                <w:rFonts w:asciiTheme="minorHAnsi" w:hAnsiTheme="minorHAnsi" w:cs="Arial"/>
                <w:b/>
                <w:sz w:val="22"/>
              </w:rPr>
              <w:t xml:space="preserve">Southern </w:t>
            </w:r>
            <w:r w:rsidR="005D46B0" w:rsidRPr="003E2A3E">
              <w:rPr>
                <w:rFonts w:asciiTheme="minorHAnsi" w:hAnsiTheme="minorHAnsi" w:cs="Arial"/>
                <w:b/>
                <w:sz w:val="22"/>
              </w:rPr>
              <w:t>Company</w:t>
            </w:r>
          </w:p>
        </w:tc>
        <w:tc>
          <w:tcPr>
            <w:tcW w:w="6682" w:type="dxa"/>
            <w:noWrap/>
            <w:vAlign w:val="center"/>
          </w:tcPr>
          <w:p w14:paraId="6E360875" w14:textId="44AE8C45" w:rsidR="00E06F72" w:rsidRPr="003E2A3E" w:rsidRDefault="005D46B0" w:rsidP="002B488B">
            <w:pPr>
              <w:rPr>
                <w:rFonts w:asciiTheme="minorHAnsi" w:hAnsiTheme="minorHAnsi" w:cs="Arial"/>
                <w:sz w:val="22"/>
              </w:rPr>
            </w:pPr>
            <w:r w:rsidRPr="003E2A3E">
              <w:rPr>
                <w:rFonts w:asciiTheme="minorHAnsi" w:hAnsiTheme="minorHAnsi" w:cs="Arial"/>
                <w:sz w:val="22"/>
              </w:rPr>
              <w:t xml:space="preserve">Parent company of </w:t>
            </w:r>
            <w:r w:rsidR="00F53606" w:rsidRPr="003E2A3E">
              <w:rPr>
                <w:rFonts w:asciiTheme="minorHAnsi" w:hAnsiTheme="minorHAnsi" w:cs="Arial"/>
                <w:sz w:val="22"/>
              </w:rPr>
              <w:t>Georgia Power Company, Alabama Power</w:t>
            </w:r>
            <w:r w:rsidR="00B9375E" w:rsidRPr="003E2A3E">
              <w:rPr>
                <w:rFonts w:asciiTheme="minorHAnsi" w:hAnsiTheme="minorHAnsi" w:cs="Arial"/>
                <w:sz w:val="22"/>
              </w:rPr>
              <w:t xml:space="preserve"> Company</w:t>
            </w:r>
            <w:r w:rsidR="00F53606" w:rsidRPr="003E2A3E">
              <w:rPr>
                <w:rFonts w:asciiTheme="minorHAnsi" w:hAnsiTheme="minorHAnsi" w:cs="Arial"/>
                <w:sz w:val="22"/>
              </w:rPr>
              <w:t>, Mississippi Power</w:t>
            </w:r>
            <w:r w:rsidR="00B9375E" w:rsidRPr="003E2A3E">
              <w:rPr>
                <w:rFonts w:asciiTheme="minorHAnsi" w:hAnsiTheme="minorHAnsi" w:cs="Arial"/>
                <w:sz w:val="22"/>
              </w:rPr>
              <w:t xml:space="preserve"> Company</w:t>
            </w:r>
            <w:r w:rsidR="00F53606" w:rsidRPr="003E2A3E">
              <w:rPr>
                <w:rFonts w:asciiTheme="minorHAnsi" w:hAnsiTheme="minorHAnsi" w:cs="Arial"/>
                <w:sz w:val="22"/>
              </w:rPr>
              <w:t>, Southern Power</w:t>
            </w:r>
            <w:r w:rsidR="00B9375E" w:rsidRPr="003E2A3E">
              <w:rPr>
                <w:rFonts w:asciiTheme="minorHAnsi" w:hAnsiTheme="minorHAnsi" w:cs="Arial"/>
                <w:sz w:val="22"/>
              </w:rPr>
              <w:t xml:space="preserve"> Company</w:t>
            </w:r>
            <w:r w:rsidR="00F53606" w:rsidRPr="003E2A3E">
              <w:rPr>
                <w:rFonts w:asciiTheme="minorHAnsi" w:hAnsiTheme="minorHAnsi" w:cs="Arial"/>
                <w:sz w:val="22"/>
              </w:rPr>
              <w:t>, and Southern Company Gas</w:t>
            </w:r>
          </w:p>
        </w:tc>
      </w:tr>
      <w:tr w:rsidR="003E2A3E" w:rsidRPr="003E2A3E" w14:paraId="69F640F4" w14:textId="77777777" w:rsidTr="004911AE">
        <w:trPr>
          <w:trHeight w:val="300"/>
        </w:trPr>
        <w:tc>
          <w:tcPr>
            <w:tcW w:w="2678" w:type="dxa"/>
            <w:noWrap/>
            <w:vAlign w:val="center"/>
          </w:tcPr>
          <w:p w14:paraId="31E93F08" w14:textId="64F10375" w:rsidR="00AD3196" w:rsidRPr="003E2A3E" w:rsidRDefault="00AD3196" w:rsidP="002B488B">
            <w:pPr>
              <w:rPr>
                <w:rFonts w:asciiTheme="minorHAnsi" w:hAnsiTheme="minorHAnsi" w:cs="Arial"/>
                <w:b/>
                <w:sz w:val="22"/>
              </w:rPr>
            </w:pPr>
            <w:r w:rsidRPr="003E2A3E">
              <w:rPr>
                <w:rFonts w:asciiTheme="minorHAnsi" w:hAnsiTheme="minorHAnsi" w:cs="Arial"/>
                <w:b/>
                <w:sz w:val="22"/>
              </w:rPr>
              <w:t>STATCOM</w:t>
            </w:r>
          </w:p>
        </w:tc>
        <w:tc>
          <w:tcPr>
            <w:tcW w:w="6682" w:type="dxa"/>
            <w:noWrap/>
            <w:vAlign w:val="center"/>
          </w:tcPr>
          <w:p w14:paraId="5C23F18B" w14:textId="20743680" w:rsidR="00AD3196" w:rsidRPr="003E2A3E" w:rsidRDefault="00996AD2" w:rsidP="002B488B">
            <w:pPr>
              <w:rPr>
                <w:rFonts w:asciiTheme="minorHAnsi" w:hAnsiTheme="minorHAnsi" w:cs="Arial"/>
                <w:sz w:val="22"/>
              </w:rPr>
            </w:pPr>
            <w:r w:rsidRPr="003E2A3E">
              <w:rPr>
                <w:rFonts w:asciiTheme="minorHAnsi" w:hAnsiTheme="minorHAnsi" w:cs="Arial"/>
                <w:sz w:val="22"/>
              </w:rPr>
              <w:t>Static synchronous compensator</w:t>
            </w:r>
          </w:p>
        </w:tc>
      </w:tr>
      <w:tr w:rsidR="003E2A3E" w:rsidRPr="003E2A3E" w14:paraId="200DBA0D" w14:textId="77777777" w:rsidTr="004911AE">
        <w:trPr>
          <w:trHeight w:val="300"/>
        </w:trPr>
        <w:tc>
          <w:tcPr>
            <w:tcW w:w="2678" w:type="dxa"/>
            <w:noWrap/>
            <w:vAlign w:val="center"/>
            <w:hideMark/>
          </w:tcPr>
          <w:p w14:paraId="4F21BCB1"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System</w:t>
            </w:r>
          </w:p>
        </w:tc>
        <w:tc>
          <w:tcPr>
            <w:tcW w:w="6682" w:type="dxa"/>
            <w:noWrap/>
            <w:vAlign w:val="center"/>
            <w:hideMark/>
          </w:tcPr>
          <w:p w14:paraId="5C50BA73"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Southern Company System</w:t>
            </w:r>
          </w:p>
        </w:tc>
      </w:tr>
      <w:tr w:rsidR="003E2A3E" w:rsidRPr="003E2A3E" w14:paraId="5BF40391" w14:textId="77777777" w:rsidTr="004911AE">
        <w:trPr>
          <w:trHeight w:val="300"/>
        </w:trPr>
        <w:tc>
          <w:tcPr>
            <w:tcW w:w="2678" w:type="dxa"/>
            <w:noWrap/>
            <w:vAlign w:val="center"/>
            <w:hideMark/>
          </w:tcPr>
          <w:p w14:paraId="49A74A41" w14:textId="353B717B" w:rsidR="002B488B" w:rsidRPr="003E2A3E" w:rsidRDefault="00507414" w:rsidP="002B488B">
            <w:pPr>
              <w:rPr>
                <w:rFonts w:asciiTheme="minorHAnsi" w:hAnsiTheme="minorHAnsi" w:cs="Arial"/>
                <w:b/>
                <w:bCs/>
                <w:sz w:val="22"/>
              </w:rPr>
            </w:pPr>
            <w:r>
              <w:rPr>
                <w:rFonts w:asciiTheme="minorHAnsi" w:hAnsiTheme="minorHAnsi" w:cs="Arial"/>
                <w:b/>
                <w:bCs/>
                <w:sz w:val="22"/>
              </w:rPr>
              <w:t>TRM</w:t>
            </w:r>
          </w:p>
        </w:tc>
        <w:tc>
          <w:tcPr>
            <w:tcW w:w="6682" w:type="dxa"/>
            <w:noWrap/>
            <w:vAlign w:val="center"/>
            <w:hideMark/>
          </w:tcPr>
          <w:p w14:paraId="31D88F08" w14:textId="26C1C5F8" w:rsidR="002B488B" w:rsidRPr="003E2A3E" w:rsidRDefault="00507414" w:rsidP="002B488B">
            <w:pPr>
              <w:rPr>
                <w:rFonts w:asciiTheme="minorHAnsi" w:hAnsiTheme="minorHAnsi" w:cs="Arial"/>
                <w:sz w:val="22"/>
              </w:rPr>
            </w:pPr>
            <w:r>
              <w:rPr>
                <w:rFonts w:asciiTheme="minorHAnsi" w:hAnsiTheme="minorHAnsi" w:cs="Arial"/>
                <w:sz w:val="22"/>
              </w:rPr>
              <w:t xml:space="preserve">Target reserve margin. </w:t>
            </w:r>
            <w:r w:rsidR="002B488B" w:rsidRPr="003E2A3E">
              <w:rPr>
                <w:rFonts w:asciiTheme="minorHAnsi" w:hAnsiTheme="minorHAnsi" w:cs="Arial"/>
                <w:sz w:val="22"/>
              </w:rPr>
              <w:t>The generation capacity required above the forecasted peak demand</w:t>
            </w:r>
          </w:p>
        </w:tc>
      </w:tr>
      <w:tr w:rsidR="003E2A3E" w:rsidRPr="003E2A3E" w14:paraId="5DEFF325" w14:textId="77777777" w:rsidTr="004911AE">
        <w:trPr>
          <w:trHeight w:val="300"/>
        </w:trPr>
        <w:tc>
          <w:tcPr>
            <w:tcW w:w="2678" w:type="dxa"/>
            <w:noWrap/>
            <w:vAlign w:val="center"/>
            <w:hideMark/>
          </w:tcPr>
          <w:p w14:paraId="1B826C1A"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TRC</w:t>
            </w:r>
          </w:p>
        </w:tc>
        <w:tc>
          <w:tcPr>
            <w:tcW w:w="6682" w:type="dxa"/>
            <w:noWrap/>
            <w:vAlign w:val="center"/>
            <w:hideMark/>
          </w:tcPr>
          <w:p w14:paraId="7579D511"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Total Resource Cost</w:t>
            </w:r>
          </w:p>
        </w:tc>
      </w:tr>
      <w:tr w:rsidR="003E2A3E" w:rsidRPr="003E2A3E" w14:paraId="4E37C61B" w14:textId="77777777" w:rsidTr="004911AE">
        <w:trPr>
          <w:trHeight w:val="300"/>
        </w:trPr>
        <w:tc>
          <w:tcPr>
            <w:tcW w:w="2678" w:type="dxa"/>
            <w:noWrap/>
            <w:vAlign w:val="center"/>
            <w:hideMark/>
          </w:tcPr>
          <w:p w14:paraId="594FC9F3" w14:textId="25BC06D2"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U.S.</w:t>
            </w:r>
          </w:p>
        </w:tc>
        <w:tc>
          <w:tcPr>
            <w:tcW w:w="6682" w:type="dxa"/>
            <w:noWrap/>
            <w:vAlign w:val="center"/>
            <w:hideMark/>
          </w:tcPr>
          <w:p w14:paraId="6503649D"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United States</w:t>
            </w:r>
          </w:p>
        </w:tc>
      </w:tr>
      <w:tr w:rsidR="003E2A3E" w:rsidRPr="003E2A3E" w14:paraId="59E35488" w14:textId="77777777" w:rsidTr="004911AE">
        <w:trPr>
          <w:trHeight w:val="300"/>
        </w:trPr>
        <w:tc>
          <w:tcPr>
            <w:tcW w:w="2678" w:type="dxa"/>
            <w:noWrap/>
            <w:vAlign w:val="center"/>
          </w:tcPr>
          <w:p w14:paraId="4D28E48B" w14:textId="2D82704C"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US</w:t>
            </w:r>
          </w:p>
        </w:tc>
        <w:tc>
          <w:tcPr>
            <w:tcW w:w="6682" w:type="dxa"/>
            <w:noWrap/>
            <w:vAlign w:val="center"/>
          </w:tcPr>
          <w:p w14:paraId="34D4919F" w14:textId="02E10EE6" w:rsidR="002B488B" w:rsidRPr="003E2A3E" w:rsidRDefault="002B488B" w:rsidP="002B488B">
            <w:pPr>
              <w:rPr>
                <w:rFonts w:asciiTheme="minorHAnsi" w:hAnsiTheme="minorHAnsi" w:cs="Arial"/>
                <w:sz w:val="22"/>
              </w:rPr>
            </w:pPr>
            <w:r w:rsidRPr="003E2A3E">
              <w:rPr>
                <w:rFonts w:asciiTheme="minorHAnsi" w:hAnsiTheme="minorHAnsi" w:cs="Arial"/>
                <w:sz w:val="22"/>
              </w:rPr>
              <w:t>Utility Scale</w:t>
            </w:r>
          </w:p>
        </w:tc>
      </w:tr>
      <w:tr w:rsidR="003E2A3E" w:rsidRPr="003E2A3E" w14:paraId="1CD0D14E" w14:textId="77777777" w:rsidTr="004911AE">
        <w:trPr>
          <w:trHeight w:val="300"/>
        </w:trPr>
        <w:tc>
          <w:tcPr>
            <w:tcW w:w="2678" w:type="dxa"/>
            <w:noWrap/>
            <w:vAlign w:val="center"/>
          </w:tcPr>
          <w:p w14:paraId="20D4302E" w14:textId="1BA655F1"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V2X</w:t>
            </w:r>
          </w:p>
        </w:tc>
        <w:tc>
          <w:tcPr>
            <w:tcW w:w="6682" w:type="dxa"/>
            <w:noWrap/>
            <w:vAlign w:val="center"/>
          </w:tcPr>
          <w:p w14:paraId="074929AF" w14:textId="4FC5C2D3" w:rsidR="002B488B" w:rsidRPr="003E2A3E" w:rsidRDefault="002B488B" w:rsidP="002B488B">
            <w:pPr>
              <w:rPr>
                <w:rFonts w:asciiTheme="minorHAnsi" w:hAnsiTheme="minorHAnsi" w:cs="Arial"/>
                <w:sz w:val="22"/>
              </w:rPr>
            </w:pPr>
            <w:r w:rsidRPr="003E2A3E">
              <w:rPr>
                <w:rFonts w:asciiTheme="minorHAnsi" w:hAnsiTheme="minorHAnsi" w:cs="Arial"/>
                <w:sz w:val="22"/>
              </w:rPr>
              <w:t xml:space="preserve">Vehicle-to-Everything </w:t>
            </w:r>
          </w:p>
        </w:tc>
      </w:tr>
      <w:tr w:rsidR="003E2A3E" w:rsidRPr="003E2A3E" w14:paraId="2C2415F5" w14:textId="77777777" w:rsidTr="004911AE">
        <w:trPr>
          <w:trHeight w:val="300"/>
        </w:trPr>
        <w:tc>
          <w:tcPr>
            <w:tcW w:w="2678" w:type="dxa"/>
            <w:noWrap/>
            <w:vAlign w:val="center"/>
            <w:hideMark/>
          </w:tcPr>
          <w:p w14:paraId="57B55508"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VIP</w:t>
            </w:r>
          </w:p>
        </w:tc>
        <w:tc>
          <w:tcPr>
            <w:tcW w:w="6682" w:type="dxa"/>
            <w:noWrap/>
            <w:vAlign w:val="center"/>
            <w:hideMark/>
          </w:tcPr>
          <w:p w14:paraId="628BE6DA"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Voluntary Incentives Program</w:t>
            </w:r>
          </w:p>
        </w:tc>
      </w:tr>
      <w:tr w:rsidR="002D2D20" w:rsidRPr="003E2A3E" w14:paraId="477B4B0F" w14:textId="77777777" w:rsidTr="004911AE">
        <w:trPr>
          <w:trHeight w:val="300"/>
        </w:trPr>
        <w:tc>
          <w:tcPr>
            <w:tcW w:w="2678" w:type="dxa"/>
            <w:noWrap/>
            <w:vAlign w:val="center"/>
          </w:tcPr>
          <w:p w14:paraId="13E8864B" w14:textId="0D442551" w:rsidR="002D2D20" w:rsidRPr="002D2D20" w:rsidRDefault="002D2D20" w:rsidP="002B488B">
            <w:pPr>
              <w:rPr>
                <w:rFonts w:asciiTheme="minorHAnsi" w:hAnsiTheme="minorHAnsi" w:cs="Arial"/>
                <w:b/>
                <w:bCs/>
                <w:sz w:val="22"/>
              </w:rPr>
            </w:pPr>
            <w:r w:rsidRPr="002D2D20">
              <w:rPr>
                <w:rFonts w:asciiTheme="minorHAnsi" w:hAnsiTheme="minorHAnsi" w:cs="Arial"/>
                <w:b/>
                <w:bCs/>
                <w:sz w:val="22"/>
              </w:rPr>
              <w:t>Vogtle Prudence Order</w:t>
            </w:r>
          </w:p>
        </w:tc>
        <w:tc>
          <w:tcPr>
            <w:tcW w:w="6682" w:type="dxa"/>
            <w:noWrap/>
            <w:vAlign w:val="center"/>
          </w:tcPr>
          <w:p w14:paraId="5A74A218" w14:textId="5AABBF2B" w:rsidR="002D2D20" w:rsidRPr="002D2D20" w:rsidRDefault="002D2D20" w:rsidP="002B488B">
            <w:pPr>
              <w:rPr>
                <w:rFonts w:asciiTheme="minorHAnsi" w:hAnsiTheme="minorHAnsi" w:cs="Arial"/>
                <w:sz w:val="22"/>
              </w:rPr>
            </w:pPr>
            <w:r w:rsidRPr="002D2D20">
              <w:rPr>
                <w:rFonts w:asciiTheme="minorHAnsi" w:hAnsiTheme="minorHAnsi" w:cs="Arial"/>
                <w:sz w:val="22"/>
              </w:rPr>
              <w:t>Commission’s Order Adopting Stipulation in the Vogtle Prudency Proceeding in Docket No. 29849</w:t>
            </w:r>
          </w:p>
        </w:tc>
      </w:tr>
      <w:tr w:rsidR="003E2A3E" w:rsidRPr="003E2A3E" w14:paraId="1AAC39F8" w14:textId="77777777" w:rsidTr="004911AE">
        <w:trPr>
          <w:trHeight w:val="300"/>
        </w:trPr>
        <w:tc>
          <w:tcPr>
            <w:tcW w:w="2678" w:type="dxa"/>
            <w:noWrap/>
            <w:vAlign w:val="center"/>
            <w:hideMark/>
          </w:tcPr>
          <w:p w14:paraId="6D91476F" w14:textId="77777777" w:rsidR="002B488B" w:rsidRPr="003E2A3E" w:rsidRDefault="002B488B" w:rsidP="002B488B">
            <w:pPr>
              <w:rPr>
                <w:rFonts w:asciiTheme="minorHAnsi" w:hAnsiTheme="minorHAnsi" w:cs="Arial"/>
                <w:b/>
                <w:bCs/>
                <w:sz w:val="22"/>
              </w:rPr>
            </w:pPr>
            <w:r w:rsidRPr="003E2A3E">
              <w:rPr>
                <w:rFonts w:asciiTheme="minorHAnsi" w:hAnsiTheme="minorHAnsi" w:cs="Arial"/>
                <w:b/>
                <w:bCs/>
                <w:sz w:val="22"/>
              </w:rPr>
              <w:t>Wholesale Action Plan</w:t>
            </w:r>
          </w:p>
        </w:tc>
        <w:tc>
          <w:tcPr>
            <w:tcW w:w="6682" w:type="dxa"/>
            <w:noWrap/>
            <w:vAlign w:val="center"/>
            <w:hideMark/>
          </w:tcPr>
          <w:p w14:paraId="796E61D6" w14:textId="77777777" w:rsidR="002B488B" w:rsidRPr="003E2A3E" w:rsidRDefault="002B488B" w:rsidP="002B488B">
            <w:pPr>
              <w:rPr>
                <w:rFonts w:asciiTheme="minorHAnsi" w:hAnsiTheme="minorHAnsi" w:cs="Arial"/>
                <w:sz w:val="22"/>
              </w:rPr>
            </w:pPr>
            <w:r w:rsidRPr="003E2A3E">
              <w:rPr>
                <w:rFonts w:asciiTheme="minorHAnsi" w:hAnsiTheme="minorHAnsi" w:cs="Arial"/>
                <w:sz w:val="22"/>
              </w:rPr>
              <w:t>Order approving Georgia Power Company’s Proposal to Offer Certain Wholesale Capacity Blocks to Retail Jurisdiction, Docket No. 26550-U (July 30, 2008)</w:t>
            </w:r>
          </w:p>
        </w:tc>
      </w:tr>
    </w:tbl>
    <w:p w14:paraId="4F50F90C" w14:textId="77777777" w:rsidR="0025110C" w:rsidRPr="0025110C" w:rsidRDefault="0025110C" w:rsidP="0025110C"/>
    <w:sectPr w:rsidR="0025110C" w:rsidRPr="0025110C" w:rsidSect="00D14C8B">
      <w:headerReference w:type="default" r:id="rId5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6EC1A6" w14:textId="77777777" w:rsidR="00B93B93" w:rsidRDefault="00B93B93" w:rsidP="00AB5FD6">
      <w:pPr>
        <w:spacing w:after="0" w:line="240" w:lineRule="auto"/>
      </w:pPr>
      <w:r>
        <w:separator/>
      </w:r>
    </w:p>
  </w:endnote>
  <w:endnote w:type="continuationSeparator" w:id="0">
    <w:p w14:paraId="5B5CE90E" w14:textId="77777777" w:rsidR="00B93B93" w:rsidRDefault="00B93B93" w:rsidP="00AB5FD6">
      <w:pPr>
        <w:spacing w:after="0" w:line="240" w:lineRule="auto"/>
      </w:pPr>
      <w:r>
        <w:continuationSeparator/>
      </w:r>
    </w:p>
  </w:endnote>
  <w:endnote w:type="continuationNotice" w:id="1">
    <w:p w14:paraId="52DB4CC2" w14:textId="77777777" w:rsidR="00B93B93" w:rsidRDefault="00B93B9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D3773E" w14:textId="6FC85216" w:rsidR="008A2791" w:rsidRDefault="008A2791" w:rsidP="008A2791">
    <w:pPr>
      <w:pStyle w:val="Footer"/>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69995515"/>
      <w:docPartObj>
        <w:docPartGallery w:val="Page Numbers (Bottom of Page)"/>
        <w:docPartUnique/>
      </w:docPartObj>
    </w:sdtPr>
    <w:sdtEndPr>
      <w:rPr>
        <w:noProof/>
      </w:rPr>
    </w:sdtEndPr>
    <w:sdtContent>
      <w:p w14:paraId="45A0790A" w14:textId="77777777" w:rsidR="005061A0" w:rsidRDefault="005061A0" w:rsidP="008A2791">
        <w:pPr>
          <w:pStyle w:val="Foote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40151145"/>
      <w:docPartObj>
        <w:docPartGallery w:val="Page Numbers (Bottom of Page)"/>
        <w:docPartUnique/>
      </w:docPartObj>
    </w:sdtPr>
    <w:sdtEndPr>
      <w:rPr>
        <w:noProof/>
      </w:rPr>
    </w:sdtEndPr>
    <w:sdtContent>
      <w:p w14:paraId="18135E44" w14:textId="56C99830" w:rsidR="00522302" w:rsidRDefault="00111CB5" w:rsidP="000932EE">
        <w:pPr>
          <w:pStyle w:val="Foote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633D12" w14:textId="77777777" w:rsidR="00B93B93" w:rsidRDefault="00B93B93" w:rsidP="00AB5FD6">
      <w:pPr>
        <w:spacing w:after="0" w:line="240" w:lineRule="auto"/>
      </w:pPr>
      <w:r>
        <w:separator/>
      </w:r>
    </w:p>
  </w:footnote>
  <w:footnote w:type="continuationSeparator" w:id="0">
    <w:p w14:paraId="4B633D13" w14:textId="77777777" w:rsidR="00B93B93" w:rsidRDefault="00B93B93" w:rsidP="00AB5FD6">
      <w:pPr>
        <w:spacing w:after="0" w:line="240" w:lineRule="auto"/>
      </w:pPr>
      <w:r>
        <w:continuationSeparator/>
      </w:r>
    </w:p>
  </w:footnote>
  <w:footnote w:type="continuationNotice" w:id="1">
    <w:p w14:paraId="3BFABCAC" w14:textId="77777777" w:rsidR="00B93B93" w:rsidRDefault="00B93B93">
      <w:pPr>
        <w:spacing w:after="0" w:line="240" w:lineRule="auto"/>
      </w:pPr>
    </w:p>
  </w:footnote>
  <w:footnote w:id="2">
    <w:p w14:paraId="1B38DEA5" w14:textId="59E5FADB" w:rsidR="006D5FD0" w:rsidRDefault="006D5FD0" w:rsidP="006D5FD0">
      <w:pPr>
        <w:pStyle w:val="FootnoteText"/>
      </w:pPr>
      <w:r>
        <w:rPr>
          <w:rStyle w:val="FootnoteReference"/>
        </w:rPr>
        <w:footnoteRef/>
      </w:r>
      <w:r>
        <w:t xml:space="preserve"> O.C.G.A. </w:t>
      </w:r>
      <w:r w:rsidR="000B6A76" w:rsidRPr="009E790F">
        <w:rPr>
          <w:rStyle w:val="FootnoteChar"/>
          <w:rFonts w:eastAsiaTheme="minorHAnsi"/>
        </w:rPr>
        <w:t>§</w:t>
      </w:r>
      <w:r w:rsidR="000B6A76">
        <w:rPr>
          <w:rStyle w:val="FootnoteChar"/>
          <w:rFonts w:eastAsiaTheme="minorHAnsi"/>
        </w:rPr>
        <w:t xml:space="preserve"> </w:t>
      </w:r>
      <w:r>
        <w:t>46-3A-2</w:t>
      </w:r>
      <w:r w:rsidR="00396F33">
        <w:t>.</w:t>
      </w:r>
    </w:p>
  </w:footnote>
  <w:footnote w:id="3">
    <w:p w14:paraId="6FC21630" w14:textId="66D58650" w:rsidR="006D5FD0" w:rsidRDefault="006D5FD0" w:rsidP="006D5FD0">
      <w:pPr>
        <w:pStyle w:val="FootnoteText"/>
      </w:pPr>
      <w:r>
        <w:rPr>
          <w:rStyle w:val="FootnoteReference"/>
        </w:rPr>
        <w:footnoteRef/>
      </w:r>
      <w:r>
        <w:t xml:space="preserve"> Subject 515-3-4 Integrated Resource Planning</w:t>
      </w:r>
      <w:r w:rsidR="00396F33">
        <w:t>.</w:t>
      </w:r>
    </w:p>
  </w:footnote>
  <w:footnote w:id="4">
    <w:p w14:paraId="6E812560" w14:textId="62D32CC2" w:rsidR="008F5BBE" w:rsidRDefault="008F5BBE" w:rsidP="0031236E">
      <w:pPr>
        <w:pStyle w:val="FootnoteText"/>
        <w:jc w:val="both"/>
      </w:pPr>
      <w:r>
        <w:rPr>
          <w:rStyle w:val="FootnoteReference"/>
        </w:rPr>
        <w:footnoteRef/>
      </w:r>
      <w:r>
        <w:t xml:space="preserve"> </w:t>
      </w:r>
      <w:r w:rsidR="00044E7F">
        <w:t xml:space="preserve">For purposes of </w:t>
      </w:r>
      <w:r w:rsidR="007446CC">
        <w:t>this</w:t>
      </w:r>
      <w:r w:rsidR="008A7D4B">
        <w:t xml:space="preserve"> filing, </w:t>
      </w:r>
      <w:r w:rsidR="0031236E">
        <w:t>the winter of two years that are listed together refers to the period from December of the first year through February of the following year. For example, the winter of 2030/2031 refers to the period from December 2030 through February 2031.</w:t>
      </w:r>
    </w:p>
  </w:footnote>
  <w:footnote w:id="5">
    <w:p w14:paraId="29462E2F" w14:textId="1D917743" w:rsidR="00BF3295" w:rsidRDefault="00BF3295" w:rsidP="00213899">
      <w:pPr>
        <w:pStyle w:val="FootnoteText"/>
        <w:jc w:val="both"/>
      </w:pPr>
      <w:r>
        <w:rPr>
          <w:rStyle w:val="FootnoteReference"/>
        </w:rPr>
        <w:footnoteRef/>
      </w:r>
      <w:r>
        <w:t xml:space="preserve"> </w:t>
      </w:r>
      <w:r w:rsidR="009D4458" w:rsidRPr="009D4458">
        <w:t>Commission Rule 515-3-4-.04(4)(a)(3) states that measures which fail the Total Resource Cost test shall be eliminated from program consideration.</w:t>
      </w:r>
    </w:p>
  </w:footnote>
  <w:footnote w:id="6">
    <w:p w14:paraId="2F79774E" w14:textId="345FC5FA" w:rsidR="004C72DB" w:rsidRDefault="004C72DB" w:rsidP="00093361">
      <w:pPr>
        <w:pStyle w:val="FootnoteText"/>
        <w:jc w:val="both"/>
      </w:pPr>
      <w:r>
        <w:rPr>
          <w:rStyle w:val="FootnoteReference"/>
        </w:rPr>
        <w:footnoteRef/>
      </w:r>
      <w:r>
        <w:t xml:space="preserve"> </w:t>
      </w:r>
      <w:r w:rsidRPr="00481652">
        <w:t>This figure includes Georgia Power’s existing, planned</w:t>
      </w:r>
      <w:r>
        <w:t>,</w:t>
      </w:r>
      <w:r w:rsidRPr="00481652">
        <w:t xml:space="preserve"> and committed resources</w:t>
      </w:r>
      <w:r w:rsidR="000849A1">
        <w:t xml:space="preserve"> and </w:t>
      </w:r>
      <w:r w:rsidR="00951A55" w:rsidRPr="00B35F91">
        <w:t>reflect</w:t>
      </w:r>
      <w:r w:rsidR="000849A1">
        <w:t>s</w:t>
      </w:r>
      <w:r w:rsidR="00951A55" w:rsidRPr="00B35F91">
        <w:t xml:space="preserve"> demonstrated retail capacity for traditional resources, nameplate capacity for retail-serving renewable resources, and program capacity for dispatchable DSOs.</w:t>
      </w:r>
      <w:r w:rsidR="000849A1">
        <w:t xml:space="preserve"> </w:t>
      </w:r>
      <w:r w:rsidRPr="00481652">
        <w:t>It does not reflect generic expansion plan resources.</w:t>
      </w:r>
      <w:r>
        <w:t xml:space="preserve"> A portion of the renewable generation capacity accounted for in this chart includes capacity for which the rights to renewable energy credits (“RECs”) are retained by third-party generators or subscribing customers.</w:t>
      </w:r>
    </w:p>
  </w:footnote>
  <w:footnote w:id="7">
    <w:p w14:paraId="7C522642" w14:textId="6AC80B34" w:rsidR="00B16A6E" w:rsidRDefault="00B16A6E" w:rsidP="00093361">
      <w:pPr>
        <w:pStyle w:val="FootnoteText"/>
        <w:jc w:val="both"/>
      </w:pPr>
      <w:r>
        <w:rPr>
          <w:rStyle w:val="FootnoteReference"/>
        </w:rPr>
        <w:footnoteRef/>
      </w:r>
      <w:r>
        <w:t xml:space="preserve"> </w:t>
      </w:r>
      <w:r w:rsidR="00283A6B" w:rsidRPr="00283A6B">
        <w:t xml:space="preserve">Null energy is the underlying unspecified and undifferentiated power remaining when renewable or other </w:t>
      </w:r>
      <w:r w:rsidR="00DC3F43">
        <w:t>environmental</w:t>
      </w:r>
      <w:r w:rsidR="00DC3F43" w:rsidRPr="00283A6B">
        <w:t xml:space="preserve"> </w:t>
      </w:r>
      <w:r w:rsidR="00283A6B" w:rsidRPr="00283A6B">
        <w:t>attributes like RECs have been separated and removed.</w:t>
      </w:r>
    </w:p>
  </w:footnote>
  <w:footnote w:id="8">
    <w:p w14:paraId="500CEB0D" w14:textId="65BFA0D5" w:rsidR="004C72DB" w:rsidRDefault="004C72DB" w:rsidP="00093361">
      <w:pPr>
        <w:pStyle w:val="FootnoteText"/>
        <w:jc w:val="both"/>
      </w:pPr>
      <w:r>
        <w:rPr>
          <w:rStyle w:val="FootnoteReference"/>
        </w:rPr>
        <w:footnoteRef/>
      </w:r>
      <w:r>
        <w:t xml:space="preserve"> Georgia Power purchases only the null energy output and not RECs from some renewable generating facilities. The rights to RECs are addressed by the applicable PPA. The party that owns the RECs retains the right to make renewable energy claims in connection with the RECs.</w:t>
      </w:r>
    </w:p>
  </w:footnote>
  <w:footnote w:id="9">
    <w:p w14:paraId="5193E32A" w14:textId="356453FD" w:rsidR="0081203F" w:rsidRDefault="0081203F" w:rsidP="00171BDB">
      <w:pPr>
        <w:pStyle w:val="FootnoteText"/>
        <w:jc w:val="both"/>
      </w:pPr>
      <w:r>
        <w:rPr>
          <w:rStyle w:val="FootnoteReference"/>
        </w:rPr>
        <w:footnoteRef/>
      </w:r>
      <w:r>
        <w:t xml:space="preserve"> </w:t>
      </w:r>
      <w:r w:rsidRPr="0081203F">
        <w:t>As requested in this 2025 IRP, the Company is not pursuing retirement of Plant Gaston Units 1-4 and A and Plant Scherer Unit 3 by December 31, 2028. Additional information regarding this request is found in Section 8.2.</w:t>
      </w:r>
    </w:p>
  </w:footnote>
  <w:footnote w:id="10">
    <w:p w14:paraId="587D6800" w14:textId="77777777" w:rsidR="001A1509" w:rsidRDefault="001A1509" w:rsidP="001A1509">
      <w:pPr>
        <w:pStyle w:val="FootnoteText"/>
        <w:jc w:val="both"/>
      </w:pPr>
      <w:r>
        <w:rPr>
          <w:rStyle w:val="FootnoteReference"/>
        </w:rPr>
        <w:footnoteRef/>
      </w:r>
      <w:r>
        <w:t xml:space="preserve"> </w:t>
      </w:r>
      <w:r w:rsidRPr="00995FEE">
        <w:t>The analyses are conducted during calendar year 2024 for use during calendar year 2025.</w:t>
      </w:r>
    </w:p>
  </w:footnote>
  <w:footnote w:id="11">
    <w:p w14:paraId="6EB0014C" w14:textId="5E8BFBAC" w:rsidR="00F67EA9" w:rsidRDefault="00F67EA9" w:rsidP="00F818A6">
      <w:pPr>
        <w:pStyle w:val="FootnoteText"/>
        <w:jc w:val="both"/>
      </w:pPr>
      <w:r>
        <w:rPr>
          <w:rStyle w:val="FootnoteReference"/>
        </w:rPr>
        <w:footnoteRef/>
      </w:r>
      <w:r>
        <w:t xml:space="preserve"> As referred to herein, carbon pressure, CO</w:t>
      </w:r>
      <w:r w:rsidRPr="009B5BE3">
        <w:rPr>
          <w:vertAlign w:val="subscript"/>
        </w:rPr>
        <w:t>2</w:t>
      </w:r>
      <w:r>
        <w:t xml:space="preserve"> pressure, and GHG pressure are all used to reflect carbon-based emissions and pressure to reduce those emissions whether </w:t>
      </w:r>
      <w:r w:rsidR="00485CC1">
        <w:t>through taxes, penalties, or other restrictions</w:t>
      </w:r>
      <w:r>
        <w:t>.</w:t>
      </w:r>
    </w:p>
  </w:footnote>
  <w:footnote w:id="12">
    <w:p w14:paraId="4B38B7D5" w14:textId="24E25F54" w:rsidR="00C51074" w:rsidRDefault="00C51074" w:rsidP="005C6B78">
      <w:pPr>
        <w:pStyle w:val="FootnoteText"/>
        <w:jc w:val="both"/>
      </w:pPr>
      <w:r>
        <w:rPr>
          <w:rStyle w:val="FootnoteReference"/>
        </w:rPr>
        <w:footnoteRef/>
      </w:r>
      <w:r w:rsidR="008E341B">
        <w:t xml:space="preserve"> Press Release</w:t>
      </w:r>
      <w:r w:rsidR="00B81B27">
        <w:t>, Brian</w:t>
      </w:r>
      <w:r w:rsidR="00DA042E">
        <w:t xml:space="preserve"> P. </w:t>
      </w:r>
      <w:r w:rsidR="00B81B27">
        <w:t>Kemp</w:t>
      </w:r>
      <w:r w:rsidR="00DA042E">
        <w:t>, Governor of Georgia</w:t>
      </w:r>
      <w:r w:rsidR="00A852DB">
        <w:t>, G</w:t>
      </w:r>
      <w:r w:rsidR="00A852DB" w:rsidRPr="00A852DB">
        <w:t>eorgia Job Creation Remains Strong</w:t>
      </w:r>
      <w:r w:rsidR="008E341B">
        <w:t xml:space="preserve"> </w:t>
      </w:r>
      <w:r w:rsidR="003D38B1">
        <w:t>(August 29, 2024)</w:t>
      </w:r>
      <w:r w:rsidR="00E20AD2">
        <w:t>,</w:t>
      </w:r>
      <w:r>
        <w:t xml:space="preserve"> </w:t>
      </w:r>
      <w:hyperlink r:id="rId1" w:history="1">
        <w:r w:rsidR="003B738B" w:rsidRPr="00D16849">
          <w:rPr>
            <w:rStyle w:val="Hyperlink"/>
          </w:rPr>
          <w:t>https://georgia.org/press-release/gov-kemp-georgia-job-creation-remains-strong</w:t>
        </w:r>
      </w:hyperlink>
      <w:r w:rsidR="00703AE2">
        <w:t>.</w:t>
      </w:r>
    </w:p>
  </w:footnote>
  <w:footnote w:id="13">
    <w:p w14:paraId="38FC7FB3" w14:textId="17298EF8" w:rsidR="00C51074" w:rsidRPr="009969BC" w:rsidRDefault="00C51074" w:rsidP="005C6B78">
      <w:pPr>
        <w:pStyle w:val="FootnoteText"/>
        <w:jc w:val="both"/>
      </w:pPr>
      <w:r>
        <w:rPr>
          <w:rStyle w:val="FootnoteReference"/>
        </w:rPr>
        <w:footnoteRef/>
      </w:r>
      <w:r>
        <w:t xml:space="preserve"> </w:t>
      </w:r>
      <w:r w:rsidR="009969BC">
        <w:rPr>
          <w:i/>
          <w:iCs/>
        </w:rPr>
        <w:t>Id.</w:t>
      </w:r>
    </w:p>
  </w:footnote>
  <w:footnote w:id="14">
    <w:p w14:paraId="550E6521" w14:textId="649DB438" w:rsidR="000E045B" w:rsidRDefault="000E045B" w:rsidP="005C6B78">
      <w:pPr>
        <w:pStyle w:val="FootnoteText"/>
        <w:jc w:val="both"/>
      </w:pPr>
      <w:r>
        <w:rPr>
          <w:rStyle w:val="FootnoteReference"/>
        </w:rPr>
        <w:footnoteRef/>
      </w:r>
      <w:r>
        <w:t xml:space="preserve"> </w:t>
      </w:r>
      <w:r w:rsidR="00D90CF2">
        <w:t>Press Release</w:t>
      </w:r>
      <w:r w:rsidR="00D21A39">
        <w:t>, Georgia Dep’t</w:t>
      </w:r>
      <w:r w:rsidR="0039478D">
        <w:t xml:space="preserve"> of Econ. </w:t>
      </w:r>
      <w:r w:rsidR="005C40B0">
        <w:t>Dev</w:t>
      </w:r>
      <w:r w:rsidR="00D21A39">
        <w:t>.</w:t>
      </w:r>
      <w:r w:rsidR="005C40B0">
        <w:t>, S</w:t>
      </w:r>
      <w:r w:rsidR="005C40B0" w:rsidRPr="005C40B0">
        <w:t>tate of Georgia Breaks Export Records for Third Straight Year</w:t>
      </w:r>
      <w:r w:rsidR="00D21A39">
        <w:t xml:space="preserve"> </w:t>
      </w:r>
      <w:r w:rsidR="005C40B0">
        <w:t xml:space="preserve">(February 14, 2024), </w:t>
      </w:r>
      <w:hyperlink r:id="rId2" w:history="1">
        <w:r w:rsidR="005C40B0" w:rsidRPr="005C40B0">
          <w:rPr>
            <w:rStyle w:val="Hyperlink"/>
          </w:rPr>
          <w:t>https://georgia.org/press-release/state-georgia-breaks-export-records-third-straight-year</w:t>
        </w:r>
      </w:hyperlink>
      <w:r w:rsidR="00703AE2">
        <w:t>.</w:t>
      </w:r>
    </w:p>
  </w:footnote>
  <w:footnote w:id="15">
    <w:p w14:paraId="6FBB822C" w14:textId="7B95AED5" w:rsidR="003B4143" w:rsidRDefault="003B4143" w:rsidP="005C6B78">
      <w:pPr>
        <w:pStyle w:val="FootnoteText"/>
        <w:jc w:val="both"/>
      </w:pPr>
      <w:r>
        <w:rPr>
          <w:rStyle w:val="FootnoteReference"/>
        </w:rPr>
        <w:footnoteRef/>
      </w:r>
      <w:r>
        <w:t xml:space="preserve"> </w:t>
      </w:r>
      <w:r w:rsidR="00AF4EB8">
        <w:t>The State of Georgia Fiscal Year represents July of the prior year through June of the stated year.</w:t>
      </w:r>
    </w:p>
  </w:footnote>
  <w:footnote w:id="16">
    <w:p w14:paraId="0A172A28" w14:textId="70FDB582" w:rsidR="00B764C2" w:rsidRDefault="00B764C2" w:rsidP="00640087">
      <w:pPr>
        <w:pStyle w:val="FootnoteText"/>
        <w:jc w:val="both"/>
      </w:pPr>
      <w:r>
        <w:rPr>
          <w:rStyle w:val="FootnoteReference"/>
        </w:rPr>
        <w:footnoteRef/>
      </w:r>
      <w:r>
        <w:t xml:space="preserve"> </w:t>
      </w:r>
      <w:r w:rsidR="00BC7A98">
        <w:t>Capital investment and n</w:t>
      </w:r>
      <w:r w:rsidR="00BC7A98" w:rsidRPr="00BC7A98">
        <w:t xml:space="preserve">ew </w:t>
      </w:r>
      <w:r w:rsidR="00BC7A98">
        <w:t>j</w:t>
      </w:r>
      <w:r w:rsidR="00BC7A98" w:rsidRPr="00BC7A98">
        <w:t>obs provided by Georgia Department of Economic Development</w:t>
      </w:r>
      <w:r w:rsidR="008920D1">
        <w:t xml:space="preserve"> in July </w:t>
      </w:r>
      <w:r w:rsidR="00BC7A98" w:rsidRPr="00BC7A98">
        <w:t>2024 and includes entire F</w:t>
      </w:r>
      <w:r w:rsidR="008920D1">
        <w:t xml:space="preserve">iscal </w:t>
      </w:r>
      <w:r w:rsidR="00BC7A98" w:rsidRPr="00BC7A98">
        <w:t>Y</w:t>
      </w:r>
      <w:r w:rsidR="008920D1">
        <w:t xml:space="preserve">ear </w:t>
      </w:r>
      <w:r w:rsidR="00BC7A98" w:rsidRPr="00BC7A98">
        <w:t>2024</w:t>
      </w:r>
      <w:r w:rsidR="00BC7A98">
        <w:t>.</w:t>
      </w:r>
    </w:p>
  </w:footnote>
  <w:footnote w:id="17">
    <w:p w14:paraId="3F7942D6" w14:textId="7731A2E3" w:rsidR="00E362A5" w:rsidRDefault="00E362A5" w:rsidP="00640087">
      <w:pPr>
        <w:pStyle w:val="FootnoteText"/>
        <w:jc w:val="both"/>
      </w:pPr>
      <w:r>
        <w:rPr>
          <w:rStyle w:val="FootnoteReference"/>
        </w:rPr>
        <w:footnoteRef/>
      </w:r>
      <w:r w:rsidR="00922DEC">
        <w:t xml:space="preserve">Press Release, Brian P. Kemp, Governor of Georgia, </w:t>
      </w:r>
      <w:r w:rsidR="00922DEC" w:rsidRPr="00922DEC">
        <w:t>Gov. Kemp Celebrates Top State for Business Ranking at Workforce Summit</w:t>
      </w:r>
      <w:r w:rsidR="0072753A">
        <w:t xml:space="preserve"> (September 13, 2024),</w:t>
      </w:r>
      <w:r>
        <w:t xml:space="preserve"> </w:t>
      </w:r>
      <w:hyperlink r:id="rId3" w:history="1">
        <w:r w:rsidR="0016098F" w:rsidRPr="00155D75">
          <w:rPr>
            <w:rStyle w:val="Hyperlink"/>
          </w:rPr>
          <w:t>https://georgia.org/press-release/gov-kemp-celebrates-top-state-business-ranking-workforce-summit</w:t>
        </w:r>
      </w:hyperlink>
      <w:r w:rsidR="00EB3E42">
        <w:t>.</w:t>
      </w:r>
      <w:r w:rsidR="0016098F">
        <w:t xml:space="preserve"> </w:t>
      </w:r>
    </w:p>
  </w:footnote>
  <w:footnote w:id="18">
    <w:p w14:paraId="0F18EE7E" w14:textId="29DDE28B" w:rsidR="00550291" w:rsidRDefault="00550291" w:rsidP="00661696">
      <w:pPr>
        <w:pStyle w:val="FootnoteText"/>
        <w:jc w:val="both"/>
      </w:pPr>
      <w:r w:rsidRPr="5B6FC909">
        <w:rPr>
          <w:rStyle w:val="FootnoteReference"/>
          <w:rFonts w:ascii="Aptos" w:eastAsia="Aptos" w:hAnsi="Aptos" w:cs="Aptos"/>
        </w:rPr>
        <w:footnoteRef/>
      </w:r>
      <w:r>
        <w:rPr>
          <w:rStyle w:val="FootnoteReference"/>
          <w:rFonts w:ascii="Aptos" w:eastAsia="Aptos" w:hAnsi="Aptos" w:cs="Aptos"/>
        </w:rPr>
        <w:t xml:space="preserve"> </w:t>
      </w:r>
      <w:r w:rsidR="00A64058">
        <w:rPr>
          <w:rFonts w:ascii="Aptos" w:eastAsia="Aptos" w:hAnsi="Aptos" w:cs="Aptos"/>
        </w:rPr>
        <w:t>Ron Starner</w:t>
      </w:r>
      <w:r w:rsidR="007223A1">
        <w:rPr>
          <w:rFonts w:ascii="Aptos" w:eastAsia="Aptos" w:hAnsi="Aptos" w:cs="Aptos"/>
        </w:rPr>
        <w:t xml:space="preserve">, </w:t>
      </w:r>
      <w:r w:rsidR="007223A1" w:rsidRPr="00EB3E42">
        <w:rPr>
          <w:rFonts w:ascii="Aptos" w:eastAsia="Aptos" w:hAnsi="Aptos" w:cs="Aptos"/>
          <w:i/>
          <w:iCs/>
        </w:rPr>
        <w:t>Site Selectors Survey: Why Site Selectors Love the South</w:t>
      </w:r>
      <w:r w:rsidR="007223A1">
        <w:rPr>
          <w:rFonts w:ascii="Aptos" w:eastAsia="Aptos" w:hAnsi="Aptos" w:cs="Aptos"/>
        </w:rPr>
        <w:t xml:space="preserve">, </w:t>
      </w:r>
      <w:r w:rsidRPr="00607CCE">
        <w:rPr>
          <w:rFonts w:ascii="Aptos" w:eastAsia="Aptos" w:hAnsi="Aptos" w:cs="Aptos"/>
        </w:rPr>
        <w:t>Site Selection</w:t>
      </w:r>
      <w:r w:rsidR="007223A1">
        <w:rPr>
          <w:rFonts w:ascii="Aptos" w:eastAsia="Aptos" w:hAnsi="Aptos" w:cs="Aptos"/>
        </w:rPr>
        <w:t xml:space="preserve"> </w:t>
      </w:r>
      <w:r w:rsidR="00A64058">
        <w:rPr>
          <w:rFonts w:ascii="Aptos" w:eastAsia="Aptos" w:hAnsi="Aptos" w:cs="Aptos"/>
        </w:rPr>
        <w:t>(</w:t>
      </w:r>
      <w:r w:rsidRPr="00607CCE">
        <w:rPr>
          <w:rFonts w:ascii="Aptos" w:eastAsia="Aptos" w:hAnsi="Aptos" w:cs="Aptos"/>
        </w:rPr>
        <w:t>January 2025</w:t>
      </w:r>
      <w:r w:rsidR="00A64058">
        <w:rPr>
          <w:rFonts w:ascii="Aptos" w:eastAsia="Aptos" w:hAnsi="Aptos" w:cs="Aptos"/>
        </w:rPr>
        <w:t xml:space="preserve">) </w:t>
      </w:r>
      <w:hyperlink r:id="rId4" w:history="1">
        <w:r w:rsidR="00EB5A66" w:rsidRPr="00527221">
          <w:rPr>
            <w:rStyle w:val="Hyperlink"/>
            <w:rFonts w:ascii="Aptos" w:eastAsia="Aptos" w:hAnsi="Aptos" w:cs="Aptos"/>
          </w:rPr>
          <w:t>https://siteselection.com/site-selectors-survey-why-site-selectors-love-the-south/?utm_source=InvestorWatch&amp;utm_medium=email&amp;utm_campaign=Editorialllll</w:t>
        </w:r>
      </w:hyperlink>
      <w:r w:rsidR="00EB3E42">
        <w:rPr>
          <w:rFonts w:ascii="Aptos" w:eastAsia="Aptos" w:hAnsi="Aptos" w:cs="Aptos"/>
        </w:rPr>
        <w:t>.</w:t>
      </w:r>
      <w:r w:rsidR="00EB5A66">
        <w:rPr>
          <w:rFonts w:ascii="Aptos" w:eastAsia="Aptos" w:hAnsi="Aptos" w:cs="Aptos"/>
        </w:rPr>
        <w:t xml:space="preserve"> </w:t>
      </w:r>
    </w:p>
  </w:footnote>
  <w:footnote w:id="19">
    <w:p w14:paraId="772EB5D6" w14:textId="61516836" w:rsidR="00CA36B8" w:rsidRDefault="00CA36B8" w:rsidP="00DC5B73">
      <w:pPr>
        <w:pStyle w:val="FootnoteText"/>
        <w:jc w:val="both"/>
      </w:pPr>
      <w:r>
        <w:rPr>
          <w:rStyle w:val="FootnoteReference"/>
        </w:rPr>
        <w:footnoteRef/>
      </w:r>
      <w:r w:rsidR="00DC5B73">
        <w:t>Business Facilities 20th Annual Rankings Report, Business Facilities</w:t>
      </w:r>
      <w:r w:rsidR="00732DAC">
        <w:t xml:space="preserve"> (August 8, 2024)</w:t>
      </w:r>
      <w:r>
        <w:t xml:space="preserve"> </w:t>
      </w:r>
      <w:hyperlink r:id="rId5" w:history="1">
        <w:r w:rsidR="00661696" w:rsidRPr="00527221">
          <w:rPr>
            <w:rStyle w:val="Hyperlink"/>
          </w:rPr>
          <w:t>https://businessfacilities.com/20th-annual-rankings-report-2024-state-rankings/</w:t>
        </w:r>
      </w:hyperlink>
      <w:r w:rsidR="00661696">
        <w:t xml:space="preserve">. </w:t>
      </w:r>
    </w:p>
  </w:footnote>
  <w:footnote w:id="20">
    <w:p w14:paraId="04396834" w14:textId="39296A96" w:rsidR="009D287A" w:rsidRDefault="009D287A" w:rsidP="00640087">
      <w:pPr>
        <w:pStyle w:val="FootnoteText"/>
        <w:jc w:val="both"/>
      </w:pPr>
      <w:r>
        <w:rPr>
          <w:rStyle w:val="FootnoteReference"/>
        </w:rPr>
        <w:footnoteRef/>
      </w:r>
      <w:r>
        <w:t xml:space="preserve"> </w:t>
      </w:r>
      <w:r w:rsidR="00BF0F6E">
        <w:t xml:space="preserve">CNBC, </w:t>
      </w:r>
      <w:r w:rsidR="00BF0F6E">
        <w:rPr>
          <w:i/>
          <w:iCs/>
        </w:rPr>
        <w:t>Top States for Business – 4. Georgia</w:t>
      </w:r>
      <w:r w:rsidR="00BF0F6E">
        <w:t xml:space="preserve"> </w:t>
      </w:r>
      <w:r w:rsidR="00085E7F">
        <w:t>(July 11, 2024),</w:t>
      </w:r>
      <w:hyperlink r:id="rId6" w:history="1">
        <w:r w:rsidR="0016098F" w:rsidRPr="00155D75">
          <w:rPr>
            <w:rStyle w:val="Hyperlink"/>
          </w:rPr>
          <w:t>https://www.cnbc.com/2024/07/11/top-states-for-business-2024-georgia.html</w:t>
        </w:r>
      </w:hyperlink>
      <w:r w:rsidR="005D4602">
        <w:t>.</w:t>
      </w:r>
      <w:r w:rsidR="0016098F">
        <w:t xml:space="preserve"> </w:t>
      </w:r>
    </w:p>
  </w:footnote>
  <w:footnote w:id="21">
    <w:p w14:paraId="6E4CEF73" w14:textId="48C8E9DB" w:rsidR="0043227C" w:rsidRDefault="0043227C" w:rsidP="00763D6D">
      <w:pPr>
        <w:pStyle w:val="FootnoteText"/>
        <w:jc w:val="both"/>
      </w:pPr>
      <w:r>
        <w:rPr>
          <w:rStyle w:val="FootnoteReference"/>
        </w:rPr>
        <w:footnoteRef/>
      </w:r>
      <w:r>
        <w:t xml:space="preserve"> </w:t>
      </w:r>
      <w:r w:rsidR="00892FEA">
        <w:t xml:space="preserve">Business Facilities, </w:t>
      </w:r>
      <w:r w:rsidR="00892FEA" w:rsidRPr="00892FEA">
        <w:t>2024 Top Utilities</w:t>
      </w:r>
      <w:r w:rsidR="00892FEA">
        <w:t xml:space="preserve"> (February </w:t>
      </w:r>
      <w:r w:rsidR="000856C3">
        <w:t xml:space="preserve">7, 2024), </w:t>
      </w:r>
      <w:hyperlink r:id="rId7" w:anchor=":~:text=These%20top%20utilities%20play%20a%20key%20role%20in%20state%20and" w:history="1">
        <w:r w:rsidR="0016098F" w:rsidRPr="00155D75">
          <w:rPr>
            <w:rStyle w:val="Hyperlink"/>
          </w:rPr>
          <w:t>https://businessfacilities.com/2024-top-utilities-for-economic-development/#:~:text=These%20top%20utilities%20play%20a%20key%20role%20in%20state%20and</w:t>
        </w:r>
      </w:hyperlink>
      <w:r w:rsidR="000856C3">
        <w:rPr>
          <w:rStyle w:val="Hyperlink"/>
        </w:rPr>
        <w:t>.</w:t>
      </w:r>
      <w:r w:rsidR="0016098F">
        <w:t xml:space="preserve"> </w:t>
      </w:r>
    </w:p>
  </w:footnote>
  <w:footnote w:id="22">
    <w:p w14:paraId="33C6FB98" w14:textId="30CC0139" w:rsidR="007342CF" w:rsidRDefault="007342CF" w:rsidP="006D3087">
      <w:pPr>
        <w:pStyle w:val="FootnoteText"/>
        <w:jc w:val="both"/>
      </w:pPr>
      <w:r>
        <w:rPr>
          <w:rStyle w:val="FootnoteReference"/>
        </w:rPr>
        <w:footnoteRef/>
      </w:r>
      <w:r w:rsidR="005108AD">
        <w:t xml:space="preserve"> Adam Bruns, </w:t>
      </w:r>
      <w:r w:rsidR="00CD7639" w:rsidRPr="006D3087">
        <w:rPr>
          <w:i/>
          <w:iCs/>
        </w:rPr>
        <w:t>2024 Top Utilities in Economic Development</w:t>
      </w:r>
      <w:r w:rsidR="00CD7639">
        <w:t>, Site Selection</w:t>
      </w:r>
      <w:r w:rsidR="006D3087">
        <w:t xml:space="preserve"> (September 2024),</w:t>
      </w:r>
      <w:r>
        <w:t xml:space="preserve"> </w:t>
      </w:r>
      <w:hyperlink r:id="rId8" w:history="1">
        <w:r w:rsidR="006D3087" w:rsidRPr="0093436F">
          <w:rPr>
            <w:rStyle w:val="Hyperlink"/>
          </w:rPr>
          <w:t>https://archive.siteselection.com/issues/2024/sep/2024-top-utilities-in-economic-development-bonus-content.cfm?utm_source=Sidebar&amp;utm_medium=Web&amp;utm_campaign=Optimize&amp;utm_content=RA</w:t>
        </w:r>
      </w:hyperlink>
      <w:r w:rsidR="006D3087">
        <w:rPr>
          <w:rStyle w:val="Hyperlink"/>
        </w:rPr>
        <w:t xml:space="preserve">. </w:t>
      </w:r>
    </w:p>
  </w:footnote>
  <w:footnote w:id="23">
    <w:p w14:paraId="23901E8A" w14:textId="7A67F9CE" w:rsidR="00797535" w:rsidRDefault="00797535" w:rsidP="00863577">
      <w:pPr>
        <w:pStyle w:val="FootnoteText"/>
        <w:jc w:val="both"/>
      </w:pPr>
      <w:r>
        <w:rPr>
          <w:rStyle w:val="FootnoteReference"/>
        </w:rPr>
        <w:footnoteRef/>
      </w:r>
      <w:r>
        <w:t xml:space="preserve"> </w:t>
      </w:r>
      <w:r w:rsidR="00724CFD">
        <w:t>Adam Brun</w:t>
      </w:r>
      <w:r w:rsidR="00C330FB">
        <w:t>s</w:t>
      </w:r>
      <w:r w:rsidR="00724CFD">
        <w:t>,</w:t>
      </w:r>
      <w:r w:rsidR="00C330FB">
        <w:t xml:space="preserve"> </w:t>
      </w:r>
      <w:r w:rsidR="00C330FB" w:rsidRPr="00863577">
        <w:rPr>
          <w:i/>
          <w:iCs/>
        </w:rPr>
        <w:t>Top Deals 2023</w:t>
      </w:r>
      <w:r w:rsidR="00C330FB">
        <w:t xml:space="preserve">, Site Selection Magazine (May 2023), </w:t>
      </w:r>
      <w:hyperlink r:id="rId9" w:history="1">
        <w:r w:rsidR="00C330FB" w:rsidRPr="00C330FB">
          <w:rPr>
            <w:rStyle w:val="Hyperlink"/>
          </w:rPr>
          <w:t>https://archive.siteselection.com/issues/2023/may/top-deals-2023.cfm</w:t>
        </w:r>
      </w:hyperlink>
      <w:r w:rsidR="00863577">
        <w:t xml:space="preserve">. </w:t>
      </w:r>
    </w:p>
  </w:footnote>
  <w:footnote w:id="24">
    <w:p w14:paraId="7D48BB4C" w14:textId="477CD180" w:rsidR="00132B01" w:rsidRDefault="00132B01" w:rsidP="00863577">
      <w:pPr>
        <w:pStyle w:val="FootnoteText"/>
        <w:jc w:val="both"/>
      </w:pPr>
      <w:r>
        <w:rPr>
          <w:rStyle w:val="FootnoteReference"/>
        </w:rPr>
        <w:footnoteRef/>
      </w:r>
      <w:r w:rsidR="00863577">
        <w:t xml:space="preserve"> Adam Bruns, </w:t>
      </w:r>
      <w:r w:rsidR="00863577" w:rsidRPr="00863577">
        <w:rPr>
          <w:i/>
          <w:iCs/>
        </w:rPr>
        <w:t>Top Deals 202</w:t>
      </w:r>
      <w:r w:rsidR="00863577">
        <w:rPr>
          <w:i/>
          <w:iCs/>
        </w:rPr>
        <w:t>4</w:t>
      </w:r>
      <w:r w:rsidR="00863577">
        <w:t xml:space="preserve">, Site Selection Magazine (May 2024), </w:t>
      </w:r>
      <w:hyperlink r:id="rId10" w:history="1">
        <w:r w:rsidR="00863577" w:rsidRPr="00863577">
          <w:rPr>
            <w:rStyle w:val="Hyperlink"/>
          </w:rPr>
          <w:t>https://archive.siteselection.com/issues/2024/may/top-deals-2024.cfm</w:t>
        </w:r>
      </w:hyperlink>
    </w:p>
  </w:footnote>
  <w:footnote w:id="25">
    <w:p w14:paraId="0DBB6E8B" w14:textId="6E419D0A" w:rsidR="00F062B3" w:rsidRDefault="00F062B3" w:rsidP="00B936E2">
      <w:pPr>
        <w:pStyle w:val="FootnoteText"/>
        <w:jc w:val="both"/>
      </w:pPr>
      <w:r>
        <w:rPr>
          <w:rStyle w:val="FootnoteReference"/>
        </w:rPr>
        <w:footnoteRef/>
      </w:r>
      <w:r>
        <w:t xml:space="preserve"> </w:t>
      </w:r>
      <w:r w:rsidR="00EA667C">
        <w:t xml:space="preserve">For comparison, the 2023 IRP Update </w:t>
      </w:r>
      <w:r w:rsidR="000A797F">
        <w:t xml:space="preserve">analyzed customer demand starting in </w:t>
      </w:r>
      <w:r w:rsidR="00732B01">
        <w:t xml:space="preserve">the winter of </w:t>
      </w:r>
      <w:r w:rsidR="000A797F">
        <w:t>2023/2024</w:t>
      </w:r>
      <w:r w:rsidR="00B1327A">
        <w:t>,</w:t>
      </w:r>
      <w:r w:rsidR="00732B01">
        <w:t xml:space="preserve"> whereas this 2025 IRP begins its analysis in the winter of 2024/2025.</w:t>
      </w:r>
    </w:p>
  </w:footnote>
  <w:footnote w:id="26">
    <w:p w14:paraId="4BDF62B8" w14:textId="17A39D1C" w:rsidR="005863E1" w:rsidRDefault="005863E1" w:rsidP="00DC1988">
      <w:pPr>
        <w:pStyle w:val="FootnoteText"/>
        <w:jc w:val="both"/>
      </w:pPr>
      <w:r>
        <w:rPr>
          <w:rStyle w:val="FootnoteReference"/>
        </w:rPr>
        <w:footnoteRef/>
      </w:r>
      <w:r>
        <w:t xml:space="preserve"> </w:t>
      </w:r>
      <w:r w:rsidRPr="00F4446D">
        <w:t xml:space="preserve">The Company denotes the </w:t>
      </w:r>
      <w:r w:rsidR="005E744E">
        <w:t>w</w:t>
      </w:r>
      <w:r w:rsidRPr="00F4446D">
        <w:t>inter of 202</w:t>
      </w:r>
      <w:r>
        <w:t>4</w:t>
      </w:r>
      <w:r w:rsidRPr="00F4446D">
        <w:t>/202</w:t>
      </w:r>
      <w:r>
        <w:t>5</w:t>
      </w:r>
      <w:r w:rsidRPr="00F4446D">
        <w:t xml:space="preserve"> as 202</w:t>
      </w:r>
      <w:r>
        <w:t>5</w:t>
      </w:r>
      <w:r w:rsidRPr="00F4446D">
        <w:t xml:space="preserve"> and applies this treatment to future seasons and years in Figure </w:t>
      </w:r>
      <w:r>
        <w:t>5</w:t>
      </w:r>
      <w:r w:rsidR="00972B42">
        <w:t>A</w:t>
      </w:r>
      <w:r w:rsidRPr="00F4446D">
        <w:t xml:space="preserve">. </w:t>
      </w:r>
      <w:r>
        <w:t>The</w:t>
      </w:r>
      <w:r w:rsidRPr="00F4446D">
        <w:t xml:space="preserve"> Company’s projected peak winter demand </w:t>
      </w:r>
      <w:r>
        <w:t>occurs</w:t>
      </w:r>
      <w:r w:rsidRPr="00F4446D">
        <w:t xml:space="preserve"> in January of each year.</w:t>
      </w:r>
    </w:p>
  </w:footnote>
  <w:footnote w:id="27">
    <w:p w14:paraId="32F30251" w14:textId="00ED9C0C" w:rsidR="009E63EC" w:rsidRDefault="009E63EC" w:rsidP="00DC1988">
      <w:pPr>
        <w:pStyle w:val="FootnoteText"/>
        <w:jc w:val="both"/>
      </w:pPr>
      <w:r>
        <w:rPr>
          <w:rStyle w:val="FootnoteReference"/>
        </w:rPr>
        <w:footnoteRef/>
      </w:r>
      <w:r>
        <w:t xml:space="preserve"> In general, for purposes of forecasting and planning for large load customers, the Company defines “large load” to be industrial load greater than or equal to 45 MW and commercial load greater than or equal to 115</w:t>
      </w:r>
      <w:r w:rsidR="00606ADD">
        <w:t> </w:t>
      </w:r>
      <w:r>
        <w:t>MW. Note, this is a different threshold than “large load” as used in the Georgia Territorial Electric Service Act O.C.G.A. § 46-3-1 et. al.</w:t>
      </w:r>
    </w:p>
  </w:footnote>
  <w:footnote w:id="28">
    <w:p w14:paraId="6CDC30A9" w14:textId="1391533F" w:rsidR="00280863" w:rsidRDefault="00280863" w:rsidP="00B936E2">
      <w:pPr>
        <w:pStyle w:val="FootnoteText"/>
        <w:jc w:val="both"/>
      </w:pPr>
      <w:r>
        <w:rPr>
          <w:rStyle w:val="FootnoteReference"/>
        </w:rPr>
        <w:footnoteRef/>
      </w:r>
      <w:r>
        <w:t xml:space="preserve"> Committed customers are those who have executed a </w:t>
      </w:r>
      <w:r w:rsidR="0073357A">
        <w:t>R</w:t>
      </w:r>
      <w:r>
        <w:t xml:space="preserve">equest for </w:t>
      </w:r>
      <w:r w:rsidR="0073357A">
        <w:t>E</w:t>
      </w:r>
      <w:r>
        <w:t xml:space="preserve">lectric </w:t>
      </w:r>
      <w:r w:rsidR="0073357A">
        <w:t>S</w:t>
      </w:r>
      <w:r>
        <w:t xml:space="preserve">ervice </w:t>
      </w:r>
      <w:r w:rsidR="00DF0094">
        <w:t>from Georgia Power.</w:t>
      </w:r>
    </w:p>
  </w:footnote>
  <w:footnote w:id="29">
    <w:p w14:paraId="5C20B779" w14:textId="77777777" w:rsidR="00AD30E7" w:rsidRDefault="00AD30E7" w:rsidP="00AD30E7">
      <w:pPr>
        <w:pStyle w:val="FootnoteText"/>
        <w:jc w:val="both"/>
      </w:pPr>
      <w:r>
        <w:rPr>
          <w:rStyle w:val="FootnoteReference"/>
        </w:rPr>
        <w:footnoteRef/>
      </w:r>
      <w:r>
        <w:t xml:space="preserve"> As used in reference to the Company’s large load customers, long-term captures the time period through the mid-2030s.</w:t>
      </w:r>
    </w:p>
  </w:footnote>
  <w:footnote w:id="30">
    <w:p w14:paraId="16116F6B" w14:textId="77777777" w:rsidR="00AD30E7" w:rsidRDefault="00AD30E7" w:rsidP="00AD30E7">
      <w:pPr>
        <w:pStyle w:val="FootnoteText"/>
        <w:jc w:val="both"/>
      </w:pPr>
      <w:r>
        <w:rPr>
          <w:rStyle w:val="FootnoteReference"/>
        </w:rPr>
        <w:footnoteRef/>
      </w:r>
      <w:r>
        <w:t xml:space="preserve"> The 2025 IRP load forecast is based on data from the Company’s large load economic development pipeline as of the end of Q2 2024. As such, facts and figures focus on data through June 2024. To the extent that Q3 2024 data impact potential requests in this 2025 IRP, the Company provides such context in this document. The Company expects to file a report containing Q4 2024 pipeline information in February 2025.</w:t>
      </w:r>
    </w:p>
  </w:footnote>
  <w:footnote w:id="31">
    <w:p w14:paraId="35EC2B85" w14:textId="77777777" w:rsidR="00AD30E7" w:rsidRDefault="00AD30E7" w:rsidP="00AD30E7">
      <w:pPr>
        <w:pStyle w:val="FootnoteText"/>
        <w:jc w:val="both"/>
      </w:pPr>
      <w:r>
        <w:rPr>
          <w:rStyle w:val="FootnoteReference"/>
        </w:rPr>
        <w:footnoteRef/>
      </w:r>
      <w:r>
        <w:t xml:space="preserve"> As used in reference to the Company’s large load customers, near-term captures the time period through the winter of 2028/2029.</w:t>
      </w:r>
    </w:p>
  </w:footnote>
  <w:footnote w:id="32">
    <w:p w14:paraId="796D8398" w14:textId="47C25157" w:rsidR="00A548F8" w:rsidRDefault="00A548F8" w:rsidP="007B4E80">
      <w:pPr>
        <w:pStyle w:val="FootnoteText"/>
        <w:jc w:val="both"/>
      </w:pPr>
      <w:r>
        <w:rPr>
          <w:rStyle w:val="FootnoteReference"/>
        </w:rPr>
        <w:footnoteRef/>
      </w:r>
      <w:r>
        <w:t xml:space="preserve"> </w:t>
      </w:r>
      <w:r w:rsidR="5DB2BB79" w:rsidRPr="004444AC">
        <w:t>"G</w:t>
      </w:r>
      <w:r w:rsidR="04957790" w:rsidRPr="004444AC">
        <w:t>” on</w:t>
      </w:r>
      <w:r w:rsidR="00997FD5">
        <w:t xml:space="preserve"> the </w:t>
      </w:r>
      <w:r w:rsidR="04957790" w:rsidRPr="004444AC">
        <w:t>x-axis represents x</w:t>
      </w:r>
      <w:r w:rsidR="0086508F">
        <w:t xml:space="preserve"> </w:t>
      </w:r>
      <w:r w:rsidR="04957790" w:rsidRPr="004444AC">
        <w:t>1,000 MW (Ex: 5G = 5,000 MW of nominal solar).</w:t>
      </w:r>
    </w:p>
  </w:footnote>
  <w:footnote w:id="33">
    <w:p w14:paraId="307BA344" w14:textId="5DEE1575" w:rsidR="00F024A8" w:rsidRDefault="00F024A8" w:rsidP="00A301FD">
      <w:pPr>
        <w:pStyle w:val="FootnoteText"/>
        <w:jc w:val="both"/>
      </w:pPr>
      <w:r>
        <w:rPr>
          <w:rStyle w:val="FootnoteReference"/>
        </w:rPr>
        <w:footnoteRef/>
      </w:r>
      <w:r>
        <w:t xml:space="preserve"> The Title 17 Clean Energy Financing Program </w:t>
      </w:r>
      <w:r w:rsidR="004B54D1">
        <w:t>offers borrowers access to (i) a direct loan from U.S. Treasury’s Federal Financing Bank</w:t>
      </w:r>
      <w:r w:rsidR="007504BB">
        <w:t xml:space="preserve"> backed by a 100% full faith and credit DOE guarantee</w:t>
      </w:r>
      <w:r w:rsidR="00C346FB">
        <w:t>, or (ii) a DOE partial (</w:t>
      </w:r>
      <w:r w:rsidR="00617AAA">
        <w:t xml:space="preserve">up to 90%) guarantee of commercial debt. </w:t>
      </w:r>
      <w:r w:rsidR="00E560B3">
        <w:t>Specifically, Section 1706 offers financing for Energy Infrastructure Reinvestment projects.</w:t>
      </w:r>
    </w:p>
  </w:footnote>
  <w:footnote w:id="34">
    <w:p w14:paraId="308E43C1" w14:textId="299D8750" w:rsidR="00B123EC" w:rsidRDefault="00B123EC" w:rsidP="00D14C8B">
      <w:pPr>
        <w:pStyle w:val="FootnoteText"/>
        <w:jc w:val="both"/>
      </w:pPr>
      <w:r>
        <w:rPr>
          <w:rStyle w:val="FootnoteReference"/>
        </w:rPr>
        <w:footnoteRef/>
      </w:r>
      <w:r w:rsidR="00605B77">
        <w:t>16</w:t>
      </w:r>
      <w:r w:rsidR="004457D2">
        <w:t xml:space="preserve"> U.S.C.</w:t>
      </w:r>
      <w:r w:rsidR="00DE4FC1">
        <w:t xml:space="preserve"> </w:t>
      </w:r>
      <w:r w:rsidR="00B5241B" w:rsidRPr="00B5241B">
        <w:t>§</w:t>
      </w:r>
      <w:r w:rsidR="00003754">
        <w:t xml:space="preserve"> </w:t>
      </w:r>
      <w:r w:rsidR="00DE4FC1">
        <w:t>8</w:t>
      </w:r>
      <w:r w:rsidR="00010975">
        <w:t>03(c)</w:t>
      </w:r>
      <w:r w:rsidR="004622C3">
        <w:t xml:space="preserve"> (2023).</w:t>
      </w:r>
    </w:p>
  </w:footnote>
  <w:footnote w:id="35">
    <w:p w14:paraId="15A509B3" w14:textId="795D4BE2" w:rsidR="00DE20E6" w:rsidRDefault="00DE20E6" w:rsidP="00D14C8B">
      <w:pPr>
        <w:pStyle w:val="FootnoteText"/>
        <w:jc w:val="both"/>
      </w:pPr>
      <w:r>
        <w:rPr>
          <w:rStyle w:val="FootnoteReference"/>
        </w:rPr>
        <w:footnoteRef/>
      </w:r>
      <w:r>
        <w:t xml:space="preserve"> </w:t>
      </w:r>
      <w:r w:rsidR="00960236">
        <w:t>Order Amending License, Approving Revised Exhibits A and F, Revising Project Description, and Revising Annual Charges</w:t>
      </w:r>
      <w:r w:rsidR="00424C93">
        <w:t xml:space="preserve">, 182 FERC </w:t>
      </w:r>
      <w:r w:rsidR="00424C93" w:rsidRPr="00DF3A2F">
        <w:rPr>
          <w:rFonts w:ascii="Tahoma" w:hAnsi="Tahoma" w:cs="Tahoma"/>
        </w:rPr>
        <w:t>⁋</w:t>
      </w:r>
      <w:r w:rsidR="00424C93">
        <w:t xml:space="preserve"> 61,087</w:t>
      </w:r>
      <w:r w:rsidR="00DF3A2F" w:rsidRPr="00DF3A2F">
        <w:t xml:space="preserve">, </w:t>
      </w:r>
      <w:r w:rsidR="005746D9">
        <w:t xml:space="preserve">at </w:t>
      </w:r>
      <w:r w:rsidR="00DF3A2F" w:rsidRPr="00DF3A2F">
        <w:rPr>
          <w:rFonts w:ascii="Tahoma" w:hAnsi="Tahoma" w:cs="Tahoma"/>
        </w:rPr>
        <w:t>⁋</w:t>
      </w:r>
      <w:r w:rsidR="00DF3A2F" w:rsidRPr="00DF3A2F">
        <w:rPr>
          <w:rFonts w:cs="Times New Roman"/>
        </w:rPr>
        <w:t xml:space="preserve"> 39</w:t>
      </w:r>
      <w:r w:rsidR="00424C93">
        <w:t xml:space="preserve"> </w:t>
      </w:r>
      <w:r w:rsidR="00BF7CE9">
        <w:t>(</w:t>
      </w:r>
      <w:r w:rsidR="004863B0">
        <w:t>February 16, 2023</w:t>
      </w:r>
      <w:r w:rsidR="00BF7CE9">
        <w:t>)</w:t>
      </w:r>
      <w:r w:rsidR="00853A55">
        <w:t xml:space="preserve"> (</w:t>
      </w:r>
      <w:r w:rsidR="00B7510D">
        <w:t xml:space="preserve">FERC Final Order </w:t>
      </w:r>
      <w:r w:rsidR="00853A55">
        <w:t>on</w:t>
      </w:r>
      <w:r w:rsidR="00B7510D">
        <w:t xml:space="preserve"> Plant Tugalo </w:t>
      </w:r>
      <w:r w:rsidR="00853A55">
        <w:t xml:space="preserve">Amendment). </w:t>
      </w:r>
    </w:p>
  </w:footnote>
  <w:footnote w:id="36">
    <w:p w14:paraId="59DA5B6B" w14:textId="0452D038" w:rsidR="003C0A57" w:rsidRDefault="003C0A57" w:rsidP="00D64176">
      <w:pPr>
        <w:pStyle w:val="FootnoteText"/>
        <w:jc w:val="both"/>
      </w:pPr>
      <w:r>
        <w:rPr>
          <w:rStyle w:val="FootnoteReference"/>
        </w:rPr>
        <w:footnoteRef/>
      </w:r>
      <w:r>
        <w:t xml:space="preserve"> </w:t>
      </w:r>
      <w:r w:rsidR="00574DBD">
        <w:t xml:space="preserve">2022 IRP Order at 29. </w:t>
      </w:r>
    </w:p>
  </w:footnote>
  <w:footnote w:id="37">
    <w:p w14:paraId="3C3B2B9E" w14:textId="6D59375B" w:rsidR="00A447EB" w:rsidRDefault="00A447EB" w:rsidP="00D64176">
      <w:pPr>
        <w:pStyle w:val="FootnoteText"/>
        <w:jc w:val="both"/>
      </w:pPr>
      <w:r>
        <w:rPr>
          <w:rStyle w:val="FootnoteReference"/>
        </w:rPr>
        <w:footnoteRef/>
      </w:r>
      <w:r>
        <w:t xml:space="preserve"> </w:t>
      </w:r>
      <w:r w:rsidR="00D24B0D" w:rsidRPr="00BF40C0">
        <w:rPr>
          <w:rFonts w:ascii="Aptos" w:hAnsi="Aptos"/>
          <w:szCs w:val="16"/>
        </w:rPr>
        <w:t>See Georgia Public Service Commission Rule 515-3-4-.05(1)(d) for sensitivity requirements.</w:t>
      </w:r>
    </w:p>
  </w:footnote>
  <w:footnote w:id="38">
    <w:p w14:paraId="2F58257A" w14:textId="70F86314" w:rsidR="00B46CC7" w:rsidRDefault="00B46CC7" w:rsidP="00B46CC7">
      <w:pPr>
        <w:pStyle w:val="FootnoteText"/>
        <w:jc w:val="both"/>
      </w:pPr>
      <w:r>
        <w:rPr>
          <w:rStyle w:val="FootnoteReference"/>
        </w:rPr>
        <w:footnoteRef/>
      </w:r>
      <w:r>
        <w:t xml:space="preserve"> </w:t>
      </w:r>
      <w:r w:rsidRPr="009D2A0D">
        <w:t xml:space="preserve">In April 2018, Southern Company issued the </w:t>
      </w:r>
      <w:r w:rsidRPr="00382E8D">
        <w:rPr>
          <w:i/>
          <w:iCs/>
        </w:rPr>
        <w:t xml:space="preserve">Planning for a </w:t>
      </w:r>
      <w:r>
        <w:rPr>
          <w:i/>
          <w:iCs/>
        </w:rPr>
        <w:t>l</w:t>
      </w:r>
      <w:r w:rsidRPr="00382E8D">
        <w:rPr>
          <w:i/>
          <w:iCs/>
        </w:rPr>
        <w:t>ow-</w:t>
      </w:r>
      <w:r>
        <w:rPr>
          <w:i/>
          <w:iCs/>
        </w:rPr>
        <w:t>c</w:t>
      </w:r>
      <w:r w:rsidRPr="00382E8D">
        <w:rPr>
          <w:i/>
          <w:iCs/>
        </w:rPr>
        <w:t xml:space="preserve">arbon </w:t>
      </w:r>
      <w:r>
        <w:rPr>
          <w:i/>
          <w:iCs/>
        </w:rPr>
        <w:t>f</w:t>
      </w:r>
      <w:r w:rsidRPr="00382E8D">
        <w:rPr>
          <w:i/>
          <w:iCs/>
        </w:rPr>
        <w:t>uture</w:t>
      </w:r>
      <w:r w:rsidRPr="009D2A0D">
        <w:t xml:space="preserve"> report. This report established goals to reduce carbon emissions. </w:t>
      </w:r>
      <w:r>
        <w:t xml:space="preserve">Southern Company, Planning for a low-carbon future (April 2018) </w:t>
      </w:r>
      <w:hyperlink r:id="rId11" w:history="1">
        <w:r w:rsidRPr="0093436F">
          <w:rPr>
            <w:rStyle w:val="Hyperlink"/>
          </w:rPr>
          <w:t>https://www.southerncompany.com/content/dam/southern-company/pdf/corpresponsibility/Planning-for-a-low-carbon-future.pdf</w:t>
        </w:r>
      </w:hyperlink>
      <w:r>
        <w:t xml:space="preserve">. </w:t>
      </w:r>
      <w:r w:rsidRPr="009D2A0D">
        <w:t>In September 2020, Southern Company provided an addendum to that report with additional information on progress and plans to decarbonize the Southern Company System. This addendum, entitled Implementation and action toward net zero, included an update of the long-term goal to net zero emissions by 2050.</w:t>
      </w:r>
      <w:r>
        <w:t xml:space="preserve"> Southern Company, </w:t>
      </w:r>
      <w:r w:rsidRPr="009D2A0D">
        <w:t>Implementation and action toward net zero</w:t>
      </w:r>
      <w:r>
        <w:t xml:space="preserve"> (September 2020), </w:t>
      </w:r>
      <w:hyperlink r:id="rId12" w:history="1">
        <w:r w:rsidRPr="0093436F">
          <w:rPr>
            <w:rStyle w:val="Hyperlink"/>
          </w:rPr>
          <w:t>https://www.southerncompany.com/content/dam/southern-company/pdf/public/Net-zero-report.pdf</w:t>
        </w:r>
      </w:hyperlink>
      <w:r>
        <w:t xml:space="preserve">. </w:t>
      </w:r>
    </w:p>
  </w:footnote>
  <w:footnote w:id="39">
    <w:p w14:paraId="63A2842C" w14:textId="77777777" w:rsidR="00B46CC7" w:rsidRDefault="00B46CC7" w:rsidP="00B46CC7">
      <w:pPr>
        <w:pStyle w:val="FootnoteText"/>
        <w:jc w:val="both"/>
      </w:pPr>
      <w:r>
        <w:rPr>
          <w:rStyle w:val="FootnoteReference"/>
        </w:rPr>
        <w:footnoteRef/>
      </w:r>
      <w:r>
        <w:t xml:space="preserve"> </w:t>
      </w:r>
      <w:r w:rsidRPr="00BC3F82">
        <w:t xml:space="preserve">The World Resources Institute defines Scope 1 as “direct GHG emissions from sources that are owned or controlled by the company.” </w:t>
      </w:r>
      <w:r>
        <w:t xml:space="preserve">World Resources Institute, </w:t>
      </w:r>
      <w:r w:rsidRPr="0001640F">
        <w:t>Sustainability Dashboard Methodology</w:t>
      </w:r>
      <w:r>
        <w:t xml:space="preserve">, </w:t>
      </w:r>
      <w:hyperlink r:id="rId13" w:history="1">
        <w:r w:rsidRPr="001C3244">
          <w:rPr>
            <w:rStyle w:val="Hyperlink"/>
          </w:rPr>
          <w:t>https://www.wri.org/sustainability-wri/dashboard/methodology</w:t>
        </w:r>
      </w:hyperlink>
      <w:r w:rsidRPr="00BC3F82">
        <w:t>.</w:t>
      </w:r>
    </w:p>
  </w:footnote>
  <w:footnote w:id="40">
    <w:p w14:paraId="51284C7A" w14:textId="006FA1C5" w:rsidR="000A7698" w:rsidRDefault="000A7698" w:rsidP="00FD6C0A">
      <w:pPr>
        <w:pStyle w:val="FootnoteText"/>
        <w:jc w:val="both"/>
      </w:pPr>
      <w:r>
        <w:rPr>
          <w:rStyle w:val="FootnoteReference"/>
        </w:rPr>
        <w:footnoteRef/>
      </w:r>
      <w:r>
        <w:t xml:space="preserve"> </w:t>
      </w:r>
      <w:r w:rsidR="00B63759" w:rsidRPr="00B63759">
        <w:t>AirCapture LLC, based in Berkeley, Calif</w:t>
      </w:r>
      <w:r w:rsidR="00B63759">
        <w:t>ornia</w:t>
      </w:r>
      <w:r w:rsidR="00B63759" w:rsidRPr="00B63759">
        <w:t>, designs, develops, constructs</w:t>
      </w:r>
      <w:r w:rsidR="007D431D">
        <w:t>,</w:t>
      </w:r>
      <w:r w:rsidR="00B63759" w:rsidRPr="00B63759">
        <w:t xml:space="preserve"> and operates on-site, modular CO</w:t>
      </w:r>
      <w:r w:rsidR="00B63759" w:rsidRPr="00FD6C0A">
        <w:rPr>
          <w:vertAlign w:val="subscript"/>
        </w:rPr>
        <w:t>2</w:t>
      </w:r>
      <w:r w:rsidR="00B63759" w:rsidRPr="00B63759">
        <w:t xml:space="preserve"> capture technologies, located at customer locations, which capture CO</w:t>
      </w:r>
      <w:r w:rsidR="00B63759" w:rsidRPr="00C47E13">
        <w:rPr>
          <w:vertAlign w:val="subscript"/>
        </w:rPr>
        <w:t>2</w:t>
      </w:r>
      <w:r w:rsidR="00B63759" w:rsidRPr="00B63759">
        <w:t xml:space="preserve"> from ambient air and point-source emissions and put the CO</w:t>
      </w:r>
      <w:r w:rsidR="00B63759" w:rsidRPr="00C47E13">
        <w:rPr>
          <w:vertAlign w:val="subscript"/>
        </w:rPr>
        <w:t>2</w:t>
      </w:r>
      <w:r w:rsidR="00B63759" w:rsidRPr="00B63759">
        <w:t xml:space="preserve"> directly into customers</w:t>
      </w:r>
      <w:r w:rsidR="00B63759">
        <w:t>’</w:t>
      </w:r>
      <w:r w:rsidR="00B63759" w:rsidRPr="00B63759">
        <w:t xml:space="preserve"> production processes. The result is greener, cleaner, lower cost products that can help businesses reduce their carbon footprint. For more information, </w:t>
      </w:r>
      <w:r w:rsidR="00B912D0">
        <w:t>see</w:t>
      </w:r>
      <w:r w:rsidR="00B63759" w:rsidRPr="00B63759">
        <w:t xml:space="preserve"> https://www.aircapture.com.</w:t>
      </w:r>
    </w:p>
  </w:footnote>
  <w:footnote w:id="41">
    <w:p w14:paraId="79B82F39" w14:textId="4D6A9514" w:rsidR="00A43F2C" w:rsidRDefault="00A43F2C" w:rsidP="00A43F2C">
      <w:pPr>
        <w:pStyle w:val="FootnoteText"/>
        <w:jc w:val="both"/>
      </w:pPr>
      <w:r>
        <w:rPr>
          <w:rStyle w:val="FootnoteReference"/>
        </w:rPr>
        <w:footnoteRef/>
      </w:r>
      <w:r>
        <w:t xml:space="preserve"> </w:t>
      </w:r>
      <w:r w:rsidRPr="00A43F2C">
        <w:t>Customers that have installed storage only are eligible to participate in the Customer-Directed option.</w:t>
      </w:r>
    </w:p>
  </w:footnote>
  <w:footnote w:id="42">
    <w:p w14:paraId="183850C0" w14:textId="6D06639B" w:rsidR="0085148F" w:rsidRDefault="0085148F" w:rsidP="0085148F">
      <w:pPr>
        <w:pStyle w:val="FootnoteText"/>
      </w:pPr>
      <w:r>
        <w:rPr>
          <w:rStyle w:val="FootnoteReference"/>
        </w:rPr>
        <w:footnoteRef/>
      </w:r>
      <w:r>
        <w:t xml:space="preserve"> See footnote </w:t>
      </w:r>
      <w:r w:rsidRPr="00297496">
        <w:t>3</w:t>
      </w:r>
      <w:r w:rsidR="002C5C6A" w:rsidRPr="00297496">
        <w:t>2</w:t>
      </w:r>
      <w:r>
        <w:t>.</w:t>
      </w:r>
    </w:p>
  </w:footnote>
  <w:footnote w:id="43">
    <w:p w14:paraId="1D4C3F6B" w14:textId="1E3BDF20" w:rsidR="00B45089" w:rsidRDefault="00B45089">
      <w:pPr>
        <w:pStyle w:val="FootnoteText"/>
      </w:pPr>
      <w:r>
        <w:rPr>
          <w:rStyle w:val="FootnoteReference"/>
        </w:rPr>
        <w:footnoteRef/>
      </w:r>
      <w:r>
        <w:t xml:space="preserve"> See footnote </w:t>
      </w:r>
      <w:r w:rsidR="00B253CD" w:rsidRPr="00FF438B">
        <w:t>3</w:t>
      </w:r>
      <w:r w:rsidR="00FF438B" w:rsidRPr="00FF438B">
        <w:t>2</w:t>
      </w:r>
      <w:r>
        <w:t>.</w:t>
      </w:r>
    </w:p>
  </w:footnote>
  <w:footnote w:id="44">
    <w:p w14:paraId="4694A882" w14:textId="22ED4364" w:rsidR="004A3350" w:rsidRDefault="004A3350" w:rsidP="00ED044B">
      <w:pPr>
        <w:pStyle w:val="FootnoteText"/>
        <w:jc w:val="both"/>
      </w:pPr>
      <w:r>
        <w:rPr>
          <w:rStyle w:val="FootnoteReference"/>
        </w:rPr>
        <w:footnoteRef/>
      </w:r>
      <w:r>
        <w:t xml:space="preserve"> </w:t>
      </w:r>
      <w:r w:rsidR="002864AC">
        <w:t xml:space="preserve">The </w:t>
      </w:r>
      <w:r w:rsidR="00D8058F">
        <w:t xml:space="preserve">CT </w:t>
      </w:r>
      <w:r w:rsidR="002864AC">
        <w:t xml:space="preserve">upgrades </w:t>
      </w:r>
      <w:r w:rsidR="00D8058F">
        <w:t>at</w:t>
      </w:r>
      <w:r w:rsidR="002864AC">
        <w:t xml:space="preserve"> Plant McIntosh Units 1A-8A </w:t>
      </w:r>
      <w:r w:rsidR="00EF4043">
        <w:t xml:space="preserve">Georgia Power </w:t>
      </w:r>
      <w:r w:rsidR="00875C29">
        <w:t xml:space="preserve">are projected to </w:t>
      </w:r>
      <w:r w:rsidR="00805A5E">
        <w:t xml:space="preserve">increase </w:t>
      </w:r>
      <w:r w:rsidR="00C655CC">
        <w:t xml:space="preserve">summer </w:t>
      </w:r>
      <w:r w:rsidR="00805A5E">
        <w:t xml:space="preserve">capacity </w:t>
      </w:r>
      <w:r w:rsidR="00177829">
        <w:t xml:space="preserve">by more than 15%, </w:t>
      </w:r>
      <w:r w:rsidR="00221D7D">
        <w:t xml:space="preserve">necessitating </w:t>
      </w:r>
      <w:r w:rsidR="00EF4043" w:rsidRPr="001D3831">
        <w:t>Certificate Amendment</w:t>
      </w:r>
      <w:r w:rsidR="00221D7D">
        <w:t xml:space="preserve">. </w:t>
      </w:r>
      <w:r w:rsidR="00915CAF">
        <w:t>Although the</w:t>
      </w:r>
      <w:r w:rsidR="00DD5758">
        <w:t xml:space="preserve"> </w:t>
      </w:r>
      <w:r w:rsidR="00915CAF">
        <w:t xml:space="preserve">winter capacity increase is not projected to </w:t>
      </w:r>
      <w:r w:rsidR="0024114D">
        <w:t>incr</w:t>
      </w:r>
      <w:r w:rsidR="000C38DE">
        <w:t xml:space="preserve">ease capacity by more than 15%, </w:t>
      </w:r>
      <w:r w:rsidR="00221D7D">
        <w:t xml:space="preserve">Georgia Power is </w:t>
      </w:r>
      <w:r w:rsidR="009753C3">
        <w:t>seeking a Certificate Amendment</w:t>
      </w:r>
      <w:r w:rsidR="004A37E9">
        <w:t xml:space="preserve"> for</w:t>
      </w:r>
      <w:r w:rsidR="0020040D">
        <w:t xml:space="preserve"> all </w:t>
      </w:r>
      <w:r w:rsidR="001E2AB7">
        <w:t xml:space="preserve">projects </w:t>
      </w:r>
      <w:r w:rsidR="0020040D">
        <w:t xml:space="preserve">associated </w:t>
      </w:r>
      <w:r w:rsidR="001E2AB7">
        <w:t xml:space="preserve">with </w:t>
      </w:r>
      <w:r w:rsidR="004A37E9">
        <w:t>these upgrades out of an abundance of</w:t>
      </w:r>
      <w:r w:rsidR="00ED044B">
        <w:t xml:space="preserve"> caution</w:t>
      </w:r>
      <w:r w:rsidR="00C92FF0">
        <w:t>.</w:t>
      </w:r>
    </w:p>
  </w:footnote>
  <w:footnote w:id="45">
    <w:p w14:paraId="16C3F0F7" w14:textId="5DEA2713" w:rsidR="008C54E4" w:rsidRDefault="008C54E4" w:rsidP="00A70D21">
      <w:pPr>
        <w:pStyle w:val="FootnoteText"/>
        <w:jc w:val="both"/>
      </w:pPr>
      <w:r>
        <w:rPr>
          <w:rStyle w:val="FootnoteReference"/>
        </w:rPr>
        <w:footnoteRef/>
      </w:r>
      <w:r>
        <w:t xml:space="preserve"> Georgia Power owns 45.7% of Plant Vogtle Units 1-2 but purchases </w:t>
      </w:r>
      <w:r w:rsidR="00A70D21">
        <w:t xml:space="preserve">approximately </w:t>
      </w:r>
      <w:r>
        <w:t xml:space="preserve">1.13% of </w:t>
      </w:r>
      <w:r w:rsidR="002E0A88">
        <w:t xml:space="preserve">capacity and energy through a long-term buyback from </w:t>
      </w:r>
      <w:r>
        <w:t>MEAG.</w:t>
      </w:r>
    </w:p>
  </w:footnote>
  <w:footnote w:id="46">
    <w:p w14:paraId="5D1D13CF" w14:textId="7E8C0043" w:rsidR="00E67C52" w:rsidRDefault="00E67C52">
      <w:pPr>
        <w:pStyle w:val="FootnoteText"/>
      </w:pPr>
      <w:r>
        <w:rPr>
          <w:rStyle w:val="FootnoteReference"/>
        </w:rPr>
        <w:footnoteRef/>
      </w:r>
      <w:r>
        <w:t xml:space="preserve"> </w:t>
      </w:r>
      <w:r w:rsidR="00CA19EC">
        <w:t>Please note that both International Paper – Flint River and International Paper – Port Wentworth now include</w:t>
      </w:r>
      <w:r w:rsidR="003B681C">
        <w:t xml:space="preserve"> incremental energy additions from the 2024 Biomass RFP.</w:t>
      </w:r>
    </w:p>
  </w:footnote>
  <w:footnote w:id="47">
    <w:p w14:paraId="5B023128" w14:textId="389ABD45" w:rsidR="00D14D20" w:rsidRDefault="00D14D20" w:rsidP="00D14D20">
      <w:pPr>
        <w:pStyle w:val="Footnote"/>
      </w:pPr>
      <w:r>
        <w:rPr>
          <w:rStyle w:val="FootnoteReference"/>
        </w:rPr>
        <w:footnoteRef/>
      </w:r>
      <w:r>
        <w:t xml:space="preserve"> The 2013 IRP final order revised the retirement date of Plant Branch Unit 1 to be consistent with the retirement date of Plant Branch Units 3</w:t>
      </w:r>
      <w:r w:rsidR="00665EE1">
        <w:t xml:space="preserve"> and </w:t>
      </w:r>
      <w:r>
        <w:t xml:space="preserve">4. </w:t>
      </w:r>
    </w:p>
  </w:footnote>
  <w:footnote w:id="48">
    <w:p w14:paraId="7E24A597" w14:textId="77777777" w:rsidR="00D14D20" w:rsidRDefault="00D14D20" w:rsidP="00D14D20">
      <w:pPr>
        <w:pStyle w:val="Footnote"/>
      </w:pPr>
      <w:r>
        <w:rPr>
          <w:rStyle w:val="FootnoteReference"/>
        </w:rPr>
        <w:footnoteRef/>
      </w:r>
      <w:r>
        <w:t xml:space="preserve"> In the case of the Intercession City CT unit, located in Florida and previously co-owned with Duke Energy Florida, the Company exercised its contractual option in May 2015 to terminate the transmission service and sell the Company’s previous ownership interest in the unit to Duke Energy Florida.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B12CAD" w14:textId="484866A7" w:rsidR="00317F95" w:rsidRDefault="00317F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E025F4" w14:textId="4DC8BD26" w:rsidR="00317F95" w:rsidRDefault="00317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836A4"/>
    <w:multiLevelType w:val="hybridMultilevel"/>
    <w:tmpl w:val="046A9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ED64DF"/>
    <w:multiLevelType w:val="hybridMultilevel"/>
    <w:tmpl w:val="32041B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7A0CA9"/>
    <w:multiLevelType w:val="hybridMultilevel"/>
    <w:tmpl w:val="D81C65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933EB2"/>
    <w:multiLevelType w:val="hybridMultilevel"/>
    <w:tmpl w:val="03EAA908"/>
    <w:lvl w:ilvl="0" w:tplc="624C9AE2">
      <w:start w:val="1"/>
      <w:numFmt w:val="bullet"/>
      <w:lvlText w:val=""/>
      <w:lvlJc w:val="left"/>
      <w:pPr>
        <w:ind w:left="720" w:hanging="360"/>
      </w:pPr>
      <w:rPr>
        <w:rFonts w:ascii="Symbol" w:hAnsi="Symbol" w:hint="default"/>
      </w:rPr>
    </w:lvl>
    <w:lvl w:ilvl="1" w:tplc="569AD95E" w:tentative="1">
      <w:start w:val="1"/>
      <w:numFmt w:val="bullet"/>
      <w:lvlText w:val="o"/>
      <w:lvlJc w:val="left"/>
      <w:pPr>
        <w:ind w:left="1440" w:hanging="360"/>
      </w:pPr>
      <w:rPr>
        <w:rFonts w:ascii="Courier New" w:hAnsi="Courier New" w:cs="Courier New" w:hint="default"/>
      </w:rPr>
    </w:lvl>
    <w:lvl w:ilvl="2" w:tplc="696A6BF6" w:tentative="1">
      <w:start w:val="1"/>
      <w:numFmt w:val="bullet"/>
      <w:lvlText w:val=""/>
      <w:lvlJc w:val="left"/>
      <w:pPr>
        <w:ind w:left="2160" w:hanging="360"/>
      </w:pPr>
      <w:rPr>
        <w:rFonts w:ascii="Wingdings" w:hAnsi="Wingdings" w:hint="default"/>
      </w:rPr>
    </w:lvl>
    <w:lvl w:ilvl="3" w:tplc="2666A2A4" w:tentative="1">
      <w:start w:val="1"/>
      <w:numFmt w:val="bullet"/>
      <w:lvlText w:val=""/>
      <w:lvlJc w:val="left"/>
      <w:pPr>
        <w:ind w:left="2880" w:hanging="360"/>
      </w:pPr>
      <w:rPr>
        <w:rFonts w:ascii="Symbol" w:hAnsi="Symbol" w:hint="default"/>
      </w:rPr>
    </w:lvl>
    <w:lvl w:ilvl="4" w:tplc="2042F148" w:tentative="1">
      <w:start w:val="1"/>
      <w:numFmt w:val="bullet"/>
      <w:lvlText w:val="o"/>
      <w:lvlJc w:val="left"/>
      <w:pPr>
        <w:ind w:left="3600" w:hanging="360"/>
      </w:pPr>
      <w:rPr>
        <w:rFonts w:ascii="Courier New" w:hAnsi="Courier New" w:cs="Courier New" w:hint="default"/>
      </w:rPr>
    </w:lvl>
    <w:lvl w:ilvl="5" w:tplc="DBDC2D28" w:tentative="1">
      <w:start w:val="1"/>
      <w:numFmt w:val="bullet"/>
      <w:lvlText w:val=""/>
      <w:lvlJc w:val="left"/>
      <w:pPr>
        <w:ind w:left="4320" w:hanging="360"/>
      </w:pPr>
      <w:rPr>
        <w:rFonts w:ascii="Wingdings" w:hAnsi="Wingdings" w:hint="default"/>
      </w:rPr>
    </w:lvl>
    <w:lvl w:ilvl="6" w:tplc="D8945F8A" w:tentative="1">
      <w:start w:val="1"/>
      <w:numFmt w:val="bullet"/>
      <w:lvlText w:val=""/>
      <w:lvlJc w:val="left"/>
      <w:pPr>
        <w:ind w:left="5040" w:hanging="360"/>
      </w:pPr>
      <w:rPr>
        <w:rFonts w:ascii="Symbol" w:hAnsi="Symbol" w:hint="default"/>
      </w:rPr>
    </w:lvl>
    <w:lvl w:ilvl="7" w:tplc="9B3A678E" w:tentative="1">
      <w:start w:val="1"/>
      <w:numFmt w:val="bullet"/>
      <w:lvlText w:val="o"/>
      <w:lvlJc w:val="left"/>
      <w:pPr>
        <w:ind w:left="5760" w:hanging="360"/>
      </w:pPr>
      <w:rPr>
        <w:rFonts w:ascii="Courier New" w:hAnsi="Courier New" w:cs="Courier New" w:hint="default"/>
      </w:rPr>
    </w:lvl>
    <w:lvl w:ilvl="8" w:tplc="35A4304C" w:tentative="1">
      <w:start w:val="1"/>
      <w:numFmt w:val="bullet"/>
      <w:lvlText w:val=""/>
      <w:lvlJc w:val="left"/>
      <w:pPr>
        <w:ind w:left="6480" w:hanging="360"/>
      </w:pPr>
      <w:rPr>
        <w:rFonts w:ascii="Wingdings" w:hAnsi="Wingdings" w:hint="default"/>
      </w:rPr>
    </w:lvl>
  </w:abstractNum>
  <w:abstractNum w:abstractNumId="4" w15:restartNumberingAfterBreak="0">
    <w:nsid w:val="0456B68B"/>
    <w:multiLevelType w:val="hybridMultilevel"/>
    <w:tmpl w:val="FFFFFFFF"/>
    <w:lvl w:ilvl="0" w:tplc="057E27A0">
      <w:start w:val="1"/>
      <w:numFmt w:val="bullet"/>
      <w:lvlText w:val=""/>
      <w:lvlJc w:val="left"/>
      <w:pPr>
        <w:ind w:left="720" w:hanging="360"/>
      </w:pPr>
      <w:rPr>
        <w:rFonts w:ascii="Symbol" w:hAnsi="Symbol" w:hint="default"/>
      </w:rPr>
    </w:lvl>
    <w:lvl w:ilvl="1" w:tplc="74348D0E">
      <w:start w:val="1"/>
      <w:numFmt w:val="bullet"/>
      <w:lvlText w:val="o"/>
      <w:lvlJc w:val="left"/>
      <w:pPr>
        <w:ind w:left="1440" w:hanging="360"/>
      </w:pPr>
      <w:rPr>
        <w:rFonts w:ascii="Courier New" w:hAnsi="Courier New" w:hint="default"/>
      </w:rPr>
    </w:lvl>
    <w:lvl w:ilvl="2" w:tplc="F9B2D864">
      <w:start w:val="1"/>
      <w:numFmt w:val="bullet"/>
      <w:lvlText w:val=""/>
      <w:lvlJc w:val="left"/>
      <w:pPr>
        <w:ind w:left="2160" w:hanging="360"/>
      </w:pPr>
      <w:rPr>
        <w:rFonts w:ascii="Wingdings" w:hAnsi="Wingdings" w:hint="default"/>
      </w:rPr>
    </w:lvl>
    <w:lvl w:ilvl="3" w:tplc="2F680230">
      <w:start w:val="1"/>
      <w:numFmt w:val="bullet"/>
      <w:lvlText w:val=""/>
      <w:lvlJc w:val="left"/>
      <w:pPr>
        <w:ind w:left="2880" w:hanging="360"/>
      </w:pPr>
      <w:rPr>
        <w:rFonts w:ascii="Symbol" w:hAnsi="Symbol" w:hint="default"/>
      </w:rPr>
    </w:lvl>
    <w:lvl w:ilvl="4" w:tplc="2D405294">
      <w:start w:val="1"/>
      <w:numFmt w:val="bullet"/>
      <w:lvlText w:val="o"/>
      <w:lvlJc w:val="left"/>
      <w:pPr>
        <w:ind w:left="3600" w:hanging="360"/>
      </w:pPr>
      <w:rPr>
        <w:rFonts w:ascii="Courier New" w:hAnsi="Courier New" w:hint="default"/>
      </w:rPr>
    </w:lvl>
    <w:lvl w:ilvl="5" w:tplc="78BC3CB0">
      <w:start w:val="1"/>
      <w:numFmt w:val="bullet"/>
      <w:lvlText w:val=""/>
      <w:lvlJc w:val="left"/>
      <w:pPr>
        <w:ind w:left="4320" w:hanging="360"/>
      </w:pPr>
      <w:rPr>
        <w:rFonts w:ascii="Wingdings" w:hAnsi="Wingdings" w:hint="default"/>
      </w:rPr>
    </w:lvl>
    <w:lvl w:ilvl="6" w:tplc="8FC28E2E">
      <w:start w:val="1"/>
      <w:numFmt w:val="bullet"/>
      <w:lvlText w:val=""/>
      <w:lvlJc w:val="left"/>
      <w:pPr>
        <w:ind w:left="5040" w:hanging="360"/>
      </w:pPr>
      <w:rPr>
        <w:rFonts w:ascii="Symbol" w:hAnsi="Symbol" w:hint="default"/>
      </w:rPr>
    </w:lvl>
    <w:lvl w:ilvl="7" w:tplc="DF3A401C">
      <w:start w:val="1"/>
      <w:numFmt w:val="bullet"/>
      <w:lvlText w:val="o"/>
      <w:lvlJc w:val="left"/>
      <w:pPr>
        <w:ind w:left="5760" w:hanging="360"/>
      </w:pPr>
      <w:rPr>
        <w:rFonts w:ascii="Courier New" w:hAnsi="Courier New" w:hint="default"/>
      </w:rPr>
    </w:lvl>
    <w:lvl w:ilvl="8" w:tplc="DB6448CE">
      <w:start w:val="1"/>
      <w:numFmt w:val="bullet"/>
      <w:lvlText w:val=""/>
      <w:lvlJc w:val="left"/>
      <w:pPr>
        <w:ind w:left="6480" w:hanging="360"/>
      </w:pPr>
      <w:rPr>
        <w:rFonts w:ascii="Wingdings" w:hAnsi="Wingdings" w:hint="default"/>
      </w:rPr>
    </w:lvl>
  </w:abstractNum>
  <w:abstractNum w:abstractNumId="5" w15:restartNumberingAfterBreak="0">
    <w:nsid w:val="04F12F55"/>
    <w:multiLevelType w:val="hybridMultilevel"/>
    <w:tmpl w:val="325451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4F5EA3"/>
    <w:multiLevelType w:val="hybridMultilevel"/>
    <w:tmpl w:val="280A4E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7B96A61"/>
    <w:multiLevelType w:val="hybridMultilevel"/>
    <w:tmpl w:val="E378F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693961"/>
    <w:multiLevelType w:val="hybridMultilevel"/>
    <w:tmpl w:val="F08E41F2"/>
    <w:lvl w:ilvl="0" w:tplc="4D3EA430">
      <w:start w:val="1"/>
      <w:numFmt w:val="bullet"/>
      <w:lvlText w:val=""/>
      <w:lvlJc w:val="left"/>
      <w:pPr>
        <w:ind w:left="720" w:hanging="360"/>
      </w:pPr>
      <w:rPr>
        <w:rFonts w:ascii="Symbol" w:hAnsi="Symbol"/>
      </w:rPr>
    </w:lvl>
    <w:lvl w:ilvl="1" w:tplc="49EE9F3E">
      <w:start w:val="1"/>
      <w:numFmt w:val="bullet"/>
      <w:lvlText w:val=""/>
      <w:lvlJc w:val="left"/>
      <w:pPr>
        <w:ind w:left="720" w:hanging="360"/>
      </w:pPr>
      <w:rPr>
        <w:rFonts w:ascii="Symbol" w:hAnsi="Symbol"/>
      </w:rPr>
    </w:lvl>
    <w:lvl w:ilvl="2" w:tplc="8AD6AC02">
      <w:start w:val="1"/>
      <w:numFmt w:val="bullet"/>
      <w:lvlText w:val=""/>
      <w:lvlJc w:val="left"/>
      <w:pPr>
        <w:ind w:left="720" w:hanging="360"/>
      </w:pPr>
      <w:rPr>
        <w:rFonts w:ascii="Symbol" w:hAnsi="Symbol"/>
      </w:rPr>
    </w:lvl>
    <w:lvl w:ilvl="3" w:tplc="32C63B34">
      <w:start w:val="1"/>
      <w:numFmt w:val="bullet"/>
      <w:lvlText w:val=""/>
      <w:lvlJc w:val="left"/>
      <w:pPr>
        <w:ind w:left="720" w:hanging="360"/>
      </w:pPr>
      <w:rPr>
        <w:rFonts w:ascii="Symbol" w:hAnsi="Symbol"/>
      </w:rPr>
    </w:lvl>
    <w:lvl w:ilvl="4" w:tplc="C8E229CA">
      <w:start w:val="1"/>
      <w:numFmt w:val="bullet"/>
      <w:lvlText w:val=""/>
      <w:lvlJc w:val="left"/>
      <w:pPr>
        <w:ind w:left="720" w:hanging="360"/>
      </w:pPr>
      <w:rPr>
        <w:rFonts w:ascii="Symbol" w:hAnsi="Symbol"/>
      </w:rPr>
    </w:lvl>
    <w:lvl w:ilvl="5" w:tplc="756C1E60">
      <w:start w:val="1"/>
      <w:numFmt w:val="bullet"/>
      <w:lvlText w:val=""/>
      <w:lvlJc w:val="left"/>
      <w:pPr>
        <w:ind w:left="720" w:hanging="360"/>
      </w:pPr>
      <w:rPr>
        <w:rFonts w:ascii="Symbol" w:hAnsi="Symbol"/>
      </w:rPr>
    </w:lvl>
    <w:lvl w:ilvl="6" w:tplc="C6AE9BD6">
      <w:start w:val="1"/>
      <w:numFmt w:val="bullet"/>
      <w:lvlText w:val=""/>
      <w:lvlJc w:val="left"/>
      <w:pPr>
        <w:ind w:left="720" w:hanging="360"/>
      </w:pPr>
      <w:rPr>
        <w:rFonts w:ascii="Symbol" w:hAnsi="Symbol"/>
      </w:rPr>
    </w:lvl>
    <w:lvl w:ilvl="7" w:tplc="F0523D4C">
      <w:start w:val="1"/>
      <w:numFmt w:val="bullet"/>
      <w:lvlText w:val=""/>
      <w:lvlJc w:val="left"/>
      <w:pPr>
        <w:ind w:left="720" w:hanging="360"/>
      </w:pPr>
      <w:rPr>
        <w:rFonts w:ascii="Symbol" w:hAnsi="Symbol"/>
      </w:rPr>
    </w:lvl>
    <w:lvl w:ilvl="8" w:tplc="DE20361A">
      <w:start w:val="1"/>
      <w:numFmt w:val="bullet"/>
      <w:lvlText w:val=""/>
      <w:lvlJc w:val="left"/>
      <w:pPr>
        <w:ind w:left="720" w:hanging="360"/>
      </w:pPr>
      <w:rPr>
        <w:rFonts w:ascii="Symbol" w:hAnsi="Symbol"/>
      </w:rPr>
    </w:lvl>
  </w:abstractNum>
  <w:abstractNum w:abstractNumId="9" w15:restartNumberingAfterBreak="0">
    <w:nsid w:val="0A171C7C"/>
    <w:multiLevelType w:val="hybridMultilevel"/>
    <w:tmpl w:val="FFFFFFFF"/>
    <w:lvl w:ilvl="0" w:tplc="A8D0B924">
      <w:start w:val="1"/>
      <w:numFmt w:val="bullet"/>
      <w:lvlText w:val=""/>
      <w:lvlJc w:val="left"/>
      <w:pPr>
        <w:ind w:left="720" w:hanging="360"/>
      </w:pPr>
      <w:rPr>
        <w:rFonts w:ascii="Symbol" w:hAnsi="Symbol" w:hint="default"/>
      </w:rPr>
    </w:lvl>
    <w:lvl w:ilvl="1" w:tplc="3926B5EC">
      <w:start w:val="1"/>
      <w:numFmt w:val="bullet"/>
      <w:lvlText w:val="o"/>
      <w:lvlJc w:val="left"/>
      <w:pPr>
        <w:ind w:left="1440" w:hanging="360"/>
      </w:pPr>
      <w:rPr>
        <w:rFonts w:ascii="Courier New" w:hAnsi="Courier New" w:hint="default"/>
      </w:rPr>
    </w:lvl>
    <w:lvl w:ilvl="2" w:tplc="BAA26056">
      <w:start w:val="1"/>
      <w:numFmt w:val="bullet"/>
      <w:lvlText w:val=""/>
      <w:lvlJc w:val="left"/>
      <w:pPr>
        <w:ind w:left="2160" w:hanging="360"/>
      </w:pPr>
      <w:rPr>
        <w:rFonts w:ascii="Wingdings" w:hAnsi="Wingdings" w:hint="default"/>
      </w:rPr>
    </w:lvl>
    <w:lvl w:ilvl="3" w:tplc="248A4A8A">
      <w:start w:val="1"/>
      <w:numFmt w:val="bullet"/>
      <w:lvlText w:val=""/>
      <w:lvlJc w:val="left"/>
      <w:pPr>
        <w:ind w:left="2880" w:hanging="360"/>
      </w:pPr>
      <w:rPr>
        <w:rFonts w:ascii="Symbol" w:hAnsi="Symbol" w:hint="default"/>
      </w:rPr>
    </w:lvl>
    <w:lvl w:ilvl="4" w:tplc="11AAFDDE">
      <w:start w:val="1"/>
      <w:numFmt w:val="bullet"/>
      <w:lvlText w:val="o"/>
      <w:lvlJc w:val="left"/>
      <w:pPr>
        <w:ind w:left="3600" w:hanging="360"/>
      </w:pPr>
      <w:rPr>
        <w:rFonts w:ascii="Courier New" w:hAnsi="Courier New" w:hint="default"/>
      </w:rPr>
    </w:lvl>
    <w:lvl w:ilvl="5" w:tplc="CE08B35C">
      <w:start w:val="1"/>
      <w:numFmt w:val="bullet"/>
      <w:lvlText w:val=""/>
      <w:lvlJc w:val="left"/>
      <w:pPr>
        <w:ind w:left="4320" w:hanging="360"/>
      </w:pPr>
      <w:rPr>
        <w:rFonts w:ascii="Wingdings" w:hAnsi="Wingdings" w:hint="default"/>
      </w:rPr>
    </w:lvl>
    <w:lvl w:ilvl="6" w:tplc="6AAA9A54">
      <w:start w:val="1"/>
      <w:numFmt w:val="bullet"/>
      <w:lvlText w:val=""/>
      <w:lvlJc w:val="left"/>
      <w:pPr>
        <w:ind w:left="5040" w:hanging="360"/>
      </w:pPr>
      <w:rPr>
        <w:rFonts w:ascii="Symbol" w:hAnsi="Symbol" w:hint="default"/>
      </w:rPr>
    </w:lvl>
    <w:lvl w:ilvl="7" w:tplc="24A2A89E">
      <w:start w:val="1"/>
      <w:numFmt w:val="bullet"/>
      <w:lvlText w:val="o"/>
      <w:lvlJc w:val="left"/>
      <w:pPr>
        <w:ind w:left="5760" w:hanging="360"/>
      </w:pPr>
      <w:rPr>
        <w:rFonts w:ascii="Courier New" w:hAnsi="Courier New" w:hint="default"/>
      </w:rPr>
    </w:lvl>
    <w:lvl w:ilvl="8" w:tplc="6ABE5476">
      <w:start w:val="1"/>
      <w:numFmt w:val="bullet"/>
      <w:lvlText w:val=""/>
      <w:lvlJc w:val="left"/>
      <w:pPr>
        <w:ind w:left="6480" w:hanging="360"/>
      </w:pPr>
      <w:rPr>
        <w:rFonts w:ascii="Wingdings" w:hAnsi="Wingdings" w:hint="default"/>
      </w:rPr>
    </w:lvl>
  </w:abstractNum>
  <w:abstractNum w:abstractNumId="10" w15:restartNumberingAfterBreak="0">
    <w:nsid w:val="0A6D25A1"/>
    <w:multiLevelType w:val="hybridMultilevel"/>
    <w:tmpl w:val="D04A3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97B6EB"/>
    <w:multiLevelType w:val="hybridMultilevel"/>
    <w:tmpl w:val="FFFFFFFF"/>
    <w:lvl w:ilvl="0" w:tplc="926EF8FA">
      <w:start w:val="1"/>
      <w:numFmt w:val="bullet"/>
      <w:lvlText w:val=""/>
      <w:lvlJc w:val="left"/>
      <w:pPr>
        <w:ind w:left="720" w:hanging="360"/>
      </w:pPr>
      <w:rPr>
        <w:rFonts w:ascii="Symbol" w:hAnsi="Symbol" w:hint="default"/>
      </w:rPr>
    </w:lvl>
    <w:lvl w:ilvl="1" w:tplc="3CE6AF9E">
      <w:start w:val="1"/>
      <w:numFmt w:val="bullet"/>
      <w:lvlText w:val="o"/>
      <w:lvlJc w:val="left"/>
      <w:pPr>
        <w:ind w:left="1440" w:hanging="360"/>
      </w:pPr>
      <w:rPr>
        <w:rFonts w:ascii="Courier New" w:hAnsi="Courier New" w:hint="default"/>
      </w:rPr>
    </w:lvl>
    <w:lvl w:ilvl="2" w:tplc="B30AFA34">
      <w:start w:val="1"/>
      <w:numFmt w:val="bullet"/>
      <w:lvlText w:val=""/>
      <w:lvlJc w:val="left"/>
      <w:pPr>
        <w:ind w:left="2160" w:hanging="360"/>
      </w:pPr>
      <w:rPr>
        <w:rFonts w:ascii="Wingdings" w:hAnsi="Wingdings" w:hint="default"/>
      </w:rPr>
    </w:lvl>
    <w:lvl w:ilvl="3" w:tplc="28B61B7E">
      <w:start w:val="1"/>
      <w:numFmt w:val="bullet"/>
      <w:lvlText w:val=""/>
      <w:lvlJc w:val="left"/>
      <w:pPr>
        <w:ind w:left="2880" w:hanging="360"/>
      </w:pPr>
      <w:rPr>
        <w:rFonts w:ascii="Symbol" w:hAnsi="Symbol" w:hint="default"/>
      </w:rPr>
    </w:lvl>
    <w:lvl w:ilvl="4" w:tplc="27986EA8">
      <w:start w:val="1"/>
      <w:numFmt w:val="bullet"/>
      <w:lvlText w:val="o"/>
      <w:lvlJc w:val="left"/>
      <w:pPr>
        <w:ind w:left="3600" w:hanging="360"/>
      </w:pPr>
      <w:rPr>
        <w:rFonts w:ascii="Courier New" w:hAnsi="Courier New" w:hint="default"/>
      </w:rPr>
    </w:lvl>
    <w:lvl w:ilvl="5" w:tplc="A6A4631E">
      <w:start w:val="1"/>
      <w:numFmt w:val="bullet"/>
      <w:lvlText w:val=""/>
      <w:lvlJc w:val="left"/>
      <w:pPr>
        <w:ind w:left="4320" w:hanging="360"/>
      </w:pPr>
      <w:rPr>
        <w:rFonts w:ascii="Wingdings" w:hAnsi="Wingdings" w:hint="default"/>
      </w:rPr>
    </w:lvl>
    <w:lvl w:ilvl="6" w:tplc="0764D7FC">
      <w:start w:val="1"/>
      <w:numFmt w:val="bullet"/>
      <w:lvlText w:val=""/>
      <w:lvlJc w:val="left"/>
      <w:pPr>
        <w:ind w:left="5040" w:hanging="360"/>
      </w:pPr>
      <w:rPr>
        <w:rFonts w:ascii="Symbol" w:hAnsi="Symbol" w:hint="default"/>
      </w:rPr>
    </w:lvl>
    <w:lvl w:ilvl="7" w:tplc="5D504E42">
      <w:start w:val="1"/>
      <w:numFmt w:val="bullet"/>
      <w:lvlText w:val="o"/>
      <w:lvlJc w:val="left"/>
      <w:pPr>
        <w:ind w:left="5760" w:hanging="360"/>
      </w:pPr>
      <w:rPr>
        <w:rFonts w:ascii="Courier New" w:hAnsi="Courier New" w:hint="default"/>
      </w:rPr>
    </w:lvl>
    <w:lvl w:ilvl="8" w:tplc="A29A8172">
      <w:start w:val="1"/>
      <w:numFmt w:val="bullet"/>
      <w:lvlText w:val=""/>
      <w:lvlJc w:val="left"/>
      <w:pPr>
        <w:ind w:left="6480" w:hanging="360"/>
      </w:pPr>
      <w:rPr>
        <w:rFonts w:ascii="Wingdings" w:hAnsi="Wingdings" w:hint="default"/>
      </w:rPr>
    </w:lvl>
  </w:abstractNum>
  <w:abstractNum w:abstractNumId="12" w15:restartNumberingAfterBreak="0">
    <w:nsid w:val="0B626629"/>
    <w:multiLevelType w:val="hybridMultilevel"/>
    <w:tmpl w:val="1BF25F84"/>
    <w:lvl w:ilvl="0" w:tplc="E61E9738">
      <w:start w:val="1"/>
      <w:numFmt w:val="bullet"/>
      <w:lvlText w:val=""/>
      <w:lvlJc w:val="left"/>
      <w:pPr>
        <w:ind w:left="720" w:hanging="360"/>
      </w:pPr>
      <w:rPr>
        <w:rFonts w:ascii="Symbol" w:hAnsi="Symbol"/>
      </w:rPr>
    </w:lvl>
    <w:lvl w:ilvl="1" w:tplc="C19C03F0">
      <w:start w:val="1"/>
      <w:numFmt w:val="bullet"/>
      <w:lvlText w:val=""/>
      <w:lvlJc w:val="left"/>
      <w:pPr>
        <w:ind w:left="720" w:hanging="360"/>
      </w:pPr>
      <w:rPr>
        <w:rFonts w:ascii="Symbol" w:hAnsi="Symbol"/>
      </w:rPr>
    </w:lvl>
    <w:lvl w:ilvl="2" w:tplc="70DE8E40">
      <w:start w:val="1"/>
      <w:numFmt w:val="bullet"/>
      <w:lvlText w:val=""/>
      <w:lvlJc w:val="left"/>
      <w:pPr>
        <w:ind w:left="720" w:hanging="360"/>
      </w:pPr>
      <w:rPr>
        <w:rFonts w:ascii="Symbol" w:hAnsi="Symbol"/>
      </w:rPr>
    </w:lvl>
    <w:lvl w:ilvl="3" w:tplc="B75E3386">
      <w:start w:val="1"/>
      <w:numFmt w:val="bullet"/>
      <w:lvlText w:val=""/>
      <w:lvlJc w:val="left"/>
      <w:pPr>
        <w:ind w:left="720" w:hanging="360"/>
      </w:pPr>
      <w:rPr>
        <w:rFonts w:ascii="Symbol" w:hAnsi="Symbol"/>
      </w:rPr>
    </w:lvl>
    <w:lvl w:ilvl="4" w:tplc="F43059C4">
      <w:start w:val="1"/>
      <w:numFmt w:val="bullet"/>
      <w:lvlText w:val=""/>
      <w:lvlJc w:val="left"/>
      <w:pPr>
        <w:ind w:left="720" w:hanging="360"/>
      </w:pPr>
      <w:rPr>
        <w:rFonts w:ascii="Symbol" w:hAnsi="Symbol"/>
      </w:rPr>
    </w:lvl>
    <w:lvl w:ilvl="5" w:tplc="32C65FCA">
      <w:start w:val="1"/>
      <w:numFmt w:val="bullet"/>
      <w:lvlText w:val=""/>
      <w:lvlJc w:val="left"/>
      <w:pPr>
        <w:ind w:left="720" w:hanging="360"/>
      </w:pPr>
      <w:rPr>
        <w:rFonts w:ascii="Symbol" w:hAnsi="Symbol"/>
      </w:rPr>
    </w:lvl>
    <w:lvl w:ilvl="6" w:tplc="1CE0FF9E">
      <w:start w:val="1"/>
      <w:numFmt w:val="bullet"/>
      <w:lvlText w:val=""/>
      <w:lvlJc w:val="left"/>
      <w:pPr>
        <w:ind w:left="720" w:hanging="360"/>
      </w:pPr>
      <w:rPr>
        <w:rFonts w:ascii="Symbol" w:hAnsi="Symbol"/>
      </w:rPr>
    </w:lvl>
    <w:lvl w:ilvl="7" w:tplc="1D78D8FE">
      <w:start w:val="1"/>
      <w:numFmt w:val="bullet"/>
      <w:lvlText w:val=""/>
      <w:lvlJc w:val="left"/>
      <w:pPr>
        <w:ind w:left="720" w:hanging="360"/>
      </w:pPr>
      <w:rPr>
        <w:rFonts w:ascii="Symbol" w:hAnsi="Symbol"/>
      </w:rPr>
    </w:lvl>
    <w:lvl w:ilvl="8" w:tplc="21F40D9C">
      <w:start w:val="1"/>
      <w:numFmt w:val="bullet"/>
      <w:lvlText w:val=""/>
      <w:lvlJc w:val="left"/>
      <w:pPr>
        <w:ind w:left="720" w:hanging="360"/>
      </w:pPr>
      <w:rPr>
        <w:rFonts w:ascii="Symbol" w:hAnsi="Symbol"/>
      </w:rPr>
    </w:lvl>
  </w:abstractNum>
  <w:abstractNum w:abstractNumId="13" w15:restartNumberingAfterBreak="0">
    <w:nsid w:val="0D1B54FF"/>
    <w:multiLevelType w:val="hybridMultilevel"/>
    <w:tmpl w:val="FFFFFFFF"/>
    <w:lvl w:ilvl="0" w:tplc="9F36459C">
      <w:start w:val="1"/>
      <w:numFmt w:val="bullet"/>
      <w:lvlText w:val=""/>
      <w:lvlJc w:val="left"/>
      <w:pPr>
        <w:ind w:left="720" w:hanging="360"/>
      </w:pPr>
      <w:rPr>
        <w:rFonts w:ascii="Symbol" w:hAnsi="Symbol" w:hint="default"/>
      </w:rPr>
    </w:lvl>
    <w:lvl w:ilvl="1" w:tplc="D6AE894A">
      <w:start w:val="1"/>
      <w:numFmt w:val="bullet"/>
      <w:lvlText w:val="o"/>
      <w:lvlJc w:val="left"/>
      <w:pPr>
        <w:ind w:left="1440" w:hanging="360"/>
      </w:pPr>
      <w:rPr>
        <w:rFonts w:ascii="Courier New" w:hAnsi="Courier New" w:hint="default"/>
      </w:rPr>
    </w:lvl>
    <w:lvl w:ilvl="2" w:tplc="6388EFE0">
      <w:start w:val="1"/>
      <w:numFmt w:val="bullet"/>
      <w:lvlText w:val=""/>
      <w:lvlJc w:val="left"/>
      <w:pPr>
        <w:ind w:left="2160" w:hanging="360"/>
      </w:pPr>
      <w:rPr>
        <w:rFonts w:ascii="Wingdings" w:hAnsi="Wingdings" w:hint="default"/>
      </w:rPr>
    </w:lvl>
    <w:lvl w:ilvl="3" w:tplc="0C463D6E">
      <w:start w:val="1"/>
      <w:numFmt w:val="bullet"/>
      <w:lvlText w:val=""/>
      <w:lvlJc w:val="left"/>
      <w:pPr>
        <w:ind w:left="2880" w:hanging="360"/>
      </w:pPr>
      <w:rPr>
        <w:rFonts w:ascii="Symbol" w:hAnsi="Symbol" w:hint="default"/>
      </w:rPr>
    </w:lvl>
    <w:lvl w:ilvl="4" w:tplc="001A5976">
      <w:start w:val="1"/>
      <w:numFmt w:val="bullet"/>
      <w:lvlText w:val="o"/>
      <w:lvlJc w:val="left"/>
      <w:pPr>
        <w:ind w:left="3600" w:hanging="360"/>
      </w:pPr>
      <w:rPr>
        <w:rFonts w:ascii="Courier New" w:hAnsi="Courier New" w:hint="default"/>
      </w:rPr>
    </w:lvl>
    <w:lvl w:ilvl="5" w:tplc="92485FAA">
      <w:start w:val="1"/>
      <w:numFmt w:val="bullet"/>
      <w:lvlText w:val=""/>
      <w:lvlJc w:val="left"/>
      <w:pPr>
        <w:ind w:left="4320" w:hanging="360"/>
      </w:pPr>
      <w:rPr>
        <w:rFonts w:ascii="Wingdings" w:hAnsi="Wingdings" w:hint="default"/>
      </w:rPr>
    </w:lvl>
    <w:lvl w:ilvl="6" w:tplc="6A00F4D2">
      <w:start w:val="1"/>
      <w:numFmt w:val="bullet"/>
      <w:lvlText w:val=""/>
      <w:lvlJc w:val="left"/>
      <w:pPr>
        <w:ind w:left="5040" w:hanging="360"/>
      </w:pPr>
      <w:rPr>
        <w:rFonts w:ascii="Symbol" w:hAnsi="Symbol" w:hint="default"/>
      </w:rPr>
    </w:lvl>
    <w:lvl w:ilvl="7" w:tplc="DC3CAC00">
      <w:start w:val="1"/>
      <w:numFmt w:val="bullet"/>
      <w:lvlText w:val="o"/>
      <w:lvlJc w:val="left"/>
      <w:pPr>
        <w:ind w:left="5760" w:hanging="360"/>
      </w:pPr>
      <w:rPr>
        <w:rFonts w:ascii="Courier New" w:hAnsi="Courier New" w:hint="default"/>
      </w:rPr>
    </w:lvl>
    <w:lvl w:ilvl="8" w:tplc="1B9209EE">
      <w:start w:val="1"/>
      <w:numFmt w:val="bullet"/>
      <w:lvlText w:val=""/>
      <w:lvlJc w:val="left"/>
      <w:pPr>
        <w:ind w:left="6480" w:hanging="360"/>
      </w:pPr>
      <w:rPr>
        <w:rFonts w:ascii="Wingdings" w:hAnsi="Wingdings" w:hint="default"/>
      </w:rPr>
    </w:lvl>
  </w:abstractNum>
  <w:abstractNum w:abstractNumId="14" w15:restartNumberingAfterBreak="0">
    <w:nsid w:val="0D30288C"/>
    <w:multiLevelType w:val="hybridMultilevel"/>
    <w:tmpl w:val="909AD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D4306C0"/>
    <w:multiLevelType w:val="multilevel"/>
    <w:tmpl w:val="02DCF74E"/>
    <w:lvl w:ilvl="0">
      <w:start w:val="1"/>
      <w:numFmt w:val="upperLetter"/>
      <w:pStyle w:val="1B"/>
      <w:suff w:val="space"/>
      <w:lvlText w:val="ATTACHMENT %1."/>
      <w:lvlJc w:val="left"/>
      <w:pPr>
        <w:ind w:left="360" w:firstLine="0"/>
      </w:pPr>
      <w:rPr>
        <w:rFonts w:asciiTheme="majorHAnsi" w:hAnsiTheme="majorHAnsi" w:hint="default"/>
        <w:b/>
        <w:i w:val="0"/>
        <w:caps/>
        <w:strike w:val="0"/>
        <w:dstrike w:val="0"/>
        <w:vanish w:val="0"/>
        <w:color w:val="BF4E14" w:themeColor="accent2" w:themeShade="BF"/>
        <w:sz w:val="24"/>
        <w:vertAlign w:val="baseline"/>
      </w:rPr>
    </w:lvl>
    <w:lvl w:ilvl="1">
      <w:start w:val="1"/>
      <w:numFmt w:val="decimal"/>
      <w:pStyle w:val="2B"/>
      <w:suff w:val="space"/>
      <w:lvlText w:val="%1.%2."/>
      <w:lvlJc w:val="left"/>
      <w:pPr>
        <w:ind w:left="0" w:firstLine="0"/>
      </w:pPr>
      <w:rPr>
        <w:rFonts w:asciiTheme="majorHAnsi" w:hAnsiTheme="majorHAnsi" w:hint="default"/>
        <w:b w:val="0"/>
        <w:i/>
        <w:caps/>
        <w:strike w:val="0"/>
        <w:dstrike w:val="0"/>
        <w:vanish w:val="0"/>
        <w:color w:val="BF4E14" w:themeColor="accent2" w:themeShade="BF"/>
        <w:sz w:val="24"/>
        <w:vertAlign w:val="baseline"/>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6" w15:restartNumberingAfterBreak="0">
    <w:nsid w:val="0E1EA1CD"/>
    <w:multiLevelType w:val="hybridMultilevel"/>
    <w:tmpl w:val="FFFFFFFF"/>
    <w:lvl w:ilvl="0" w:tplc="8668E792">
      <w:start w:val="1"/>
      <w:numFmt w:val="bullet"/>
      <w:lvlText w:val=""/>
      <w:lvlJc w:val="left"/>
      <w:pPr>
        <w:ind w:left="720" w:hanging="360"/>
      </w:pPr>
      <w:rPr>
        <w:rFonts w:ascii="Symbol" w:hAnsi="Symbol" w:hint="default"/>
      </w:rPr>
    </w:lvl>
    <w:lvl w:ilvl="1" w:tplc="71A09D8E">
      <w:start w:val="1"/>
      <w:numFmt w:val="bullet"/>
      <w:lvlText w:val="o"/>
      <w:lvlJc w:val="left"/>
      <w:pPr>
        <w:ind w:left="1440" w:hanging="360"/>
      </w:pPr>
      <w:rPr>
        <w:rFonts w:ascii="Courier New" w:hAnsi="Courier New" w:hint="default"/>
      </w:rPr>
    </w:lvl>
    <w:lvl w:ilvl="2" w:tplc="BFAE23E0">
      <w:start w:val="1"/>
      <w:numFmt w:val="bullet"/>
      <w:lvlText w:val=""/>
      <w:lvlJc w:val="left"/>
      <w:pPr>
        <w:ind w:left="2160" w:hanging="360"/>
      </w:pPr>
      <w:rPr>
        <w:rFonts w:ascii="Wingdings" w:hAnsi="Wingdings" w:hint="default"/>
      </w:rPr>
    </w:lvl>
    <w:lvl w:ilvl="3" w:tplc="8AEE5EA6">
      <w:start w:val="1"/>
      <w:numFmt w:val="bullet"/>
      <w:lvlText w:val=""/>
      <w:lvlJc w:val="left"/>
      <w:pPr>
        <w:ind w:left="2880" w:hanging="360"/>
      </w:pPr>
      <w:rPr>
        <w:rFonts w:ascii="Symbol" w:hAnsi="Symbol" w:hint="default"/>
      </w:rPr>
    </w:lvl>
    <w:lvl w:ilvl="4" w:tplc="5D60A072">
      <w:start w:val="1"/>
      <w:numFmt w:val="bullet"/>
      <w:lvlText w:val="o"/>
      <w:lvlJc w:val="left"/>
      <w:pPr>
        <w:ind w:left="3600" w:hanging="360"/>
      </w:pPr>
      <w:rPr>
        <w:rFonts w:ascii="Courier New" w:hAnsi="Courier New" w:hint="default"/>
      </w:rPr>
    </w:lvl>
    <w:lvl w:ilvl="5" w:tplc="D58E385C">
      <w:start w:val="1"/>
      <w:numFmt w:val="bullet"/>
      <w:lvlText w:val=""/>
      <w:lvlJc w:val="left"/>
      <w:pPr>
        <w:ind w:left="4320" w:hanging="360"/>
      </w:pPr>
      <w:rPr>
        <w:rFonts w:ascii="Wingdings" w:hAnsi="Wingdings" w:hint="default"/>
      </w:rPr>
    </w:lvl>
    <w:lvl w:ilvl="6" w:tplc="6D7A5C14">
      <w:start w:val="1"/>
      <w:numFmt w:val="bullet"/>
      <w:lvlText w:val=""/>
      <w:lvlJc w:val="left"/>
      <w:pPr>
        <w:ind w:left="5040" w:hanging="360"/>
      </w:pPr>
      <w:rPr>
        <w:rFonts w:ascii="Symbol" w:hAnsi="Symbol" w:hint="default"/>
      </w:rPr>
    </w:lvl>
    <w:lvl w:ilvl="7" w:tplc="02EA1408">
      <w:start w:val="1"/>
      <w:numFmt w:val="bullet"/>
      <w:lvlText w:val="o"/>
      <w:lvlJc w:val="left"/>
      <w:pPr>
        <w:ind w:left="5760" w:hanging="360"/>
      </w:pPr>
      <w:rPr>
        <w:rFonts w:ascii="Courier New" w:hAnsi="Courier New" w:hint="default"/>
      </w:rPr>
    </w:lvl>
    <w:lvl w:ilvl="8" w:tplc="CC6E27D8">
      <w:start w:val="1"/>
      <w:numFmt w:val="bullet"/>
      <w:lvlText w:val=""/>
      <w:lvlJc w:val="left"/>
      <w:pPr>
        <w:ind w:left="6480" w:hanging="360"/>
      </w:pPr>
      <w:rPr>
        <w:rFonts w:ascii="Wingdings" w:hAnsi="Wingdings" w:hint="default"/>
      </w:rPr>
    </w:lvl>
  </w:abstractNum>
  <w:abstractNum w:abstractNumId="17" w15:restartNumberingAfterBreak="0">
    <w:nsid w:val="0E3C34D0"/>
    <w:multiLevelType w:val="hybridMultilevel"/>
    <w:tmpl w:val="AFD4F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E4D4BF4"/>
    <w:multiLevelType w:val="hybridMultilevel"/>
    <w:tmpl w:val="26666F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FE14AB0"/>
    <w:multiLevelType w:val="hybridMultilevel"/>
    <w:tmpl w:val="0B700A32"/>
    <w:lvl w:ilvl="0" w:tplc="4E848E92">
      <w:start w:val="2025"/>
      <w:numFmt w:val="bullet"/>
      <w:lvlText w:val="-"/>
      <w:lvlJc w:val="left"/>
      <w:pPr>
        <w:ind w:left="1080" w:hanging="360"/>
      </w:pPr>
      <w:rPr>
        <w:rFonts w:ascii="Aptos" w:eastAsiaTheme="minorHAnsi" w:hAnsi="Aptos"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12CD7E8F"/>
    <w:multiLevelType w:val="hybridMultilevel"/>
    <w:tmpl w:val="1A94E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5256AFE"/>
    <w:multiLevelType w:val="hybridMultilevel"/>
    <w:tmpl w:val="E57C53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74A0D5F"/>
    <w:multiLevelType w:val="hybridMultilevel"/>
    <w:tmpl w:val="FFFFFFFF"/>
    <w:lvl w:ilvl="0" w:tplc="EE5862A6">
      <w:start w:val="1"/>
      <w:numFmt w:val="bullet"/>
      <w:lvlText w:val=""/>
      <w:lvlJc w:val="left"/>
      <w:pPr>
        <w:ind w:left="360" w:hanging="360"/>
      </w:pPr>
      <w:rPr>
        <w:rFonts w:ascii="Symbol" w:hAnsi="Symbol" w:hint="default"/>
      </w:rPr>
    </w:lvl>
    <w:lvl w:ilvl="1" w:tplc="D8E4225A">
      <w:start w:val="1"/>
      <w:numFmt w:val="bullet"/>
      <w:lvlText w:val="o"/>
      <w:lvlJc w:val="left"/>
      <w:pPr>
        <w:ind w:left="1440" w:hanging="360"/>
      </w:pPr>
      <w:rPr>
        <w:rFonts w:ascii="Courier New" w:hAnsi="Courier New" w:hint="default"/>
      </w:rPr>
    </w:lvl>
    <w:lvl w:ilvl="2" w:tplc="3B164112">
      <w:start w:val="1"/>
      <w:numFmt w:val="bullet"/>
      <w:lvlText w:val=""/>
      <w:lvlJc w:val="left"/>
      <w:pPr>
        <w:ind w:left="2160" w:hanging="360"/>
      </w:pPr>
      <w:rPr>
        <w:rFonts w:ascii="Wingdings" w:hAnsi="Wingdings" w:hint="default"/>
      </w:rPr>
    </w:lvl>
    <w:lvl w:ilvl="3" w:tplc="C25A94FA">
      <w:start w:val="1"/>
      <w:numFmt w:val="bullet"/>
      <w:lvlText w:val=""/>
      <w:lvlJc w:val="left"/>
      <w:pPr>
        <w:ind w:left="2880" w:hanging="360"/>
      </w:pPr>
      <w:rPr>
        <w:rFonts w:ascii="Symbol" w:hAnsi="Symbol" w:hint="default"/>
      </w:rPr>
    </w:lvl>
    <w:lvl w:ilvl="4" w:tplc="AF08445C">
      <w:start w:val="1"/>
      <w:numFmt w:val="bullet"/>
      <w:lvlText w:val="o"/>
      <w:lvlJc w:val="left"/>
      <w:pPr>
        <w:ind w:left="3600" w:hanging="360"/>
      </w:pPr>
      <w:rPr>
        <w:rFonts w:ascii="Courier New" w:hAnsi="Courier New" w:hint="default"/>
      </w:rPr>
    </w:lvl>
    <w:lvl w:ilvl="5" w:tplc="CC42951C">
      <w:start w:val="1"/>
      <w:numFmt w:val="bullet"/>
      <w:lvlText w:val=""/>
      <w:lvlJc w:val="left"/>
      <w:pPr>
        <w:ind w:left="4320" w:hanging="360"/>
      </w:pPr>
      <w:rPr>
        <w:rFonts w:ascii="Wingdings" w:hAnsi="Wingdings" w:hint="default"/>
      </w:rPr>
    </w:lvl>
    <w:lvl w:ilvl="6" w:tplc="C0CC0D10">
      <w:start w:val="1"/>
      <w:numFmt w:val="bullet"/>
      <w:lvlText w:val=""/>
      <w:lvlJc w:val="left"/>
      <w:pPr>
        <w:ind w:left="5040" w:hanging="360"/>
      </w:pPr>
      <w:rPr>
        <w:rFonts w:ascii="Symbol" w:hAnsi="Symbol" w:hint="default"/>
      </w:rPr>
    </w:lvl>
    <w:lvl w:ilvl="7" w:tplc="7964904A">
      <w:start w:val="1"/>
      <w:numFmt w:val="bullet"/>
      <w:lvlText w:val="o"/>
      <w:lvlJc w:val="left"/>
      <w:pPr>
        <w:ind w:left="5760" w:hanging="360"/>
      </w:pPr>
      <w:rPr>
        <w:rFonts w:ascii="Courier New" w:hAnsi="Courier New" w:hint="default"/>
      </w:rPr>
    </w:lvl>
    <w:lvl w:ilvl="8" w:tplc="DCCAED38">
      <w:start w:val="1"/>
      <w:numFmt w:val="bullet"/>
      <w:lvlText w:val=""/>
      <w:lvlJc w:val="left"/>
      <w:pPr>
        <w:ind w:left="6480" w:hanging="360"/>
      </w:pPr>
      <w:rPr>
        <w:rFonts w:ascii="Wingdings" w:hAnsi="Wingdings" w:hint="default"/>
      </w:rPr>
    </w:lvl>
  </w:abstractNum>
  <w:abstractNum w:abstractNumId="23" w15:restartNumberingAfterBreak="0">
    <w:nsid w:val="17AE201C"/>
    <w:multiLevelType w:val="hybridMultilevel"/>
    <w:tmpl w:val="1BD870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8AC2712"/>
    <w:multiLevelType w:val="hybridMultilevel"/>
    <w:tmpl w:val="06BA5EE4"/>
    <w:lvl w:ilvl="0" w:tplc="DB7003AC">
      <w:start w:val="4"/>
      <w:numFmt w:val="upperLetter"/>
      <w:lvlText w:val="%1)"/>
      <w:lvlJc w:val="left"/>
      <w:pPr>
        <w:ind w:left="384" w:hanging="360"/>
      </w:pPr>
      <w:rPr>
        <w:rFonts w:hint="default"/>
        <w:sz w:val="22"/>
        <w:szCs w:val="22"/>
      </w:rPr>
    </w:lvl>
    <w:lvl w:ilvl="1" w:tplc="FFFFFFFF" w:tentative="1">
      <w:start w:val="1"/>
      <w:numFmt w:val="lowerLetter"/>
      <w:lvlText w:val="%2."/>
      <w:lvlJc w:val="left"/>
      <w:pPr>
        <w:ind w:left="1104" w:hanging="360"/>
      </w:pPr>
    </w:lvl>
    <w:lvl w:ilvl="2" w:tplc="FFFFFFFF" w:tentative="1">
      <w:start w:val="1"/>
      <w:numFmt w:val="lowerRoman"/>
      <w:lvlText w:val="%3."/>
      <w:lvlJc w:val="right"/>
      <w:pPr>
        <w:ind w:left="1824" w:hanging="180"/>
      </w:pPr>
    </w:lvl>
    <w:lvl w:ilvl="3" w:tplc="FFFFFFFF" w:tentative="1">
      <w:start w:val="1"/>
      <w:numFmt w:val="decimal"/>
      <w:lvlText w:val="%4."/>
      <w:lvlJc w:val="left"/>
      <w:pPr>
        <w:ind w:left="2544" w:hanging="360"/>
      </w:pPr>
    </w:lvl>
    <w:lvl w:ilvl="4" w:tplc="FFFFFFFF" w:tentative="1">
      <w:start w:val="1"/>
      <w:numFmt w:val="lowerLetter"/>
      <w:lvlText w:val="%5."/>
      <w:lvlJc w:val="left"/>
      <w:pPr>
        <w:ind w:left="3264" w:hanging="360"/>
      </w:pPr>
    </w:lvl>
    <w:lvl w:ilvl="5" w:tplc="FFFFFFFF" w:tentative="1">
      <w:start w:val="1"/>
      <w:numFmt w:val="lowerRoman"/>
      <w:lvlText w:val="%6."/>
      <w:lvlJc w:val="right"/>
      <w:pPr>
        <w:ind w:left="3984" w:hanging="180"/>
      </w:pPr>
    </w:lvl>
    <w:lvl w:ilvl="6" w:tplc="FFFFFFFF" w:tentative="1">
      <w:start w:val="1"/>
      <w:numFmt w:val="decimal"/>
      <w:lvlText w:val="%7."/>
      <w:lvlJc w:val="left"/>
      <w:pPr>
        <w:ind w:left="4704" w:hanging="360"/>
      </w:pPr>
    </w:lvl>
    <w:lvl w:ilvl="7" w:tplc="FFFFFFFF" w:tentative="1">
      <w:start w:val="1"/>
      <w:numFmt w:val="lowerLetter"/>
      <w:lvlText w:val="%8."/>
      <w:lvlJc w:val="left"/>
      <w:pPr>
        <w:ind w:left="5424" w:hanging="360"/>
      </w:pPr>
    </w:lvl>
    <w:lvl w:ilvl="8" w:tplc="FFFFFFFF" w:tentative="1">
      <w:start w:val="1"/>
      <w:numFmt w:val="lowerRoman"/>
      <w:lvlText w:val="%9."/>
      <w:lvlJc w:val="right"/>
      <w:pPr>
        <w:ind w:left="6144" w:hanging="180"/>
      </w:pPr>
    </w:lvl>
  </w:abstractNum>
  <w:abstractNum w:abstractNumId="25" w15:restartNumberingAfterBreak="0">
    <w:nsid w:val="18DE3AB3"/>
    <w:multiLevelType w:val="hybridMultilevel"/>
    <w:tmpl w:val="3050D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A2599AC"/>
    <w:multiLevelType w:val="hybridMultilevel"/>
    <w:tmpl w:val="FFFFFFFF"/>
    <w:lvl w:ilvl="0" w:tplc="AEC6988E">
      <w:start w:val="1"/>
      <w:numFmt w:val="bullet"/>
      <w:lvlText w:val=""/>
      <w:lvlJc w:val="left"/>
      <w:pPr>
        <w:ind w:left="720" w:hanging="360"/>
      </w:pPr>
      <w:rPr>
        <w:rFonts w:ascii="Symbol" w:hAnsi="Symbol" w:hint="default"/>
      </w:rPr>
    </w:lvl>
    <w:lvl w:ilvl="1" w:tplc="ED8E1D7C">
      <w:start w:val="1"/>
      <w:numFmt w:val="bullet"/>
      <w:lvlText w:val="o"/>
      <w:lvlJc w:val="left"/>
      <w:pPr>
        <w:ind w:left="1440" w:hanging="360"/>
      </w:pPr>
      <w:rPr>
        <w:rFonts w:ascii="Courier New" w:hAnsi="Courier New" w:hint="default"/>
      </w:rPr>
    </w:lvl>
    <w:lvl w:ilvl="2" w:tplc="6FFEF2A2">
      <w:start w:val="1"/>
      <w:numFmt w:val="bullet"/>
      <w:lvlText w:val=""/>
      <w:lvlJc w:val="left"/>
      <w:pPr>
        <w:ind w:left="2160" w:hanging="360"/>
      </w:pPr>
      <w:rPr>
        <w:rFonts w:ascii="Wingdings" w:hAnsi="Wingdings" w:hint="default"/>
      </w:rPr>
    </w:lvl>
    <w:lvl w:ilvl="3" w:tplc="BFC0E49E">
      <w:start w:val="1"/>
      <w:numFmt w:val="bullet"/>
      <w:lvlText w:val=""/>
      <w:lvlJc w:val="left"/>
      <w:pPr>
        <w:ind w:left="2880" w:hanging="360"/>
      </w:pPr>
      <w:rPr>
        <w:rFonts w:ascii="Symbol" w:hAnsi="Symbol" w:hint="default"/>
      </w:rPr>
    </w:lvl>
    <w:lvl w:ilvl="4" w:tplc="393E5854">
      <w:start w:val="1"/>
      <w:numFmt w:val="bullet"/>
      <w:lvlText w:val="o"/>
      <w:lvlJc w:val="left"/>
      <w:pPr>
        <w:ind w:left="3600" w:hanging="360"/>
      </w:pPr>
      <w:rPr>
        <w:rFonts w:ascii="Courier New" w:hAnsi="Courier New" w:hint="default"/>
      </w:rPr>
    </w:lvl>
    <w:lvl w:ilvl="5" w:tplc="193A3C7C">
      <w:start w:val="1"/>
      <w:numFmt w:val="bullet"/>
      <w:lvlText w:val=""/>
      <w:lvlJc w:val="left"/>
      <w:pPr>
        <w:ind w:left="4320" w:hanging="360"/>
      </w:pPr>
      <w:rPr>
        <w:rFonts w:ascii="Wingdings" w:hAnsi="Wingdings" w:hint="default"/>
      </w:rPr>
    </w:lvl>
    <w:lvl w:ilvl="6" w:tplc="AB3A7A9A">
      <w:start w:val="1"/>
      <w:numFmt w:val="bullet"/>
      <w:lvlText w:val=""/>
      <w:lvlJc w:val="left"/>
      <w:pPr>
        <w:ind w:left="5040" w:hanging="360"/>
      </w:pPr>
      <w:rPr>
        <w:rFonts w:ascii="Symbol" w:hAnsi="Symbol" w:hint="default"/>
      </w:rPr>
    </w:lvl>
    <w:lvl w:ilvl="7" w:tplc="C70E17C8">
      <w:start w:val="1"/>
      <w:numFmt w:val="bullet"/>
      <w:lvlText w:val="o"/>
      <w:lvlJc w:val="left"/>
      <w:pPr>
        <w:ind w:left="5760" w:hanging="360"/>
      </w:pPr>
      <w:rPr>
        <w:rFonts w:ascii="Courier New" w:hAnsi="Courier New" w:hint="default"/>
      </w:rPr>
    </w:lvl>
    <w:lvl w:ilvl="8" w:tplc="A168A740">
      <w:start w:val="1"/>
      <w:numFmt w:val="bullet"/>
      <w:lvlText w:val=""/>
      <w:lvlJc w:val="left"/>
      <w:pPr>
        <w:ind w:left="6480" w:hanging="360"/>
      </w:pPr>
      <w:rPr>
        <w:rFonts w:ascii="Wingdings" w:hAnsi="Wingdings" w:hint="default"/>
      </w:rPr>
    </w:lvl>
  </w:abstractNum>
  <w:abstractNum w:abstractNumId="27" w15:restartNumberingAfterBreak="0">
    <w:nsid w:val="1A9B60A6"/>
    <w:multiLevelType w:val="hybridMultilevel"/>
    <w:tmpl w:val="0CBE1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AD51A50"/>
    <w:multiLevelType w:val="hybridMultilevel"/>
    <w:tmpl w:val="FFFFFFFF"/>
    <w:lvl w:ilvl="0" w:tplc="DFA433E4">
      <w:start w:val="1"/>
      <w:numFmt w:val="bullet"/>
      <w:lvlText w:val=""/>
      <w:lvlJc w:val="left"/>
      <w:pPr>
        <w:ind w:left="720" w:hanging="360"/>
      </w:pPr>
      <w:rPr>
        <w:rFonts w:ascii="Symbol" w:hAnsi="Symbol" w:hint="default"/>
      </w:rPr>
    </w:lvl>
    <w:lvl w:ilvl="1" w:tplc="363879E4">
      <w:start w:val="1"/>
      <w:numFmt w:val="bullet"/>
      <w:lvlText w:val="o"/>
      <w:lvlJc w:val="left"/>
      <w:pPr>
        <w:ind w:left="1440" w:hanging="360"/>
      </w:pPr>
      <w:rPr>
        <w:rFonts w:ascii="Courier New" w:hAnsi="Courier New" w:hint="default"/>
      </w:rPr>
    </w:lvl>
    <w:lvl w:ilvl="2" w:tplc="9E28E388">
      <w:start w:val="1"/>
      <w:numFmt w:val="bullet"/>
      <w:lvlText w:val=""/>
      <w:lvlJc w:val="left"/>
      <w:pPr>
        <w:ind w:left="2160" w:hanging="360"/>
      </w:pPr>
      <w:rPr>
        <w:rFonts w:ascii="Wingdings" w:hAnsi="Wingdings" w:hint="default"/>
      </w:rPr>
    </w:lvl>
    <w:lvl w:ilvl="3" w:tplc="53429B84">
      <w:start w:val="1"/>
      <w:numFmt w:val="bullet"/>
      <w:lvlText w:val=""/>
      <w:lvlJc w:val="left"/>
      <w:pPr>
        <w:ind w:left="2880" w:hanging="360"/>
      </w:pPr>
      <w:rPr>
        <w:rFonts w:ascii="Symbol" w:hAnsi="Symbol" w:hint="default"/>
      </w:rPr>
    </w:lvl>
    <w:lvl w:ilvl="4" w:tplc="B24EED84">
      <w:start w:val="1"/>
      <w:numFmt w:val="bullet"/>
      <w:lvlText w:val="o"/>
      <w:lvlJc w:val="left"/>
      <w:pPr>
        <w:ind w:left="3600" w:hanging="360"/>
      </w:pPr>
      <w:rPr>
        <w:rFonts w:ascii="Courier New" w:hAnsi="Courier New" w:hint="default"/>
      </w:rPr>
    </w:lvl>
    <w:lvl w:ilvl="5" w:tplc="768AF870">
      <w:start w:val="1"/>
      <w:numFmt w:val="bullet"/>
      <w:lvlText w:val=""/>
      <w:lvlJc w:val="left"/>
      <w:pPr>
        <w:ind w:left="4320" w:hanging="360"/>
      </w:pPr>
      <w:rPr>
        <w:rFonts w:ascii="Wingdings" w:hAnsi="Wingdings" w:hint="default"/>
      </w:rPr>
    </w:lvl>
    <w:lvl w:ilvl="6" w:tplc="95A69B68">
      <w:start w:val="1"/>
      <w:numFmt w:val="bullet"/>
      <w:lvlText w:val=""/>
      <w:lvlJc w:val="left"/>
      <w:pPr>
        <w:ind w:left="5040" w:hanging="360"/>
      </w:pPr>
      <w:rPr>
        <w:rFonts w:ascii="Symbol" w:hAnsi="Symbol" w:hint="default"/>
      </w:rPr>
    </w:lvl>
    <w:lvl w:ilvl="7" w:tplc="567C31F6">
      <w:start w:val="1"/>
      <w:numFmt w:val="bullet"/>
      <w:lvlText w:val="o"/>
      <w:lvlJc w:val="left"/>
      <w:pPr>
        <w:ind w:left="5760" w:hanging="360"/>
      </w:pPr>
      <w:rPr>
        <w:rFonts w:ascii="Courier New" w:hAnsi="Courier New" w:hint="default"/>
      </w:rPr>
    </w:lvl>
    <w:lvl w:ilvl="8" w:tplc="164828AA">
      <w:start w:val="1"/>
      <w:numFmt w:val="bullet"/>
      <w:lvlText w:val=""/>
      <w:lvlJc w:val="left"/>
      <w:pPr>
        <w:ind w:left="6480" w:hanging="360"/>
      </w:pPr>
      <w:rPr>
        <w:rFonts w:ascii="Wingdings" w:hAnsi="Wingdings" w:hint="default"/>
      </w:rPr>
    </w:lvl>
  </w:abstractNum>
  <w:abstractNum w:abstractNumId="29" w15:restartNumberingAfterBreak="0">
    <w:nsid w:val="1B460FC9"/>
    <w:multiLevelType w:val="hybridMultilevel"/>
    <w:tmpl w:val="89A4DF22"/>
    <w:lvl w:ilvl="0" w:tplc="C3FE9610">
      <w:start w:val="8"/>
      <w:numFmt w:val="bullet"/>
      <w:lvlText w:val="-"/>
      <w:lvlJc w:val="left"/>
      <w:pPr>
        <w:ind w:left="720" w:hanging="360"/>
      </w:pPr>
      <w:rPr>
        <w:rFonts w:ascii="Aptos" w:eastAsiaTheme="minorHAnsi"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BC21974"/>
    <w:multiLevelType w:val="hybridMultilevel"/>
    <w:tmpl w:val="56427E18"/>
    <w:lvl w:ilvl="0" w:tplc="C3FE9610">
      <w:start w:val="8"/>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C300E53"/>
    <w:multiLevelType w:val="hybridMultilevel"/>
    <w:tmpl w:val="74682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E054E1B"/>
    <w:multiLevelType w:val="hybridMultilevel"/>
    <w:tmpl w:val="4B8CB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E316DD2"/>
    <w:multiLevelType w:val="hybridMultilevel"/>
    <w:tmpl w:val="E11800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0E51CCA"/>
    <w:multiLevelType w:val="hybridMultilevel"/>
    <w:tmpl w:val="41BACF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2CE02B5"/>
    <w:multiLevelType w:val="hybridMultilevel"/>
    <w:tmpl w:val="015CA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3703E8F"/>
    <w:multiLevelType w:val="hybridMultilevel"/>
    <w:tmpl w:val="90160F08"/>
    <w:lvl w:ilvl="0" w:tplc="18083DB4">
      <w:start w:val="1"/>
      <w:numFmt w:val="bullet"/>
      <w:lvlText w:val=""/>
      <w:lvlJc w:val="left"/>
      <w:pPr>
        <w:ind w:left="1020" w:hanging="360"/>
      </w:pPr>
      <w:rPr>
        <w:rFonts w:ascii="Symbol" w:hAnsi="Symbol"/>
      </w:rPr>
    </w:lvl>
    <w:lvl w:ilvl="1" w:tplc="B058D700">
      <w:start w:val="1"/>
      <w:numFmt w:val="bullet"/>
      <w:lvlText w:val=""/>
      <w:lvlJc w:val="left"/>
      <w:pPr>
        <w:ind w:left="1020" w:hanging="360"/>
      </w:pPr>
      <w:rPr>
        <w:rFonts w:ascii="Symbol" w:hAnsi="Symbol"/>
      </w:rPr>
    </w:lvl>
    <w:lvl w:ilvl="2" w:tplc="CF4E69D8">
      <w:start w:val="1"/>
      <w:numFmt w:val="bullet"/>
      <w:lvlText w:val=""/>
      <w:lvlJc w:val="left"/>
      <w:pPr>
        <w:ind w:left="1020" w:hanging="360"/>
      </w:pPr>
      <w:rPr>
        <w:rFonts w:ascii="Symbol" w:hAnsi="Symbol"/>
      </w:rPr>
    </w:lvl>
    <w:lvl w:ilvl="3" w:tplc="E5C0AD5C">
      <w:start w:val="1"/>
      <w:numFmt w:val="bullet"/>
      <w:lvlText w:val=""/>
      <w:lvlJc w:val="left"/>
      <w:pPr>
        <w:ind w:left="1020" w:hanging="360"/>
      </w:pPr>
      <w:rPr>
        <w:rFonts w:ascii="Symbol" w:hAnsi="Symbol"/>
      </w:rPr>
    </w:lvl>
    <w:lvl w:ilvl="4" w:tplc="193A49B4">
      <w:start w:val="1"/>
      <w:numFmt w:val="bullet"/>
      <w:lvlText w:val=""/>
      <w:lvlJc w:val="left"/>
      <w:pPr>
        <w:ind w:left="1020" w:hanging="360"/>
      </w:pPr>
      <w:rPr>
        <w:rFonts w:ascii="Symbol" w:hAnsi="Symbol"/>
      </w:rPr>
    </w:lvl>
    <w:lvl w:ilvl="5" w:tplc="D522FA52">
      <w:start w:val="1"/>
      <w:numFmt w:val="bullet"/>
      <w:lvlText w:val=""/>
      <w:lvlJc w:val="left"/>
      <w:pPr>
        <w:ind w:left="1020" w:hanging="360"/>
      </w:pPr>
      <w:rPr>
        <w:rFonts w:ascii="Symbol" w:hAnsi="Symbol"/>
      </w:rPr>
    </w:lvl>
    <w:lvl w:ilvl="6" w:tplc="D5DA9352">
      <w:start w:val="1"/>
      <w:numFmt w:val="bullet"/>
      <w:lvlText w:val=""/>
      <w:lvlJc w:val="left"/>
      <w:pPr>
        <w:ind w:left="1020" w:hanging="360"/>
      </w:pPr>
      <w:rPr>
        <w:rFonts w:ascii="Symbol" w:hAnsi="Symbol"/>
      </w:rPr>
    </w:lvl>
    <w:lvl w:ilvl="7" w:tplc="20B4E3D4">
      <w:start w:val="1"/>
      <w:numFmt w:val="bullet"/>
      <w:lvlText w:val=""/>
      <w:lvlJc w:val="left"/>
      <w:pPr>
        <w:ind w:left="1020" w:hanging="360"/>
      </w:pPr>
      <w:rPr>
        <w:rFonts w:ascii="Symbol" w:hAnsi="Symbol"/>
      </w:rPr>
    </w:lvl>
    <w:lvl w:ilvl="8" w:tplc="E8408D60">
      <w:start w:val="1"/>
      <w:numFmt w:val="bullet"/>
      <w:lvlText w:val=""/>
      <w:lvlJc w:val="left"/>
      <w:pPr>
        <w:ind w:left="1020" w:hanging="360"/>
      </w:pPr>
      <w:rPr>
        <w:rFonts w:ascii="Symbol" w:hAnsi="Symbol"/>
      </w:rPr>
    </w:lvl>
  </w:abstractNum>
  <w:abstractNum w:abstractNumId="37" w15:restartNumberingAfterBreak="0">
    <w:nsid w:val="24517223"/>
    <w:multiLevelType w:val="hybridMultilevel"/>
    <w:tmpl w:val="EA988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55AAEEC"/>
    <w:multiLevelType w:val="hybridMultilevel"/>
    <w:tmpl w:val="FFFFFFFF"/>
    <w:lvl w:ilvl="0" w:tplc="2D82238A">
      <w:start w:val="1"/>
      <w:numFmt w:val="bullet"/>
      <w:lvlText w:val=""/>
      <w:lvlJc w:val="left"/>
      <w:pPr>
        <w:ind w:left="720" w:hanging="360"/>
      </w:pPr>
      <w:rPr>
        <w:rFonts w:ascii="Symbol" w:hAnsi="Symbol" w:hint="default"/>
      </w:rPr>
    </w:lvl>
    <w:lvl w:ilvl="1" w:tplc="DB9EC900">
      <w:start w:val="1"/>
      <w:numFmt w:val="bullet"/>
      <w:lvlText w:val="o"/>
      <w:lvlJc w:val="left"/>
      <w:pPr>
        <w:ind w:left="1440" w:hanging="360"/>
      </w:pPr>
      <w:rPr>
        <w:rFonts w:ascii="Courier New" w:hAnsi="Courier New" w:hint="default"/>
      </w:rPr>
    </w:lvl>
    <w:lvl w:ilvl="2" w:tplc="909AE46C">
      <w:start w:val="1"/>
      <w:numFmt w:val="bullet"/>
      <w:lvlText w:val=""/>
      <w:lvlJc w:val="left"/>
      <w:pPr>
        <w:ind w:left="2160" w:hanging="360"/>
      </w:pPr>
      <w:rPr>
        <w:rFonts w:ascii="Wingdings" w:hAnsi="Wingdings" w:hint="default"/>
      </w:rPr>
    </w:lvl>
    <w:lvl w:ilvl="3" w:tplc="B7AE0AE8">
      <w:start w:val="1"/>
      <w:numFmt w:val="bullet"/>
      <w:lvlText w:val=""/>
      <w:lvlJc w:val="left"/>
      <w:pPr>
        <w:ind w:left="2880" w:hanging="360"/>
      </w:pPr>
      <w:rPr>
        <w:rFonts w:ascii="Symbol" w:hAnsi="Symbol" w:hint="default"/>
      </w:rPr>
    </w:lvl>
    <w:lvl w:ilvl="4" w:tplc="E7786F8C">
      <w:start w:val="1"/>
      <w:numFmt w:val="bullet"/>
      <w:lvlText w:val="o"/>
      <w:lvlJc w:val="left"/>
      <w:pPr>
        <w:ind w:left="3600" w:hanging="360"/>
      </w:pPr>
      <w:rPr>
        <w:rFonts w:ascii="Courier New" w:hAnsi="Courier New" w:hint="default"/>
      </w:rPr>
    </w:lvl>
    <w:lvl w:ilvl="5" w:tplc="D70A48B4">
      <w:start w:val="1"/>
      <w:numFmt w:val="bullet"/>
      <w:lvlText w:val=""/>
      <w:lvlJc w:val="left"/>
      <w:pPr>
        <w:ind w:left="4320" w:hanging="360"/>
      </w:pPr>
      <w:rPr>
        <w:rFonts w:ascii="Wingdings" w:hAnsi="Wingdings" w:hint="default"/>
      </w:rPr>
    </w:lvl>
    <w:lvl w:ilvl="6" w:tplc="B200453C">
      <w:start w:val="1"/>
      <w:numFmt w:val="bullet"/>
      <w:lvlText w:val=""/>
      <w:lvlJc w:val="left"/>
      <w:pPr>
        <w:ind w:left="5040" w:hanging="360"/>
      </w:pPr>
      <w:rPr>
        <w:rFonts w:ascii="Symbol" w:hAnsi="Symbol" w:hint="default"/>
      </w:rPr>
    </w:lvl>
    <w:lvl w:ilvl="7" w:tplc="7938E01A">
      <w:start w:val="1"/>
      <w:numFmt w:val="bullet"/>
      <w:lvlText w:val="o"/>
      <w:lvlJc w:val="left"/>
      <w:pPr>
        <w:ind w:left="5760" w:hanging="360"/>
      </w:pPr>
      <w:rPr>
        <w:rFonts w:ascii="Courier New" w:hAnsi="Courier New" w:hint="default"/>
      </w:rPr>
    </w:lvl>
    <w:lvl w:ilvl="8" w:tplc="F30C9FAE">
      <w:start w:val="1"/>
      <w:numFmt w:val="bullet"/>
      <w:lvlText w:val=""/>
      <w:lvlJc w:val="left"/>
      <w:pPr>
        <w:ind w:left="6480" w:hanging="360"/>
      </w:pPr>
      <w:rPr>
        <w:rFonts w:ascii="Wingdings" w:hAnsi="Wingdings" w:hint="default"/>
      </w:rPr>
    </w:lvl>
  </w:abstractNum>
  <w:abstractNum w:abstractNumId="39" w15:restartNumberingAfterBreak="0">
    <w:nsid w:val="27F99942"/>
    <w:multiLevelType w:val="hybridMultilevel"/>
    <w:tmpl w:val="FFFFFFFF"/>
    <w:lvl w:ilvl="0" w:tplc="A022B41C">
      <w:start w:val="1"/>
      <w:numFmt w:val="bullet"/>
      <w:lvlText w:val=""/>
      <w:lvlJc w:val="left"/>
      <w:pPr>
        <w:ind w:left="720" w:hanging="360"/>
      </w:pPr>
      <w:rPr>
        <w:rFonts w:ascii="Symbol" w:hAnsi="Symbol" w:hint="default"/>
      </w:rPr>
    </w:lvl>
    <w:lvl w:ilvl="1" w:tplc="109A64F4">
      <w:start w:val="1"/>
      <w:numFmt w:val="bullet"/>
      <w:lvlText w:val="o"/>
      <w:lvlJc w:val="left"/>
      <w:pPr>
        <w:ind w:left="1440" w:hanging="360"/>
      </w:pPr>
      <w:rPr>
        <w:rFonts w:ascii="Courier New" w:hAnsi="Courier New" w:hint="default"/>
      </w:rPr>
    </w:lvl>
    <w:lvl w:ilvl="2" w:tplc="840C4528">
      <w:start w:val="1"/>
      <w:numFmt w:val="bullet"/>
      <w:lvlText w:val=""/>
      <w:lvlJc w:val="left"/>
      <w:pPr>
        <w:ind w:left="2160" w:hanging="360"/>
      </w:pPr>
      <w:rPr>
        <w:rFonts w:ascii="Wingdings" w:hAnsi="Wingdings" w:hint="default"/>
      </w:rPr>
    </w:lvl>
    <w:lvl w:ilvl="3" w:tplc="8ACC5BD4">
      <w:start w:val="1"/>
      <w:numFmt w:val="bullet"/>
      <w:lvlText w:val=""/>
      <w:lvlJc w:val="left"/>
      <w:pPr>
        <w:ind w:left="2880" w:hanging="360"/>
      </w:pPr>
      <w:rPr>
        <w:rFonts w:ascii="Symbol" w:hAnsi="Symbol" w:hint="default"/>
      </w:rPr>
    </w:lvl>
    <w:lvl w:ilvl="4" w:tplc="6F688354">
      <w:start w:val="1"/>
      <w:numFmt w:val="bullet"/>
      <w:lvlText w:val="o"/>
      <w:lvlJc w:val="left"/>
      <w:pPr>
        <w:ind w:left="3600" w:hanging="360"/>
      </w:pPr>
      <w:rPr>
        <w:rFonts w:ascii="Courier New" w:hAnsi="Courier New" w:hint="default"/>
      </w:rPr>
    </w:lvl>
    <w:lvl w:ilvl="5" w:tplc="B600C826">
      <w:start w:val="1"/>
      <w:numFmt w:val="bullet"/>
      <w:lvlText w:val=""/>
      <w:lvlJc w:val="left"/>
      <w:pPr>
        <w:ind w:left="4320" w:hanging="360"/>
      </w:pPr>
      <w:rPr>
        <w:rFonts w:ascii="Wingdings" w:hAnsi="Wingdings" w:hint="default"/>
      </w:rPr>
    </w:lvl>
    <w:lvl w:ilvl="6" w:tplc="F9E46928">
      <w:start w:val="1"/>
      <w:numFmt w:val="bullet"/>
      <w:lvlText w:val=""/>
      <w:lvlJc w:val="left"/>
      <w:pPr>
        <w:ind w:left="5040" w:hanging="360"/>
      </w:pPr>
      <w:rPr>
        <w:rFonts w:ascii="Symbol" w:hAnsi="Symbol" w:hint="default"/>
      </w:rPr>
    </w:lvl>
    <w:lvl w:ilvl="7" w:tplc="B5900168">
      <w:start w:val="1"/>
      <w:numFmt w:val="bullet"/>
      <w:lvlText w:val="o"/>
      <w:lvlJc w:val="left"/>
      <w:pPr>
        <w:ind w:left="5760" w:hanging="360"/>
      </w:pPr>
      <w:rPr>
        <w:rFonts w:ascii="Courier New" w:hAnsi="Courier New" w:hint="default"/>
      </w:rPr>
    </w:lvl>
    <w:lvl w:ilvl="8" w:tplc="5C687ABC">
      <w:start w:val="1"/>
      <w:numFmt w:val="bullet"/>
      <w:lvlText w:val=""/>
      <w:lvlJc w:val="left"/>
      <w:pPr>
        <w:ind w:left="6480" w:hanging="360"/>
      </w:pPr>
      <w:rPr>
        <w:rFonts w:ascii="Wingdings" w:hAnsi="Wingdings" w:hint="default"/>
      </w:rPr>
    </w:lvl>
  </w:abstractNum>
  <w:abstractNum w:abstractNumId="40" w15:restartNumberingAfterBreak="0">
    <w:nsid w:val="281FC675"/>
    <w:multiLevelType w:val="hybridMultilevel"/>
    <w:tmpl w:val="FFFFFFFF"/>
    <w:lvl w:ilvl="0" w:tplc="A98ABAB4">
      <w:start w:val="1"/>
      <w:numFmt w:val="bullet"/>
      <w:lvlText w:val=""/>
      <w:lvlJc w:val="left"/>
      <w:pPr>
        <w:ind w:left="720" w:hanging="360"/>
      </w:pPr>
      <w:rPr>
        <w:rFonts w:ascii="Symbol" w:hAnsi="Symbol" w:hint="default"/>
      </w:rPr>
    </w:lvl>
    <w:lvl w:ilvl="1" w:tplc="F9A6112A">
      <w:start w:val="1"/>
      <w:numFmt w:val="bullet"/>
      <w:lvlText w:val="o"/>
      <w:lvlJc w:val="left"/>
      <w:pPr>
        <w:ind w:left="1440" w:hanging="360"/>
      </w:pPr>
      <w:rPr>
        <w:rFonts w:ascii="Courier New" w:hAnsi="Courier New" w:hint="default"/>
      </w:rPr>
    </w:lvl>
    <w:lvl w:ilvl="2" w:tplc="D69829F6">
      <w:start w:val="1"/>
      <w:numFmt w:val="bullet"/>
      <w:lvlText w:val=""/>
      <w:lvlJc w:val="left"/>
      <w:pPr>
        <w:ind w:left="2160" w:hanging="360"/>
      </w:pPr>
      <w:rPr>
        <w:rFonts w:ascii="Wingdings" w:hAnsi="Wingdings" w:hint="default"/>
      </w:rPr>
    </w:lvl>
    <w:lvl w:ilvl="3" w:tplc="0B8077E6">
      <w:start w:val="1"/>
      <w:numFmt w:val="bullet"/>
      <w:lvlText w:val=""/>
      <w:lvlJc w:val="left"/>
      <w:pPr>
        <w:ind w:left="2880" w:hanging="360"/>
      </w:pPr>
      <w:rPr>
        <w:rFonts w:ascii="Symbol" w:hAnsi="Symbol" w:hint="default"/>
      </w:rPr>
    </w:lvl>
    <w:lvl w:ilvl="4" w:tplc="3F78467E">
      <w:start w:val="1"/>
      <w:numFmt w:val="bullet"/>
      <w:lvlText w:val="o"/>
      <w:lvlJc w:val="left"/>
      <w:pPr>
        <w:ind w:left="3600" w:hanging="360"/>
      </w:pPr>
      <w:rPr>
        <w:rFonts w:ascii="Courier New" w:hAnsi="Courier New" w:hint="default"/>
      </w:rPr>
    </w:lvl>
    <w:lvl w:ilvl="5" w:tplc="AAE6C8B4">
      <w:start w:val="1"/>
      <w:numFmt w:val="bullet"/>
      <w:lvlText w:val=""/>
      <w:lvlJc w:val="left"/>
      <w:pPr>
        <w:ind w:left="4320" w:hanging="360"/>
      </w:pPr>
      <w:rPr>
        <w:rFonts w:ascii="Wingdings" w:hAnsi="Wingdings" w:hint="default"/>
      </w:rPr>
    </w:lvl>
    <w:lvl w:ilvl="6" w:tplc="2D40461E">
      <w:start w:val="1"/>
      <w:numFmt w:val="bullet"/>
      <w:lvlText w:val=""/>
      <w:lvlJc w:val="left"/>
      <w:pPr>
        <w:ind w:left="5040" w:hanging="360"/>
      </w:pPr>
      <w:rPr>
        <w:rFonts w:ascii="Symbol" w:hAnsi="Symbol" w:hint="default"/>
      </w:rPr>
    </w:lvl>
    <w:lvl w:ilvl="7" w:tplc="41826D5C">
      <w:start w:val="1"/>
      <w:numFmt w:val="bullet"/>
      <w:lvlText w:val="o"/>
      <w:lvlJc w:val="left"/>
      <w:pPr>
        <w:ind w:left="5760" w:hanging="360"/>
      </w:pPr>
      <w:rPr>
        <w:rFonts w:ascii="Courier New" w:hAnsi="Courier New" w:hint="default"/>
      </w:rPr>
    </w:lvl>
    <w:lvl w:ilvl="8" w:tplc="0428DB80">
      <w:start w:val="1"/>
      <w:numFmt w:val="bullet"/>
      <w:lvlText w:val=""/>
      <w:lvlJc w:val="left"/>
      <w:pPr>
        <w:ind w:left="6480" w:hanging="360"/>
      </w:pPr>
      <w:rPr>
        <w:rFonts w:ascii="Wingdings" w:hAnsi="Wingdings" w:hint="default"/>
      </w:rPr>
    </w:lvl>
  </w:abstractNum>
  <w:abstractNum w:abstractNumId="41" w15:restartNumberingAfterBreak="0">
    <w:nsid w:val="29F5070E"/>
    <w:multiLevelType w:val="hybridMultilevel"/>
    <w:tmpl w:val="FFFFFFFF"/>
    <w:lvl w:ilvl="0" w:tplc="6506EF4E">
      <w:start w:val="1"/>
      <w:numFmt w:val="bullet"/>
      <w:lvlText w:val=""/>
      <w:lvlJc w:val="left"/>
      <w:pPr>
        <w:ind w:left="720" w:hanging="360"/>
      </w:pPr>
      <w:rPr>
        <w:rFonts w:ascii="Symbol" w:hAnsi="Symbol" w:hint="default"/>
      </w:rPr>
    </w:lvl>
    <w:lvl w:ilvl="1" w:tplc="09B8455A">
      <w:start w:val="1"/>
      <w:numFmt w:val="bullet"/>
      <w:lvlText w:val="o"/>
      <w:lvlJc w:val="left"/>
      <w:pPr>
        <w:ind w:left="1440" w:hanging="360"/>
      </w:pPr>
      <w:rPr>
        <w:rFonts w:ascii="Courier New" w:hAnsi="Courier New" w:hint="default"/>
      </w:rPr>
    </w:lvl>
    <w:lvl w:ilvl="2" w:tplc="00506C24">
      <w:start w:val="1"/>
      <w:numFmt w:val="bullet"/>
      <w:lvlText w:val=""/>
      <w:lvlJc w:val="left"/>
      <w:pPr>
        <w:ind w:left="2160" w:hanging="360"/>
      </w:pPr>
      <w:rPr>
        <w:rFonts w:ascii="Wingdings" w:hAnsi="Wingdings" w:hint="default"/>
      </w:rPr>
    </w:lvl>
    <w:lvl w:ilvl="3" w:tplc="08C4BBB6">
      <w:start w:val="1"/>
      <w:numFmt w:val="bullet"/>
      <w:lvlText w:val=""/>
      <w:lvlJc w:val="left"/>
      <w:pPr>
        <w:ind w:left="2880" w:hanging="360"/>
      </w:pPr>
      <w:rPr>
        <w:rFonts w:ascii="Symbol" w:hAnsi="Symbol" w:hint="default"/>
      </w:rPr>
    </w:lvl>
    <w:lvl w:ilvl="4" w:tplc="B7C47AF4">
      <w:start w:val="1"/>
      <w:numFmt w:val="bullet"/>
      <w:lvlText w:val="o"/>
      <w:lvlJc w:val="left"/>
      <w:pPr>
        <w:ind w:left="3600" w:hanging="360"/>
      </w:pPr>
      <w:rPr>
        <w:rFonts w:ascii="Courier New" w:hAnsi="Courier New" w:hint="default"/>
      </w:rPr>
    </w:lvl>
    <w:lvl w:ilvl="5" w:tplc="7B7013DC">
      <w:start w:val="1"/>
      <w:numFmt w:val="bullet"/>
      <w:lvlText w:val=""/>
      <w:lvlJc w:val="left"/>
      <w:pPr>
        <w:ind w:left="4320" w:hanging="360"/>
      </w:pPr>
      <w:rPr>
        <w:rFonts w:ascii="Wingdings" w:hAnsi="Wingdings" w:hint="default"/>
      </w:rPr>
    </w:lvl>
    <w:lvl w:ilvl="6" w:tplc="5D5AD0B6">
      <w:start w:val="1"/>
      <w:numFmt w:val="bullet"/>
      <w:lvlText w:val=""/>
      <w:lvlJc w:val="left"/>
      <w:pPr>
        <w:ind w:left="5040" w:hanging="360"/>
      </w:pPr>
      <w:rPr>
        <w:rFonts w:ascii="Symbol" w:hAnsi="Symbol" w:hint="default"/>
      </w:rPr>
    </w:lvl>
    <w:lvl w:ilvl="7" w:tplc="70F250AA">
      <w:start w:val="1"/>
      <w:numFmt w:val="bullet"/>
      <w:lvlText w:val="o"/>
      <w:lvlJc w:val="left"/>
      <w:pPr>
        <w:ind w:left="5760" w:hanging="360"/>
      </w:pPr>
      <w:rPr>
        <w:rFonts w:ascii="Courier New" w:hAnsi="Courier New" w:hint="default"/>
      </w:rPr>
    </w:lvl>
    <w:lvl w:ilvl="8" w:tplc="1512D24C">
      <w:start w:val="1"/>
      <w:numFmt w:val="bullet"/>
      <w:lvlText w:val=""/>
      <w:lvlJc w:val="left"/>
      <w:pPr>
        <w:ind w:left="6480" w:hanging="360"/>
      </w:pPr>
      <w:rPr>
        <w:rFonts w:ascii="Wingdings" w:hAnsi="Wingdings" w:hint="default"/>
      </w:rPr>
    </w:lvl>
  </w:abstractNum>
  <w:abstractNum w:abstractNumId="42" w15:restartNumberingAfterBreak="0">
    <w:nsid w:val="2F800E11"/>
    <w:multiLevelType w:val="hybridMultilevel"/>
    <w:tmpl w:val="CA500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FC5596E"/>
    <w:multiLevelType w:val="hybridMultilevel"/>
    <w:tmpl w:val="1D826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0183992"/>
    <w:multiLevelType w:val="hybridMultilevel"/>
    <w:tmpl w:val="9E1660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07529F8"/>
    <w:multiLevelType w:val="multilevel"/>
    <w:tmpl w:val="A06266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0B97171"/>
    <w:multiLevelType w:val="hybridMultilevel"/>
    <w:tmpl w:val="75085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1485598"/>
    <w:multiLevelType w:val="hybridMultilevel"/>
    <w:tmpl w:val="E4B8E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1A8387C"/>
    <w:multiLevelType w:val="hybridMultilevel"/>
    <w:tmpl w:val="902EAB68"/>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1F860E4"/>
    <w:multiLevelType w:val="hybridMultilevel"/>
    <w:tmpl w:val="FFFFFFFF"/>
    <w:lvl w:ilvl="0" w:tplc="D264BD94">
      <w:start w:val="1"/>
      <w:numFmt w:val="bullet"/>
      <w:lvlText w:val="·"/>
      <w:lvlJc w:val="left"/>
      <w:pPr>
        <w:ind w:left="720" w:hanging="360"/>
      </w:pPr>
      <w:rPr>
        <w:rFonts w:ascii="Symbol" w:hAnsi="Symbol" w:hint="default"/>
      </w:rPr>
    </w:lvl>
    <w:lvl w:ilvl="1" w:tplc="8EDE82EE">
      <w:start w:val="1"/>
      <w:numFmt w:val="bullet"/>
      <w:lvlText w:val="o"/>
      <w:lvlJc w:val="left"/>
      <w:pPr>
        <w:ind w:left="1440" w:hanging="360"/>
      </w:pPr>
      <w:rPr>
        <w:rFonts w:ascii="Courier New" w:hAnsi="Courier New" w:hint="default"/>
      </w:rPr>
    </w:lvl>
    <w:lvl w:ilvl="2" w:tplc="8C44A358">
      <w:start w:val="1"/>
      <w:numFmt w:val="bullet"/>
      <w:lvlText w:val=""/>
      <w:lvlJc w:val="left"/>
      <w:pPr>
        <w:ind w:left="2160" w:hanging="360"/>
      </w:pPr>
      <w:rPr>
        <w:rFonts w:ascii="Wingdings" w:hAnsi="Wingdings" w:hint="default"/>
      </w:rPr>
    </w:lvl>
    <w:lvl w:ilvl="3" w:tplc="EE06E242">
      <w:start w:val="1"/>
      <w:numFmt w:val="bullet"/>
      <w:lvlText w:val=""/>
      <w:lvlJc w:val="left"/>
      <w:pPr>
        <w:ind w:left="2880" w:hanging="360"/>
      </w:pPr>
      <w:rPr>
        <w:rFonts w:ascii="Symbol" w:hAnsi="Symbol" w:hint="default"/>
      </w:rPr>
    </w:lvl>
    <w:lvl w:ilvl="4" w:tplc="AB00A596">
      <w:start w:val="1"/>
      <w:numFmt w:val="bullet"/>
      <w:lvlText w:val="o"/>
      <w:lvlJc w:val="left"/>
      <w:pPr>
        <w:ind w:left="3600" w:hanging="360"/>
      </w:pPr>
      <w:rPr>
        <w:rFonts w:ascii="Courier New" w:hAnsi="Courier New" w:hint="default"/>
      </w:rPr>
    </w:lvl>
    <w:lvl w:ilvl="5" w:tplc="D76E4F52">
      <w:start w:val="1"/>
      <w:numFmt w:val="bullet"/>
      <w:lvlText w:val=""/>
      <w:lvlJc w:val="left"/>
      <w:pPr>
        <w:ind w:left="4320" w:hanging="360"/>
      </w:pPr>
      <w:rPr>
        <w:rFonts w:ascii="Wingdings" w:hAnsi="Wingdings" w:hint="default"/>
      </w:rPr>
    </w:lvl>
    <w:lvl w:ilvl="6" w:tplc="7D9AE5DE">
      <w:start w:val="1"/>
      <w:numFmt w:val="bullet"/>
      <w:lvlText w:val=""/>
      <w:lvlJc w:val="left"/>
      <w:pPr>
        <w:ind w:left="5040" w:hanging="360"/>
      </w:pPr>
      <w:rPr>
        <w:rFonts w:ascii="Symbol" w:hAnsi="Symbol" w:hint="default"/>
      </w:rPr>
    </w:lvl>
    <w:lvl w:ilvl="7" w:tplc="20D86E6E">
      <w:start w:val="1"/>
      <w:numFmt w:val="bullet"/>
      <w:lvlText w:val="o"/>
      <w:lvlJc w:val="left"/>
      <w:pPr>
        <w:ind w:left="5760" w:hanging="360"/>
      </w:pPr>
      <w:rPr>
        <w:rFonts w:ascii="Courier New" w:hAnsi="Courier New" w:hint="default"/>
      </w:rPr>
    </w:lvl>
    <w:lvl w:ilvl="8" w:tplc="D59C3A46">
      <w:start w:val="1"/>
      <w:numFmt w:val="bullet"/>
      <w:lvlText w:val=""/>
      <w:lvlJc w:val="left"/>
      <w:pPr>
        <w:ind w:left="6480" w:hanging="360"/>
      </w:pPr>
      <w:rPr>
        <w:rFonts w:ascii="Wingdings" w:hAnsi="Wingdings" w:hint="default"/>
      </w:rPr>
    </w:lvl>
  </w:abstractNum>
  <w:abstractNum w:abstractNumId="50" w15:restartNumberingAfterBreak="0">
    <w:nsid w:val="32FB28E6"/>
    <w:multiLevelType w:val="hybridMultilevel"/>
    <w:tmpl w:val="FFFFFFFF"/>
    <w:lvl w:ilvl="0" w:tplc="29003F58">
      <w:start w:val="1"/>
      <w:numFmt w:val="bullet"/>
      <w:lvlText w:val=""/>
      <w:lvlJc w:val="left"/>
      <w:pPr>
        <w:ind w:left="720" w:hanging="360"/>
      </w:pPr>
      <w:rPr>
        <w:rFonts w:ascii="Symbol" w:hAnsi="Symbol" w:hint="default"/>
      </w:rPr>
    </w:lvl>
    <w:lvl w:ilvl="1" w:tplc="885CC16A">
      <w:start w:val="1"/>
      <w:numFmt w:val="bullet"/>
      <w:lvlText w:val="o"/>
      <w:lvlJc w:val="left"/>
      <w:pPr>
        <w:ind w:left="1440" w:hanging="360"/>
      </w:pPr>
      <w:rPr>
        <w:rFonts w:ascii="Courier New" w:hAnsi="Courier New" w:hint="default"/>
      </w:rPr>
    </w:lvl>
    <w:lvl w:ilvl="2" w:tplc="998AADFE">
      <w:start w:val="1"/>
      <w:numFmt w:val="bullet"/>
      <w:lvlText w:val=""/>
      <w:lvlJc w:val="left"/>
      <w:pPr>
        <w:ind w:left="2160" w:hanging="360"/>
      </w:pPr>
      <w:rPr>
        <w:rFonts w:ascii="Wingdings" w:hAnsi="Wingdings" w:hint="default"/>
      </w:rPr>
    </w:lvl>
    <w:lvl w:ilvl="3" w:tplc="69C886FA">
      <w:start w:val="1"/>
      <w:numFmt w:val="bullet"/>
      <w:lvlText w:val=""/>
      <w:lvlJc w:val="left"/>
      <w:pPr>
        <w:ind w:left="2880" w:hanging="360"/>
      </w:pPr>
      <w:rPr>
        <w:rFonts w:ascii="Symbol" w:hAnsi="Symbol" w:hint="default"/>
      </w:rPr>
    </w:lvl>
    <w:lvl w:ilvl="4" w:tplc="87821172">
      <w:start w:val="1"/>
      <w:numFmt w:val="bullet"/>
      <w:lvlText w:val="o"/>
      <w:lvlJc w:val="left"/>
      <w:pPr>
        <w:ind w:left="3600" w:hanging="360"/>
      </w:pPr>
      <w:rPr>
        <w:rFonts w:ascii="Courier New" w:hAnsi="Courier New" w:hint="default"/>
      </w:rPr>
    </w:lvl>
    <w:lvl w:ilvl="5" w:tplc="ADA8B4D4">
      <w:start w:val="1"/>
      <w:numFmt w:val="bullet"/>
      <w:lvlText w:val=""/>
      <w:lvlJc w:val="left"/>
      <w:pPr>
        <w:ind w:left="4320" w:hanging="360"/>
      </w:pPr>
      <w:rPr>
        <w:rFonts w:ascii="Wingdings" w:hAnsi="Wingdings" w:hint="default"/>
      </w:rPr>
    </w:lvl>
    <w:lvl w:ilvl="6" w:tplc="DFCE8680">
      <w:start w:val="1"/>
      <w:numFmt w:val="bullet"/>
      <w:lvlText w:val=""/>
      <w:lvlJc w:val="left"/>
      <w:pPr>
        <w:ind w:left="5040" w:hanging="360"/>
      </w:pPr>
      <w:rPr>
        <w:rFonts w:ascii="Symbol" w:hAnsi="Symbol" w:hint="default"/>
      </w:rPr>
    </w:lvl>
    <w:lvl w:ilvl="7" w:tplc="74DC77BE">
      <w:start w:val="1"/>
      <w:numFmt w:val="bullet"/>
      <w:lvlText w:val="o"/>
      <w:lvlJc w:val="left"/>
      <w:pPr>
        <w:ind w:left="5760" w:hanging="360"/>
      </w:pPr>
      <w:rPr>
        <w:rFonts w:ascii="Courier New" w:hAnsi="Courier New" w:hint="default"/>
      </w:rPr>
    </w:lvl>
    <w:lvl w:ilvl="8" w:tplc="5726DD6A">
      <w:start w:val="1"/>
      <w:numFmt w:val="bullet"/>
      <w:lvlText w:val=""/>
      <w:lvlJc w:val="left"/>
      <w:pPr>
        <w:ind w:left="6480" w:hanging="360"/>
      </w:pPr>
      <w:rPr>
        <w:rFonts w:ascii="Wingdings" w:hAnsi="Wingdings" w:hint="default"/>
      </w:rPr>
    </w:lvl>
  </w:abstractNum>
  <w:abstractNum w:abstractNumId="51" w15:restartNumberingAfterBreak="0">
    <w:nsid w:val="34C0C4E6"/>
    <w:multiLevelType w:val="hybridMultilevel"/>
    <w:tmpl w:val="FFFFFFFF"/>
    <w:lvl w:ilvl="0" w:tplc="FFD409E4">
      <w:start w:val="1"/>
      <w:numFmt w:val="bullet"/>
      <w:lvlText w:val=""/>
      <w:lvlJc w:val="left"/>
      <w:pPr>
        <w:ind w:left="720" w:hanging="360"/>
      </w:pPr>
      <w:rPr>
        <w:rFonts w:ascii="Symbol" w:hAnsi="Symbol" w:hint="default"/>
      </w:rPr>
    </w:lvl>
    <w:lvl w:ilvl="1" w:tplc="B576E214">
      <w:start w:val="1"/>
      <w:numFmt w:val="bullet"/>
      <w:lvlText w:val="o"/>
      <w:lvlJc w:val="left"/>
      <w:pPr>
        <w:ind w:left="1440" w:hanging="360"/>
      </w:pPr>
      <w:rPr>
        <w:rFonts w:ascii="Courier New" w:hAnsi="Courier New" w:hint="default"/>
      </w:rPr>
    </w:lvl>
    <w:lvl w:ilvl="2" w:tplc="C10C88C2">
      <w:start w:val="1"/>
      <w:numFmt w:val="bullet"/>
      <w:lvlText w:val=""/>
      <w:lvlJc w:val="left"/>
      <w:pPr>
        <w:ind w:left="2160" w:hanging="360"/>
      </w:pPr>
      <w:rPr>
        <w:rFonts w:ascii="Wingdings" w:hAnsi="Wingdings" w:hint="default"/>
      </w:rPr>
    </w:lvl>
    <w:lvl w:ilvl="3" w:tplc="D9BCA854">
      <w:start w:val="1"/>
      <w:numFmt w:val="bullet"/>
      <w:lvlText w:val=""/>
      <w:lvlJc w:val="left"/>
      <w:pPr>
        <w:ind w:left="2880" w:hanging="360"/>
      </w:pPr>
      <w:rPr>
        <w:rFonts w:ascii="Symbol" w:hAnsi="Symbol" w:hint="default"/>
      </w:rPr>
    </w:lvl>
    <w:lvl w:ilvl="4" w:tplc="19FAD834">
      <w:start w:val="1"/>
      <w:numFmt w:val="bullet"/>
      <w:lvlText w:val="o"/>
      <w:lvlJc w:val="left"/>
      <w:pPr>
        <w:ind w:left="3600" w:hanging="360"/>
      </w:pPr>
      <w:rPr>
        <w:rFonts w:ascii="Courier New" w:hAnsi="Courier New" w:hint="default"/>
      </w:rPr>
    </w:lvl>
    <w:lvl w:ilvl="5" w:tplc="FD5439BC">
      <w:start w:val="1"/>
      <w:numFmt w:val="bullet"/>
      <w:lvlText w:val=""/>
      <w:lvlJc w:val="left"/>
      <w:pPr>
        <w:ind w:left="4320" w:hanging="360"/>
      </w:pPr>
      <w:rPr>
        <w:rFonts w:ascii="Wingdings" w:hAnsi="Wingdings" w:hint="default"/>
      </w:rPr>
    </w:lvl>
    <w:lvl w:ilvl="6" w:tplc="516C3250">
      <w:start w:val="1"/>
      <w:numFmt w:val="bullet"/>
      <w:lvlText w:val=""/>
      <w:lvlJc w:val="left"/>
      <w:pPr>
        <w:ind w:left="5040" w:hanging="360"/>
      </w:pPr>
      <w:rPr>
        <w:rFonts w:ascii="Symbol" w:hAnsi="Symbol" w:hint="default"/>
      </w:rPr>
    </w:lvl>
    <w:lvl w:ilvl="7" w:tplc="6F50BDF0">
      <w:start w:val="1"/>
      <w:numFmt w:val="bullet"/>
      <w:lvlText w:val="o"/>
      <w:lvlJc w:val="left"/>
      <w:pPr>
        <w:ind w:left="5760" w:hanging="360"/>
      </w:pPr>
      <w:rPr>
        <w:rFonts w:ascii="Courier New" w:hAnsi="Courier New" w:hint="default"/>
      </w:rPr>
    </w:lvl>
    <w:lvl w:ilvl="8" w:tplc="3F783A60">
      <w:start w:val="1"/>
      <w:numFmt w:val="bullet"/>
      <w:lvlText w:val=""/>
      <w:lvlJc w:val="left"/>
      <w:pPr>
        <w:ind w:left="6480" w:hanging="360"/>
      </w:pPr>
      <w:rPr>
        <w:rFonts w:ascii="Wingdings" w:hAnsi="Wingdings" w:hint="default"/>
      </w:rPr>
    </w:lvl>
  </w:abstractNum>
  <w:abstractNum w:abstractNumId="52" w15:restartNumberingAfterBreak="0">
    <w:nsid w:val="363556EE"/>
    <w:multiLevelType w:val="hybridMultilevel"/>
    <w:tmpl w:val="5F361C2C"/>
    <w:lvl w:ilvl="0" w:tplc="04162422">
      <w:start w:val="1"/>
      <w:numFmt w:val="decimal"/>
      <w:lvlText w:val="%1."/>
      <w:lvlJc w:val="left"/>
      <w:pPr>
        <w:ind w:left="1440" w:hanging="360"/>
      </w:pPr>
    </w:lvl>
    <w:lvl w:ilvl="1" w:tplc="79B491C2">
      <w:start w:val="1"/>
      <w:numFmt w:val="decimal"/>
      <w:lvlText w:val="%2."/>
      <w:lvlJc w:val="left"/>
      <w:pPr>
        <w:ind w:left="1440" w:hanging="360"/>
      </w:pPr>
    </w:lvl>
    <w:lvl w:ilvl="2" w:tplc="637ADE86">
      <w:start w:val="1"/>
      <w:numFmt w:val="decimal"/>
      <w:lvlText w:val="%3."/>
      <w:lvlJc w:val="left"/>
      <w:pPr>
        <w:ind w:left="1440" w:hanging="360"/>
      </w:pPr>
    </w:lvl>
    <w:lvl w:ilvl="3" w:tplc="544ECEDA">
      <w:start w:val="1"/>
      <w:numFmt w:val="decimal"/>
      <w:lvlText w:val="%4."/>
      <w:lvlJc w:val="left"/>
      <w:pPr>
        <w:ind w:left="1440" w:hanging="360"/>
      </w:pPr>
    </w:lvl>
    <w:lvl w:ilvl="4" w:tplc="19147FB6">
      <w:start w:val="1"/>
      <w:numFmt w:val="decimal"/>
      <w:lvlText w:val="%5."/>
      <w:lvlJc w:val="left"/>
      <w:pPr>
        <w:ind w:left="1440" w:hanging="360"/>
      </w:pPr>
    </w:lvl>
    <w:lvl w:ilvl="5" w:tplc="EA6E0686">
      <w:start w:val="1"/>
      <w:numFmt w:val="decimal"/>
      <w:lvlText w:val="%6."/>
      <w:lvlJc w:val="left"/>
      <w:pPr>
        <w:ind w:left="1440" w:hanging="360"/>
      </w:pPr>
    </w:lvl>
    <w:lvl w:ilvl="6" w:tplc="9D4A9BE4">
      <w:start w:val="1"/>
      <w:numFmt w:val="decimal"/>
      <w:lvlText w:val="%7."/>
      <w:lvlJc w:val="left"/>
      <w:pPr>
        <w:ind w:left="1440" w:hanging="360"/>
      </w:pPr>
    </w:lvl>
    <w:lvl w:ilvl="7" w:tplc="F9E21F68">
      <w:start w:val="1"/>
      <w:numFmt w:val="decimal"/>
      <w:lvlText w:val="%8."/>
      <w:lvlJc w:val="left"/>
      <w:pPr>
        <w:ind w:left="1440" w:hanging="360"/>
      </w:pPr>
    </w:lvl>
    <w:lvl w:ilvl="8" w:tplc="4F1C75FA">
      <w:start w:val="1"/>
      <w:numFmt w:val="decimal"/>
      <w:lvlText w:val="%9."/>
      <w:lvlJc w:val="left"/>
      <w:pPr>
        <w:ind w:left="1440" w:hanging="360"/>
      </w:pPr>
    </w:lvl>
  </w:abstractNum>
  <w:abstractNum w:abstractNumId="53" w15:restartNumberingAfterBreak="0">
    <w:nsid w:val="368716EF"/>
    <w:multiLevelType w:val="hybridMultilevel"/>
    <w:tmpl w:val="F2041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6C96FD3"/>
    <w:multiLevelType w:val="hybridMultilevel"/>
    <w:tmpl w:val="93FEE3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7365143"/>
    <w:multiLevelType w:val="hybridMultilevel"/>
    <w:tmpl w:val="821C0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ADA03A5"/>
    <w:multiLevelType w:val="multilevel"/>
    <w:tmpl w:val="2C88DB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7" w15:restartNumberingAfterBreak="0">
    <w:nsid w:val="3B514807"/>
    <w:multiLevelType w:val="hybridMultilevel"/>
    <w:tmpl w:val="0AEA0136"/>
    <w:lvl w:ilvl="0" w:tplc="23FCF9B4">
      <w:start w:val="1"/>
      <w:numFmt w:val="decimal"/>
      <w:lvlText w:val="%1."/>
      <w:lvlJc w:val="left"/>
      <w:pPr>
        <w:ind w:left="810" w:hanging="360"/>
      </w:pPr>
    </w:lvl>
    <w:lvl w:ilvl="1" w:tplc="0DD4EAA8">
      <w:start w:val="1"/>
      <w:numFmt w:val="lowerLetter"/>
      <w:lvlText w:val="%2."/>
      <w:lvlJc w:val="left"/>
      <w:pPr>
        <w:ind w:left="1440" w:hanging="360"/>
      </w:pPr>
    </w:lvl>
    <w:lvl w:ilvl="2" w:tplc="E4F0794E" w:tentative="1">
      <w:start w:val="1"/>
      <w:numFmt w:val="lowerRoman"/>
      <w:lvlText w:val="%3."/>
      <w:lvlJc w:val="right"/>
      <w:pPr>
        <w:ind w:left="2160" w:hanging="180"/>
      </w:pPr>
    </w:lvl>
    <w:lvl w:ilvl="3" w:tplc="26B67E5C" w:tentative="1">
      <w:start w:val="1"/>
      <w:numFmt w:val="decimal"/>
      <w:lvlText w:val="%4."/>
      <w:lvlJc w:val="left"/>
      <w:pPr>
        <w:ind w:left="2880" w:hanging="360"/>
      </w:pPr>
    </w:lvl>
    <w:lvl w:ilvl="4" w:tplc="36AE05F8" w:tentative="1">
      <w:start w:val="1"/>
      <w:numFmt w:val="lowerLetter"/>
      <w:lvlText w:val="%5."/>
      <w:lvlJc w:val="left"/>
      <w:pPr>
        <w:ind w:left="3600" w:hanging="360"/>
      </w:pPr>
    </w:lvl>
    <w:lvl w:ilvl="5" w:tplc="4C967804" w:tentative="1">
      <w:start w:val="1"/>
      <w:numFmt w:val="lowerRoman"/>
      <w:lvlText w:val="%6."/>
      <w:lvlJc w:val="right"/>
      <w:pPr>
        <w:ind w:left="4320" w:hanging="180"/>
      </w:pPr>
    </w:lvl>
    <w:lvl w:ilvl="6" w:tplc="A4A6139C" w:tentative="1">
      <w:start w:val="1"/>
      <w:numFmt w:val="decimal"/>
      <w:lvlText w:val="%7."/>
      <w:lvlJc w:val="left"/>
      <w:pPr>
        <w:ind w:left="5040" w:hanging="360"/>
      </w:pPr>
    </w:lvl>
    <w:lvl w:ilvl="7" w:tplc="BE0C4E94" w:tentative="1">
      <w:start w:val="1"/>
      <w:numFmt w:val="lowerLetter"/>
      <w:lvlText w:val="%8."/>
      <w:lvlJc w:val="left"/>
      <w:pPr>
        <w:ind w:left="5760" w:hanging="360"/>
      </w:pPr>
    </w:lvl>
    <w:lvl w:ilvl="8" w:tplc="FEAEDC8C" w:tentative="1">
      <w:start w:val="1"/>
      <w:numFmt w:val="lowerRoman"/>
      <w:lvlText w:val="%9."/>
      <w:lvlJc w:val="right"/>
      <w:pPr>
        <w:ind w:left="6480" w:hanging="180"/>
      </w:pPr>
    </w:lvl>
  </w:abstractNum>
  <w:abstractNum w:abstractNumId="58" w15:restartNumberingAfterBreak="0">
    <w:nsid w:val="3B82303F"/>
    <w:multiLevelType w:val="hybridMultilevel"/>
    <w:tmpl w:val="30802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D5A554A"/>
    <w:multiLevelType w:val="hybridMultilevel"/>
    <w:tmpl w:val="7A6610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1BC06AE"/>
    <w:multiLevelType w:val="hybridMultilevel"/>
    <w:tmpl w:val="E11800E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45C9660F"/>
    <w:multiLevelType w:val="hybridMultilevel"/>
    <w:tmpl w:val="11AC3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6697EE4"/>
    <w:multiLevelType w:val="hybridMultilevel"/>
    <w:tmpl w:val="86F281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A9A4530"/>
    <w:multiLevelType w:val="hybridMultilevel"/>
    <w:tmpl w:val="F54CF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AC4017C"/>
    <w:multiLevelType w:val="hybridMultilevel"/>
    <w:tmpl w:val="F53CB096"/>
    <w:lvl w:ilvl="0" w:tplc="9800A99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E1E0C9A"/>
    <w:multiLevelType w:val="hybridMultilevel"/>
    <w:tmpl w:val="FFFFFFFF"/>
    <w:lvl w:ilvl="0" w:tplc="B532B5E4">
      <w:start w:val="1"/>
      <w:numFmt w:val="bullet"/>
      <w:lvlText w:val=""/>
      <w:lvlJc w:val="left"/>
      <w:pPr>
        <w:ind w:left="720" w:hanging="360"/>
      </w:pPr>
      <w:rPr>
        <w:rFonts w:ascii="Symbol" w:hAnsi="Symbol" w:hint="default"/>
      </w:rPr>
    </w:lvl>
    <w:lvl w:ilvl="1" w:tplc="979007DE">
      <w:start w:val="1"/>
      <w:numFmt w:val="bullet"/>
      <w:lvlText w:val="o"/>
      <w:lvlJc w:val="left"/>
      <w:pPr>
        <w:ind w:left="1440" w:hanging="360"/>
      </w:pPr>
      <w:rPr>
        <w:rFonts w:ascii="Courier New" w:hAnsi="Courier New" w:hint="default"/>
      </w:rPr>
    </w:lvl>
    <w:lvl w:ilvl="2" w:tplc="292A7F26">
      <w:start w:val="1"/>
      <w:numFmt w:val="bullet"/>
      <w:lvlText w:val=""/>
      <w:lvlJc w:val="left"/>
      <w:pPr>
        <w:ind w:left="2160" w:hanging="360"/>
      </w:pPr>
      <w:rPr>
        <w:rFonts w:ascii="Wingdings" w:hAnsi="Wingdings" w:hint="default"/>
      </w:rPr>
    </w:lvl>
    <w:lvl w:ilvl="3" w:tplc="6A4A25FA">
      <w:start w:val="1"/>
      <w:numFmt w:val="bullet"/>
      <w:lvlText w:val=""/>
      <w:lvlJc w:val="left"/>
      <w:pPr>
        <w:ind w:left="2880" w:hanging="360"/>
      </w:pPr>
      <w:rPr>
        <w:rFonts w:ascii="Symbol" w:hAnsi="Symbol" w:hint="default"/>
      </w:rPr>
    </w:lvl>
    <w:lvl w:ilvl="4" w:tplc="5F70DC66">
      <w:start w:val="1"/>
      <w:numFmt w:val="bullet"/>
      <w:lvlText w:val="o"/>
      <w:lvlJc w:val="left"/>
      <w:pPr>
        <w:ind w:left="3600" w:hanging="360"/>
      </w:pPr>
      <w:rPr>
        <w:rFonts w:ascii="Courier New" w:hAnsi="Courier New" w:hint="default"/>
      </w:rPr>
    </w:lvl>
    <w:lvl w:ilvl="5" w:tplc="B8148368">
      <w:start w:val="1"/>
      <w:numFmt w:val="bullet"/>
      <w:lvlText w:val=""/>
      <w:lvlJc w:val="left"/>
      <w:pPr>
        <w:ind w:left="4320" w:hanging="360"/>
      </w:pPr>
      <w:rPr>
        <w:rFonts w:ascii="Wingdings" w:hAnsi="Wingdings" w:hint="default"/>
      </w:rPr>
    </w:lvl>
    <w:lvl w:ilvl="6" w:tplc="BD9A4070">
      <w:start w:val="1"/>
      <w:numFmt w:val="bullet"/>
      <w:lvlText w:val=""/>
      <w:lvlJc w:val="left"/>
      <w:pPr>
        <w:ind w:left="5040" w:hanging="360"/>
      </w:pPr>
      <w:rPr>
        <w:rFonts w:ascii="Symbol" w:hAnsi="Symbol" w:hint="default"/>
      </w:rPr>
    </w:lvl>
    <w:lvl w:ilvl="7" w:tplc="7780E2EA">
      <w:start w:val="1"/>
      <w:numFmt w:val="bullet"/>
      <w:lvlText w:val="o"/>
      <w:lvlJc w:val="left"/>
      <w:pPr>
        <w:ind w:left="5760" w:hanging="360"/>
      </w:pPr>
      <w:rPr>
        <w:rFonts w:ascii="Courier New" w:hAnsi="Courier New" w:hint="default"/>
      </w:rPr>
    </w:lvl>
    <w:lvl w:ilvl="8" w:tplc="ABCC214A">
      <w:start w:val="1"/>
      <w:numFmt w:val="bullet"/>
      <w:lvlText w:val=""/>
      <w:lvlJc w:val="left"/>
      <w:pPr>
        <w:ind w:left="6480" w:hanging="360"/>
      </w:pPr>
      <w:rPr>
        <w:rFonts w:ascii="Wingdings" w:hAnsi="Wingdings" w:hint="default"/>
      </w:rPr>
    </w:lvl>
  </w:abstractNum>
  <w:abstractNum w:abstractNumId="66" w15:restartNumberingAfterBreak="0">
    <w:nsid w:val="4EFC5DF7"/>
    <w:multiLevelType w:val="hybridMultilevel"/>
    <w:tmpl w:val="410264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F2B4C5A"/>
    <w:multiLevelType w:val="hybridMultilevel"/>
    <w:tmpl w:val="FFFFFFFF"/>
    <w:lvl w:ilvl="0" w:tplc="C7E65D86">
      <w:start w:val="1"/>
      <w:numFmt w:val="bullet"/>
      <w:lvlText w:val=""/>
      <w:lvlJc w:val="left"/>
      <w:pPr>
        <w:ind w:left="360" w:hanging="360"/>
      </w:pPr>
      <w:rPr>
        <w:rFonts w:ascii="Symbol" w:hAnsi="Symbol" w:hint="default"/>
      </w:rPr>
    </w:lvl>
    <w:lvl w:ilvl="1" w:tplc="753ABC30">
      <w:start w:val="1"/>
      <w:numFmt w:val="bullet"/>
      <w:lvlText w:val="o"/>
      <w:lvlJc w:val="left"/>
      <w:pPr>
        <w:ind w:left="1440" w:hanging="360"/>
      </w:pPr>
      <w:rPr>
        <w:rFonts w:ascii="Courier New" w:hAnsi="Courier New" w:hint="default"/>
      </w:rPr>
    </w:lvl>
    <w:lvl w:ilvl="2" w:tplc="00E47592">
      <w:start w:val="1"/>
      <w:numFmt w:val="bullet"/>
      <w:lvlText w:val=""/>
      <w:lvlJc w:val="left"/>
      <w:pPr>
        <w:ind w:left="2160" w:hanging="360"/>
      </w:pPr>
      <w:rPr>
        <w:rFonts w:ascii="Wingdings" w:hAnsi="Wingdings" w:hint="default"/>
      </w:rPr>
    </w:lvl>
    <w:lvl w:ilvl="3" w:tplc="06E851EC">
      <w:start w:val="1"/>
      <w:numFmt w:val="bullet"/>
      <w:lvlText w:val=""/>
      <w:lvlJc w:val="left"/>
      <w:pPr>
        <w:ind w:left="2880" w:hanging="360"/>
      </w:pPr>
      <w:rPr>
        <w:rFonts w:ascii="Symbol" w:hAnsi="Symbol" w:hint="default"/>
      </w:rPr>
    </w:lvl>
    <w:lvl w:ilvl="4" w:tplc="358213C4">
      <w:start w:val="1"/>
      <w:numFmt w:val="bullet"/>
      <w:lvlText w:val="o"/>
      <w:lvlJc w:val="left"/>
      <w:pPr>
        <w:ind w:left="3600" w:hanging="360"/>
      </w:pPr>
      <w:rPr>
        <w:rFonts w:ascii="Courier New" w:hAnsi="Courier New" w:hint="default"/>
      </w:rPr>
    </w:lvl>
    <w:lvl w:ilvl="5" w:tplc="9ED61D2A">
      <w:start w:val="1"/>
      <w:numFmt w:val="bullet"/>
      <w:lvlText w:val=""/>
      <w:lvlJc w:val="left"/>
      <w:pPr>
        <w:ind w:left="4320" w:hanging="360"/>
      </w:pPr>
      <w:rPr>
        <w:rFonts w:ascii="Wingdings" w:hAnsi="Wingdings" w:hint="default"/>
      </w:rPr>
    </w:lvl>
    <w:lvl w:ilvl="6" w:tplc="1A6CE450">
      <w:start w:val="1"/>
      <w:numFmt w:val="bullet"/>
      <w:lvlText w:val=""/>
      <w:lvlJc w:val="left"/>
      <w:pPr>
        <w:ind w:left="5040" w:hanging="360"/>
      </w:pPr>
      <w:rPr>
        <w:rFonts w:ascii="Symbol" w:hAnsi="Symbol" w:hint="default"/>
      </w:rPr>
    </w:lvl>
    <w:lvl w:ilvl="7" w:tplc="7472A17A">
      <w:start w:val="1"/>
      <w:numFmt w:val="bullet"/>
      <w:lvlText w:val="o"/>
      <w:lvlJc w:val="left"/>
      <w:pPr>
        <w:ind w:left="5760" w:hanging="360"/>
      </w:pPr>
      <w:rPr>
        <w:rFonts w:ascii="Courier New" w:hAnsi="Courier New" w:hint="default"/>
      </w:rPr>
    </w:lvl>
    <w:lvl w:ilvl="8" w:tplc="363E48C8">
      <w:start w:val="1"/>
      <w:numFmt w:val="bullet"/>
      <w:lvlText w:val=""/>
      <w:lvlJc w:val="left"/>
      <w:pPr>
        <w:ind w:left="6480" w:hanging="360"/>
      </w:pPr>
      <w:rPr>
        <w:rFonts w:ascii="Wingdings" w:hAnsi="Wingdings" w:hint="default"/>
      </w:rPr>
    </w:lvl>
  </w:abstractNum>
  <w:abstractNum w:abstractNumId="68" w15:restartNumberingAfterBreak="0">
    <w:nsid w:val="4F59A348"/>
    <w:multiLevelType w:val="hybridMultilevel"/>
    <w:tmpl w:val="FFFFFFFF"/>
    <w:lvl w:ilvl="0" w:tplc="1C3EBF4C">
      <w:start w:val="1"/>
      <w:numFmt w:val="bullet"/>
      <w:lvlText w:val="·"/>
      <w:lvlJc w:val="left"/>
      <w:pPr>
        <w:ind w:left="720" w:hanging="360"/>
      </w:pPr>
      <w:rPr>
        <w:rFonts w:ascii="Symbol" w:hAnsi="Symbol" w:hint="default"/>
      </w:rPr>
    </w:lvl>
    <w:lvl w:ilvl="1" w:tplc="4314D370">
      <w:start w:val="1"/>
      <w:numFmt w:val="bullet"/>
      <w:lvlText w:val="o"/>
      <w:lvlJc w:val="left"/>
      <w:pPr>
        <w:ind w:left="1440" w:hanging="360"/>
      </w:pPr>
      <w:rPr>
        <w:rFonts w:ascii="Courier New" w:hAnsi="Courier New" w:hint="default"/>
      </w:rPr>
    </w:lvl>
    <w:lvl w:ilvl="2" w:tplc="F2EC03F4">
      <w:start w:val="1"/>
      <w:numFmt w:val="bullet"/>
      <w:lvlText w:val=""/>
      <w:lvlJc w:val="left"/>
      <w:pPr>
        <w:ind w:left="2160" w:hanging="360"/>
      </w:pPr>
      <w:rPr>
        <w:rFonts w:ascii="Wingdings" w:hAnsi="Wingdings" w:hint="default"/>
      </w:rPr>
    </w:lvl>
    <w:lvl w:ilvl="3" w:tplc="14E84E8A">
      <w:start w:val="1"/>
      <w:numFmt w:val="bullet"/>
      <w:lvlText w:val=""/>
      <w:lvlJc w:val="left"/>
      <w:pPr>
        <w:ind w:left="2880" w:hanging="360"/>
      </w:pPr>
      <w:rPr>
        <w:rFonts w:ascii="Symbol" w:hAnsi="Symbol" w:hint="default"/>
      </w:rPr>
    </w:lvl>
    <w:lvl w:ilvl="4" w:tplc="60528EE2">
      <w:start w:val="1"/>
      <w:numFmt w:val="bullet"/>
      <w:lvlText w:val="o"/>
      <w:lvlJc w:val="left"/>
      <w:pPr>
        <w:ind w:left="3600" w:hanging="360"/>
      </w:pPr>
      <w:rPr>
        <w:rFonts w:ascii="Courier New" w:hAnsi="Courier New" w:hint="default"/>
      </w:rPr>
    </w:lvl>
    <w:lvl w:ilvl="5" w:tplc="EAF673F6">
      <w:start w:val="1"/>
      <w:numFmt w:val="bullet"/>
      <w:lvlText w:val=""/>
      <w:lvlJc w:val="left"/>
      <w:pPr>
        <w:ind w:left="4320" w:hanging="360"/>
      </w:pPr>
      <w:rPr>
        <w:rFonts w:ascii="Wingdings" w:hAnsi="Wingdings" w:hint="default"/>
      </w:rPr>
    </w:lvl>
    <w:lvl w:ilvl="6" w:tplc="02B8A322">
      <w:start w:val="1"/>
      <w:numFmt w:val="bullet"/>
      <w:lvlText w:val=""/>
      <w:lvlJc w:val="left"/>
      <w:pPr>
        <w:ind w:left="5040" w:hanging="360"/>
      </w:pPr>
      <w:rPr>
        <w:rFonts w:ascii="Symbol" w:hAnsi="Symbol" w:hint="default"/>
      </w:rPr>
    </w:lvl>
    <w:lvl w:ilvl="7" w:tplc="D6D443B4">
      <w:start w:val="1"/>
      <w:numFmt w:val="bullet"/>
      <w:lvlText w:val="o"/>
      <w:lvlJc w:val="left"/>
      <w:pPr>
        <w:ind w:left="5760" w:hanging="360"/>
      </w:pPr>
      <w:rPr>
        <w:rFonts w:ascii="Courier New" w:hAnsi="Courier New" w:hint="default"/>
      </w:rPr>
    </w:lvl>
    <w:lvl w:ilvl="8" w:tplc="C59C9BCA">
      <w:start w:val="1"/>
      <w:numFmt w:val="bullet"/>
      <w:lvlText w:val=""/>
      <w:lvlJc w:val="left"/>
      <w:pPr>
        <w:ind w:left="6480" w:hanging="360"/>
      </w:pPr>
      <w:rPr>
        <w:rFonts w:ascii="Wingdings" w:hAnsi="Wingdings" w:hint="default"/>
      </w:rPr>
    </w:lvl>
  </w:abstractNum>
  <w:abstractNum w:abstractNumId="69" w15:restartNumberingAfterBreak="0">
    <w:nsid w:val="512368AB"/>
    <w:multiLevelType w:val="hybridMultilevel"/>
    <w:tmpl w:val="493E447E"/>
    <w:lvl w:ilvl="0" w:tplc="2BD2868E">
      <w:start w:val="1"/>
      <w:numFmt w:val="bullet"/>
      <w:lvlText w:val=""/>
      <w:lvlJc w:val="left"/>
      <w:pPr>
        <w:ind w:left="720" w:hanging="360"/>
      </w:pPr>
      <w:rPr>
        <w:rFonts w:ascii="Symbol" w:hAnsi="Symbol"/>
      </w:rPr>
    </w:lvl>
    <w:lvl w:ilvl="1" w:tplc="6F12911E">
      <w:start w:val="1"/>
      <w:numFmt w:val="bullet"/>
      <w:lvlText w:val=""/>
      <w:lvlJc w:val="left"/>
      <w:pPr>
        <w:ind w:left="720" w:hanging="360"/>
      </w:pPr>
      <w:rPr>
        <w:rFonts w:ascii="Symbol" w:hAnsi="Symbol"/>
      </w:rPr>
    </w:lvl>
    <w:lvl w:ilvl="2" w:tplc="C0620596">
      <w:start w:val="1"/>
      <w:numFmt w:val="bullet"/>
      <w:lvlText w:val=""/>
      <w:lvlJc w:val="left"/>
      <w:pPr>
        <w:ind w:left="720" w:hanging="360"/>
      </w:pPr>
      <w:rPr>
        <w:rFonts w:ascii="Symbol" w:hAnsi="Symbol"/>
      </w:rPr>
    </w:lvl>
    <w:lvl w:ilvl="3" w:tplc="B7CA39DA">
      <w:start w:val="1"/>
      <w:numFmt w:val="bullet"/>
      <w:lvlText w:val=""/>
      <w:lvlJc w:val="left"/>
      <w:pPr>
        <w:ind w:left="720" w:hanging="360"/>
      </w:pPr>
      <w:rPr>
        <w:rFonts w:ascii="Symbol" w:hAnsi="Symbol"/>
      </w:rPr>
    </w:lvl>
    <w:lvl w:ilvl="4" w:tplc="C5B0AD98">
      <w:start w:val="1"/>
      <w:numFmt w:val="bullet"/>
      <w:lvlText w:val=""/>
      <w:lvlJc w:val="left"/>
      <w:pPr>
        <w:ind w:left="720" w:hanging="360"/>
      </w:pPr>
      <w:rPr>
        <w:rFonts w:ascii="Symbol" w:hAnsi="Symbol"/>
      </w:rPr>
    </w:lvl>
    <w:lvl w:ilvl="5" w:tplc="157C9C10">
      <w:start w:val="1"/>
      <w:numFmt w:val="bullet"/>
      <w:lvlText w:val=""/>
      <w:lvlJc w:val="left"/>
      <w:pPr>
        <w:ind w:left="720" w:hanging="360"/>
      </w:pPr>
      <w:rPr>
        <w:rFonts w:ascii="Symbol" w:hAnsi="Symbol"/>
      </w:rPr>
    </w:lvl>
    <w:lvl w:ilvl="6" w:tplc="8084BC36">
      <w:start w:val="1"/>
      <w:numFmt w:val="bullet"/>
      <w:lvlText w:val=""/>
      <w:lvlJc w:val="left"/>
      <w:pPr>
        <w:ind w:left="720" w:hanging="360"/>
      </w:pPr>
      <w:rPr>
        <w:rFonts w:ascii="Symbol" w:hAnsi="Symbol"/>
      </w:rPr>
    </w:lvl>
    <w:lvl w:ilvl="7" w:tplc="E6B2EC76">
      <w:start w:val="1"/>
      <w:numFmt w:val="bullet"/>
      <w:lvlText w:val=""/>
      <w:lvlJc w:val="left"/>
      <w:pPr>
        <w:ind w:left="720" w:hanging="360"/>
      </w:pPr>
      <w:rPr>
        <w:rFonts w:ascii="Symbol" w:hAnsi="Symbol"/>
      </w:rPr>
    </w:lvl>
    <w:lvl w:ilvl="8" w:tplc="EBA2622C">
      <w:start w:val="1"/>
      <w:numFmt w:val="bullet"/>
      <w:lvlText w:val=""/>
      <w:lvlJc w:val="left"/>
      <w:pPr>
        <w:ind w:left="720" w:hanging="360"/>
      </w:pPr>
      <w:rPr>
        <w:rFonts w:ascii="Symbol" w:hAnsi="Symbol"/>
      </w:rPr>
    </w:lvl>
  </w:abstractNum>
  <w:abstractNum w:abstractNumId="70" w15:restartNumberingAfterBreak="0">
    <w:nsid w:val="51CB30B3"/>
    <w:multiLevelType w:val="multilevel"/>
    <w:tmpl w:val="E622403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52B6A959"/>
    <w:multiLevelType w:val="hybridMultilevel"/>
    <w:tmpl w:val="FFFFFFFF"/>
    <w:lvl w:ilvl="0" w:tplc="80D0349C">
      <w:start w:val="1"/>
      <w:numFmt w:val="bullet"/>
      <w:lvlText w:val=""/>
      <w:lvlJc w:val="left"/>
      <w:pPr>
        <w:ind w:left="720" w:hanging="360"/>
      </w:pPr>
      <w:rPr>
        <w:rFonts w:ascii="Symbol" w:hAnsi="Symbol" w:hint="default"/>
      </w:rPr>
    </w:lvl>
    <w:lvl w:ilvl="1" w:tplc="CC427A2A">
      <w:start w:val="1"/>
      <w:numFmt w:val="bullet"/>
      <w:lvlText w:val="o"/>
      <w:lvlJc w:val="left"/>
      <w:pPr>
        <w:ind w:left="1440" w:hanging="360"/>
      </w:pPr>
      <w:rPr>
        <w:rFonts w:ascii="Courier New" w:hAnsi="Courier New" w:hint="default"/>
      </w:rPr>
    </w:lvl>
    <w:lvl w:ilvl="2" w:tplc="FF783A10">
      <w:start w:val="1"/>
      <w:numFmt w:val="bullet"/>
      <w:lvlText w:val=""/>
      <w:lvlJc w:val="left"/>
      <w:pPr>
        <w:ind w:left="2160" w:hanging="360"/>
      </w:pPr>
      <w:rPr>
        <w:rFonts w:ascii="Wingdings" w:hAnsi="Wingdings" w:hint="default"/>
      </w:rPr>
    </w:lvl>
    <w:lvl w:ilvl="3" w:tplc="E686295E">
      <w:start w:val="1"/>
      <w:numFmt w:val="bullet"/>
      <w:lvlText w:val=""/>
      <w:lvlJc w:val="left"/>
      <w:pPr>
        <w:ind w:left="2880" w:hanging="360"/>
      </w:pPr>
      <w:rPr>
        <w:rFonts w:ascii="Symbol" w:hAnsi="Symbol" w:hint="default"/>
      </w:rPr>
    </w:lvl>
    <w:lvl w:ilvl="4" w:tplc="4380169A">
      <w:start w:val="1"/>
      <w:numFmt w:val="bullet"/>
      <w:lvlText w:val="o"/>
      <w:lvlJc w:val="left"/>
      <w:pPr>
        <w:ind w:left="3600" w:hanging="360"/>
      </w:pPr>
      <w:rPr>
        <w:rFonts w:ascii="Courier New" w:hAnsi="Courier New" w:hint="default"/>
      </w:rPr>
    </w:lvl>
    <w:lvl w:ilvl="5" w:tplc="52D6665A">
      <w:start w:val="1"/>
      <w:numFmt w:val="bullet"/>
      <w:lvlText w:val=""/>
      <w:lvlJc w:val="left"/>
      <w:pPr>
        <w:ind w:left="4320" w:hanging="360"/>
      </w:pPr>
      <w:rPr>
        <w:rFonts w:ascii="Wingdings" w:hAnsi="Wingdings" w:hint="default"/>
      </w:rPr>
    </w:lvl>
    <w:lvl w:ilvl="6" w:tplc="294CCEEE">
      <w:start w:val="1"/>
      <w:numFmt w:val="bullet"/>
      <w:lvlText w:val=""/>
      <w:lvlJc w:val="left"/>
      <w:pPr>
        <w:ind w:left="5040" w:hanging="360"/>
      </w:pPr>
      <w:rPr>
        <w:rFonts w:ascii="Symbol" w:hAnsi="Symbol" w:hint="default"/>
      </w:rPr>
    </w:lvl>
    <w:lvl w:ilvl="7" w:tplc="FB36D6C0">
      <w:start w:val="1"/>
      <w:numFmt w:val="bullet"/>
      <w:lvlText w:val="o"/>
      <w:lvlJc w:val="left"/>
      <w:pPr>
        <w:ind w:left="5760" w:hanging="360"/>
      </w:pPr>
      <w:rPr>
        <w:rFonts w:ascii="Courier New" w:hAnsi="Courier New" w:hint="default"/>
      </w:rPr>
    </w:lvl>
    <w:lvl w:ilvl="8" w:tplc="07D861CC">
      <w:start w:val="1"/>
      <w:numFmt w:val="bullet"/>
      <w:lvlText w:val=""/>
      <w:lvlJc w:val="left"/>
      <w:pPr>
        <w:ind w:left="6480" w:hanging="360"/>
      </w:pPr>
      <w:rPr>
        <w:rFonts w:ascii="Wingdings" w:hAnsi="Wingdings" w:hint="default"/>
      </w:rPr>
    </w:lvl>
  </w:abstractNum>
  <w:abstractNum w:abstractNumId="72" w15:restartNumberingAfterBreak="0">
    <w:nsid w:val="533136F3"/>
    <w:multiLevelType w:val="hybridMultilevel"/>
    <w:tmpl w:val="FFFFFFFF"/>
    <w:lvl w:ilvl="0" w:tplc="806C1374">
      <w:start w:val="1"/>
      <w:numFmt w:val="bullet"/>
      <w:lvlText w:val=""/>
      <w:lvlJc w:val="left"/>
      <w:pPr>
        <w:ind w:left="720" w:hanging="360"/>
      </w:pPr>
      <w:rPr>
        <w:rFonts w:ascii="Symbol" w:hAnsi="Symbol" w:hint="default"/>
      </w:rPr>
    </w:lvl>
    <w:lvl w:ilvl="1" w:tplc="AF6093E6">
      <w:start w:val="1"/>
      <w:numFmt w:val="bullet"/>
      <w:lvlText w:val="o"/>
      <w:lvlJc w:val="left"/>
      <w:pPr>
        <w:ind w:left="1440" w:hanging="360"/>
      </w:pPr>
      <w:rPr>
        <w:rFonts w:ascii="Courier New" w:hAnsi="Courier New" w:hint="default"/>
      </w:rPr>
    </w:lvl>
    <w:lvl w:ilvl="2" w:tplc="5B12419A">
      <w:start w:val="1"/>
      <w:numFmt w:val="bullet"/>
      <w:lvlText w:val=""/>
      <w:lvlJc w:val="left"/>
      <w:pPr>
        <w:ind w:left="2160" w:hanging="360"/>
      </w:pPr>
      <w:rPr>
        <w:rFonts w:ascii="Wingdings" w:hAnsi="Wingdings" w:hint="default"/>
      </w:rPr>
    </w:lvl>
    <w:lvl w:ilvl="3" w:tplc="24AA188E">
      <w:start w:val="1"/>
      <w:numFmt w:val="bullet"/>
      <w:lvlText w:val=""/>
      <w:lvlJc w:val="left"/>
      <w:pPr>
        <w:ind w:left="2880" w:hanging="360"/>
      </w:pPr>
      <w:rPr>
        <w:rFonts w:ascii="Symbol" w:hAnsi="Symbol" w:hint="default"/>
      </w:rPr>
    </w:lvl>
    <w:lvl w:ilvl="4" w:tplc="71B6F27E">
      <w:start w:val="1"/>
      <w:numFmt w:val="bullet"/>
      <w:lvlText w:val="o"/>
      <w:lvlJc w:val="left"/>
      <w:pPr>
        <w:ind w:left="3600" w:hanging="360"/>
      </w:pPr>
      <w:rPr>
        <w:rFonts w:ascii="Courier New" w:hAnsi="Courier New" w:hint="default"/>
      </w:rPr>
    </w:lvl>
    <w:lvl w:ilvl="5" w:tplc="5BD46470">
      <w:start w:val="1"/>
      <w:numFmt w:val="bullet"/>
      <w:lvlText w:val=""/>
      <w:lvlJc w:val="left"/>
      <w:pPr>
        <w:ind w:left="4320" w:hanging="360"/>
      </w:pPr>
      <w:rPr>
        <w:rFonts w:ascii="Wingdings" w:hAnsi="Wingdings" w:hint="default"/>
      </w:rPr>
    </w:lvl>
    <w:lvl w:ilvl="6" w:tplc="9D4CD8C8">
      <w:start w:val="1"/>
      <w:numFmt w:val="bullet"/>
      <w:lvlText w:val=""/>
      <w:lvlJc w:val="left"/>
      <w:pPr>
        <w:ind w:left="5040" w:hanging="360"/>
      </w:pPr>
      <w:rPr>
        <w:rFonts w:ascii="Symbol" w:hAnsi="Symbol" w:hint="default"/>
      </w:rPr>
    </w:lvl>
    <w:lvl w:ilvl="7" w:tplc="032298F2">
      <w:start w:val="1"/>
      <w:numFmt w:val="bullet"/>
      <w:lvlText w:val="o"/>
      <w:lvlJc w:val="left"/>
      <w:pPr>
        <w:ind w:left="5760" w:hanging="360"/>
      </w:pPr>
      <w:rPr>
        <w:rFonts w:ascii="Courier New" w:hAnsi="Courier New" w:hint="default"/>
      </w:rPr>
    </w:lvl>
    <w:lvl w:ilvl="8" w:tplc="E4B6981E">
      <w:start w:val="1"/>
      <w:numFmt w:val="bullet"/>
      <w:lvlText w:val=""/>
      <w:lvlJc w:val="left"/>
      <w:pPr>
        <w:ind w:left="6480" w:hanging="360"/>
      </w:pPr>
      <w:rPr>
        <w:rFonts w:ascii="Wingdings" w:hAnsi="Wingdings" w:hint="default"/>
      </w:rPr>
    </w:lvl>
  </w:abstractNum>
  <w:abstractNum w:abstractNumId="73" w15:restartNumberingAfterBreak="0">
    <w:nsid w:val="5431215C"/>
    <w:multiLevelType w:val="hybridMultilevel"/>
    <w:tmpl w:val="0C882A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5833A7D"/>
    <w:multiLevelType w:val="hybridMultilevel"/>
    <w:tmpl w:val="3A728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6833CE0"/>
    <w:multiLevelType w:val="hybridMultilevel"/>
    <w:tmpl w:val="FFFFFFFF"/>
    <w:lvl w:ilvl="0" w:tplc="862E04B6">
      <w:start w:val="1"/>
      <w:numFmt w:val="bullet"/>
      <w:lvlText w:val=""/>
      <w:lvlJc w:val="left"/>
      <w:pPr>
        <w:ind w:left="360" w:hanging="360"/>
      </w:pPr>
      <w:rPr>
        <w:rFonts w:ascii="Symbol" w:hAnsi="Symbol" w:hint="default"/>
      </w:rPr>
    </w:lvl>
    <w:lvl w:ilvl="1" w:tplc="185827FA">
      <w:start w:val="1"/>
      <w:numFmt w:val="bullet"/>
      <w:lvlText w:val="o"/>
      <w:lvlJc w:val="left"/>
      <w:pPr>
        <w:ind w:left="1440" w:hanging="360"/>
      </w:pPr>
      <w:rPr>
        <w:rFonts w:ascii="Courier New" w:hAnsi="Courier New" w:hint="default"/>
      </w:rPr>
    </w:lvl>
    <w:lvl w:ilvl="2" w:tplc="F8C09C2E">
      <w:start w:val="1"/>
      <w:numFmt w:val="bullet"/>
      <w:lvlText w:val=""/>
      <w:lvlJc w:val="left"/>
      <w:pPr>
        <w:ind w:left="2160" w:hanging="360"/>
      </w:pPr>
      <w:rPr>
        <w:rFonts w:ascii="Wingdings" w:hAnsi="Wingdings" w:hint="default"/>
      </w:rPr>
    </w:lvl>
    <w:lvl w:ilvl="3" w:tplc="FAEE0008">
      <w:start w:val="1"/>
      <w:numFmt w:val="bullet"/>
      <w:lvlText w:val=""/>
      <w:lvlJc w:val="left"/>
      <w:pPr>
        <w:ind w:left="2880" w:hanging="360"/>
      </w:pPr>
      <w:rPr>
        <w:rFonts w:ascii="Symbol" w:hAnsi="Symbol" w:hint="default"/>
      </w:rPr>
    </w:lvl>
    <w:lvl w:ilvl="4" w:tplc="7C986F36">
      <w:start w:val="1"/>
      <w:numFmt w:val="bullet"/>
      <w:lvlText w:val="o"/>
      <w:lvlJc w:val="left"/>
      <w:pPr>
        <w:ind w:left="3600" w:hanging="360"/>
      </w:pPr>
      <w:rPr>
        <w:rFonts w:ascii="Courier New" w:hAnsi="Courier New" w:hint="default"/>
      </w:rPr>
    </w:lvl>
    <w:lvl w:ilvl="5" w:tplc="00A64C58">
      <w:start w:val="1"/>
      <w:numFmt w:val="bullet"/>
      <w:lvlText w:val=""/>
      <w:lvlJc w:val="left"/>
      <w:pPr>
        <w:ind w:left="4320" w:hanging="360"/>
      </w:pPr>
      <w:rPr>
        <w:rFonts w:ascii="Wingdings" w:hAnsi="Wingdings" w:hint="default"/>
      </w:rPr>
    </w:lvl>
    <w:lvl w:ilvl="6" w:tplc="2A94B3AA">
      <w:start w:val="1"/>
      <w:numFmt w:val="bullet"/>
      <w:lvlText w:val=""/>
      <w:lvlJc w:val="left"/>
      <w:pPr>
        <w:ind w:left="5040" w:hanging="360"/>
      </w:pPr>
      <w:rPr>
        <w:rFonts w:ascii="Symbol" w:hAnsi="Symbol" w:hint="default"/>
      </w:rPr>
    </w:lvl>
    <w:lvl w:ilvl="7" w:tplc="25F0C520">
      <w:start w:val="1"/>
      <w:numFmt w:val="bullet"/>
      <w:lvlText w:val="o"/>
      <w:lvlJc w:val="left"/>
      <w:pPr>
        <w:ind w:left="5760" w:hanging="360"/>
      </w:pPr>
      <w:rPr>
        <w:rFonts w:ascii="Courier New" w:hAnsi="Courier New" w:hint="default"/>
      </w:rPr>
    </w:lvl>
    <w:lvl w:ilvl="8" w:tplc="1248DC64">
      <w:start w:val="1"/>
      <w:numFmt w:val="bullet"/>
      <w:lvlText w:val=""/>
      <w:lvlJc w:val="left"/>
      <w:pPr>
        <w:ind w:left="6480" w:hanging="360"/>
      </w:pPr>
      <w:rPr>
        <w:rFonts w:ascii="Wingdings" w:hAnsi="Wingdings" w:hint="default"/>
      </w:rPr>
    </w:lvl>
  </w:abstractNum>
  <w:abstractNum w:abstractNumId="76" w15:restartNumberingAfterBreak="0">
    <w:nsid w:val="568B48CC"/>
    <w:multiLevelType w:val="hybridMultilevel"/>
    <w:tmpl w:val="E8660DF8"/>
    <w:lvl w:ilvl="0" w:tplc="23A27D5A">
      <w:start w:val="1"/>
      <w:numFmt w:val="bullet"/>
      <w:lvlText w:val=""/>
      <w:lvlJc w:val="left"/>
      <w:pPr>
        <w:ind w:left="720" w:hanging="360"/>
      </w:pPr>
      <w:rPr>
        <w:rFonts w:ascii="Symbol" w:hAnsi="Symbol"/>
      </w:rPr>
    </w:lvl>
    <w:lvl w:ilvl="1" w:tplc="449A51F6">
      <w:start w:val="1"/>
      <w:numFmt w:val="bullet"/>
      <w:lvlText w:val=""/>
      <w:lvlJc w:val="left"/>
      <w:pPr>
        <w:ind w:left="720" w:hanging="360"/>
      </w:pPr>
      <w:rPr>
        <w:rFonts w:ascii="Symbol" w:hAnsi="Symbol"/>
      </w:rPr>
    </w:lvl>
    <w:lvl w:ilvl="2" w:tplc="D4F8E466">
      <w:start w:val="1"/>
      <w:numFmt w:val="bullet"/>
      <w:lvlText w:val=""/>
      <w:lvlJc w:val="left"/>
      <w:pPr>
        <w:ind w:left="720" w:hanging="360"/>
      </w:pPr>
      <w:rPr>
        <w:rFonts w:ascii="Symbol" w:hAnsi="Symbol"/>
      </w:rPr>
    </w:lvl>
    <w:lvl w:ilvl="3" w:tplc="BBC04EB8">
      <w:start w:val="1"/>
      <w:numFmt w:val="bullet"/>
      <w:lvlText w:val=""/>
      <w:lvlJc w:val="left"/>
      <w:pPr>
        <w:ind w:left="720" w:hanging="360"/>
      </w:pPr>
      <w:rPr>
        <w:rFonts w:ascii="Symbol" w:hAnsi="Symbol"/>
      </w:rPr>
    </w:lvl>
    <w:lvl w:ilvl="4" w:tplc="44A26046">
      <w:start w:val="1"/>
      <w:numFmt w:val="bullet"/>
      <w:lvlText w:val=""/>
      <w:lvlJc w:val="left"/>
      <w:pPr>
        <w:ind w:left="720" w:hanging="360"/>
      </w:pPr>
      <w:rPr>
        <w:rFonts w:ascii="Symbol" w:hAnsi="Symbol"/>
      </w:rPr>
    </w:lvl>
    <w:lvl w:ilvl="5" w:tplc="F1444C12">
      <w:start w:val="1"/>
      <w:numFmt w:val="bullet"/>
      <w:lvlText w:val=""/>
      <w:lvlJc w:val="left"/>
      <w:pPr>
        <w:ind w:left="720" w:hanging="360"/>
      </w:pPr>
      <w:rPr>
        <w:rFonts w:ascii="Symbol" w:hAnsi="Symbol"/>
      </w:rPr>
    </w:lvl>
    <w:lvl w:ilvl="6" w:tplc="BEFAECE4">
      <w:start w:val="1"/>
      <w:numFmt w:val="bullet"/>
      <w:lvlText w:val=""/>
      <w:lvlJc w:val="left"/>
      <w:pPr>
        <w:ind w:left="720" w:hanging="360"/>
      </w:pPr>
      <w:rPr>
        <w:rFonts w:ascii="Symbol" w:hAnsi="Symbol"/>
      </w:rPr>
    </w:lvl>
    <w:lvl w:ilvl="7" w:tplc="93F80E22">
      <w:start w:val="1"/>
      <w:numFmt w:val="bullet"/>
      <w:lvlText w:val=""/>
      <w:lvlJc w:val="left"/>
      <w:pPr>
        <w:ind w:left="720" w:hanging="360"/>
      </w:pPr>
      <w:rPr>
        <w:rFonts w:ascii="Symbol" w:hAnsi="Symbol"/>
      </w:rPr>
    </w:lvl>
    <w:lvl w:ilvl="8" w:tplc="B336B8BA">
      <w:start w:val="1"/>
      <w:numFmt w:val="bullet"/>
      <w:lvlText w:val=""/>
      <w:lvlJc w:val="left"/>
      <w:pPr>
        <w:ind w:left="720" w:hanging="360"/>
      </w:pPr>
      <w:rPr>
        <w:rFonts w:ascii="Symbol" w:hAnsi="Symbol"/>
      </w:rPr>
    </w:lvl>
  </w:abstractNum>
  <w:abstractNum w:abstractNumId="77" w15:restartNumberingAfterBreak="0">
    <w:nsid w:val="58D06309"/>
    <w:multiLevelType w:val="hybridMultilevel"/>
    <w:tmpl w:val="142C1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D972686"/>
    <w:multiLevelType w:val="hybridMultilevel"/>
    <w:tmpl w:val="FFFFFFFF"/>
    <w:lvl w:ilvl="0" w:tplc="5D96CAF2">
      <w:start w:val="1"/>
      <w:numFmt w:val="bullet"/>
      <w:lvlText w:val=""/>
      <w:lvlJc w:val="left"/>
      <w:pPr>
        <w:ind w:left="720" w:hanging="360"/>
      </w:pPr>
      <w:rPr>
        <w:rFonts w:ascii="Symbol" w:hAnsi="Symbol" w:hint="default"/>
      </w:rPr>
    </w:lvl>
    <w:lvl w:ilvl="1" w:tplc="285842F6">
      <w:start w:val="1"/>
      <w:numFmt w:val="bullet"/>
      <w:lvlText w:val="o"/>
      <w:lvlJc w:val="left"/>
      <w:pPr>
        <w:ind w:left="1440" w:hanging="360"/>
      </w:pPr>
      <w:rPr>
        <w:rFonts w:ascii="Courier New" w:hAnsi="Courier New" w:hint="default"/>
      </w:rPr>
    </w:lvl>
    <w:lvl w:ilvl="2" w:tplc="289EBEE2">
      <w:start w:val="1"/>
      <w:numFmt w:val="bullet"/>
      <w:lvlText w:val=""/>
      <w:lvlJc w:val="left"/>
      <w:pPr>
        <w:ind w:left="2160" w:hanging="360"/>
      </w:pPr>
      <w:rPr>
        <w:rFonts w:ascii="Wingdings" w:hAnsi="Wingdings" w:hint="default"/>
      </w:rPr>
    </w:lvl>
    <w:lvl w:ilvl="3" w:tplc="7C44DB0A">
      <w:start w:val="1"/>
      <w:numFmt w:val="bullet"/>
      <w:lvlText w:val=""/>
      <w:lvlJc w:val="left"/>
      <w:pPr>
        <w:ind w:left="2880" w:hanging="360"/>
      </w:pPr>
      <w:rPr>
        <w:rFonts w:ascii="Symbol" w:hAnsi="Symbol" w:hint="default"/>
      </w:rPr>
    </w:lvl>
    <w:lvl w:ilvl="4" w:tplc="C720CF24">
      <w:start w:val="1"/>
      <w:numFmt w:val="bullet"/>
      <w:lvlText w:val="o"/>
      <w:lvlJc w:val="left"/>
      <w:pPr>
        <w:ind w:left="3600" w:hanging="360"/>
      </w:pPr>
      <w:rPr>
        <w:rFonts w:ascii="Courier New" w:hAnsi="Courier New" w:hint="default"/>
      </w:rPr>
    </w:lvl>
    <w:lvl w:ilvl="5" w:tplc="5000782A">
      <w:start w:val="1"/>
      <w:numFmt w:val="bullet"/>
      <w:lvlText w:val=""/>
      <w:lvlJc w:val="left"/>
      <w:pPr>
        <w:ind w:left="4320" w:hanging="360"/>
      </w:pPr>
      <w:rPr>
        <w:rFonts w:ascii="Wingdings" w:hAnsi="Wingdings" w:hint="default"/>
      </w:rPr>
    </w:lvl>
    <w:lvl w:ilvl="6" w:tplc="790E935C">
      <w:start w:val="1"/>
      <w:numFmt w:val="bullet"/>
      <w:lvlText w:val=""/>
      <w:lvlJc w:val="left"/>
      <w:pPr>
        <w:ind w:left="5040" w:hanging="360"/>
      </w:pPr>
      <w:rPr>
        <w:rFonts w:ascii="Symbol" w:hAnsi="Symbol" w:hint="default"/>
      </w:rPr>
    </w:lvl>
    <w:lvl w:ilvl="7" w:tplc="D8D623F0">
      <w:start w:val="1"/>
      <w:numFmt w:val="bullet"/>
      <w:lvlText w:val="o"/>
      <w:lvlJc w:val="left"/>
      <w:pPr>
        <w:ind w:left="5760" w:hanging="360"/>
      </w:pPr>
      <w:rPr>
        <w:rFonts w:ascii="Courier New" w:hAnsi="Courier New" w:hint="default"/>
      </w:rPr>
    </w:lvl>
    <w:lvl w:ilvl="8" w:tplc="1BBC3DF8">
      <w:start w:val="1"/>
      <w:numFmt w:val="bullet"/>
      <w:lvlText w:val=""/>
      <w:lvlJc w:val="left"/>
      <w:pPr>
        <w:ind w:left="6480" w:hanging="360"/>
      </w:pPr>
      <w:rPr>
        <w:rFonts w:ascii="Wingdings" w:hAnsi="Wingdings" w:hint="default"/>
      </w:rPr>
    </w:lvl>
  </w:abstractNum>
  <w:abstractNum w:abstractNumId="79" w15:restartNumberingAfterBreak="0">
    <w:nsid w:val="5E040694"/>
    <w:multiLevelType w:val="hybridMultilevel"/>
    <w:tmpl w:val="2D2EA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ECF6E71"/>
    <w:multiLevelType w:val="multilevel"/>
    <w:tmpl w:val="52747E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5F6C7BD7"/>
    <w:multiLevelType w:val="hybridMultilevel"/>
    <w:tmpl w:val="AB9AE8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FB86584"/>
    <w:multiLevelType w:val="hybridMultilevel"/>
    <w:tmpl w:val="7CEA94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0236212"/>
    <w:multiLevelType w:val="hybridMultilevel"/>
    <w:tmpl w:val="2FDC6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062696F"/>
    <w:multiLevelType w:val="hybridMultilevel"/>
    <w:tmpl w:val="2A460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1C62079"/>
    <w:multiLevelType w:val="hybridMultilevel"/>
    <w:tmpl w:val="FFFFFFFF"/>
    <w:lvl w:ilvl="0" w:tplc="7472D4E0">
      <w:start w:val="1"/>
      <w:numFmt w:val="bullet"/>
      <w:lvlText w:val=""/>
      <w:lvlJc w:val="left"/>
      <w:pPr>
        <w:ind w:left="720" w:hanging="360"/>
      </w:pPr>
      <w:rPr>
        <w:rFonts w:ascii="Symbol" w:hAnsi="Symbol" w:hint="default"/>
      </w:rPr>
    </w:lvl>
    <w:lvl w:ilvl="1" w:tplc="1504854A">
      <w:start w:val="1"/>
      <w:numFmt w:val="bullet"/>
      <w:lvlText w:val="o"/>
      <w:lvlJc w:val="left"/>
      <w:pPr>
        <w:ind w:left="1440" w:hanging="360"/>
      </w:pPr>
      <w:rPr>
        <w:rFonts w:ascii="Courier New" w:hAnsi="Courier New" w:hint="default"/>
      </w:rPr>
    </w:lvl>
    <w:lvl w:ilvl="2" w:tplc="DF600D26">
      <w:start w:val="1"/>
      <w:numFmt w:val="bullet"/>
      <w:lvlText w:val=""/>
      <w:lvlJc w:val="left"/>
      <w:pPr>
        <w:ind w:left="2160" w:hanging="360"/>
      </w:pPr>
      <w:rPr>
        <w:rFonts w:ascii="Wingdings" w:hAnsi="Wingdings" w:hint="default"/>
      </w:rPr>
    </w:lvl>
    <w:lvl w:ilvl="3" w:tplc="D960DD28">
      <w:start w:val="1"/>
      <w:numFmt w:val="bullet"/>
      <w:lvlText w:val=""/>
      <w:lvlJc w:val="left"/>
      <w:pPr>
        <w:ind w:left="2880" w:hanging="360"/>
      </w:pPr>
      <w:rPr>
        <w:rFonts w:ascii="Symbol" w:hAnsi="Symbol" w:hint="default"/>
      </w:rPr>
    </w:lvl>
    <w:lvl w:ilvl="4" w:tplc="F9B8C89E">
      <w:start w:val="1"/>
      <w:numFmt w:val="bullet"/>
      <w:lvlText w:val="o"/>
      <w:lvlJc w:val="left"/>
      <w:pPr>
        <w:ind w:left="3600" w:hanging="360"/>
      </w:pPr>
      <w:rPr>
        <w:rFonts w:ascii="Courier New" w:hAnsi="Courier New" w:hint="default"/>
      </w:rPr>
    </w:lvl>
    <w:lvl w:ilvl="5" w:tplc="D8FA946A">
      <w:start w:val="1"/>
      <w:numFmt w:val="bullet"/>
      <w:lvlText w:val=""/>
      <w:lvlJc w:val="left"/>
      <w:pPr>
        <w:ind w:left="4320" w:hanging="360"/>
      </w:pPr>
      <w:rPr>
        <w:rFonts w:ascii="Wingdings" w:hAnsi="Wingdings" w:hint="default"/>
      </w:rPr>
    </w:lvl>
    <w:lvl w:ilvl="6" w:tplc="225C7F20">
      <w:start w:val="1"/>
      <w:numFmt w:val="bullet"/>
      <w:lvlText w:val=""/>
      <w:lvlJc w:val="left"/>
      <w:pPr>
        <w:ind w:left="5040" w:hanging="360"/>
      </w:pPr>
      <w:rPr>
        <w:rFonts w:ascii="Symbol" w:hAnsi="Symbol" w:hint="default"/>
      </w:rPr>
    </w:lvl>
    <w:lvl w:ilvl="7" w:tplc="77A210BE">
      <w:start w:val="1"/>
      <w:numFmt w:val="bullet"/>
      <w:lvlText w:val="o"/>
      <w:lvlJc w:val="left"/>
      <w:pPr>
        <w:ind w:left="5760" w:hanging="360"/>
      </w:pPr>
      <w:rPr>
        <w:rFonts w:ascii="Courier New" w:hAnsi="Courier New" w:hint="default"/>
      </w:rPr>
    </w:lvl>
    <w:lvl w:ilvl="8" w:tplc="870A03B6">
      <w:start w:val="1"/>
      <w:numFmt w:val="bullet"/>
      <w:lvlText w:val=""/>
      <w:lvlJc w:val="left"/>
      <w:pPr>
        <w:ind w:left="6480" w:hanging="360"/>
      </w:pPr>
      <w:rPr>
        <w:rFonts w:ascii="Wingdings" w:hAnsi="Wingdings" w:hint="default"/>
      </w:rPr>
    </w:lvl>
  </w:abstractNum>
  <w:abstractNum w:abstractNumId="86" w15:restartNumberingAfterBreak="0">
    <w:nsid w:val="64DE7789"/>
    <w:multiLevelType w:val="hybridMultilevel"/>
    <w:tmpl w:val="41E8D4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5540FB0"/>
    <w:multiLevelType w:val="hybridMultilevel"/>
    <w:tmpl w:val="173CD676"/>
    <w:lvl w:ilvl="0" w:tplc="F5B47DF0">
      <w:start w:val="1"/>
      <w:numFmt w:val="bullet"/>
      <w:lvlText w:val=""/>
      <w:lvlJc w:val="left"/>
      <w:pPr>
        <w:ind w:left="1020" w:hanging="360"/>
      </w:pPr>
      <w:rPr>
        <w:rFonts w:ascii="Symbol" w:hAnsi="Symbol"/>
      </w:rPr>
    </w:lvl>
    <w:lvl w:ilvl="1" w:tplc="E92E0938">
      <w:start w:val="1"/>
      <w:numFmt w:val="bullet"/>
      <w:lvlText w:val=""/>
      <w:lvlJc w:val="left"/>
      <w:pPr>
        <w:ind w:left="1020" w:hanging="360"/>
      </w:pPr>
      <w:rPr>
        <w:rFonts w:ascii="Symbol" w:hAnsi="Symbol"/>
      </w:rPr>
    </w:lvl>
    <w:lvl w:ilvl="2" w:tplc="1168055A">
      <w:start w:val="1"/>
      <w:numFmt w:val="bullet"/>
      <w:lvlText w:val=""/>
      <w:lvlJc w:val="left"/>
      <w:pPr>
        <w:ind w:left="1020" w:hanging="360"/>
      </w:pPr>
      <w:rPr>
        <w:rFonts w:ascii="Symbol" w:hAnsi="Symbol"/>
      </w:rPr>
    </w:lvl>
    <w:lvl w:ilvl="3" w:tplc="B13AA956">
      <w:start w:val="1"/>
      <w:numFmt w:val="bullet"/>
      <w:lvlText w:val=""/>
      <w:lvlJc w:val="left"/>
      <w:pPr>
        <w:ind w:left="1020" w:hanging="360"/>
      </w:pPr>
      <w:rPr>
        <w:rFonts w:ascii="Symbol" w:hAnsi="Symbol"/>
      </w:rPr>
    </w:lvl>
    <w:lvl w:ilvl="4" w:tplc="CFFEEB9C">
      <w:start w:val="1"/>
      <w:numFmt w:val="bullet"/>
      <w:lvlText w:val=""/>
      <w:lvlJc w:val="left"/>
      <w:pPr>
        <w:ind w:left="1020" w:hanging="360"/>
      </w:pPr>
      <w:rPr>
        <w:rFonts w:ascii="Symbol" w:hAnsi="Symbol"/>
      </w:rPr>
    </w:lvl>
    <w:lvl w:ilvl="5" w:tplc="7F2A05AE">
      <w:start w:val="1"/>
      <w:numFmt w:val="bullet"/>
      <w:lvlText w:val=""/>
      <w:lvlJc w:val="left"/>
      <w:pPr>
        <w:ind w:left="1020" w:hanging="360"/>
      </w:pPr>
      <w:rPr>
        <w:rFonts w:ascii="Symbol" w:hAnsi="Symbol"/>
      </w:rPr>
    </w:lvl>
    <w:lvl w:ilvl="6" w:tplc="62CCC2C2">
      <w:start w:val="1"/>
      <w:numFmt w:val="bullet"/>
      <w:lvlText w:val=""/>
      <w:lvlJc w:val="left"/>
      <w:pPr>
        <w:ind w:left="1020" w:hanging="360"/>
      </w:pPr>
      <w:rPr>
        <w:rFonts w:ascii="Symbol" w:hAnsi="Symbol"/>
      </w:rPr>
    </w:lvl>
    <w:lvl w:ilvl="7" w:tplc="24E24636">
      <w:start w:val="1"/>
      <w:numFmt w:val="bullet"/>
      <w:lvlText w:val=""/>
      <w:lvlJc w:val="left"/>
      <w:pPr>
        <w:ind w:left="1020" w:hanging="360"/>
      </w:pPr>
      <w:rPr>
        <w:rFonts w:ascii="Symbol" w:hAnsi="Symbol"/>
      </w:rPr>
    </w:lvl>
    <w:lvl w:ilvl="8" w:tplc="F462F642">
      <w:start w:val="1"/>
      <w:numFmt w:val="bullet"/>
      <w:lvlText w:val=""/>
      <w:lvlJc w:val="left"/>
      <w:pPr>
        <w:ind w:left="1020" w:hanging="360"/>
      </w:pPr>
      <w:rPr>
        <w:rFonts w:ascii="Symbol" w:hAnsi="Symbol"/>
      </w:rPr>
    </w:lvl>
  </w:abstractNum>
  <w:abstractNum w:abstractNumId="88" w15:restartNumberingAfterBreak="0">
    <w:nsid w:val="660A6C2F"/>
    <w:multiLevelType w:val="hybridMultilevel"/>
    <w:tmpl w:val="48207262"/>
    <w:lvl w:ilvl="0" w:tplc="9800A99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61F6FED"/>
    <w:multiLevelType w:val="hybridMultilevel"/>
    <w:tmpl w:val="5A4C7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7167FD7"/>
    <w:multiLevelType w:val="hybridMultilevel"/>
    <w:tmpl w:val="7D327330"/>
    <w:lvl w:ilvl="0" w:tplc="A9C45DD8">
      <w:numFmt w:val="bullet"/>
      <w:lvlText w:val="-"/>
      <w:lvlJc w:val="left"/>
      <w:pPr>
        <w:ind w:left="720" w:hanging="360"/>
      </w:pPr>
      <w:rPr>
        <w:rFonts w:ascii="Aptos" w:eastAsia="Aptos"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 w15:restartNumberingAfterBreak="0">
    <w:nsid w:val="698C637B"/>
    <w:multiLevelType w:val="hybridMultilevel"/>
    <w:tmpl w:val="404AA11A"/>
    <w:lvl w:ilvl="0" w:tplc="9800A99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C885DE9"/>
    <w:multiLevelType w:val="hybridMultilevel"/>
    <w:tmpl w:val="9D20831C"/>
    <w:lvl w:ilvl="0" w:tplc="5FC817CA">
      <w:start w:val="1"/>
      <w:numFmt w:val="upperLetter"/>
      <w:lvlText w:val="%1)"/>
      <w:lvlJc w:val="left"/>
      <w:pPr>
        <w:ind w:left="384" w:hanging="360"/>
      </w:pPr>
      <w:rPr>
        <w:rFonts w:hint="default"/>
        <w:sz w:val="22"/>
        <w:szCs w:val="22"/>
      </w:rPr>
    </w:lvl>
    <w:lvl w:ilvl="1" w:tplc="04090019" w:tentative="1">
      <w:start w:val="1"/>
      <w:numFmt w:val="lowerLetter"/>
      <w:lvlText w:val="%2."/>
      <w:lvlJc w:val="left"/>
      <w:pPr>
        <w:ind w:left="1104" w:hanging="360"/>
      </w:pPr>
    </w:lvl>
    <w:lvl w:ilvl="2" w:tplc="0409001B" w:tentative="1">
      <w:start w:val="1"/>
      <w:numFmt w:val="lowerRoman"/>
      <w:lvlText w:val="%3."/>
      <w:lvlJc w:val="right"/>
      <w:pPr>
        <w:ind w:left="1824" w:hanging="180"/>
      </w:pPr>
    </w:lvl>
    <w:lvl w:ilvl="3" w:tplc="0409000F" w:tentative="1">
      <w:start w:val="1"/>
      <w:numFmt w:val="decimal"/>
      <w:lvlText w:val="%4."/>
      <w:lvlJc w:val="left"/>
      <w:pPr>
        <w:ind w:left="2544" w:hanging="360"/>
      </w:pPr>
    </w:lvl>
    <w:lvl w:ilvl="4" w:tplc="04090019" w:tentative="1">
      <w:start w:val="1"/>
      <w:numFmt w:val="lowerLetter"/>
      <w:lvlText w:val="%5."/>
      <w:lvlJc w:val="left"/>
      <w:pPr>
        <w:ind w:left="3264" w:hanging="360"/>
      </w:pPr>
    </w:lvl>
    <w:lvl w:ilvl="5" w:tplc="0409001B" w:tentative="1">
      <w:start w:val="1"/>
      <w:numFmt w:val="lowerRoman"/>
      <w:lvlText w:val="%6."/>
      <w:lvlJc w:val="right"/>
      <w:pPr>
        <w:ind w:left="3984" w:hanging="180"/>
      </w:pPr>
    </w:lvl>
    <w:lvl w:ilvl="6" w:tplc="0409000F" w:tentative="1">
      <w:start w:val="1"/>
      <w:numFmt w:val="decimal"/>
      <w:lvlText w:val="%7."/>
      <w:lvlJc w:val="left"/>
      <w:pPr>
        <w:ind w:left="4704" w:hanging="360"/>
      </w:pPr>
    </w:lvl>
    <w:lvl w:ilvl="7" w:tplc="04090019" w:tentative="1">
      <w:start w:val="1"/>
      <w:numFmt w:val="lowerLetter"/>
      <w:lvlText w:val="%8."/>
      <w:lvlJc w:val="left"/>
      <w:pPr>
        <w:ind w:left="5424" w:hanging="360"/>
      </w:pPr>
    </w:lvl>
    <w:lvl w:ilvl="8" w:tplc="0409001B" w:tentative="1">
      <w:start w:val="1"/>
      <w:numFmt w:val="lowerRoman"/>
      <w:lvlText w:val="%9."/>
      <w:lvlJc w:val="right"/>
      <w:pPr>
        <w:ind w:left="6144" w:hanging="180"/>
      </w:pPr>
    </w:lvl>
  </w:abstractNum>
  <w:abstractNum w:abstractNumId="93" w15:restartNumberingAfterBreak="0">
    <w:nsid w:val="6D477D58"/>
    <w:multiLevelType w:val="hybridMultilevel"/>
    <w:tmpl w:val="45CE5B6E"/>
    <w:lvl w:ilvl="0" w:tplc="0F7081E2">
      <w:start w:val="1"/>
      <w:numFmt w:val="bullet"/>
      <w:pStyle w:val="ESBullets"/>
      <w:lvlText w:val=""/>
      <w:lvlJc w:val="left"/>
      <w:pPr>
        <w:ind w:left="360" w:hanging="360"/>
      </w:pPr>
      <w:rPr>
        <w:rFonts w:ascii="Symbol" w:hAnsi="Symbol" w:hint="default"/>
        <w:caps w:val="0"/>
        <w:strike w:val="0"/>
        <w:dstrike w:val="0"/>
        <w:vanish w:val="0"/>
        <w:color w:val="5071B6"/>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4" w15:restartNumberingAfterBreak="0">
    <w:nsid w:val="6D604BB3"/>
    <w:multiLevelType w:val="hybridMultilevel"/>
    <w:tmpl w:val="D40081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E0F16BF"/>
    <w:multiLevelType w:val="hybridMultilevel"/>
    <w:tmpl w:val="B9B6EC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E2965EA"/>
    <w:multiLevelType w:val="hybridMultilevel"/>
    <w:tmpl w:val="0748D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E480887"/>
    <w:multiLevelType w:val="hybridMultilevel"/>
    <w:tmpl w:val="6AD04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E5B1201"/>
    <w:multiLevelType w:val="hybridMultilevel"/>
    <w:tmpl w:val="FFFFFFFF"/>
    <w:lvl w:ilvl="0" w:tplc="16CE4D8E">
      <w:start w:val="1"/>
      <w:numFmt w:val="bullet"/>
      <w:lvlText w:val=""/>
      <w:lvlJc w:val="left"/>
      <w:pPr>
        <w:ind w:left="720" w:hanging="360"/>
      </w:pPr>
      <w:rPr>
        <w:rFonts w:ascii="Symbol" w:hAnsi="Symbol" w:hint="default"/>
      </w:rPr>
    </w:lvl>
    <w:lvl w:ilvl="1" w:tplc="A8AC6BCE">
      <w:start w:val="1"/>
      <w:numFmt w:val="bullet"/>
      <w:lvlText w:val="o"/>
      <w:lvlJc w:val="left"/>
      <w:pPr>
        <w:ind w:left="1440" w:hanging="360"/>
      </w:pPr>
      <w:rPr>
        <w:rFonts w:ascii="Courier New" w:hAnsi="Courier New" w:hint="default"/>
      </w:rPr>
    </w:lvl>
    <w:lvl w:ilvl="2" w:tplc="407C47D0">
      <w:start w:val="1"/>
      <w:numFmt w:val="bullet"/>
      <w:lvlText w:val=""/>
      <w:lvlJc w:val="left"/>
      <w:pPr>
        <w:ind w:left="2160" w:hanging="360"/>
      </w:pPr>
      <w:rPr>
        <w:rFonts w:ascii="Wingdings" w:hAnsi="Wingdings" w:hint="default"/>
      </w:rPr>
    </w:lvl>
    <w:lvl w:ilvl="3" w:tplc="454ABA70">
      <w:start w:val="1"/>
      <w:numFmt w:val="bullet"/>
      <w:lvlText w:val=""/>
      <w:lvlJc w:val="left"/>
      <w:pPr>
        <w:ind w:left="2880" w:hanging="360"/>
      </w:pPr>
      <w:rPr>
        <w:rFonts w:ascii="Symbol" w:hAnsi="Symbol" w:hint="default"/>
      </w:rPr>
    </w:lvl>
    <w:lvl w:ilvl="4" w:tplc="F61C1EE0">
      <w:start w:val="1"/>
      <w:numFmt w:val="bullet"/>
      <w:lvlText w:val="o"/>
      <w:lvlJc w:val="left"/>
      <w:pPr>
        <w:ind w:left="3600" w:hanging="360"/>
      </w:pPr>
      <w:rPr>
        <w:rFonts w:ascii="Courier New" w:hAnsi="Courier New" w:hint="default"/>
      </w:rPr>
    </w:lvl>
    <w:lvl w:ilvl="5" w:tplc="FEE654FA">
      <w:start w:val="1"/>
      <w:numFmt w:val="bullet"/>
      <w:lvlText w:val=""/>
      <w:lvlJc w:val="left"/>
      <w:pPr>
        <w:ind w:left="4320" w:hanging="360"/>
      </w:pPr>
      <w:rPr>
        <w:rFonts w:ascii="Wingdings" w:hAnsi="Wingdings" w:hint="default"/>
      </w:rPr>
    </w:lvl>
    <w:lvl w:ilvl="6" w:tplc="5EFA1E02">
      <w:start w:val="1"/>
      <w:numFmt w:val="bullet"/>
      <w:lvlText w:val=""/>
      <w:lvlJc w:val="left"/>
      <w:pPr>
        <w:ind w:left="5040" w:hanging="360"/>
      </w:pPr>
      <w:rPr>
        <w:rFonts w:ascii="Symbol" w:hAnsi="Symbol" w:hint="default"/>
      </w:rPr>
    </w:lvl>
    <w:lvl w:ilvl="7" w:tplc="76BCAA92">
      <w:start w:val="1"/>
      <w:numFmt w:val="bullet"/>
      <w:lvlText w:val="o"/>
      <w:lvlJc w:val="left"/>
      <w:pPr>
        <w:ind w:left="5760" w:hanging="360"/>
      </w:pPr>
      <w:rPr>
        <w:rFonts w:ascii="Courier New" w:hAnsi="Courier New" w:hint="default"/>
      </w:rPr>
    </w:lvl>
    <w:lvl w:ilvl="8" w:tplc="0F0EE870">
      <w:start w:val="1"/>
      <w:numFmt w:val="bullet"/>
      <w:lvlText w:val=""/>
      <w:lvlJc w:val="left"/>
      <w:pPr>
        <w:ind w:left="6480" w:hanging="360"/>
      </w:pPr>
      <w:rPr>
        <w:rFonts w:ascii="Wingdings" w:hAnsi="Wingdings" w:hint="default"/>
      </w:rPr>
    </w:lvl>
  </w:abstractNum>
  <w:abstractNum w:abstractNumId="99" w15:restartNumberingAfterBreak="0">
    <w:nsid w:val="6F0567DC"/>
    <w:multiLevelType w:val="multilevel"/>
    <w:tmpl w:val="EAB84840"/>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0" w15:restartNumberingAfterBreak="0">
    <w:nsid w:val="6F0607AD"/>
    <w:multiLevelType w:val="hybridMultilevel"/>
    <w:tmpl w:val="631A4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FFD0B65"/>
    <w:multiLevelType w:val="hybridMultilevel"/>
    <w:tmpl w:val="9C645334"/>
    <w:lvl w:ilvl="0" w:tplc="8708A5B4">
      <w:start w:val="1"/>
      <w:numFmt w:val="bullet"/>
      <w:lvlText w:val=""/>
      <w:lvlJc w:val="left"/>
      <w:pPr>
        <w:ind w:left="720" w:hanging="360"/>
      </w:pPr>
      <w:rPr>
        <w:rFonts w:ascii="Symbol" w:hAnsi="Symbol"/>
      </w:rPr>
    </w:lvl>
    <w:lvl w:ilvl="1" w:tplc="94785B2A">
      <w:start w:val="1"/>
      <w:numFmt w:val="bullet"/>
      <w:lvlText w:val=""/>
      <w:lvlJc w:val="left"/>
      <w:pPr>
        <w:ind w:left="720" w:hanging="360"/>
      </w:pPr>
      <w:rPr>
        <w:rFonts w:ascii="Symbol" w:hAnsi="Symbol"/>
      </w:rPr>
    </w:lvl>
    <w:lvl w:ilvl="2" w:tplc="B154549C">
      <w:start w:val="1"/>
      <w:numFmt w:val="bullet"/>
      <w:lvlText w:val=""/>
      <w:lvlJc w:val="left"/>
      <w:pPr>
        <w:ind w:left="720" w:hanging="360"/>
      </w:pPr>
      <w:rPr>
        <w:rFonts w:ascii="Symbol" w:hAnsi="Symbol"/>
      </w:rPr>
    </w:lvl>
    <w:lvl w:ilvl="3" w:tplc="5ADE7DB6">
      <w:start w:val="1"/>
      <w:numFmt w:val="bullet"/>
      <w:lvlText w:val=""/>
      <w:lvlJc w:val="left"/>
      <w:pPr>
        <w:ind w:left="720" w:hanging="360"/>
      </w:pPr>
      <w:rPr>
        <w:rFonts w:ascii="Symbol" w:hAnsi="Symbol"/>
      </w:rPr>
    </w:lvl>
    <w:lvl w:ilvl="4" w:tplc="1CEA991E">
      <w:start w:val="1"/>
      <w:numFmt w:val="bullet"/>
      <w:lvlText w:val=""/>
      <w:lvlJc w:val="left"/>
      <w:pPr>
        <w:ind w:left="720" w:hanging="360"/>
      </w:pPr>
      <w:rPr>
        <w:rFonts w:ascii="Symbol" w:hAnsi="Symbol"/>
      </w:rPr>
    </w:lvl>
    <w:lvl w:ilvl="5" w:tplc="8E0E5778">
      <w:start w:val="1"/>
      <w:numFmt w:val="bullet"/>
      <w:lvlText w:val=""/>
      <w:lvlJc w:val="left"/>
      <w:pPr>
        <w:ind w:left="720" w:hanging="360"/>
      </w:pPr>
      <w:rPr>
        <w:rFonts w:ascii="Symbol" w:hAnsi="Symbol"/>
      </w:rPr>
    </w:lvl>
    <w:lvl w:ilvl="6" w:tplc="EB220906">
      <w:start w:val="1"/>
      <w:numFmt w:val="bullet"/>
      <w:lvlText w:val=""/>
      <w:lvlJc w:val="left"/>
      <w:pPr>
        <w:ind w:left="720" w:hanging="360"/>
      </w:pPr>
      <w:rPr>
        <w:rFonts w:ascii="Symbol" w:hAnsi="Symbol"/>
      </w:rPr>
    </w:lvl>
    <w:lvl w:ilvl="7" w:tplc="7A3A6242">
      <w:start w:val="1"/>
      <w:numFmt w:val="bullet"/>
      <w:lvlText w:val=""/>
      <w:lvlJc w:val="left"/>
      <w:pPr>
        <w:ind w:left="720" w:hanging="360"/>
      </w:pPr>
      <w:rPr>
        <w:rFonts w:ascii="Symbol" w:hAnsi="Symbol"/>
      </w:rPr>
    </w:lvl>
    <w:lvl w:ilvl="8" w:tplc="E0FE03D2">
      <w:start w:val="1"/>
      <w:numFmt w:val="bullet"/>
      <w:lvlText w:val=""/>
      <w:lvlJc w:val="left"/>
      <w:pPr>
        <w:ind w:left="720" w:hanging="360"/>
      </w:pPr>
      <w:rPr>
        <w:rFonts w:ascii="Symbol" w:hAnsi="Symbol"/>
      </w:rPr>
    </w:lvl>
  </w:abstractNum>
  <w:abstractNum w:abstractNumId="102" w15:restartNumberingAfterBreak="0">
    <w:nsid w:val="715A4C74"/>
    <w:multiLevelType w:val="hybridMultilevel"/>
    <w:tmpl w:val="A66AAA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1B5062A"/>
    <w:multiLevelType w:val="hybridMultilevel"/>
    <w:tmpl w:val="BB88C2AC"/>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4" w15:restartNumberingAfterBreak="0">
    <w:nsid w:val="72B37E68"/>
    <w:multiLevelType w:val="hybridMultilevel"/>
    <w:tmpl w:val="44C6A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47761DB"/>
    <w:multiLevelType w:val="hybridMultilevel"/>
    <w:tmpl w:val="FFFFFFFF"/>
    <w:lvl w:ilvl="0" w:tplc="10947B9E">
      <w:start w:val="1"/>
      <w:numFmt w:val="bullet"/>
      <w:lvlText w:val=""/>
      <w:lvlJc w:val="left"/>
      <w:pPr>
        <w:ind w:left="720" w:hanging="360"/>
      </w:pPr>
      <w:rPr>
        <w:rFonts w:ascii="Symbol" w:hAnsi="Symbol" w:hint="default"/>
      </w:rPr>
    </w:lvl>
    <w:lvl w:ilvl="1" w:tplc="EE524316">
      <w:start w:val="1"/>
      <w:numFmt w:val="bullet"/>
      <w:lvlText w:val="o"/>
      <w:lvlJc w:val="left"/>
      <w:pPr>
        <w:ind w:left="1440" w:hanging="360"/>
      </w:pPr>
      <w:rPr>
        <w:rFonts w:ascii="Courier New" w:hAnsi="Courier New" w:hint="default"/>
      </w:rPr>
    </w:lvl>
    <w:lvl w:ilvl="2" w:tplc="1C7AC07A">
      <w:start w:val="1"/>
      <w:numFmt w:val="bullet"/>
      <w:lvlText w:val=""/>
      <w:lvlJc w:val="left"/>
      <w:pPr>
        <w:ind w:left="2160" w:hanging="360"/>
      </w:pPr>
      <w:rPr>
        <w:rFonts w:ascii="Wingdings" w:hAnsi="Wingdings" w:hint="default"/>
      </w:rPr>
    </w:lvl>
    <w:lvl w:ilvl="3" w:tplc="BD8AE4F4">
      <w:start w:val="1"/>
      <w:numFmt w:val="bullet"/>
      <w:lvlText w:val=""/>
      <w:lvlJc w:val="left"/>
      <w:pPr>
        <w:ind w:left="2880" w:hanging="360"/>
      </w:pPr>
      <w:rPr>
        <w:rFonts w:ascii="Symbol" w:hAnsi="Symbol" w:hint="default"/>
      </w:rPr>
    </w:lvl>
    <w:lvl w:ilvl="4" w:tplc="E522D2FC">
      <w:start w:val="1"/>
      <w:numFmt w:val="bullet"/>
      <w:lvlText w:val="o"/>
      <w:lvlJc w:val="left"/>
      <w:pPr>
        <w:ind w:left="3600" w:hanging="360"/>
      </w:pPr>
      <w:rPr>
        <w:rFonts w:ascii="Courier New" w:hAnsi="Courier New" w:hint="default"/>
      </w:rPr>
    </w:lvl>
    <w:lvl w:ilvl="5" w:tplc="BB10CAF6">
      <w:start w:val="1"/>
      <w:numFmt w:val="bullet"/>
      <w:lvlText w:val=""/>
      <w:lvlJc w:val="left"/>
      <w:pPr>
        <w:ind w:left="4320" w:hanging="360"/>
      </w:pPr>
      <w:rPr>
        <w:rFonts w:ascii="Wingdings" w:hAnsi="Wingdings" w:hint="default"/>
      </w:rPr>
    </w:lvl>
    <w:lvl w:ilvl="6" w:tplc="C898115C">
      <w:start w:val="1"/>
      <w:numFmt w:val="bullet"/>
      <w:lvlText w:val=""/>
      <w:lvlJc w:val="left"/>
      <w:pPr>
        <w:ind w:left="5040" w:hanging="360"/>
      </w:pPr>
      <w:rPr>
        <w:rFonts w:ascii="Symbol" w:hAnsi="Symbol" w:hint="default"/>
      </w:rPr>
    </w:lvl>
    <w:lvl w:ilvl="7" w:tplc="339A0D9A">
      <w:start w:val="1"/>
      <w:numFmt w:val="bullet"/>
      <w:lvlText w:val="o"/>
      <w:lvlJc w:val="left"/>
      <w:pPr>
        <w:ind w:left="5760" w:hanging="360"/>
      </w:pPr>
      <w:rPr>
        <w:rFonts w:ascii="Courier New" w:hAnsi="Courier New" w:hint="default"/>
      </w:rPr>
    </w:lvl>
    <w:lvl w:ilvl="8" w:tplc="3C7E310A">
      <w:start w:val="1"/>
      <w:numFmt w:val="bullet"/>
      <w:lvlText w:val=""/>
      <w:lvlJc w:val="left"/>
      <w:pPr>
        <w:ind w:left="6480" w:hanging="360"/>
      </w:pPr>
      <w:rPr>
        <w:rFonts w:ascii="Wingdings" w:hAnsi="Wingdings" w:hint="default"/>
      </w:rPr>
    </w:lvl>
  </w:abstractNum>
  <w:abstractNum w:abstractNumId="106" w15:restartNumberingAfterBreak="0">
    <w:nsid w:val="74CDA77B"/>
    <w:multiLevelType w:val="hybridMultilevel"/>
    <w:tmpl w:val="FFFFFFFF"/>
    <w:lvl w:ilvl="0" w:tplc="27EA9B78">
      <w:start w:val="1"/>
      <w:numFmt w:val="bullet"/>
      <w:lvlText w:val="·"/>
      <w:lvlJc w:val="left"/>
      <w:pPr>
        <w:ind w:left="720" w:hanging="360"/>
      </w:pPr>
      <w:rPr>
        <w:rFonts w:ascii="Symbol" w:hAnsi="Symbol" w:hint="default"/>
      </w:rPr>
    </w:lvl>
    <w:lvl w:ilvl="1" w:tplc="D316ACAC">
      <w:start w:val="1"/>
      <w:numFmt w:val="bullet"/>
      <w:lvlText w:val="o"/>
      <w:lvlJc w:val="left"/>
      <w:pPr>
        <w:ind w:left="1440" w:hanging="360"/>
      </w:pPr>
      <w:rPr>
        <w:rFonts w:ascii="Courier New" w:hAnsi="Courier New" w:hint="default"/>
      </w:rPr>
    </w:lvl>
    <w:lvl w:ilvl="2" w:tplc="B67073BA">
      <w:start w:val="1"/>
      <w:numFmt w:val="bullet"/>
      <w:lvlText w:val=""/>
      <w:lvlJc w:val="left"/>
      <w:pPr>
        <w:ind w:left="2160" w:hanging="360"/>
      </w:pPr>
      <w:rPr>
        <w:rFonts w:ascii="Wingdings" w:hAnsi="Wingdings" w:hint="default"/>
      </w:rPr>
    </w:lvl>
    <w:lvl w:ilvl="3" w:tplc="38E62EE0">
      <w:start w:val="1"/>
      <w:numFmt w:val="bullet"/>
      <w:lvlText w:val=""/>
      <w:lvlJc w:val="left"/>
      <w:pPr>
        <w:ind w:left="2880" w:hanging="360"/>
      </w:pPr>
      <w:rPr>
        <w:rFonts w:ascii="Symbol" w:hAnsi="Symbol" w:hint="default"/>
      </w:rPr>
    </w:lvl>
    <w:lvl w:ilvl="4" w:tplc="95520878">
      <w:start w:val="1"/>
      <w:numFmt w:val="bullet"/>
      <w:lvlText w:val="o"/>
      <w:lvlJc w:val="left"/>
      <w:pPr>
        <w:ind w:left="3600" w:hanging="360"/>
      </w:pPr>
      <w:rPr>
        <w:rFonts w:ascii="Courier New" w:hAnsi="Courier New" w:hint="default"/>
      </w:rPr>
    </w:lvl>
    <w:lvl w:ilvl="5" w:tplc="30569B30">
      <w:start w:val="1"/>
      <w:numFmt w:val="bullet"/>
      <w:lvlText w:val=""/>
      <w:lvlJc w:val="left"/>
      <w:pPr>
        <w:ind w:left="4320" w:hanging="360"/>
      </w:pPr>
      <w:rPr>
        <w:rFonts w:ascii="Wingdings" w:hAnsi="Wingdings" w:hint="default"/>
      </w:rPr>
    </w:lvl>
    <w:lvl w:ilvl="6" w:tplc="F224E30E">
      <w:start w:val="1"/>
      <w:numFmt w:val="bullet"/>
      <w:lvlText w:val=""/>
      <w:lvlJc w:val="left"/>
      <w:pPr>
        <w:ind w:left="5040" w:hanging="360"/>
      </w:pPr>
      <w:rPr>
        <w:rFonts w:ascii="Symbol" w:hAnsi="Symbol" w:hint="default"/>
      </w:rPr>
    </w:lvl>
    <w:lvl w:ilvl="7" w:tplc="1D1655C2">
      <w:start w:val="1"/>
      <w:numFmt w:val="bullet"/>
      <w:lvlText w:val="o"/>
      <w:lvlJc w:val="left"/>
      <w:pPr>
        <w:ind w:left="5760" w:hanging="360"/>
      </w:pPr>
      <w:rPr>
        <w:rFonts w:ascii="Courier New" w:hAnsi="Courier New" w:hint="default"/>
      </w:rPr>
    </w:lvl>
    <w:lvl w:ilvl="8" w:tplc="5E541FCC">
      <w:start w:val="1"/>
      <w:numFmt w:val="bullet"/>
      <w:lvlText w:val=""/>
      <w:lvlJc w:val="left"/>
      <w:pPr>
        <w:ind w:left="6480" w:hanging="360"/>
      </w:pPr>
      <w:rPr>
        <w:rFonts w:ascii="Wingdings" w:hAnsi="Wingdings" w:hint="default"/>
      </w:rPr>
    </w:lvl>
  </w:abstractNum>
  <w:abstractNum w:abstractNumId="107" w15:restartNumberingAfterBreak="0">
    <w:nsid w:val="74FB242D"/>
    <w:multiLevelType w:val="hybridMultilevel"/>
    <w:tmpl w:val="0D5277DC"/>
    <w:lvl w:ilvl="0" w:tplc="9D8A3C92">
      <w:start w:val="1"/>
      <w:numFmt w:val="decimal"/>
      <w:lvlText w:val="%1."/>
      <w:lvlJc w:val="left"/>
      <w:pPr>
        <w:ind w:left="1440" w:hanging="360"/>
      </w:pPr>
    </w:lvl>
    <w:lvl w:ilvl="1" w:tplc="2B12A55A">
      <w:start w:val="1"/>
      <w:numFmt w:val="decimal"/>
      <w:lvlText w:val="%2."/>
      <w:lvlJc w:val="left"/>
      <w:pPr>
        <w:ind w:left="1440" w:hanging="360"/>
      </w:pPr>
    </w:lvl>
    <w:lvl w:ilvl="2" w:tplc="D9ECBA28">
      <w:start w:val="1"/>
      <w:numFmt w:val="decimal"/>
      <w:lvlText w:val="%3."/>
      <w:lvlJc w:val="left"/>
      <w:pPr>
        <w:ind w:left="1440" w:hanging="360"/>
      </w:pPr>
    </w:lvl>
    <w:lvl w:ilvl="3" w:tplc="06EAA778">
      <w:start w:val="1"/>
      <w:numFmt w:val="decimal"/>
      <w:lvlText w:val="%4."/>
      <w:lvlJc w:val="left"/>
      <w:pPr>
        <w:ind w:left="1440" w:hanging="360"/>
      </w:pPr>
    </w:lvl>
    <w:lvl w:ilvl="4" w:tplc="4F0A8766">
      <w:start w:val="1"/>
      <w:numFmt w:val="decimal"/>
      <w:lvlText w:val="%5."/>
      <w:lvlJc w:val="left"/>
      <w:pPr>
        <w:ind w:left="1440" w:hanging="360"/>
      </w:pPr>
    </w:lvl>
    <w:lvl w:ilvl="5" w:tplc="FDA66798">
      <w:start w:val="1"/>
      <w:numFmt w:val="decimal"/>
      <w:lvlText w:val="%6."/>
      <w:lvlJc w:val="left"/>
      <w:pPr>
        <w:ind w:left="1440" w:hanging="360"/>
      </w:pPr>
    </w:lvl>
    <w:lvl w:ilvl="6" w:tplc="ABDA412C">
      <w:start w:val="1"/>
      <w:numFmt w:val="decimal"/>
      <w:lvlText w:val="%7."/>
      <w:lvlJc w:val="left"/>
      <w:pPr>
        <w:ind w:left="1440" w:hanging="360"/>
      </w:pPr>
    </w:lvl>
    <w:lvl w:ilvl="7" w:tplc="C34CC434">
      <w:start w:val="1"/>
      <w:numFmt w:val="decimal"/>
      <w:lvlText w:val="%8."/>
      <w:lvlJc w:val="left"/>
      <w:pPr>
        <w:ind w:left="1440" w:hanging="360"/>
      </w:pPr>
    </w:lvl>
    <w:lvl w:ilvl="8" w:tplc="702EECE6">
      <w:start w:val="1"/>
      <w:numFmt w:val="decimal"/>
      <w:lvlText w:val="%9."/>
      <w:lvlJc w:val="left"/>
      <w:pPr>
        <w:ind w:left="1440" w:hanging="360"/>
      </w:pPr>
    </w:lvl>
  </w:abstractNum>
  <w:abstractNum w:abstractNumId="108" w15:restartNumberingAfterBreak="0">
    <w:nsid w:val="7551962B"/>
    <w:multiLevelType w:val="hybridMultilevel"/>
    <w:tmpl w:val="FFFFFFFF"/>
    <w:lvl w:ilvl="0" w:tplc="F9328CF4">
      <w:start w:val="1"/>
      <w:numFmt w:val="bullet"/>
      <w:lvlText w:val=""/>
      <w:lvlJc w:val="left"/>
      <w:pPr>
        <w:ind w:left="720" w:hanging="360"/>
      </w:pPr>
      <w:rPr>
        <w:rFonts w:ascii="Symbol" w:hAnsi="Symbol" w:hint="default"/>
      </w:rPr>
    </w:lvl>
    <w:lvl w:ilvl="1" w:tplc="D5720E1E">
      <w:start w:val="1"/>
      <w:numFmt w:val="bullet"/>
      <w:lvlText w:val="o"/>
      <w:lvlJc w:val="left"/>
      <w:pPr>
        <w:ind w:left="1440" w:hanging="360"/>
      </w:pPr>
      <w:rPr>
        <w:rFonts w:ascii="Courier New" w:hAnsi="Courier New" w:hint="default"/>
      </w:rPr>
    </w:lvl>
    <w:lvl w:ilvl="2" w:tplc="014AB608">
      <w:start w:val="1"/>
      <w:numFmt w:val="bullet"/>
      <w:lvlText w:val=""/>
      <w:lvlJc w:val="left"/>
      <w:pPr>
        <w:ind w:left="2160" w:hanging="360"/>
      </w:pPr>
      <w:rPr>
        <w:rFonts w:ascii="Wingdings" w:hAnsi="Wingdings" w:hint="default"/>
      </w:rPr>
    </w:lvl>
    <w:lvl w:ilvl="3" w:tplc="DF4044CE">
      <w:start w:val="1"/>
      <w:numFmt w:val="bullet"/>
      <w:lvlText w:val=""/>
      <w:lvlJc w:val="left"/>
      <w:pPr>
        <w:ind w:left="2880" w:hanging="360"/>
      </w:pPr>
      <w:rPr>
        <w:rFonts w:ascii="Symbol" w:hAnsi="Symbol" w:hint="default"/>
      </w:rPr>
    </w:lvl>
    <w:lvl w:ilvl="4" w:tplc="E9389B8E">
      <w:start w:val="1"/>
      <w:numFmt w:val="bullet"/>
      <w:lvlText w:val="o"/>
      <w:lvlJc w:val="left"/>
      <w:pPr>
        <w:ind w:left="3600" w:hanging="360"/>
      </w:pPr>
      <w:rPr>
        <w:rFonts w:ascii="Courier New" w:hAnsi="Courier New" w:hint="default"/>
      </w:rPr>
    </w:lvl>
    <w:lvl w:ilvl="5" w:tplc="2AE646AC">
      <w:start w:val="1"/>
      <w:numFmt w:val="bullet"/>
      <w:lvlText w:val=""/>
      <w:lvlJc w:val="left"/>
      <w:pPr>
        <w:ind w:left="4320" w:hanging="360"/>
      </w:pPr>
      <w:rPr>
        <w:rFonts w:ascii="Wingdings" w:hAnsi="Wingdings" w:hint="default"/>
      </w:rPr>
    </w:lvl>
    <w:lvl w:ilvl="6" w:tplc="ADECE698">
      <w:start w:val="1"/>
      <w:numFmt w:val="bullet"/>
      <w:lvlText w:val=""/>
      <w:lvlJc w:val="left"/>
      <w:pPr>
        <w:ind w:left="5040" w:hanging="360"/>
      </w:pPr>
      <w:rPr>
        <w:rFonts w:ascii="Symbol" w:hAnsi="Symbol" w:hint="default"/>
      </w:rPr>
    </w:lvl>
    <w:lvl w:ilvl="7" w:tplc="ECC25D7C">
      <w:start w:val="1"/>
      <w:numFmt w:val="bullet"/>
      <w:lvlText w:val="o"/>
      <w:lvlJc w:val="left"/>
      <w:pPr>
        <w:ind w:left="5760" w:hanging="360"/>
      </w:pPr>
      <w:rPr>
        <w:rFonts w:ascii="Courier New" w:hAnsi="Courier New" w:hint="default"/>
      </w:rPr>
    </w:lvl>
    <w:lvl w:ilvl="8" w:tplc="BA780A9C">
      <w:start w:val="1"/>
      <w:numFmt w:val="bullet"/>
      <w:lvlText w:val=""/>
      <w:lvlJc w:val="left"/>
      <w:pPr>
        <w:ind w:left="6480" w:hanging="360"/>
      </w:pPr>
      <w:rPr>
        <w:rFonts w:ascii="Wingdings" w:hAnsi="Wingdings" w:hint="default"/>
      </w:rPr>
    </w:lvl>
  </w:abstractNum>
  <w:abstractNum w:abstractNumId="109" w15:restartNumberingAfterBreak="0">
    <w:nsid w:val="756C1512"/>
    <w:multiLevelType w:val="hybridMultilevel"/>
    <w:tmpl w:val="FFFFFFFF"/>
    <w:lvl w:ilvl="0" w:tplc="6570000E">
      <w:start w:val="1"/>
      <w:numFmt w:val="bullet"/>
      <w:lvlText w:val=""/>
      <w:lvlJc w:val="left"/>
      <w:pPr>
        <w:ind w:left="720" w:hanging="360"/>
      </w:pPr>
      <w:rPr>
        <w:rFonts w:ascii="Symbol" w:hAnsi="Symbol" w:hint="default"/>
      </w:rPr>
    </w:lvl>
    <w:lvl w:ilvl="1" w:tplc="795EA410">
      <w:start w:val="1"/>
      <w:numFmt w:val="bullet"/>
      <w:lvlText w:val="o"/>
      <w:lvlJc w:val="left"/>
      <w:pPr>
        <w:ind w:left="1440" w:hanging="360"/>
      </w:pPr>
      <w:rPr>
        <w:rFonts w:ascii="Courier New" w:hAnsi="Courier New" w:hint="default"/>
      </w:rPr>
    </w:lvl>
    <w:lvl w:ilvl="2" w:tplc="725E0574">
      <w:start w:val="1"/>
      <w:numFmt w:val="bullet"/>
      <w:lvlText w:val=""/>
      <w:lvlJc w:val="left"/>
      <w:pPr>
        <w:ind w:left="2160" w:hanging="360"/>
      </w:pPr>
      <w:rPr>
        <w:rFonts w:ascii="Wingdings" w:hAnsi="Wingdings" w:hint="default"/>
      </w:rPr>
    </w:lvl>
    <w:lvl w:ilvl="3" w:tplc="9A563AC0">
      <w:start w:val="1"/>
      <w:numFmt w:val="bullet"/>
      <w:lvlText w:val=""/>
      <w:lvlJc w:val="left"/>
      <w:pPr>
        <w:ind w:left="2880" w:hanging="360"/>
      </w:pPr>
      <w:rPr>
        <w:rFonts w:ascii="Symbol" w:hAnsi="Symbol" w:hint="default"/>
      </w:rPr>
    </w:lvl>
    <w:lvl w:ilvl="4" w:tplc="22521F24">
      <w:start w:val="1"/>
      <w:numFmt w:val="bullet"/>
      <w:lvlText w:val="o"/>
      <w:lvlJc w:val="left"/>
      <w:pPr>
        <w:ind w:left="3600" w:hanging="360"/>
      </w:pPr>
      <w:rPr>
        <w:rFonts w:ascii="Courier New" w:hAnsi="Courier New" w:hint="default"/>
      </w:rPr>
    </w:lvl>
    <w:lvl w:ilvl="5" w:tplc="ED4E931E">
      <w:start w:val="1"/>
      <w:numFmt w:val="bullet"/>
      <w:lvlText w:val=""/>
      <w:lvlJc w:val="left"/>
      <w:pPr>
        <w:ind w:left="4320" w:hanging="360"/>
      </w:pPr>
      <w:rPr>
        <w:rFonts w:ascii="Wingdings" w:hAnsi="Wingdings" w:hint="default"/>
      </w:rPr>
    </w:lvl>
    <w:lvl w:ilvl="6" w:tplc="56985C60">
      <w:start w:val="1"/>
      <w:numFmt w:val="bullet"/>
      <w:lvlText w:val=""/>
      <w:lvlJc w:val="left"/>
      <w:pPr>
        <w:ind w:left="5040" w:hanging="360"/>
      </w:pPr>
      <w:rPr>
        <w:rFonts w:ascii="Symbol" w:hAnsi="Symbol" w:hint="default"/>
      </w:rPr>
    </w:lvl>
    <w:lvl w:ilvl="7" w:tplc="2400653C">
      <w:start w:val="1"/>
      <w:numFmt w:val="bullet"/>
      <w:lvlText w:val="o"/>
      <w:lvlJc w:val="left"/>
      <w:pPr>
        <w:ind w:left="5760" w:hanging="360"/>
      </w:pPr>
      <w:rPr>
        <w:rFonts w:ascii="Courier New" w:hAnsi="Courier New" w:hint="default"/>
      </w:rPr>
    </w:lvl>
    <w:lvl w:ilvl="8" w:tplc="4A8C51D2">
      <w:start w:val="1"/>
      <w:numFmt w:val="bullet"/>
      <w:lvlText w:val=""/>
      <w:lvlJc w:val="left"/>
      <w:pPr>
        <w:ind w:left="6480" w:hanging="360"/>
      </w:pPr>
      <w:rPr>
        <w:rFonts w:ascii="Wingdings" w:hAnsi="Wingdings" w:hint="default"/>
      </w:rPr>
    </w:lvl>
  </w:abstractNum>
  <w:abstractNum w:abstractNumId="110" w15:restartNumberingAfterBreak="0">
    <w:nsid w:val="75797FC7"/>
    <w:multiLevelType w:val="hybridMultilevel"/>
    <w:tmpl w:val="961EA7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762717DD"/>
    <w:multiLevelType w:val="hybridMultilevel"/>
    <w:tmpl w:val="7A5A6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6529289"/>
    <w:multiLevelType w:val="hybridMultilevel"/>
    <w:tmpl w:val="FFFFFFFF"/>
    <w:lvl w:ilvl="0" w:tplc="1882773C">
      <w:start w:val="1"/>
      <w:numFmt w:val="bullet"/>
      <w:lvlText w:val=""/>
      <w:lvlJc w:val="left"/>
      <w:pPr>
        <w:ind w:left="360" w:hanging="360"/>
      </w:pPr>
      <w:rPr>
        <w:rFonts w:ascii="Symbol" w:hAnsi="Symbol" w:hint="default"/>
      </w:rPr>
    </w:lvl>
    <w:lvl w:ilvl="1" w:tplc="BBEAB866">
      <w:start w:val="1"/>
      <w:numFmt w:val="bullet"/>
      <w:lvlText w:val="o"/>
      <w:lvlJc w:val="left"/>
      <w:pPr>
        <w:ind w:left="1440" w:hanging="360"/>
      </w:pPr>
      <w:rPr>
        <w:rFonts w:ascii="Courier New" w:hAnsi="Courier New" w:hint="default"/>
      </w:rPr>
    </w:lvl>
    <w:lvl w:ilvl="2" w:tplc="DA6046A6">
      <w:start w:val="1"/>
      <w:numFmt w:val="bullet"/>
      <w:lvlText w:val=""/>
      <w:lvlJc w:val="left"/>
      <w:pPr>
        <w:ind w:left="2160" w:hanging="360"/>
      </w:pPr>
      <w:rPr>
        <w:rFonts w:ascii="Wingdings" w:hAnsi="Wingdings" w:hint="default"/>
      </w:rPr>
    </w:lvl>
    <w:lvl w:ilvl="3" w:tplc="ABCA01CA">
      <w:start w:val="1"/>
      <w:numFmt w:val="bullet"/>
      <w:lvlText w:val=""/>
      <w:lvlJc w:val="left"/>
      <w:pPr>
        <w:ind w:left="2880" w:hanging="360"/>
      </w:pPr>
      <w:rPr>
        <w:rFonts w:ascii="Symbol" w:hAnsi="Symbol" w:hint="default"/>
      </w:rPr>
    </w:lvl>
    <w:lvl w:ilvl="4" w:tplc="026AF5C8">
      <w:start w:val="1"/>
      <w:numFmt w:val="bullet"/>
      <w:lvlText w:val="o"/>
      <w:lvlJc w:val="left"/>
      <w:pPr>
        <w:ind w:left="3600" w:hanging="360"/>
      </w:pPr>
      <w:rPr>
        <w:rFonts w:ascii="Courier New" w:hAnsi="Courier New" w:hint="default"/>
      </w:rPr>
    </w:lvl>
    <w:lvl w:ilvl="5" w:tplc="8858FCCA">
      <w:start w:val="1"/>
      <w:numFmt w:val="bullet"/>
      <w:lvlText w:val=""/>
      <w:lvlJc w:val="left"/>
      <w:pPr>
        <w:ind w:left="4320" w:hanging="360"/>
      </w:pPr>
      <w:rPr>
        <w:rFonts w:ascii="Wingdings" w:hAnsi="Wingdings" w:hint="default"/>
      </w:rPr>
    </w:lvl>
    <w:lvl w:ilvl="6" w:tplc="655C0100">
      <w:start w:val="1"/>
      <w:numFmt w:val="bullet"/>
      <w:lvlText w:val=""/>
      <w:lvlJc w:val="left"/>
      <w:pPr>
        <w:ind w:left="5040" w:hanging="360"/>
      </w:pPr>
      <w:rPr>
        <w:rFonts w:ascii="Symbol" w:hAnsi="Symbol" w:hint="default"/>
      </w:rPr>
    </w:lvl>
    <w:lvl w:ilvl="7" w:tplc="D5B6346A">
      <w:start w:val="1"/>
      <w:numFmt w:val="bullet"/>
      <w:lvlText w:val="o"/>
      <w:lvlJc w:val="left"/>
      <w:pPr>
        <w:ind w:left="5760" w:hanging="360"/>
      </w:pPr>
      <w:rPr>
        <w:rFonts w:ascii="Courier New" w:hAnsi="Courier New" w:hint="default"/>
      </w:rPr>
    </w:lvl>
    <w:lvl w:ilvl="8" w:tplc="44BE85C8">
      <w:start w:val="1"/>
      <w:numFmt w:val="bullet"/>
      <w:lvlText w:val=""/>
      <w:lvlJc w:val="left"/>
      <w:pPr>
        <w:ind w:left="6480" w:hanging="360"/>
      </w:pPr>
      <w:rPr>
        <w:rFonts w:ascii="Wingdings" w:hAnsi="Wingdings" w:hint="default"/>
      </w:rPr>
    </w:lvl>
  </w:abstractNum>
  <w:abstractNum w:abstractNumId="113" w15:restartNumberingAfterBreak="0">
    <w:nsid w:val="76F13F48"/>
    <w:multiLevelType w:val="hybridMultilevel"/>
    <w:tmpl w:val="CC22C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7AA1327"/>
    <w:multiLevelType w:val="hybridMultilevel"/>
    <w:tmpl w:val="DA881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8F81FCB"/>
    <w:multiLevelType w:val="hybridMultilevel"/>
    <w:tmpl w:val="B51463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A281A4B"/>
    <w:multiLevelType w:val="hybridMultilevel"/>
    <w:tmpl w:val="CA2EF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A4F5CF9"/>
    <w:multiLevelType w:val="hybridMultilevel"/>
    <w:tmpl w:val="FFFFFFFF"/>
    <w:lvl w:ilvl="0" w:tplc="8D86C79A">
      <w:start w:val="1"/>
      <w:numFmt w:val="bullet"/>
      <w:lvlText w:val=""/>
      <w:lvlJc w:val="left"/>
      <w:pPr>
        <w:ind w:left="720" w:hanging="360"/>
      </w:pPr>
      <w:rPr>
        <w:rFonts w:ascii="Symbol" w:hAnsi="Symbol" w:hint="default"/>
      </w:rPr>
    </w:lvl>
    <w:lvl w:ilvl="1" w:tplc="F8BE5754">
      <w:start w:val="1"/>
      <w:numFmt w:val="bullet"/>
      <w:lvlText w:val="o"/>
      <w:lvlJc w:val="left"/>
      <w:pPr>
        <w:ind w:left="1440" w:hanging="360"/>
      </w:pPr>
      <w:rPr>
        <w:rFonts w:ascii="Courier New" w:hAnsi="Courier New" w:hint="default"/>
      </w:rPr>
    </w:lvl>
    <w:lvl w:ilvl="2" w:tplc="AFEECEDC">
      <w:start w:val="1"/>
      <w:numFmt w:val="bullet"/>
      <w:lvlText w:val=""/>
      <w:lvlJc w:val="left"/>
      <w:pPr>
        <w:ind w:left="2160" w:hanging="360"/>
      </w:pPr>
      <w:rPr>
        <w:rFonts w:ascii="Wingdings" w:hAnsi="Wingdings" w:hint="default"/>
      </w:rPr>
    </w:lvl>
    <w:lvl w:ilvl="3" w:tplc="63A4EF22">
      <w:start w:val="1"/>
      <w:numFmt w:val="bullet"/>
      <w:lvlText w:val=""/>
      <w:lvlJc w:val="left"/>
      <w:pPr>
        <w:ind w:left="2880" w:hanging="360"/>
      </w:pPr>
      <w:rPr>
        <w:rFonts w:ascii="Symbol" w:hAnsi="Symbol" w:hint="default"/>
      </w:rPr>
    </w:lvl>
    <w:lvl w:ilvl="4" w:tplc="89DEA8E8">
      <w:start w:val="1"/>
      <w:numFmt w:val="bullet"/>
      <w:lvlText w:val="o"/>
      <w:lvlJc w:val="left"/>
      <w:pPr>
        <w:ind w:left="3600" w:hanging="360"/>
      </w:pPr>
      <w:rPr>
        <w:rFonts w:ascii="Courier New" w:hAnsi="Courier New" w:hint="default"/>
      </w:rPr>
    </w:lvl>
    <w:lvl w:ilvl="5" w:tplc="67A81610">
      <w:start w:val="1"/>
      <w:numFmt w:val="bullet"/>
      <w:lvlText w:val=""/>
      <w:lvlJc w:val="left"/>
      <w:pPr>
        <w:ind w:left="4320" w:hanging="360"/>
      </w:pPr>
      <w:rPr>
        <w:rFonts w:ascii="Wingdings" w:hAnsi="Wingdings" w:hint="default"/>
      </w:rPr>
    </w:lvl>
    <w:lvl w:ilvl="6" w:tplc="E9E0F87C">
      <w:start w:val="1"/>
      <w:numFmt w:val="bullet"/>
      <w:lvlText w:val=""/>
      <w:lvlJc w:val="left"/>
      <w:pPr>
        <w:ind w:left="5040" w:hanging="360"/>
      </w:pPr>
      <w:rPr>
        <w:rFonts w:ascii="Symbol" w:hAnsi="Symbol" w:hint="default"/>
      </w:rPr>
    </w:lvl>
    <w:lvl w:ilvl="7" w:tplc="6B68F682">
      <w:start w:val="1"/>
      <w:numFmt w:val="bullet"/>
      <w:lvlText w:val="o"/>
      <w:lvlJc w:val="left"/>
      <w:pPr>
        <w:ind w:left="5760" w:hanging="360"/>
      </w:pPr>
      <w:rPr>
        <w:rFonts w:ascii="Courier New" w:hAnsi="Courier New" w:hint="default"/>
      </w:rPr>
    </w:lvl>
    <w:lvl w:ilvl="8" w:tplc="752C83CC">
      <w:start w:val="1"/>
      <w:numFmt w:val="bullet"/>
      <w:lvlText w:val=""/>
      <w:lvlJc w:val="left"/>
      <w:pPr>
        <w:ind w:left="6480" w:hanging="360"/>
      </w:pPr>
      <w:rPr>
        <w:rFonts w:ascii="Wingdings" w:hAnsi="Wingdings" w:hint="default"/>
      </w:rPr>
    </w:lvl>
  </w:abstractNum>
  <w:abstractNum w:abstractNumId="118" w15:restartNumberingAfterBreak="0">
    <w:nsid w:val="7A567C8B"/>
    <w:multiLevelType w:val="hybridMultilevel"/>
    <w:tmpl w:val="7808584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9" w15:restartNumberingAfterBreak="0">
    <w:nsid w:val="7F0E19F6"/>
    <w:multiLevelType w:val="hybridMultilevel"/>
    <w:tmpl w:val="73CE16D0"/>
    <w:lvl w:ilvl="0" w:tplc="0409000F">
      <w:start w:val="1"/>
      <w:numFmt w:val="decimal"/>
      <w:lvlText w:val="%1."/>
      <w:lvlJc w:val="left"/>
      <w:pPr>
        <w:ind w:left="720" w:hanging="360"/>
      </w:pPr>
      <w:rPr>
        <w:rFonts w:hint="default"/>
      </w:rPr>
    </w:lvl>
    <w:lvl w:ilvl="1" w:tplc="FFFFFFFF">
      <w:start w:val="1"/>
      <w:numFmt w:val="decimal"/>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0" w15:restartNumberingAfterBreak="0">
    <w:nsid w:val="7F6178EC"/>
    <w:multiLevelType w:val="hybridMultilevel"/>
    <w:tmpl w:val="B68820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42192004">
    <w:abstractNumId w:val="17"/>
  </w:num>
  <w:num w:numId="2" w16cid:durableId="1020280369">
    <w:abstractNumId w:val="31"/>
  </w:num>
  <w:num w:numId="3" w16cid:durableId="1090808429">
    <w:abstractNumId w:val="55"/>
  </w:num>
  <w:num w:numId="4" w16cid:durableId="641737567">
    <w:abstractNumId w:val="48"/>
  </w:num>
  <w:num w:numId="5" w16cid:durableId="236522753">
    <w:abstractNumId w:val="33"/>
  </w:num>
  <w:num w:numId="6" w16cid:durableId="669454730">
    <w:abstractNumId w:val="18"/>
  </w:num>
  <w:num w:numId="7" w16cid:durableId="1708215420">
    <w:abstractNumId w:val="100"/>
  </w:num>
  <w:num w:numId="8" w16cid:durableId="1085033689">
    <w:abstractNumId w:val="89"/>
  </w:num>
  <w:num w:numId="9" w16cid:durableId="2057311382">
    <w:abstractNumId w:val="1"/>
  </w:num>
  <w:num w:numId="10" w16cid:durableId="1019699592">
    <w:abstractNumId w:val="95"/>
  </w:num>
  <w:num w:numId="11" w16cid:durableId="1073967592">
    <w:abstractNumId w:val="47"/>
  </w:num>
  <w:num w:numId="12" w16cid:durableId="1565217591">
    <w:abstractNumId w:val="46"/>
  </w:num>
  <w:num w:numId="13" w16cid:durableId="1159152062">
    <w:abstractNumId w:val="63"/>
  </w:num>
  <w:num w:numId="14" w16cid:durableId="297422569">
    <w:abstractNumId w:val="5"/>
  </w:num>
  <w:num w:numId="15" w16cid:durableId="1304770336">
    <w:abstractNumId w:val="116"/>
  </w:num>
  <w:num w:numId="16" w16cid:durableId="543568457">
    <w:abstractNumId w:val="91"/>
  </w:num>
  <w:num w:numId="17" w16cid:durableId="1430471367">
    <w:abstractNumId w:val="92"/>
  </w:num>
  <w:num w:numId="18" w16cid:durableId="1295596236">
    <w:abstractNumId w:val="102"/>
  </w:num>
  <w:num w:numId="19" w16cid:durableId="615992326">
    <w:abstractNumId w:val="62"/>
  </w:num>
  <w:num w:numId="20" w16cid:durableId="1499155278">
    <w:abstractNumId w:val="35"/>
  </w:num>
  <w:num w:numId="21" w16cid:durableId="1542935993">
    <w:abstractNumId w:val="96"/>
  </w:num>
  <w:num w:numId="22" w16cid:durableId="2070835284">
    <w:abstractNumId w:val="34"/>
  </w:num>
  <w:num w:numId="23" w16cid:durableId="1020622226">
    <w:abstractNumId w:val="42"/>
  </w:num>
  <w:num w:numId="24" w16cid:durableId="370348802">
    <w:abstractNumId w:val="104"/>
  </w:num>
  <w:num w:numId="25" w16cid:durableId="3938951">
    <w:abstractNumId w:val="82"/>
  </w:num>
  <w:num w:numId="26" w16cid:durableId="466515384">
    <w:abstractNumId w:val="74"/>
  </w:num>
  <w:num w:numId="27" w16cid:durableId="666708857">
    <w:abstractNumId w:val="94"/>
  </w:num>
  <w:num w:numId="28" w16cid:durableId="1172716743">
    <w:abstractNumId w:val="68"/>
  </w:num>
  <w:num w:numId="29" w16cid:durableId="531646755">
    <w:abstractNumId w:val="21"/>
  </w:num>
  <w:num w:numId="30" w16cid:durableId="2014840442">
    <w:abstractNumId w:val="23"/>
  </w:num>
  <w:num w:numId="31" w16cid:durableId="133525297">
    <w:abstractNumId w:val="41"/>
  </w:num>
  <w:num w:numId="32" w16cid:durableId="1639454507">
    <w:abstractNumId w:val="40"/>
  </w:num>
  <w:num w:numId="33" w16cid:durableId="587275097">
    <w:abstractNumId w:val="26"/>
  </w:num>
  <w:num w:numId="34" w16cid:durableId="1325624983">
    <w:abstractNumId w:val="13"/>
  </w:num>
  <w:num w:numId="35" w16cid:durableId="1705593002">
    <w:abstractNumId w:val="93"/>
  </w:num>
  <w:num w:numId="36" w16cid:durableId="479422201">
    <w:abstractNumId w:val="108"/>
  </w:num>
  <w:num w:numId="37" w16cid:durableId="867640124">
    <w:abstractNumId w:val="115"/>
  </w:num>
  <w:num w:numId="38" w16cid:durableId="1607469903">
    <w:abstractNumId w:val="7"/>
  </w:num>
  <w:num w:numId="39" w16cid:durableId="1032655926">
    <w:abstractNumId w:val="2"/>
  </w:num>
  <w:num w:numId="40" w16cid:durableId="418989603">
    <w:abstractNumId w:val="97"/>
  </w:num>
  <w:num w:numId="41" w16cid:durableId="1605108569">
    <w:abstractNumId w:val="10"/>
  </w:num>
  <w:num w:numId="42" w16cid:durableId="186992273">
    <w:abstractNumId w:val="111"/>
  </w:num>
  <w:num w:numId="43" w16cid:durableId="266735795">
    <w:abstractNumId w:val="15"/>
  </w:num>
  <w:num w:numId="44" w16cid:durableId="1983776702">
    <w:abstractNumId w:val="107"/>
  </w:num>
  <w:num w:numId="45" w16cid:durableId="654266108">
    <w:abstractNumId w:val="103"/>
  </w:num>
  <w:num w:numId="46" w16cid:durableId="1594387900">
    <w:abstractNumId w:val="25"/>
  </w:num>
  <w:num w:numId="47" w16cid:durableId="442843491">
    <w:abstractNumId w:val="58"/>
  </w:num>
  <w:num w:numId="48" w16cid:durableId="381910141">
    <w:abstractNumId w:val="56"/>
  </w:num>
  <w:num w:numId="49" w16cid:durableId="1995445462">
    <w:abstractNumId w:val="72"/>
  </w:num>
  <w:num w:numId="50" w16cid:durableId="317998198">
    <w:abstractNumId w:val="54"/>
  </w:num>
  <w:num w:numId="51" w16cid:durableId="1986352175">
    <w:abstractNumId w:val="101"/>
  </w:num>
  <w:num w:numId="52" w16cid:durableId="315577832">
    <w:abstractNumId w:val="76"/>
  </w:num>
  <w:num w:numId="53" w16cid:durableId="1338728798">
    <w:abstractNumId w:val="12"/>
  </w:num>
  <w:num w:numId="54" w16cid:durableId="2139295964">
    <w:abstractNumId w:val="120"/>
  </w:num>
  <w:num w:numId="55" w16cid:durableId="1666976997">
    <w:abstractNumId w:val="77"/>
  </w:num>
  <w:num w:numId="56" w16cid:durableId="1857692990">
    <w:abstractNumId w:val="110"/>
  </w:num>
  <w:num w:numId="57" w16cid:durableId="1701936181">
    <w:abstractNumId w:val="64"/>
  </w:num>
  <w:num w:numId="58" w16cid:durableId="994996357">
    <w:abstractNumId w:val="88"/>
  </w:num>
  <w:num w:numId="59" w16cid:durableId="413934460">
    <w:abstractNumId w:val="14"/>
  </w:num>
  <w:num w:numId="60" w16cid:durableId="2006735762">
    <w:abstractNumId w:val="61"/>
  </w:num>
  <w:num w:numId="61" w16cid:durableId="2127002395">
    <w:abstractNumId w:val="20"/>
  </w:num>
  <w:num w:numId="62" w16cid:durableId="1967616555">
    <w:abstractNumId w:val="32"/>
  </w:num>
  <w:num w:numId="63" w16cid:durableId="385375734">
    <w:abstractNumId w:val="84"/>
  </w:num>
  <w:num w:numId="64" w16cid:durableId="1429622770">
    <w:abstractNumId w:val="66"/>
  </w:num>
  <w:num w:numId="65" w16cid:durableId="976643600">
    <w:abstractNumId w:val="119"/>
  </w:num>
  <w:num w:numId="66" w16cid:durableId="1332365914">
    <w:abstractNumId w:val="37"/>
  </w:num>
  <w:num w:numId="67" w16cid:durableId="1259870217">
    <w:abstractNumId w:val="53"/>
  </w:num>
  <w:num w:numId="68" w16cid:durableId="1274240729">
    <w:abstractNumId w:val="6"/>
  </w:num>
  <w:num w:numId="69" w16cid:durableId="565652688">
    <w:abstractNumId w:val="73"/>
  </w:num>
  <w:num w:numId="70" w16cid:durableId="1681737423">
    <w:abstractNumId w:val="69"/>
  </w:num>
  <w:num w:numId="71" w16cid:durableId="1809011483">
    <w:abstractNumId w:val="8"/>
  </w:num>
  <w:num w:numId="72" w16cid:durableId="512426422">
    <w:abstractNumId w:val="86"/>
  </w:num>
  <w:num w:numId="73" w16cid:durableId="597761360">
    <w:abstractNumId w:val="11"/>
  </w:num>
  <w:num w:numId="74" w16cid:durableId="2080204154">
    <w:abstractNumId w:val="38"/>
  </w:num>
  <w:num w:numId="75" w16cid:durableId="586379929">
    <w:abstractNumId w:val="117"/>
  </w:num>
  <w:num w:numId="76" w16cid:durableId="1411388561">
    <w:abstractNumId w:val="71"/>
  </w:num>
  <w:num w:numId="77" w16cid:durableId="615210226">
    <w:abstractNumId w:val="109"/>
  </w:num>
  <w:num w:numId="78" w16cid:durableId="1836719668">
    <w:abstractNumId w:val="28"/>
  </w:num>
  <w:num w:numId="79" w16cid:durableId="1568109626">
    <w:abstractNumId w:val="78"/>
  </w:num>
  <w:num w:numId="80" w16cid:durableId="2126460891">
    <w:abstractNumId w:val="9"/>
  </w:num>
  <w:num w:numId="81" w16cid:durableId="1294023873">
    <w:abstractNumId w:val="105"/>
  </w:num>
  <w:num w:numId="82" w16cid:durableId="17395030">
    <w:abstractNumId w:val="98"/>
  </w:num>
  <w:num w:numId="83" w16cid:durableId="1171919247">
    <w:abstractNumId w:val="4"/>
  </w:num>
  <w:num w:numId="84" w16cid:durableId="275333828">
    <w:abstractNumId w:val="50"/>
  </w:num>
  <w:num w:numId="85" w16cid:durableId="1809664539">
    <w:abstractNumId w:val="51"/>
  </w:num>
  <w:num w:numId="86" w16cid:durableId="1954167728">
    <w:abstractNumId w:val="16"/>
  </w:num>
  <w:num w:numId="87" w16cid:durableId="1318723675">
    <w:abstractNumId w:val="85"/>
  </w:num>
  <w:num w:numId="88" w16cid:durableId="1669138960">
    <w:abstractNumId w:val="65"/>
  </w:num>
  <w:num w:numId="89" w16cid:durableId="2137334854">
    <w:abstractNumId w:val="112"/>
  </w:num>
  <w:num w:numId="90" w16cid:durableId="231158686">
    <w:abstractNumId w:val="75"/>
  </w:num>
  <w:num w:numId="91" w16cid:durableId="1912502033">
    <w:abstractNumId w:val="67"/>
  </w:num>
  <w:num w:numId="92" w16cid:durableId="916860594">
    <w:abstractNumId w:val="22"/>
  </w:num>
  <w:num w:numId="93" w16cid:durableId="1635912229">
    <w:abstractNumId w:val="70"/>
  </w:num>
  <w:num w:numId="94" w16cid:durableId="1433087074">
    <w:abstractNumId w:val="113"/>
  </w:num>
  <w:num w:numId="95" w16cid:durableId="1352608496">
    <w:abstractNumId w:val="118"/>
  </w:num>
  <w:num w:numId="96" w16cid:durableId="2101564261">
    <w:abstractNumId w:val="81"/>
  </w:num>
  <w:num w:numId="97" w16cid:durableId="1678312592">
    <w:abstractNumId w:val="19"/>
  </w:num>
  <w:num w:numId="98" w16cid:durableId="1918519389">
    <w:abstractNumId w:val="29"/>
  </w:num>
  <w:num w:numId="99" w16cid:durableId="1427723573">
    <w:abstractNumId w:val="30"/>
  </w:num>
  <w:num w:numId="100" w16cid:durableId="445737254">
    <w:abstractNumId w:val="90"/>
  </w:num>
  <w:num w:numId="101" w16cid:durableId="459342281">
    <w:abstractNumId w:val="44"/>
  </w:num>
  <w:num w:numId="102" w16cid:durableId="2040278190">
    <w:abstractNumId w:val="45"/>
  </w:num>
  <w:num w:numId="103" w16cid:durableId="1261329985">
    <w:abstractNumId w:val="106"/>
  </w:num>
  <w:num w:numId="104" w16cid:durableId="1220166859">
    <w:abstractNumId w:val="83"/>
  </w:num>
  <w:num w:numId="105" w16cid:durableId="239677358">
    <w:abstractNumId w:val="79"/>
  </w:num>
  <w:num w:numId="106" w16cid:durableId="1689284977">
    <w:abstractNumId w:val="60"/>
  </w:num>
  <w:num w:numId="107" w16cid:durableId="2090031200">
    <w:abstractNumId w:val="3"/>
  </w:num>
  <w:num w:numId="108" w16cid:durableId="1815485462">
    <w:abstractNumId w:val="49"/>
  </w:num>
  <w:num w:numId="109" w16cid:durableId="1828933772">
    <w:abstractNumId w:val="87"/>
  </w:num>
  <w:num w:numId="110" w16cid:durableId="24520879">
    <w:abstractNumId w:val="36"/>
  </w:num>
  <w:num w:numId="111" w16cid:durableId="786432823">
    <w:abstractNumId w:val="0"/>
  </w:num>
  <w:num w:numId="112" w16cid:durableId="255597258">
    <w:abstractNumId w:val="114"/>
  </w:num>
  <w:num w:numId="113" w16cid:durableId="1549874404">
    <w:abstractNumId w:val="59"/>
  </w:num>
  <w:num w:numId="114" w16cid:durableId="1512261090">
    <w:abstractNumId w:val="57"/>
  </w:num>
  <w:num w:numId="115" w16cid:durableId="763234534">
    <w:abstractNumId w:val="27"/>
  </w:num>
  <w:num w:numId="116" w16cid:durableId="545799607">
    <w:abstractNumId w:val="24"/>
  </w:num>
  <w:num w:numId="117" w16cid:durableId="1177038745">
    <w:abstractNumId w:val="43"/>
  </w:num>
  <w:num w:numId="118" w16cid:durableId="813137505">
    <w:abstractNumId w:val="52"/>
  </w:num>
  <w:num w:numId="119" w16cid:durableId="889995816">
    <w:abstractNumId w:val="80"/>
  </w:num>
  <w:num w:numId="120" w16cid:durableId="458691637">
    <w:abstractNumId w:val="99"/>
  </w:num>
  <w:num w:numId="121" w16cid:durableId="1029375572">
    <w:abstractNumId w:val="39"/>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100"/>
  <w:removePersonalInformation/>
  <w:removeDateAndTime/>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7EAA"/>
    <w:rsid w:val="00000044"/>
    <w:rsid w:val="000000D1"/>
    <w:rsid w:val="000001AB"/>
    <w:rsid w:val="000001B0"/>
    <w:rsid w:val="00000208"/>
    <w:rsid w:val="000002F3"/>
    <w:rsid w:val="0000032D"/>
    <w:rsid w:val="0000043B"/>
    <w:rsid w:val="000004AF"/>
    <w:rsid w:val="000004E1"/>
    <w:rsid w:val="000004F7"/>
    <w:rsid w:val="000005E1"/>
    <w:rsid w:val="00000646"/>
    <w:rsid w:val="00000684"/>
    <w:rsid w:val="0000068A"/>
    <w:rsid w:val="00000794"/>
    <w:rsid w:val="000007D3"/>
    <w:rsid w:val="00000842"/>
    <w:rsid w:val="0000099E"/>
    <w:rsid w:val="00000A29"/>
    <w:rsid w:val="00000A36"/>
    <w:rsid w:val="00000A3B"/>
    <w:rsid w:val="00000A84"/>
    <w:rsid w:val="00000A89"/>
    <w:rsid w:val="00000A9C"/>
    <w:rsid w:val="00000B29"/>
    <w:rsid w:val="00000E4F"/>
    <w:rsid w:val="00000F2F"/>
    <w:rsid w:val="00000F84"/>
    <w:rsid w:val="00001012"/>
    <w:rsid w:val="0000101B"/>
    <w:rsid w:val="00001063"/>
    <w:rsid w:val="00001086"/>
    <w:rsid w:val="000010A9"/>
    <w:rsid w:val="000011F6"/>
    <w:rsid w:val="00001255"/>
    <w:rsid w:val="000012C5"/>
    <w:rsid w:val="000012F0"/>
    <w:rsid w:val="000012F9"/>
    <w:rsid w:val="00001481"/>
    <w:rsid w:val="00001536"/>
    <w:rsid w:val="00001538"/>
    <w:rsid w:val="00001599"/>
    <w:rsid w:val="000015E0"/>
    <w:rsid w:val="000015F5"/>
    <w:rsid w:val="000015F8"/>
    <w:rsid w:val="00001684"/>
    <w:rsid w:val="000016BD"/>
    <w:rsid w:val="000017AB"/>
    <w:rsid w:val="000017BD"/>
    <w:rsid w:val="00001807"/>
    <w:rsid w:val="00001853"/>
    <w:rsid w:val="0000186C"/>
    <w:rsid w:val="0000186E"/>
    <w:rsid w:val="0000187F"/>
    <w:rsid w:val="00001900"/>
    <w:rsid w:val="00001AA4"/>
    <w:rsid w:val="00001AB9"/>
    <w:rsid w:val="00001AF7"/>
    <w:rsid w:val="00001B88"/>
    <w:rsid w:val="00001C59"/>
    <w:rsid w:val="00001CBA"/>
    <w:rsid w:val="00001CEF"/>
    <w:rsid w:val="00001CFC"/>
    <w:rsid w:val="00001D72"/>
    <w:rsid w:val="00001E6F"/>
    <w:rsid w:val="00001E98"/>
    <w:rsid w:val="00002013"/>
    <w:rsid w:val="000020F5"/>
    <w:rsid w:val="00002167"/>
    <w:rsid w:val="00002177"/>
    <w:rsid w:val="0000220A"/>
    <w:rsid w:val="00002213"/>
    <w:rsid w:val="0000224E"/>
    <w:rsid w:val="00002320"/>
    <w:rsid w:val="000023F2"/>
    <w:rsid w:val="00002425"/>
    <w:rsid w:val="00002457"/>
    <w:rsid w:val="000024A2"/>
    <w:rsid w:val="00002588"/>
    <w:rsid w:val="000025A6"/>
    <w:rsid w:val="00002683"/>
    <w:rsid w:val="000026B6"/>
    <w:rsid w:val="00002713"/>
    <w:rsid w:val="0000271F"/>
    <w:rsid w:val="0000279B"/>
    <w:rsid w:val="0000279F"/>
    <w:rsid w:val="000027DB"/>
    <w:rsid w:val="000027E7"/>
    <w:rsid w:val="0000288D"/>
    <w:rsid w:val="000028CE"/>
    <w:rsid w:val="00002AE8"/>
    <w:rsid w:val="00002BB2"/>
    <w:rsid w:val="00002BD9"/>
    <w:rsid w:val="00002CCA"/>
    <w:rsid w:val="00002D2A"/>
    <w:rsid w:val="00002D7F"/>
    <w:rsid w:val="00002D83"/>
    <w:rsid w:val="00002DFE"/>
    <w:rsid w:val="00002EF7"/>
    <w:rsid w:val="000030AF"/>
    <w:rsid w:val="0000310C"/>
    <w:rsid w:val="0000318A"/>
    <w:rsid w:val="00003199"/>
    <w:rsid w:val="00003324"/>
    <w:rsid w:val="000033A9"/>
    <w:rsid w:val="000033CD"/>
    <w:rsid w:val="00003460"/>
    <w:rsid w:val="0000346F"/>
    <w:rsid w:val="0000353C"/>
    <w:rsid w:val="000035A5"/>
    <w:rsid w:val="000035F0"/>
    <w:rsid w:val="000035FF"/>
    <w:rsid w:val="000036B7"/>
    <w:rsid w:val="00003714"/>
    <w:rsid w:val="00003754"/>
    <w:rsid w:val="00003880"/>
    <w:rsid w:val="0000399C"/>
    <w:rsid w:val="00003A6B"/>
    <w:rsid w:val="00003AFD"/>
    <w:rsid w:val="00003BDC"/>
    <w:rsid w:val="00003C19"/>
    <w:rsid w:val="00003CFF"/>
    <w:rsid w:val="00003DCD"/>
    <w:rsid w:val="00003DD7"/>
    <w:rsid w:val="00003E10"/>
    <w:rsid w:val="00003E58"/>
    <w:rsid w:val="00003E65"/>
    <w:rsid w:val="00003EAB"/>
    <w:rsid w:val="00003F18"/>
    <w:rsid w:val="00003F81"/>
    <w:rsid w:val="0000412F"/>
    <w:rsid w:val="0000413E"/>
    <w:rsid w:val="00004159"/>
    <w:rsid w:val="0000417E"/>
    <w:rsid w:val="0000428C"/>
    <w:rsid w:val="00004364"/>
    <w:rsid w:val="000044E4"/>
    <w:rsid w:val="00004516"/>
    <w:rsid w:val="00004592"/>
    <w:rsid w:val="000045CB"/>
    <w:rsid w:val="000046F3"/>
    <w:rsid w:val="000048C7"/>
    <w:rsid w:val="000048CF"/>
    <w:rsid w:val="0000492E"/>
    <w:rsid w:val="000049A4"/>
    <w:rsid w:val="00004B0F"/>
    <w:rsid w:val="00004B24"/>
    <w:rsid w:val="00004B33"/>
    <w:rsid w:val="00004B47"/>
    <w:rsid w:val="00004BFF"/>
    <w:rsid w:val="00004C05"/>
    <w:rsid w:val="00004C99"/>
    <w:rsid w:val="00004CB0"/>
    <w:rsid w:val="00004D6E"/>
    <w:rsid w:val="00004E12"/>
    <w:rsid w:val="00004E15"/>
    <w:rsid w:val="00004E24"/>
    <w:rsid w:val="00004EB3"/>
    <w:rsid w:val="00004F9E"/>
    <w:rsid w:val="00004FCE"/>
    <w:rsid w:val="00005180"/>
    <w:rsid w:val="000051B8"/>
    <w:rsid w:val="0000538C"/>
    <w:rsid w:val="000054A1"/>
    <w:rsid w:val="000054AB"/>
    <w:rsid w:val="000054BE"/>
    <w:rsid w:val="000055AB"/>
    <w:rsid w:val="00005635"/>
    <w:rsid w:val="000056A0"/>
    <w:rsid w:val="000056B3"/>
    <w:rsid w:val="00005821"/>
    <w:rsid w:val="0000584D"/>
    <w:rsid w:val="00005A78"/>
    <w:rsid w:val="00005ABF"/>
    <w:rsid w:val="00005AE9"/>
    <w:rsid w:val="00005B5C"/>
    <w:rsid w:val="00005B73"/>
    <w:rsid w:val="00005BAF"/>
    <w:rsid w:val="00005BFF"/>
    <w:rsid w:val="00005D18"/>
    <w:rsid w:val="00005D3F"/>
    <w:rsid w:val="00005D55"/>
    <w:rsid w:val="00005D88"/>
    <w:rsid w:val="00005E17"/>
    <w:rsid w:val="00005E27"/>
    <w:rsid w:val="00005F27"/>
    <w:rsid w:val="00005F6A"/>
    <w:rsid w:val="00006180"/>
    <w:rsid w:val="00006212"/>
    <w:rsid w:val="00006236"/>
    <w:rsid w:val="00006342"/>
    <w:rsid w:val="000063F1"/>
    <w:rsid w:val="00006480"/>
    <w:rsid w:val="000065C8"/>
    <w:rsid w:val="00006611"/>
    <w:rsid w:val="000068FF"/>
    <w:rsid w:val="00006992"/>
    <w:rsid w:val="00006B4C"/>
    <w:rsid w:val="00006BEE"/>
    <w:rsid w:val="00006C15"/>
    <w:rsid w:val="00006DFE"/>
    <w:rsid w:val="00006EC2"/>
    <w:rsid w:val="00006EE1"/>
    <w:rsid w:val="00006F3A"/>
    <w:rsid w:val="00006FF1"/>
    <w:rsid w:val="00007026"/>
    <w:rsid w:val="0000705E"/>
    <w:rsid w:val="00007060"/>
    <w:rsid w:val="000070D8"/>
    <w:rsid w:val="00007189"/>
    <w:rsid w:val="00007248"/>
    <w:rsid w:val="0000724F"/>
    <w:rsid w:val="000072E8"/>
    <w:rsid w:val="0000731D"/>
    <w:rsid w:val="0000731E"/>
    <w:rsid w:val="0000735E"/>
    <w:rsid w:val="00007373"/>
    <w:rsid w:val="000073C4"/>
    <w:rsid w:val="0000740D"/>
    <w:rsid w:val="00007426"/>
    <w:rsid w:val="00007483"/>
    <w:rsid w:val="000075BD"/>
    <w:rsid w:val="00007635"/>
    <w:rsid w:val="00007684"/>
    <w:rsid w:val="000076C9"/>
    <w:rsid w:val="00007757"/>
    <w:rsid w:val="00007776"/>
    <w:rsid w:val="000077E1"/>
    <w:rsid w:val="00007877"/>
    <w:rsid w:val="000078AE"/>
    <w:rsid w:val="00007A25"/>
    <w:rsid w:val="00007BAF"/>
    <w:rsid w:val="00007CB7"/>
    <w:rsid w:val="00007CC3"/>
    <w:rsid w:val="00007D66"/>
    <w:rsid w:val="00007D69"/>
    <w:rsid w:val="00007DA6"/>
    <w:rsid w:val="00007E22"/>
    <w:rsid w:val="00007E85"/>
    <w:rsid w:val="00007EAA"/>
    <w:rsid w:val="00007EB6"/>
    <w:rsid w:val="00007F2E"/>
    <w:rsid w:val="00007FC9"/>
    <w:rsid w:val="000101FE"/>
    <w:rsid w:val="00010237"/>
    <w:rsid w:val="00010394"/>
    <w:rsid w:val="0001052D"/>
    <w:rsid w:val="000105F5"/>
    <w:rsid w:val="00010629"/>
    <w:rsid w:val="00010664"/>
    <w:rsid w:val="000106DD"/>
    <w:rsid w:val="00010794"/>
    <w:rsid w:val="000107B8"/>
    <w:rsid w:val="0001089E"/>
    <w:rsid w:val="0001093F"/>
    <w:rsid w:val="00010975"/>
    <w:rsid w:val="00010AA4"/>
    <w:rsid w:val="00010B77"/>
    <w:rsid w:val="00010BE5"/>
    <w:rsid w:val="00010C28"/>
    <w:rsid w:val="00010D0E"/>
    <w:rsid w:val="00010D83"/>
    <w:rsid w:val="00010F33"/>
    <w:rsid w:val="00010F86"/>
    <w:rsid w:val="00010FF3"/>
    <w:rsid w:val="00011065"/>
    <w:rsid w:val="000110A1"/>
    <w:rsid w:val="000111C9"/>
    <w:rsid w:val="00011305"/>
    <w:rsid w:val="00011351"/>
    <w:rsid w:val="00011383"/>
    <w:rsid w:val="000113F7"/>
    <w:rsid w:val="00011497"/>
    <w:rsid w:val="0001161A"/>
    <w:rsid w:val="000116AF"/>
    <w:rsid w:val="00011714"/>
    <w:rsid w:val="0001184F"/>
    <w:rsid w:val="0001199A"/>
    <w:rsid w:val="000119B6"/>
    <w:rsid w:val="00011B08"/>
    <w:rsid w:val="00011B0C"/>
    <w:rsid w:val="00011B7E"/>
    <w:rsid w:val="00011B96"/>
    <w:rsid w:val="00011B9E"/>
    <w:rsid w:val="00011BAE"/>
    <w:rsid w:val="00011BDF"/>
    <w:rsid w:val="00011BE2"/>
    <w:rsid w:val="00011C5A"/>
    <w:rsid w:val="00011CB9"/>
    <w:rsid w:val="00011D1C"/>
    <w:rsid w:val="00011DCC"/>
    <w:rsid w:val="00011DED"/>
    <w:rsid w:val="00011E5A"/>
    <w:rsid w:val="00012037"/>
    <w:rsid w:val="000120B0"/>
    <w:rsid w:val="00012224"/>
    <w:rsid w:val="0001225B"/>
    <w:rsid w:val="00012293"/>
    <w:rsid w:val="000122C8"/>
    <w:rsid w:val="0001238A"/>
    <w:rsid w:val="00012390"/>
    <w:rsid w:val="0001247B"/>
    <w:rsid w:val="00012640"/>
    <w:rsid w:val="000126CA"/>
    <w:rsid w:val="0001273C"/>
    <w:rsid w:val="00012851"/>
    <w:rsid w:val="00012852"/>
    <w:rsid w:val="000128C6"/>
    <w:rsid w:val="000128C9"/>
    <w:rsid w:val="0001290D"/>
    <w:rsid w:val="00012969"/>
    <w:rsid w:val="000129D0"/>
    <w:rsid w:val="00012A12"/>
    <w:rsid w:val="00012ACC"/>
    <w:rsid w:val="00012AED"/>
    <w:rsid w:val="00012C32"/>
    <w:rsid w:val="00012C51"/>
    <w:rsid w:val="00012CD8"/>
    <w:rsid w:val="00012D58"/>
    <w:rsid w:val="00012D6D"/>
    <w:rsid w:val="00012D79"/>
    <w:rsid w:val="00012D99"/>
    <w:rsid w:val="00012E39"/>
    <w:rsid w:val="00012EAC"/>
    <w:rsid w:val="00012FCC"/>
    <w:rsid w:val="000130D8"/>
    <w:rsid w:val="0001314F"/>
    <w:rsid w:val="00013212"/>
    <w:rsid w:val="000132EC"/>
    <w:rsid w:val="000133AE"/>
    <w:rsid w:val="000133EB"/>
    <w:rsid w:val="00013472"/>
    <w:rsid w:val="00013498"/>
    <w:rsid w:val="000134A7"/>
    <w:rsid w:val="00013502"/>
    <w:rsid w:val="000135CC"/>
    <w:rsid w:val="000135FF"/>
    <w:rsid w:val="0001374E"/>
    <w:rsid w:val="00013791"/>
    <w:rsid w:val="000138F1"/>
    <w:rsid w:val="00013946"/>
    <w:rsid w:val="0001394E"/>
    <w:rsid w:val="000139A4"/>
    <w:rsid w:val="000139DA"/>
    <w:rsid w:val="00013A09"/>
    <w:rsid w:val="00013A16"/>
    <w:rsid w:val="00013AF4"/>
    <w:rsid w:val="00013B7A"/>
    <w:rsid w:val="00013C01"/>
    <w:rsid w:val="00013C22"/>
    <w:rsid w:val="00013D38"/>
    <w:rsid w:val="00013D53"/>
    <w:rsid w:val="00013DC9"/>
    <w:rsid w:val="00013DDB"/>
    <w:rsid w:val="00013E54"/>
    <w:rsid w:val="00013EC0"/>
    <w:rsid w:val="00013F4A"/>
    <w:rsid w:val="00014070"/>
    <w:rsid w:val="00014216"/>
    <w:rsid w:val="00014225"/>
    <w:rsid w:val="00014332"/>
    <w:rsid w:val="0001446D"/>
    <w:rsid w:val="00014483"/>
    <w:rsid w:val="0001448B"/>
    <w:rsid w:val="000144E0"/>
    <w:rsid w:val="00014530"/>
    <w:rsid w:val="0001456E"/>
    <w:rsid w:val="00014601"/>
    <w:rsid w:val="00014630"/>
    <w:rsid w:val="00014637"/>
    <w:rsid w:val="0001470E"/>
    <w:rsid w:val="000147D5"/>
    <w:rsid w:val="0001488C"/>
    <w:rsid w:val="000148F1"/>
    <w:rsid w:val="00014A0F"/>
    <w:rsid w:val="00014A65"/>
    <w:rsid w:val="00014AF3"/>
    <w:rsid w:val="00014B20"/>
    <w:rsid w:val="00014C1A"/>
    <w:rsid w:val="00014CF7"/>
    <w:rsid w:val="00014DC7"/>
    <w:rsid w:val="00014DD1"/>
    <w:rsid w:val="00014E23"/>
    <w:rsid w:val="00014E24"/>
    <w:rsid w:val="00014E2E"/>
    <w:rsid w:val="00014E95"/>
    <w:rsid w:val="00014EA7"/>
    <w:rsid w:val="00014ECB"/>
    <w:rsid w:val="00014FD5"/>
    <w:rsid w:val="00014FF6"/>
    <w:rsid w:val="00015036"/>
    <w:rsid w:val="00015133"/>
    <w:rsid w:val="00015193"/>
    <w:rsid w:val="00015282"/>
    <w:rsid w:val="000153BF"/>
    <w:rsid w:val="0001545E"/>
    <w:rsid w:val="00015551"/>
    <w:rsid w:val="00015576"/>
    <w:rsid w:val="0001558A"/>
    <w:rsid w:val="000155AD"/>
    <w:rsid w:val="000155AE"/>
    <w:rsid w:val="000155C1"/>
    <w:rsid w:val="0001561A"/>
    <w:rsid w:val="0001564A"/>
    <w:rsid w:val="00015728"/>
    <w:rsid w:val="0001579C"/>
    <w:rsid w:val="00015846"/>
    <w:rsid w:val="000158D8"/>
    <w:rsid w:val="000158DC"/>
    <w:rsid w:val="00015920"/>
    <w:rsid w:val="00015A8F"/>
    <w:rsid w:val="00015AD6"/>
    <w:rsid w:val="00015C22"/>
    <w:rsid w:val="00015D24"/>
    <w:rsid w:val="00015D40"/>
    <w:rsid w:val="00015DC4"/>
    <w:rsid w:val="00015EEC"/>
    <w:rsid w:val="00016011"/>
    <w:rsid w:val="0001607C"/>
    <w:rsid w:val="0001608D"/>
    <w:rsid w:val="000160DB"/>
    <w:rsid w:val="00016116"/>
    <w:rsid w:val="00016123"/>
    <w:rsid w:val="00016241"/>
    <w:rsid w:val="000162E8"/>
    <w:rsid w:val="00016331"/>
    <w:rsid w:val="0001638B"/>
    <w:rsid w:val="00016409"/>
    <w:rsid w:val="0001640E"/>
    <w:rsid w:val="0001640F"/>
    <w:rsid w:val="000165B1"/>
    <w:rsid w:val="000166C6"/>
    <w:rsid w:val="0001673C"/>
    <w:rsid w:val="00016754"/>
    <w:rsid w:val="000167A0"/>
    <w:rsid w:val="000167A8"/>
    <w:rsid w:val="000167B0"/>
    <w:rsid w:val="0001682F"/>
    <w:rsid w:val="00016843"/>
    <w:rsid w:val="00016882"/>
    <w:rsid w:val="000168EE"/>
    <w:rsid w:val="00016BB7"/>
    <w:rsid w:val="00016BD8"/>
    <w:rsid w:val="00016D26"/>
    <w:rsid w:val="00016E1F"/>
    <w:rsid w:val="00016E51"/>
    <w:rsid w:val="00016E61"/>
    <w:rsid w:val="00016E75"/>
    <w:rsid w:val="00016EDB"/>
    <w:rsid w:val="00017055"/>
    <w:rsid w:val="0001714D"/>
    <w:rsid w:val="000171B9"/>
    <w:rsid w:val="00017276"/>
    <w:rsid w:val="000173B8"/>
    <w:rsid w:val="000174B4"/>
    <w:rsid w:val="000175B7"/>
    <w:rsid w:val="000175CA"/>
    <w:rsid w:val="00017659"/>
    <w:rsid w:val="00017680"/>
    <w:rsid w:val="000176C6"/>
    <w:rsid w:val="00017738"/>
    <w:rsid w:val="00017952"/>
    <w:rsid w:val="00017A00"/>
    <w:rsid w:val="00017A2E"/>
    <w:rsid w:val="00017A7C"/>
    <w:rsid w:val="00017AAF"/>
    <w:rsid w:val="00017AF1"/>
    <w:rsid w:val="00017B70"/>
    <w:rsid w:val="00017C10"/>
    <w:rsid w:val="00017D10"/>
    <w:rsid w:val="00017D18"/>
    <w:rsid w:val="00017D76"/>
    <w:rsid w:val="00017D9B"/>
    <w:rsid w:val="00017DB5"/>
    <w:rsid w:val="00017F27"/>
    <w:rsid w:val="00017FD3"/>
    <w:rsid w:val="000200AA"/>
    <w:rsid w:val="000200DE"/>
    <w:rsid w:val="00020138"/>
    <w:rsid w:val="000203AA"/>
    <w:rsid w:val="00020447"/>
    <w:rsid w:val="00020482"/>
    <w:rsid w:val="000204B0"/>
    <w:rsid w:val="000205D9"/>
    <w:rsid w:val="00020607"/>
    <w:rsid w:val="0002060B"/>
    <w:rsid w:val="000206AF"/>
    <w:rsid w:val="000206E5"/>
    <w:rsid w:val="00020733"/>
    <w:rsid w:val="00020735"/>
    <w:rsid w:val="00020747"/>
    <w:rsid w:val="000207E2"/>
    <w:rsid w:val="000208A8"/>
    <w:rsid w:val="00020985"/>
    <w:rsid w:val="000209D9"/>
    <w:rsid w:val="00020AF9"/>
    <w:rsid w:val="00020C4C"/>
    <w:rsid w:val="00020CE3"/>
    <w:rsid w:val="00020D30"/>
    <w:rsid w:val="00020D82"/>
    <w:rsid w:val="00020D93"/>
    <w:rsid w:val="00020E89"/>
    <w:rsid w:val="00020E92"/>
    <w:rsid w:val="00020E99"/>
    <w:rsid w:val="00020ED2"/>
    <w:rsid w:val="00020F19"/>
    <w:rsid w:val="00020F27"/>
    <w:rsid w:val="00020FD5"/>
    <w:rsid w:val="0002119F"/>
    <w:rsid w:val="0002125E"/>
    <w:rsid w:val="0002127D"/>
    <w:rsid w:val="000212B2"/>
    <w:rsid w:val="00021392"/>
    <w:rsid w:val="000213F9"/>
    <w:rsid w:val="0002143B"/>
    <w:rsid w:val="00021494"/>
    <w:rsid w:val="000214E2"/>
    <w:rsid w:val="000214F1"/>
    <w:rsid w:val="00021577"/>
    <w:rsid w:val="0002171D"/>
    <w:rsid w:val="000217BB"/>
    <w:rsid w:val="0002180D"/>
    <w:rsid w:val="0002184A"/>
    <w:rsid w:val="00021853"/>
    <w:rsid w:val="00021881"/>
    <w:rsid w:val="0002189A"/>
    <w:rsid w:val="000218BA"/>
    <w:rsid w:val="00021905"/>
    <w:rsid w:val="00021946"/>
    <w:rsid w:val="0002194E"/>
    <w:rsid w:val="00021960"/>
    <w:rsid w:val="00021AD6"/>
    <w:rsid w:val="00021ADC"/>
    <w:rsid w:val="00021B23"/>
    <w:rsid w:val="00021B31"/>
    <w:rsid w:val="00021B61"/>
    <w:rsid w:val="00021CEB"/>
    <w:rsid w:val="00021CFA"/>
    <w:rsid w:val="00021DB4"/>
    <w:rsid w:val="00021DCB"/>
    <w:rsid w:val="00021E2E"/>
    <w:rsid w:val="00022095"/>
    <w:rsid w:val="000220C8"/>
    <w:rsid w:val="00022149"/>
    <w:rsid w:val="00022164"/>
    <w:rsid w:val="00022187"/>
    <w:rsid w:val="00022226"/>
    <w:rsid w:val="000223D6"/>
    <w:rsid w:val="0002243C"/>
    <w:rsid w:val="0002244B"/>
    <w:rsid w:val="000224BA"/>
    <w:rsid w:val="00022512"/>
    <w:rsid w:val="000225E2"/>
    <w:rsid w:val="00022600"/>
    <w:rsid w:val="0002260E"/>
    <w:rsid w:val="0002262C"/>
    <w:rsid w:val="00022647"/>
    <w:rsid w:val="00022681"/>
    <w:rsid w:val="00022722"/>
    <w:rsid w:val="00022768"/>
    <w:rsid w:val="000227A4"/>
    <w:rsid w:val="00022981"/>
    <w:rsid w:val="00022B1B"/>
    <w:rsid w:val="00022B22"/>
    <w:rsid w:val="00022BB5"/>
    <w:rsid w:val="00022E88"/>
    <w:rsid w:val="00022ECD"/>
    <w:rsid w:val="00022F21"/>
    <w:rsid w:val="00023022"/>
    <w:rsid w:val="00023082"/>
    <w:rsid w:val="000230F4"/>
    <w:rsid w:val="00023104"/>
    <w:rsid w:val="0002310F"/>
    <w:rsid w:val="000231E6"/>
    <w:rsid w:val="00023265"/>
    <w:rsid w:val="00023317"/>
    <w:rsid w:val="00023345"/>
    <w:rsid w:val="00023360"/>
    <w:rsid w:val="00023391"/>
    <w:rsid w:val="000234E0"/>
    <w:rsid w:val="00023519"/>
    <w:rsid w:val="00023533"/>
    <w:rsid w:val="00023591"/>
    <w:rsid w:val="000235AE"/>
    <w:rsid w:val="000235C4"/>
    <w:rsid w:val="000235E8"/>
    <w:rsid w:val="000236A5"/>
    <w:rsid w:val="000236EB"/>
    <w:rsid w:val="0002375A"/>
    <w:rsid w:val="0002376A"/>
    <w:rsid w:val="0002379D"/>
    <w:rsid w:val="000237FE"/>
    <w:rsid w:val="0002383D"/>
    <w:rsid w:val="00023A56"/>
    <w:rsid w:val="00023A8C"/>
    <w:rsid w:val="00023BA2"/>
    <w:rsid w:val="00023BDC"/>
    <w:rsid w:val="00023C74"/>
    <w:rsid w:val="00023DAD"/>
    <w:rsid w:val="00023DF9"/>
    <w:rsid w:val="00023E43"/>
    <w:rsid w:val="00023EBE"/>
    <w:rsid w:val="00023FC2"/>
    <w:rsid w:val="0002402C"/>
    <w:rsid w:val="00024070"/>
    <w:rsid w:val="00024074"/>
    <w:rsid w:val="000240F4"/>
    <w:rsid w:val="00024184"/>
    <w:rsid w:val="000241FE"/>
    <w:rsid w:val="00024295"/>
    <w:rsid w:val="000244D3"/>
    <w:rsid w:val="000245B8"/>
    <w:rsid w:val="000245C5"/>
    <w:rsid w:val="0002460E"/>
    <w:rsid w:val="00024692"/>
    <w:rsid w:val="00024723"/>
    <w:rsid w:val="00024842"/>
    <w:rsid w:val="00024867"/>
    <w:rsid w:val="00024874"/>
    <w:rsid w:val="000248CD"/>
    <w:rsid w:val="000248ED"/>
    <w:rsid w:val="000249CD"/>
    <w:rsid w:val="00024A1D"/>
    <w:rsid w:val="00024AF2"/>
    <w:rsid w:val="00024B03"/>
    <w:rsid w:val="00024B20"/>
    <w:rsid w:val="00024B28"/>
    <w:rsid w:val="00024B7B"/>
    <w:rsid w:val="00024BEB"/>
    <w:rsid w:val="00024BEC"/>
    <w:rsid w:val="00024C22"/>
    <w:rsid w:val="00024D9D"/>
    <w:rsid w:val="00024EBD"/>
    <w:rsid w:val="00024ED3"/>
    <w:rsid w:val="00024EED"/>
    <w:rsid w:val="00024F6C"/>
    <w:rsid w:val="00024FB7"/>
    <w:rsid w:val="00024FFB"/>
    <w:rsid w:val="00025069"/>
    <w:rsid w:val="000251CD"/>
    <w:rsid w:val="00025224"/>
    <w:rsid w:val="0002533E"/>
    <w:rsid w:val="00025347"/>
    <w:rsid w:val="000253B3"/>
    <w:rsid w:val="000253FE"/>
    <w:rsid w:val="00025406"/>
    <w:rsid w:val="00025452"/>
    <w:rsid w:val="000254E0"/>
    <w:rsid w:val="00025535"/>
    <w:rsid w:val="000255B9"/>
    <w:rsid w:val="00025616"/>
    <w:rsid w:val="0002562B"/>
    <w:rsid w:val="000256EC"/>
    <w:rsid w:val="000256F7"/>
    <w:rsid w:val="00025731"/>
    <w:rsid w:val="0002577C"/>
    <w:rsid w:val="0002581F"/>
    <w:rsid w:val="000258A7"/>
    <w:rsid w:val="000258AD"/>
    <w:rsid w:val="00025901"/>
    <w:rsid w:val="0002594A"/>
    <w:rsid w:val="00025966"/>
    <w:rsid w:val="000259CA"/>
    <w:rsid w:val="00025A32"/>
    <w:rsid w:val="00025AA3"/>
    <w:rsid w:val="00025AD0"/>
    <w:rsid w:val="00025AE6"/>
    <w:rsid w:val="00025AFC"/>
    <w:rsid w:val="00025BD3"/>
    <w:rsid w:val="00025C8B"/>
    <w:rsid w:val="00025D68"/>
    <w:rsid w:val="00026119"/>
    <w:rsid w:val="00026257"/>
    <w:rsid w:val="00026357"/>
    <w:rsid w:val="000263BE"/>
    <w:rsid w:val="000263FF"/>
    <w:rsid w:val="0002642F"/>
    <w:rsid w:val="0002649D"/>
    <w:rsid w:val="000264DF"/>
    <w:rsid w:val="00026588"/>
    <w:rsid w:val="000265D2"/>
    <w:rsid w:val="00026761"/>
    <w:rsid w:val="000267CB"/>
    <w:rsid w:val="00026826"/>
    <w:rsid w:val="0002682A"/>
    <w:rsid w:val="0002685E"/>
    <w:rsid w:val="000268E3"/>
    <w:rsid w:val="00026939"/>
    <w:rsid w:val="0002697B"/>
    <w:rsid w:val="0002697C"/>
    <w:rsid w:val="00026B7D"/>
    <w:rsid w:val="00026BE9"/>
    <w:rsid w:val="00026C1A"/>
    <w:rsid w:val="00026CC5"/>
    <w:rsid w:val="00026CE5"/>
    <w:rsid w:val="00026CF4"/>
    <w:rsid w:val="00026D71"/>
    <w:rsid w:val="00026EA6"/>
    <w:rsid w:val="00026EB9"/>
    <w:rsid w:val="00026F70"/>
    <w:rsid w:val="00027081"/>
    <w:rsid w:val="000270C5"/>
    <w:rsid w:val="000271A6"/>
    <w:rsid w:val="0002721D"/>
    <w:rsid w:val="0002725D"/>
    <w:rsid w:val="00027275"/>
    <w:rsid w:val="000273C5"/>
    <w:rsid w:val="00027480"/>
    <w:rsid w:val="000274F9"/>
    <w:rsid w:val="00027523"/>
    <w:rsid w:val="0002754C"/>
    <w:rsid w:val="000276C9"/>
    <w:rsid w:val="0002780F"/>
    <w:rsid w:val="00027871"/>
    <w:rsid w:val="00027943"/>
    <w:rsid w:val="0002794F"/>
    <w:rsid w:val="00027982"/>
    <w:rsid w:val="00027A6B"/>
    <w:rsid w:val="00027B83"/>
    <w:rsid w:val="00027BAB"/>
    <w:rsid w:val="00027E66"/>
    <w:rsid w:val="00027E91"/>
    <w:rsid w:val="00027F2F"/>
    <w:rsid w:val="0003014E"/>
    <w:rsid w:val="00030168"/>
    <w:rsid w:val="00030211"/>
    <w:rsid w:val="000302C9"/>
    <w:rsid w:val="0003040A"/>
    <w:rsid w:val="00030515"/>
    <w:rsid w:val="000306D3"/>
    <w:rsid w:val="000306E9"/>
    <w:rsid w:val="00030708"/>
    <w:rsid w:val="0003079F"/>
    <w:rsid w:val="000307E7"/>
    <w:rsid w:val="000308A1"/>
    <w:rsid w:val="000308B8"/>
    <w:rsid w:val="00030984"/>
    <w:rsid w:val="00030A64"/>
    <w:rsid w:val="00030B29"/>
    <w:rsid w:val="00030B99"/>
    <w:rsid w:val="00030B9C"/>
    <w:rsid w:val="00030D5C"/>
    <w:rsid w:val="00030DC2"/>
    <w:rsid w:val="00030EC3"/>
    <w:rsid w:val="00030F32"/>
    <w:rsid w:val="000311B1"/>
    <w:rsid w:val="000311D9"/>
    <w:rsid w:val="000311FB"/>
    <w:rsid w:val="00031228"/>
    <w:rsid w:val="00031270"/>
    <w:rsid w:val="00031349"/>
    <w:rsid w:val="0003137C"/>
    <w:rsid w:val="0003139A"/>
    <w:rsid w:val="00031438"/>
    <w:rsid w:val="00031530"/>
    <w:rsid w:val="000315E8"/>
    <w:rsid w:val="00031894"/>
    <w:rsid w:val="00031905"/>
    <w:rsid w:val="00031923"/>
    <w:rsid w:val="00031941"/>
    <w:rsid w:val="00031953"/>
    <w:rsid w:val="000319AE"/>
    <w:rsid w:val="000319E0"/>
    <w:rsid w:val="000319F1"/>
    <w:rsid w:val="00031B49"/>
    <w:rsid w:val="00031C62"/>
    <w:rsid w:val="00031CCF"/>
    <w:rsid w:val="00031E18"/>
    <w:rsid w:val="00031F9C"/>
    <w:rsid w:val="000320F8"/>
    <w:rsid w:val="00032552"/>
    <w:rsid w:val="000326D1"/>
    <w:rsid w:val="00032ADF"/>
    <w:rsid w:val="00032B02"/>
    <w:rsid w:val="00032BB7"/>
    <w:rsid w:val="00032CED"/>
    <w:rsid w:val="00032D65"/>
    <w:rsid w:val="00032E22"/>
    <w:rsid w:val="00032F46"/>
    <w:rsid w:val="00032FC2"/>
    <w:rsid w:val="00033190"/>
    <w:rsid w:val="00033359"/>
    <w:rsid w:val="0003340D"/>
    <w:rsid w:val="00033496"/>
    <w:rsid w:val="000334F4"/>
    <w:rsid w:val="000335D7"/>
    <w:rsid w:val="00033724"/>
    <w:rsid w:val="0003374E"/>
    <w:rsid w:val="000337DA"/>
    <w:rsid w:val="00033805"/>
    <w:rsid w:val="000338B0"/>
    <w:rsid w:val="0003397D"/>
    <w:rsid w:val="00033A18"/>
    <w:rsid w:val="00033C75"/>
    <w:rsid w:val="00033E7E"/>
    <w:rsid w:val="00033E8C"/>
    <w:rsid w:val="00033EE4"/>
    <w:rsid w:val="0003404A"/>
    <w:rsid w:val="0003409D"/>
    <w:rsid w:val="000340FC"/>
    <w:rsid w:val="00034250"/>
    <w:rsid w:val="0003435C"/>
    <w:rsid w:val="00034463"/>
    <w:rsid w:val="00034482"/>
    <w:rsid w:val="000344D8"/>
    <w:rsid w:val="0003458C"/>
    <w:rsid w:val="000345F6"/>
    <w:rsid w:val="000346B5"/>
    <w:rsid w:val="0003482E"/>
    <w:rsid w:val="00034A55"/>
    <w:rsid w:val="00034AAC"/>
    <w:rsid w:val="00034B0C"/>
    <w:rsid w:val="00034B70"/>
    <w:rsid w:val="00034BFB"/>
    <w:rsid w:val="00034CB2"/>
    <w:rsid w:val="00034CBA"/>
    <w:rsid w:val="00034CBD"/>
    <w:rsid w:val="00034CE1"/>
    <w:rsid w:val="00034D77"/>
    <w:rsid w:val="00034D87"/>
    <w:rsid w:val="00034E7E"/>
    <w:rsid w:val="00034F13"/>
    <w:rsid w:val="00034FF4"/>
    <w:rsid w:val="0003500E"/>
    <w:rsid w:val="00035061"/>
    <w:rsid w:val="000350BD"/>
    <w:rsid w:val="00035182"/>
    <w:rsid w:val="000351FA"/>
    <w:rsid w:val="00035209"/>
    <w:rsid w:val="0003530B"/>
    <w:rsid w:val="00035451"/>
    <w:rsid w:val="00035590"/>
    <w:rsid w:val="0003567D"/>
    <w:rsid w:val="000356E8"/>
    <w:rsid w:val="00035716"/>
    <w:rsid w:val="0003573F"/>
    <w:rsid w:val="00035A4C"/>
    <w:rsid w:val="00035A9D"/>
    <w:rsid w:val="00035C60"/>
    <w:rsid w:val="00035CDF"/>
    <w:rsid w:val="00035D50"/>
    <w:rsid w:val="00035DB7"/>
    <w:rsid w:val="00035E0F"/>
    <w:rsid w:val="00035F05"/>
    <w:rsid w:val="00035F9B"/>
    <w:rsid w:val="00035FF2"/>
    <w:rsid w:val="0003619C"/>
    <w:rsid w:val="00036250"/>
    <w:rsid w:val="000362B8"/>
    <w:rsid w:val="000362EE"/>
    <w:rsid w:val="00036315"/>
    <w:rsid w:val="000363C5"/>
    <w:rsid w:val="000366E9"/>
    <w:rsid w:val="000366F4"/>
    <w:rsid w:val="000369AE"/>
    <w:rsid w:val="00036A5D"/>
    <w:rsid w:val="00036A88"/>
    <w:rsid w:val="00036B28"/>
    <w:rsid w:val="00036BF8"/>
    <w:rsid w:val="00036C57"/>
    <w:rsid w:val="00036CF8"/>
    <w:rsid w:val="00036DA0"/>
    <w:rsid w:val="00036EC8"/>
    <w:rsid w:val="00036EE4"/>
    <w:rsid w:val="00036F01"/>
    <w:rsid w:val="00036F1B"/>
    <w:rsid w:val="00036F5F"/>
    <w:rsid w:val="00036F82"/>
    <w:rsid w:val="00037061"/>
    <w:rsid w:val="00037064"/>
    <w:rsid w:val="0003708D"/>
    <w:rsid w:val="000370D6"/>
    <w:rsid w:val="00037138"/>
    <w:rsid w:val="00037168"/>
    <w:rsid w:val="0003716C"/>
    <w:rsid w:val="0003719F"/>
    <w:rsid w:val="000371D9"/>
    <w:rsid w:val="0003722A"/>
    <w:rsid w:val="000372E6"/>
    <w:rsid w:val="00037468"/>
    <w:rsid w:val="000374A9"/>
    <w:rsid w:val="0003767B"/>
    <w:rsid w:val="000376AA"/>
    <w:rsid w:val="00037826"/>
    <w:rsid w:val="00037868"/>
    <w:rsid w:val="00037988"/>
    <w:rsid w:val="000379F2"/>
    <w:rsid w:val="00037AE9"/>
    <w:rsid w:val="00037BFE"/>
    <w:rsid w:val="00037EEB"/>
    <w:rsid w:val="00037EEE"/>
    <w:rsid w:val="00040268"/>
    <w:rsid w:val="00040296"/>
    <w:rsid w:val="000402F3"/>
    <w:rsid w:val="00040520"/>
    <w:rsid w:val="00040553"/>
    <w:rsid w:val="00040774"/>
    <w:rsid w:val="00040B86"/>
    <w:rsid w:val="00040BDE"/>
    <w:rsid w:val="00040C79"/>
    <w:rsid w:val="00040C9D"/>
    <w:rsid w:val="00040C9E"/>
    <w:rsid w:val="00040D26"/>
    <w:rsid w:val="00040D71"/>
    <w:rsid w:val="00040DB6"/>
    <w:rsid w:val="00040E9B"/>
    <w:rsid w:val="00040F62"/>
    <w:rsid w:val="00040F77"/>
    <w:rsid w:val="0004104D"/>
    <w:rsid w:val="000410D0"/>
    <w:rsid w:val="000410E1"/>
    <w:rsid w:val="00041199"/>
    <w:rsid w:val="000412E2"/>
    <w:rsid w:val="0004134A"/>
    <w:rsid w:val="00041381"/>
    <w:rsid w:val="0004138F"/>
    <w:rsid w:val="00041390"/>
    <w:rsid w:val="000413E7"/>
    <w:rsid w:val="00041436"/>
    <w:rsid w:val="00041471"/>
    <w:rsid w:val="000414CF"/>
    <w:rsid w:val="000415D0"/>
    <w:rsid w:val="000415EA"/>
    <w:rsid w:val="000415F6"/>
    <w:rsid w:val="00041680"/>
    <w:rsid w:val="000417A8"/>
    <w:rsid w:val="000417CC"/>
    <w:rsid w:val="00041815"/>
    <w:rsid w:val="000418C8"/>
    <w:rsid w:val="000418F6"/>
    <w:rsid w:val="00041919"/>
    <w:rsid w:val="0004195B"/>
    <w:rsid w:val="00041B06"/>
    <w:rsid w:val="00041B71"/>
    <w:rsid w:val="00041DC2"/>
    <w:rsid w:val="00041DE0"/>
    <w:rsid w:val="00041E81"/>
    <w:rsid w:val="00041ECE"/>
    <w:rsid w:val="00042041"/>
    <w:rsid w:val="000420E7"/>
    <w:rsid w:val="00042197"/>
    <w:rsid w:val="000421D0"/>
    <w:rsid w:val="0004227F"/>
    <w:rsid w:val="00042292"/>
    <w:rsid w:val="000422F4"/>
    <w:rsid w:val="000422F9"/>
    <w:rsid w:val="00042406"/>
    <w:rsid w:val="0004254D"/>
    <w:rsid w:val="00042681"/>
    <w:rsid w:val="00042690"/>
    <w:rsid w:val="0004269B"/>
    <w:rsid w:val="00042717"/>
    <w:rsid w:val="0004279D"/>
    <w:rsid w:val="000427AD"/>
    <w:rsid w:val="0004280A"/>
    <w:rsid w:val="000429F8"/>
    <w:rsid w:val="00042B87"/>
    <w:rsid w:val="00042D18"/>
    <w:rsid w:val="00042D5F"/>
    <w:rsid w:val="00042DAB"/>
    <w:rsid w:val="00042DF7"/>
    <w:rsid w:val="00042E10"/>
    <w:rsid w:val="00042E7F"/>
    <w:rsid w:val="0004302D"/>
    <w:rsid w:val="0004302E"/>
    <w:rsid w:val="000430AF"/>
    <w:rsid w:val="000431FE"/>
    <w:rsid w:val="00043224"/>
    <w:rsid w:val="00043255"/>
    <w:rsid w:val="0004337D"/>
    <w:rsid w:val="00043433"/>
    <w:rsid w:val="000434FF"/>
    <w:rsid w:val="0004351A"/>
    <w:rsid w:val="0004354B"/>
    <w:rsid w:val="0004368A"/>
    <w:rsid w:val="00043700"/>
    <w:rsid w:val="00043713"/>
    <w:rsid w:val="000438FB"/>
    <w:rsid w:val="00043908"/>
    <w:rsid w:val="00043AA3"/>
    <w:rsid w:val="00043AD0"/>
    <w:rsid w:val="00043B18"/>
    <w:rsid w:val="00043B7A"/>
    <w:rsid w:val="00043BE3"/>
    <w:rsid w:val="00043D9D"/>
    <w:rsid w:val="00043DC2"/>
    <w:rsid w:val="00043E25"/>
    <w:rsid w:val="00043E7E"/>
    <w:rsid w:val="00043F08"/>
    <w:rsid w:val="00043F39"/>
    <w:rsid w:val="00043F83"/>
    <w:rsid w:val="00044189"/>
    <w:rsid w:val="00044300"/>
    <w:rsid w:val="00044603"/>
    <w:rsid w:val="0004465B"/>
    <w:rsid w:val="000446A4"/>
    <w:rsid w:val="000446D6"/>
    <w:rsid w:val="000446DC"/>
    <w:rsid w:val="0004470A"/>
    <w:rsid w:val="00044841"/>
    <w:rsid w:val="000448BF"/>
    <w:rsid w:val="00044AB3"/>
    <w:rsid w:val="00044B8D"/>
    <w:rsid w:val="00044B97"/>
    <w:rsid w:val="00044C42"/>
    <w:rsid w:val="00044CF4"/>
    <w:rsid w:val="00044D87"/>
    <w:rsid w:val="00044E7F"/>
    <w:rsid w:val="00044F38"/>
    <w:rsid w:val="0004507F"/>
    <w:rsid w:val="00045133"/>
    <w:rsid w:val="0004514F"/>
    <w:rsid w:val="00045164"/>
    <w:rsid w:val="000451D2"/>
    <w:rsid w:val="000452B9"/>
    <w:rsid w:val="00045492"/>
    <w:rsid w:val="000454AE"/>
    <w:rsid w:val="0004551A"/>
    <w:rsid w:val="00045522"/>
    <w:rsid w:val="000455BB"/>
    <w:rsid w:val="00045650"/>
    <w:rsid w:val="000456CE"/>
    <w:rsid w:val="00045756"/>
    <w:rsid w:val="000457AE"/>
    <w:rsid w:val="000457C1"/>
    <w:rsid w:val="0004591E"/>
    <w:rsid w:val="000459A7"/>
    <w:rsid w:val="000459AC"/>
    <w:rsid w:val="000459F3"/>
    <w:rsid w:val="00045A50"/>
    <w:rsid w:val="00045ABF"/>
    <w:rsid w:val="00045B57"/>
    <w:rsid w:val="00045BF5"/>
    <w:rsid w:val="00045D09"/>
    <w:rsid w:val="00045D3E"/>
    <w:rsid w:val="00045D4C"/>
    <w:rsid w:val="00045DD0"/>
    <w:rsid w:val="00045E27"/>
    <w:rsid w:val="00045E9B"/>
    <w:rsid w:val="00045E9C"/>
    <w:rsid w:val="00046020"/>
    <w:rsid w:val="00046202"/>
    <w:rsid w:val="0004620E"/>
    <w:rsid w:val="0004624B"/>
    <w:rsid w:val="00046266"/>
    <w:rsid w:val="00046343"/>
    <w:rsid w:val="00046357"/>
    <w:rsid w:val="0004638F"/>
    <w:rsid w:val="000463CD"/>
    <w:rsid w:val="000463FC"/>
    <w:rsid w:val="00046428"/>
    <w:rsid w:val="0004643A"/>
    <w:rsid w:val="0004649A"/>
    <w:rsid w:val="000464C3"/>
    <w:rsid w:val="00046504"/>
    <w:rsid w:val="0004663A"/>
    <w:rsid w:val="000468AE"/>
    <w:rsid w:val="00046ACA"/>
    <w:rsid w:val="00046AF7"/>
    <w:rsid w:val="00046B1C"/>
    <w:rsid w:val="00046C02"/>
    <w:rsid w:val="00046CEE"/>
    <w:rsid w:val="00046CF3"/>
    <w:rsid w:val="00046D2B"/>
    <w:rsid w:val="00046DB6"/>
    <w:rsid w:val="00046F1D"/>
    <w:rsid w:val="00046F35"/>
    <w:rsid w:val="00046F3F"/>
    <w:rsid w:val="0004706D"/>
    <w:rsid w:val="00047075"/>
    <w:rsid w:val="000470B5"/>
    <w:rsid w:val="000470D9"/>
    <w:rsid w:val="000470F1"/>
    <w:rsid w:val="00047172"/>
    <w:rsid w:val="000471F7"/>
    <w:rsid w:val="0004727F"/>
    <w:rsid w:val="000472CD"/>
    <w:rsid w:val="0004730C"/>
    <w:rsid w:val="000473CA"/>
    <w:rsid w:val="00047457"/>
    <w:rsid w:val="0004748D"/>
    <w:rsid w:val="0004755A"/>
    <w:rsid w:val="00047591"/>
    <w:rsid w:val="0004763C"/>
    <w:rsid w:val="00047677"/>
    <w:rsid w:val="00047A78"/>
    <w:rsid w:val="00047AE3"/>
    <w:rsid w:val="00047AEE"/>
    <w:rsid w:val="00047AFA"/>
    <w:rsid w:val="00047B4B"/>
    <w:rsid w:val="00047B66"/>
    <w:rsid w:val="00047BE3"/>
    <w:rsid w:val="00047C92"/>
    <w:rsid w:val="00047CDE"/>
    <w:rsid w:val="00047D54"/>
    <w:rsid w:val="00047F20"/>
    <w:rsid w:val="00047FA5"/>
    <w:rsid w:val="00047FB1"/>
    <w:rsid w:val="0004E510"/>
    <w:rsid w:val="00050107"/>
    <w:rsid w:val="00050194"/>
    <w:rsid w:val="000502DC"/>
    <w:rsid w:val="0005040F"/>
    <w:rsid w:val="0005045E"/>
    <w:rsid w:val="00050524"/>
    <w:rsid w:val="00050540"/>
    <w:rsid w:val="00050571"/>
    <w:rsid w:val="00050578"/>
    <w:rsid w:val="000506E8"/>
    <w:rsid w:val="00050777"/>
    <w:rsid w:val="000508CD"/>
    <w:rsid w:val="0005091F"/>
    <w:rsid w:val="0005096A"/>
    <w:rsid w:val="00050A87"/>
    <w:rsid w:val="00050A94"/>
    <w:rsid w:val="00050AA9"/>
    <w:rsid w:val="00050AAD"/>
    <w:rsid w:val="00050AB2"/>
    <w:rsid w:val="00050ACC"/>
    <w:rsid w:val="00050BAF"/>
    <w:rsid w:val="00050BB3"/>
    <w:rsid w:val="00050CED"/>
    <w:rsid w:val="00050D4A"/>
    <w:rsid w:val="00050D7C"/>
    <w:rsid w:val="00050EEC"/>
    <w:rsid w:val="000511DB"/>
    <w:rsid w:val="000511F3"/>
    <w:rsid w:val="0005127F"/>
    <w:rsid w:val="000512A8"/>
    <w:rsid w:val="00051310"/>
    <w:rsid w:val="00051373"/>
    <w:rsid w:val="00051385"/>
    <w:rsid w:val="0005146F"/>
    <w:rsid w:val="000515C6"/>
    <w:rsid w:val="000515DA"/>
    <w:rsid w:val="000515F2"/>
    <w:rsid w:val="0005165D"/>
    <w:rsid w:val="000516C3"/>
    <w:rsid w:val="0005188D"/>
    <w:rsid w:val="000519C5"/>
    <w:rsid w:val="00051B35"/>
    <w:rsid w:val="00051C04"/>
    <w:rsid w:val="00051C24"/>
    <w:rsid w:val="00051D28"/>
    <w:rsid w:val="00051DF3"/>
    <w:rsid w:val="00051E61"/>
    <w:rsid w:val="00051EE8"/>
    <w:rsid w:val="00051F5B"/>
    <w:rsid w:val="00051FFE"/>
    <w:rsid w:val="0005200A"/>
    <w:rsid w:val="0005200E"/>
    <w:rsid w:val="0005201E"/>
    <w:rsid w:val="00052022"/>
    <w:rsid w:val="00052101"/>
    <w:rsid w:val="00052390"/>
    <w:rsid w:val="0005254F"/>
    <w:rsid w:val="000525D8"/>
    <w:rsid w:val="00052628"/>
    <w:rsid w:val="000526CA"/>
    <w:rsid w:val="0005271E"/>
    <w:rsid w:val="00052899"/>
    <w:rsid w:val="000528B0"/>
    <w:rsid w:val="00052A0D"/>
    <w:rsid w:val="00052ADB"/>
    <w:rsid w:val="00052AF6"/>
    <w:rsid w:val="00052B3E"/>
    <w:rsid w:val="00052BDA"/>
    <w:rsid w:val="00052BF0"/>
    <w:rsid w:val="00052C02"/>
    <w:rsid w:val="00052DF6"/>
    <w:rsid w:val="00052FB1"/>
    <w:rsid w:val="00053052"/>
    <w:rsid w:val="00053053"/>
    <w:rsid w:val="0005306B"/>
    <w:rsid w:val="0005310E"/>
    <w:rsid w:val="0005314B"/>
    <w:rsid w:val="00053177"/>
    <w:rsid w:val="00053327"/>
    <w:rsid w:val="00053333"/>
    <w:rsid w:val="0005334C"/>
    <w:rsid w:val="000533CE"/>
    <w:rsid w:val="00053483"/>
    <w:rsid w:val="00053515"/>
    <w:rsid w:val="00053594"/>
    <w:rsid w:val="000535BD"/>
    <w:rsid w:val="000536CD"/>
    <w:rsid w:val="000537D5"/>
    <w:rsid w:val="000537E6"/>
    <w:rsid w:val="00053838"/>
    <w:rsid w:val="000538A1"/>
    <w:rsid w:val="00053A4D"/>
    <w:rsid w:val="00053A67"/>
    <w:rsid w:val="00053AFF"/>
    <w:rsid w:val="00053B38"/>
    <w:rsid w:val="00053C38"/>
    <w:rsid w:val="00053D95"/>
    <w:rsid w:val="00053F7C"/>
    <w:rsid w:val="00054106"/>
    <w:rsid w:val="00054111"/>
    <w:rsid w:val="00054153"/>
    <w:rsid w:val="00054164"/>
    <w:rsid w:val="000541AB"/>
    <w:rsid w:val="000541CD"/>
    <w:rsid w:val="000542C9"/>
    <w:rsid w:val="000543E9"/>
    <w:rsid w:val="00054445"/>
    <w:rsid w:val="00054478"/>
    <w:rsid w:val="000544E8"/>
    <w:rsid w:val="00054568"/>
    <w:rsid w:val="000546DB"/>
    <w:rsid w:val="0005483B"/>
    <w:rsid w:val="000548F9"/>
    <w:rsid w:val="00054963"/>
    <w:rsid w:val="00054977"/>
    <w:rsid w:val="000549EC"/>
    <w:rsid w:val="00054ABC"/>
    <w:rsid w:val="00054AC7"/>
    <w:rsid w:val="00054AF3"/>
    <w:rsid w:val="00054B1F"/>
    <w:rsid w:val="00054B6D"/>
    <w:rsid w:val="00054BA2"/>
    <w:rsid w:val="00054C1A"/>
    <w:rsid w:val="00054C52"/>
    <w:rsid w:val="00054D93"/>
    <w:rsid w:val="00054DF7"/>
    <w:rsid w:val="00054F38"/>
    <w:rsid w:val="00054FC1"/>
    <w:rsid w:val="000550DC"/>
    <w:rsid w:val="0005514F"/>
    <w:rsid w:val="00055261"/>
    <w:rsid w:val="00055375"/>
    <w:rsid w:val="0005537D"/>
    <w:rsid w:val="0005541E"/>
    <w:rsid w:val="000554CF"/>
    <w:rsid w:val="00055647"/>
    <w:rsid w:val="00055764"/>
    <w:rsid w:val="00055779"/>
    <w:rsid w:val="00055788"/>
    <w:rsid w:val="00055868"/>
    <w:rsid w:val="0005592D"/>
    <w:rsid w:val="000559E0"/>
    <w:rsid w:val="000559FA"/>
    <w:rsid w:val="00055A6E"/>
    <w:rsid w:val="00055D01"/>
    <w:rsid w:val="00055D19"/>
    <w:rsid w:val="00055D5F"/>
    <w:rsid w:val="00055DC2"/>
    <w:rsid w:val="00055E35"/>
    <w:rsid w:val="00056039"/>
    <w:rsid w:val="000560E0"/>
    <w:rsid w:val="000562C9"/>
    <w:rsid w:val="0005631B"/>
    <w:rsid w:val="00056355"/>
    <w:rsid w:val="0005635F"/>
    <w:rsid w:val="0005643B"/>
    <w:rsid w:val="00056493"/>
    <w:rsid w:val="000566A0"/>
    <w:rsid w:val="000566B7"/>
    <w:rsid w:val="00056786"/>
    <w:rsid w:val="0005678A"/>
    <w:rsid w:val="000567E0"/>
    <w:rsid w:val="0005681D"/>
    <w:rsid w:val="0005694C"/>
    <w:rsid w:val="00056AA2"/>
    <w:rsid w:val="00056BAD"/>
    <w:rsid w:val="00056C15"/>
    <w:rsid w:val="00056CE7"/>
    <w:rsid w:val="00056DD4"/>
    <w:rsid w:val="00056E8F"/>
    <w:rsid w:val="00056EE2"/>
    <w:rsid w:val="00056FB9"/>
    <w:rsid w:val="00057066"/>
    <w:rsid w:val="000570C4"/>
    <w:rsid w:val="000570DE"/>
    <w:rsid w:val="00057111"/>
    <w:rsid w:val="0005727F"/>
    <w:rsid w:val="000572BB"/>
    <w:rsid w:val="000572EE"/>
    <w:rsid w:val="00057319"/>
    <w:rsid w:val="00057325"/>
    <w:rsid w:val="00057344"/>
    <w:rsid w:val="00057386"/>
    <w:rsid w:val="00057456"/>
    <w:rsid w:val="0005755C"/>
    <w:rsid w:val="00057595"/>
    <w:rsid w:val="000575BA"/>
    <w:rsid w:val="00057632"/>
    <w:rsid w:val="0005769A"/>
    <w:rsid w:val="0005773D"/>
    <w:rsid w:val="000578A6"/>
    <w:rsid w:val="000578D3"/>
    <w:rsid w:val="00057B16"/>
    <w:rsid w:val="00057B84"/>
    <w:rsid w:val="00057BC6"/>
    <w:rsid w:val="00057C71"/>
    <w:rsid w:val="00057C9F"/>
    <w:rsid w:val="00057D6F"/>
    <w:rsid w:val="00057D74"/>
    <w:rsid w:val="00057ECB"/>
    <w:rsid w:val="00057F1C"/>
    <w:rsid w:val="00057FBE"/>
    <w:rsid w:val="00060078"/>
    <w:rsid w:val="000600F3"/>
    <w:rsid w:val="00060131"/>
    <w:rsid w:val="000601F1"/>
    <w:rsid w:val="00060206"/>
    <w:rsid w:val="000602C9"/>
    <w:rsid w:val="000603E4"/>
    <w:rsid w:val="00060412"/>
    <w:rsid w:val="00060424"/>
    <w:rsid w:val="000604FA"/>
    <w:rsid w:val="0006063F"/>
    <w:rsid w:val="00060685"/>
    <w:rsid w:val="00060695"/>
    <w:rsid w:val="000606C7"/>
    <w:rsid w:val="00060721"/>
    <w:rsid w:val="00060763"/>
    <w:rsid w:val="000608C8"/>
    <w:rsid w:val="000608F4"/>
    <w:rsid w:val="00060A71"/>
    <w:rsid w:val="00060B91"/>
    <w:rsid w:val="00060C27"/>
    <w:rsid w:val="00060D65"/>
    <w:rsid w:val="00060DE8"/>
    <w:rsid w:val="00060FB7"/>
    <w:rsid w:val="00061009"/>
    <w:rsid w:val="0006103B"/>
    <w:rsid w:val="000610C6"/>
    <w:rsid w:val="000610D8"/>
    <w:rsid w:val="0006116D"/>
    <w:rsid w:val="000612AB"/>
    <w:rsid w:val="000613D5"/>
    <w:rsid w:val="000614A0"/>
    <w:rsid w:val="00061543"/>
    <w:rsid w:val="000615B6"/>
    <w:rsid w:val="000615F2"/>
    <w:rsid w:val="0006163E"/>
    <w:rsid w:val="00061644"/>
    <w:rsid w:val="000617D3"/>
    <w:rsid w:val="000618ED"/>
    <w:rsid w:val="00061A86"/>
    <w:rsid w:val="00061ABB"/>
    <w:rsid w:val="00061B1A"/>
    <w:rsid w:val="00061C6B"/>
    <w:rsid w:val="00061C70"/>
    <w:rsid w:val="00061D68"/>
    <w:rsid w:val="00061D9D"/>
    <w:rsid w:val="00061DEC"/>
    <w:rsid w:val="00061FAB"/>
    <w:rsid w:val="0006200F"/>
    <w:rsid w:val="0006214E"/>
    <w:rsid w:val="000621EA"/>
    <w:rsid w:val="0006234F"/>
    <w:rsid w:val="00062431"/>
    <w:rsid w:val="000625A5"/>
    <w:rsid w:val="000626D6"/>
    <w:rsid w:val="000627A7"/>
    <w:rsid w:val="000627F9"/>
    <w:rsid w:val="0006284E"/>
    <w:rsid w:val="00062899"/>
    <w:rsid w:val="00062924"/>
    <w:rsid w:val="00062967"/>
    <w:rsid w:val="00062A57"/>
    <w:rsid w:val="00062AAC"/>
    <w:rsid w:val="00062ABC"/>
    <w:rsid w:val="00062CC0"/>
    <w:rsid w:val="00062D43"/>
    <w:rsid w:val="00062D70"/>
    <w:rsid w:val="00062DB3"/>
    <w:rsid w:val="00062E52"/>
    <w:rsid w:val="00062FA8"/>
    <w:rsid w:val="00063008"/>
    <w:rsid w:val="00063063"/>
    <w:rsid w:val="000630BA"/>
    <w:rsid w:val="00063164"/>
    <w:rsid w:val="00063168"/>
    <w:rsid w:val="000631F2"/>
    <w:rsid w:val="0006326B"/>
    <w:rsid w:val="000632BD"/>
    <w:rsid w:val="000632DE"/>
    <w:rsid w:val="0006336A"/>
    <w:rsid w:val="000633F0"/>
    <w:rsid w:val="0006346A"/>
    <w:rsid w:val="000634D5"/>
    <w:rsid w:val="000635AF"/>
    <w:rsid w:val="000635E9"/>
    <w:rsid w:val="00063743"/>
    <w:rsid w:val="0006374B"/>
    <w:rsid w:val="000637DE"/>
    <w:rsid w:val="000638D8"/>
    <w:rsid w:val="00063B45"/>
    <w:rsid w:val="00063C15"/>
    <w:rsid w:val="00063D10"/>
    <w:rsid w:val="00063DFE"/>
    <w:rsid w:val="00063ED5"/>
    <w:rsid w:val="00063EF5"/>
    <w:rsid w:val="00063F30"/>
    <w:rsid w:val="00063F4F"/>
    <w:rsid w:val="00063F71"/>
    <w:rsid w:val="00063FA1"/>
    <w:rsid w:val="00063FC0"/>
    <w:rsid w:val="00064024"/>
    <w:rsid w:val="0006406F"/>
    <w:rsid w:val="0006431E"/>
    <w:rsid w:val="00064388"/>
    <w:rsid w:val="000643B8"/>
    <w:rsid w:val="00064534"/>
    <w:rsid w:val="00064591"/>
    <w:rsid w:val="000645D0"/>
    <w:rsid w:val="000645F3"/>
    <w:rsid w:val="00064780"/>
    <w:rsid w:val="00064827"/>
    <w:rsid w:val="00064904"/>
    <w:rsid w:val="00064A95"/>
    <w:rsid w:val="00064B58"/>
    <w:rsid w:val="00064C6F"/>
    <w:rsid w:val="00064D2B"/>
    <w:rsid w:val="00064D35"/>
    <w:rsid w:val="00064D65"/>
    <w:rsid w:val="00064D98"/>
    <w:rsid w:val="00064E31"/>
    <w:rsid w:val="00064EA8"/>
    <w:rsid w:val="00064F2E"/>
    <w:rsid w:val="00064F7F"/>
    <w:rsid w:val="00064FF8"/>
    <w:rsid w:val="00065285"/>
    <w:rsid w:val="00065363"/>
    <w:rsid w:val="000653E4"/>
    <w:rsid w:val="00065440"/>
    <w:rsid w:val="00065453"/>
    <w:rsid w:val="000654A7"/>
    <w:rsid w:val="000654C7"/>
    <w:rsid w:val="00065516"/>
    <w:rsid w:val="000655A0"/>
    <w:rsid w:val="000655E9"/>
    <w:rsid w:val="000655FF"/>
    <w:rsid w:val="00065703"/>
    <w:rsid w:val="000657C1"/>
    <w:rsid w:val="0006587B"/>
    <w:rsid w:val="000659A7"/>
    <w:rsid w:val="000659B1"/>
    <w:rsid w:val="000659B9"/>
    <w:rsid w:val="000659F3"/>
    <w:rsid w:val="00065A01"/>
    <w:rsid w:val="00065A09"/>
    <w:rsid w:val="00065A98"/>
    <w:rsid w:val="00065AA1"/>
    <w:rsid w:val="00065AE7"/>
    <w:rsid w:val="00065BC1"/>
    <w:rsid w:val="00065BDB"/>
    <w:rsid w:val="00065C1A"/>
    <w:rsid w:val="00065C86"/>
    <w:rsid w:val="00065C99"/>
    <w:rsid w:val="00065CB0"/>
    <w:rsid w:val="00065CC5"/>
    <w:rsid w:val="00065CF0"/>
    <w:rsid w:val="00065D38"/>
    <w:rsid w:val="00065D83"/>
    <w:rsid w:val="00065DE3"/>
    <w:rsid w:val="00065E0C"/>
    <w:rsid w:val="00065F28"/>
    <w:rsid w:val="00065F6C"/>
    <w:rsid w:val="00066000"/>
    <w:rsid w:val="00066021"/>
    <w:rsid w:val="000660DA"/>
    <w:rsid w:val="000661DB"/>
    <w:rsid w:val="00066244"/>
    <w:rsid w:val="00066289"/>
    <w:rsid w:val="00066455"/>
    <w:rsid w:val="000665BF"/>
    <w:rsid w:val="000665F8"/>
    <w:rsid w:val="000666D5"/>
    <w:rsid w:val="00066807"/>
    <w:rsid w:val="00066834"/>
    <w:rsid w:val="00066988"/>
    <w:rsid w:val="000669DC"/>
    <w:rsid w:val="000669EA"/>
    <w:rsid w:val="00066AA8"/>
    <w:rsid w:val="00066B41"/>
    <w:rsid w:val="00066B68"/>
    <w:rsid w:val="00066BAB"/>
    <w:rsid w:val="00066C0F"/>
    <w:rsid w:val="00066DAC"/>
    <w:rsid w:val="00066E1F"/>
    <w:rsid w:val="00066E20"/>
    <w:rsid w:val="00066E5A"/>
    <w:rsid w:val="00066F7C"/>
    <w:rsid w:val="00067076"/>
    <w:rsid w:val="000670B6"/>
    <w:rsid w:val="00067197"/>
    <w:rsid w:val="00067233"/>
    <w:rsid w:val="0006724B"/>
    <w:rsid w:val="00067253"/>
    <w:rsid w:val="0006731F"/>
    <w:rsid w:val="000673CE"/>
    <w:rsid w:val="00067504"/>
    <w:rsid w:val="0006751E"/>
    <w:rsid w:val="0006760C"/>
    <w:rsid w:val="00067653"/>
    <w:rsid w:val="00067673"/>
    <w:rsid w:val="000676FC"/>
    <w:rsid w:val="00067740"/>
    <w:rsid w:val="000678AA"/>
    <w:rsid w:val="0006790D"/>
    <w:rsid w:val="000679BD"/>
    <w:rsid w:val="000679E9"/>
    <w:rsid w:val="00067AB8"/>
    <w:rsid w:val="00067BAF"/>
    <w:rsid w:val="00067C1B"/>
    <w:rsid w:val="00067C9C"/>
    <w:rsid w:val="00067CD8"/>
    <w:rsid w:val="00067CFC"/>
    <w:rsid w:val="00067D68"/>
    <w:rsid w:val="00067F8E"/>
    <w:rsid w:val="000700AB"/>
    <w:rsid w:val="00070115"/>
    <w:rsid w:val="00070151"/>
    <w:rsid w:val="0007015A"/>
    <w:rsid w:val="000701A5"/>
    <w:rsid w:val="00070284"/>
    <w:rsid w:val="00070498"/>
    <w:rsid w:val="00070544"/>
    <w:rsid w:val="00070588"/>
    <w:rsid w:val="00070633"/>
    <w:rsid w:val="0007071A"/>
    <w:rsid w:val="00070844"/>
    <w:rsid w:val="00070905"/>
    <w:rsid w:val="00070906"/>
    <w:rsid w:val="000709E3"/>
    <w:rsid w:val="00070AC9"/>
    <w:rsid w:val="00070B56"/>
    <w:rsid w:val="00070BF0"/>
    <w:rsid w:val="00070C2B"/>
    <w:rsid w:val="00070D54"/>
    <w:rsid w:val="00070DA4"/>
    <w:rsid w:val="00070DF8"/>
    <w:rsid w:val="00070E46"/>
    <w:rsid w:val="00070EB0"/>
    <w:rsid w:val="00070F80"/>
    <w:rsid w:val="000710AD"/>
    <w:rsid w:val="000710D3"/>
    <w:rsid w:val="00071112"/>
    <w:rsid w:val="00071195"/>
    <w:rsid w:val="000712EF"/>
    <w:rsid w:val="000714B1"/>
    <w:rsid w:val="00071558"/>
    <w:rsid w:val="000715E4"/>
    <w:rsid w:val="00071627"/>
    <w:rsid w:val="00071632"/>
    <w:rsid w:val="00071680"/>
    <w:rsid w:val="00071689"/>
    <w:rsid w:val="000716AC"/>
    <w:rsid w:val="000716B7"/>
    <w:rsid w:val="000716C5"/>
    <w:rsid w:val="000717B5"/>
    <w:rsid w:val="000717C2"/>
    <w:rsid w:val="00071874"/>
    <w:rsid w:val="000719C6"/>
    <w:rsid w:val="00071A6F"/>
    <w:rsid w:val="00071AFF"/>
    <w:rsid w:val="00071B15"/>
    <w:rsid w:val="00071B63"/>
    <w:rsid w:val="00071C7A"/>
    <w:rsid w:val="00071D59"/>
    <w:rsid w:val="00071D7A"/>
    <w:rsid w:val="00071DA6"/>
    <w:rsid w:val="00071EAF"/>
    <w:rsid w:val="00071F75"/>
    <w:rsid w:val="00071F88"/>
    <w:rsid w:val="00071FD4"/>
    <w:rsid w:val="00071FE3"/>
    <w:rsid w:val="0007203B"/>
    <w:rsid w:val="00072067"/>
    <w:rsid w:val="000720DE"/>
    <w:rsid w:val="000720E7"/>
    <w:rsid w:val="0007213A"/>
    <w:rsid w:val="0007227A"/>
    <w:rsid w:val="00072299"/>
    <w:rsid w:val="0007231B"/>
    <w:rsid w:val="000723A4"/>
    <w:rsid w:val="000723B0"/>
    <w:rsid w:val="000723EB"/>
    <w:rsid w:val="000724D9"/>
    <w:rsid w:val="000725B6"/>
    <w:rsid w:val="000725BE"/>
    <w:rsid w:val="000725C2"/>
    <w:rsid w:val="00072830"/>
    <w:rsid w:val="000728C7"/>
    <w:rsid w:val="00072908"/>
    <w:rsid w:val="0007293D"/>
    <w:rsid w:val="00072A18"/>
    <w:rsid w:val="00072A75"/>
    <w:rsid w:val="00072B00"/>
    <w:rsid w:val="00072B56"/>
    <w:rsid w:val="00072B6E"/>
    <w:rsid w:val="00072D7C"/>
    <w:rsid w:val="00072DE9"/>
    <w:rsid w:val="00072F31"/>
    <w:rsid w:val="00072FDD"/>
    <w:rsid w:val="00072FE8"/>
    <w:rsid w:val="00073068"/>
    <w:rsid w:val="0007309B"/>
    <w:rsid w:val="000730CA"/>
    <w:rsid w:val="000730DA"/>
    <w:rsid w:val="0007313A"/>
    <w:rsid w:val="00073140"/>
    <w:rsid w:val="00073261"/>
    <w:rsid w:val="000732EC"/>
    <w:rsid w:val="0007334B"/>
    <w:rsid w:val="00073532"/>
    <w:rsid w:val="00073561"/>
    <w:rsid w:val="0007362B"/>
    <w:rsid w:val="0007366E"/>
    <w:rsid w:val="000737A3"/>
    <w:rsid w:val="0007386A"/>
    <w:rsid w:val="00073946"/>
    <w:rsid w:val="000739B2"/>
    <w:rsid w:val="00073A00"/>
    <w:rsid w:val="00073AE5"/>
    <w:rsid w:val="00073B57"/>
    <w:rsid w:val="00073DF0"/>
    <w:rsid w:val="00073E91"/>
    <w:rsid w:val="00073EB0"/>
    <w:rsid w:val="00073FB2"/>
    <w:rsid w:val="0007402D"/>
    <w:rsid w:val="000741A6"/>
    <w:rsid w:val="000741AE"/>
    <w:rsid w:val="0007420E"/>
    <w:rsid w:val="00074227"/>
    <w:rsid w:val="0007430D"/>
    <w:rsid w:val="0007438E"/>
    <w:rsid w:val="000743FB"/>
    <w:rsid w:val="000744ED"/>
    <w:rsid w:val="000744F1"/>
    <w:rsid w:val="00074542"/>
    <w:rsid w:val="00074570"/>
    <w:rsid w:val="000746CE"/>
    <w:rsid w:val="000747A1"/>
    <w:rsid w:val="000747BE"/>
    <w:rsid w:val="000747EC"/>
    <w:rsid w:val="0007485A"/>
    <w:rsid w:val="00074863"/>
    <w:rsid w:val="00074867"/>
    <w:rsid w:val="000748CF"/>
    <w:rsid w:val="00074997"/>
    <w:rsid w:val="00074B02"/>
    <w:rsid w:val="00074BF1"/>
    <w:rsid w:val="00074C15"/>
    <w:rsid w:val="00074C7A"/>
    <w:rsid w:val="00074CB2"/>
    <w:rsid w:val="00074D9E"/>
    <w:rsid w:val="00074DB1"/>
    <w:rsid w:val="00074DE1"/>
    <w:rsid w:val="00074E87"/>
    <w:rsid w:val="00074EE9"/>
    <w:rsid w:val="00074FEE"/>
    <w:rsid w:val="00075037"/>
    <w:rsid w:val="000751EF"/>
    <w:rsid w:val="00075207"/>
    <w:rsid w:val="000752B2"/>
    <w:rsid w:val="000752BC"/>
    <w:rsid w:val="0007532C"/>
    <w:rsid w:val="00075373"/>
    <w:rsid w:val="000755A2"/>
    <w:rsid w:val="000755FF"/>
    <w:rsid w:val="0007578C"/>
    <w:rsid w:val="000757AB"/>
    <w:rsid w:val="000757B9"/>
    <w:rsid w:val="000757C7"/>
    <w:rsid w:val="000759C2"/>
    <w:rsid w:val="000759D7"/>
    <w:rsid w:val="00075AAD"/>
    <w:rsid w:val="00075B09"/>
    <w:rsid w:val="00075B55"/>
    <w:rsid w:val="00075B7B"/>
    <w:rsid w:val="00075BA3"/>
    <w:rsid w:val="00075C01"/>
    <w:rsid w:val="00075C05"/>
    <w:rsid w:val="00075D0E"/>
    <w:rsid w:val="00075E0B"/>
    <w:rsid w:val="00075E64"/>
    <w:rsid w:val="00076047"/>
    <w:rsid w:val="0007605F"/>
    <w:rsid w:val="000760B4"/>
    <w:rsid w:val="000760C4"/>
    <w:rsid w:val="000760EF"/>
    <w:rsid w:val="00076174"/>
    <w:rsid w:val="00076175"/>
    <w:rsid w:val="00076208"/>
    <w:rsid w:val="00076448"/>
    <w:rsid w:val="00076464"/>
    <w:rsid w:val="0007646C"/>
    <w:rsid w:val="000764A2"/>
    <w:rsid w:val="000764A7"/>
    <w:rsid w:val="00076564"/>
    <w:rsid w:val="0007656B"/>
    <w:rsid w:val="00076675"/>
    <w:rsid w:val="000766B3"/>
    <w:rsid w:val="00076721"/>
    <w:rsid w:val="00076945"/>
    <w:rsid w:val="00076946"/>
    <w:rsid w:val="000769D5"/>
    <w:rsid w:val="00076A84"/>
    <w:rsid w:val="00076ADD"/>
    <w:rsid w:val="00076AF6"/>
    <w:rsid w:val="00076B51"/>
    <w:rsid w:val="00076CE1"/>
    <w:rsid w:val="00076E68"/>
    <w:rsid w:val="0007705B"/>
    <w:rsid w:val="00077129"/>
    <w:rsid w:val="0007721D"/>
    <w:rsid w:val="0007728A"/>
    <w:rsid w:val="000772F1"/>
    <w:rsid w:val="00077393"/>
    <w:rsid w:val="0007745A"/>
    <w:rsid w:val="000774D2"/>
    <w:rsid w:val="000775BB"/>
    <w:rsid w:val="000776B8"/>
    <w:rsid w:val="00077788"/>
    <w:rsid w:val="00077822"/>
    <w:rsid w:val="0007782B"/>
    <w:rsid w:val="000778F7"/>
    <w:rsid w:val="00077928"/>
    <w:rsid w:val="00077A1D"/>
    <w:rsid w:val="00077A37"/>
    <w:rsid w:val="00077A40"/>
    <w:rsid w:val="00077C9E"/>
    <w:rsid w:val="00077D77"/>
    <w:rsid w:val="00077DA4"/>
    <w:rsid w:val="00077EC8"/>
    <w:rsid w:val="00077F35"/>
    <w:rsid w:val="0008013C"/>
    <w:rsid w:val="00080146"/>
    <w:rsid w:val="0008016B"/>
    <w:rsid w:val="000802FC"/>
    <w:rsid w:val="000803EB"/>
    <w:rsid w:val="00080498"/>
    <w:rsid w:val="000804BA"/>
    <w:rsid w:val="000804C0"/>
    <w:rsid w:val="000804DE"/>
    <w:rsid w:val="000805F3"/>
    <w:rsid w:val="0008062E"/>
    <w:rsid w:val="0008067C"/>
    <w:rsid w:val="00080722"/>
    <w:rsid w:val="000808E6"/>
    <w:rsid w:val="0008097D"/>
    <w:rsid w:val="00080A15"/>
    <w:rsid w:val="00080A6B"/>
    <w:rsid w:val="00080ACB"/>
    <w:rsid w:val="00080B32"/>
    <w:rsid w:val="00080BB3"/>
    <w:rsid w:val="00080D73"/>
    <w:rsid w:val="00080DFE"/>
    <w:rsid w:val="00080E08"/>
    <w:rsid w:val="00080E67"/>
    <w:rsid w:val="00080F67"/>
    <w:rsid w:val="00080F8A"/>
    <w:rsid w:val="00080FA8"/>
    <w:rsid w:val="000810B1"/>
    <w:rsid w:val="00081115"/>
    <w:rsid w:val="000811BC"/>
    <w:rsid w:val="000811EF"/>
    <w:rsid w:val="00081214"/>
    <w:rsid w:val="00081245"/>
    <w:rsid w:val="000813D1"/>
    <w:rsid w:val="000814E3"/>
    <w:rsid w:val="00081540"/>
    <w:rsid w:val="00081584"/>
    <w:rsid w:val="000816C7"/>
    <w:rsid w:val="0008172C"/>
    <w:rsid w:val="00081762"/>
    <w:rsid w:val="000817E4"/>
    <w:rsid w:val="00081803"/>
    <w:rsid w:val="0008180B"/>
    <w:rsid w:val="00081853"/>
    <w:rsid w:val="000818C0"/>
    <w:rsid w:val="000818F6"/>
    <w:rsid w:val="0008198F"/>
    <w:rsid w:val="000819A0"/>
    <w:rsid w:val="000819E9"/>
    <w:rsid w:val="00081B7E"/>
    <w:rsid w:val="00081C15"/>
    <w:rsid w:val="00081D04"/>
    <w:rsid w:val="00081D82"/>
    <w:rsid w:val="00081DB0"/>
    <w:rsid w:val="00081E06"/>
    <w:rsid w:val="00081F65"/>
    <w:rsid w:val="000820D3"/>
    <w:rsid w:val="000821A3"/>
    <w:rsid w:val="000821E8"/>
    <w:rsid w:val="00082257"/>
    <w:rsid w:val="00082291"/>
    <w:rsid w:val="000822E2"/>
    <w:rsid w:val="000822F5"/>
    <w:rsid w:val="0008233F"/>
    <w:rsid w:val="00082358"/>
    <w:rsid w:val="000823B6"/>
    <w:rsid w:val="0008246A"/>
    <w:rsid w:val="0008252D"/>
    <w:rsid w:val="0008254C"/>
    <w:rsid w:val="000825EC"/>
    <w:rsid w:val="00082606"/>
    <w:rsid w:val="0008265C"/>
    <w:rsid w:val="0008277C"/>
    <w:rsid w:val="0008277F"/>
    <w:rsid w:val="00082791"/>
    <w:rsid w:val="000827ED"/>
    <w:rsid w:val="0008287C"/>
    <w:rsid w:val="000828FB"/>
    <w:rsid w:val="00082911"/>
    <w:rsid w:val="000829B6"/>
    <w:rsid w:val="00082A54"/>
    <w:rsid w:val="00082AC6"/>
    <w:rsid w:val="00082CAA"/>
    <w:rsid w:val="00082D21"/>
    <w:rsid w:val="00082E26"/>
    <w:rsid w:val="00082E78"/>
    <w:rsid w:val="00082F09"/>
    <w:rsid w:val="0008310E"/>
    <w:rsid w:val="00083133"/>
    <w:rsid w:val="0008314B"/>
    <w:rsid w:val="0008316F"/>
    <w:rsid w:val="000831BD"/>
    <w:rsid w:val="0008327E"/>
    <w:rsid w:val="00083283"/>
    <w:rsid w:val="0008332F"/>
    <w:rsid w:val="0008353B"/>
    <w:rsid w:val="000835B3"/>
    <w:rsid w:val="00083671"/>
    <w:rsid w:val="00083742"/>
    <w:rsid w:val="0008375A"/>
    <w:rsid w:val="00083785"/>
    <w:rsid w:val="00083790"/>
    <w:rsid w:val="000837A2"/>
    <w:rsid w:val="0008382B"/>
    <w:rsid w:val="000838E6"/>
    <w:rsid w:val="0008391B"/>
    <w:rsid w:val="00083AC2"/>
    <w:rsid w:val="00083AD2"/>
    <w:rsid w:val="00083ADA"/>
    <w:rsid w:val="00083BB5"/>
    <w:rsid w:val="00083C5A"/>
    <w:rsid w:val="00083CA1"/>
    <w:rsid w:val="00083CC8"/>
    <w:rsid w:val="00083D21"/>
    <w:rsid w:val="00083D8F"/>
    <w:rsid w:val="00083E0B"/>
    <w:rsid w:val="00083F3A"/>
    <w:rsid w:val="0008409D"/>
    <w:rsid w:val="00084111"/>
    <w:rsid w:val="00084200"/>
    <w:rsid w:val="00084208"/>
    <w:rsid w:val="00084233"/>
    <w:rsid w:val="000842A9"/>
    <w:rsid w:val="00084314"/>
    <w:rsid w:val="00084326"/>
    <w:rsid w:val="0008438B"/>
    <w:rsid w:val="000844A9"/>
    <w:rsid w:val="000844CF"/>
    <w:rsid w:val="000845B3"/>
    <w:rsid w:val="0008463A"/>
    <w:rsid w:val="00084697"/>
    <w:rsid w:val="00084731"/>
    <w:rsid w:val="00084742"/>
    <w:rsid w:val="00084749"/>
    <w:rsid w:val="00084779"/>
    <w:rsid w:val="000848AD"/>
    <w:rsid w:val="00084931"/>
    <w:rsid w:val="000849A1"/>
    <w:rsid w:val="00084B2F"/>
    <w:rsid w:val="00084BC1"/>
    <w:rsid w:val="00084C0A"/>
    <w:rsid w:val="00084C32"/>
    <w:rsid w:val="00084D2D"/>
    <w:rsid w:val="00084DBC"/>
    <w:rsid w:val="00084E12"/>
    <w:rsid w:val="00084E8E"/>
    <w:rsid w:val="00084EA4"/>
    <w:rsid w:val="00084EE2"/>
    <w:rsid w:val="00084F64"/>
    <w:rsid w:val="00085008"/>
    <w:rsid w:val="0008527E"/>
    <w:rsid w:val="000852FB"/>
    <w:rsid w:val="00085447"/>
    <w:rsid w:val="00085473"/>
    <w:rsid w:val="00085517"/>
    <w:rsid w:val="0008554C"/>
    <w:rsid w:val="00085594"/>
    <w:rsid w:val="00085614"/>
    <w:rsid w:val="0008563E"/>
    <w:rsid w:val="00085688"/>
    <w:rsid w:val="000856C3"/>
    <w:rsid w:val="00085873"/>
    <w:rsid w:val="000858CE"/>
    <w:rsid w:val="00085A83"/>
    <w:rsid w:val="00085BB2"/>
    <w:rsid w:val="00085C78"/>
    <w:rsid w:val="00085CF2"/>
    <w:rsid w:val="00085CF3"/>
    <w:rsid w:val="00085D08"/>
    <w:rsid w:val="00085D47"/>
    <w:rsid w:val="00085D60"/>
    <w:rsid w:val="00085D6F"/>
    <w:rsid w:val="00085E7F"/>
    <w:rsid w:val="00085ED5"/>
    <w:rsid w:val="00085F15"/>
    <w:rsid w:val="00085F65"/>
    <w:rsid w:val="00086066"/>
    <w:rsid w:val="00086123"/>
    <w:rsid w:val="0008619D"/>
    <w:rsid w:val="00086357"/>
    <w:rsid w:val="0008635B"/>
    <w:rsid w:val="0008653E"/>
    <w:rsid w:val="000865EA"/>
    <w:rsid w:val="00086636"/>
    <w:rsid w:val="0008670F"/>
    <w:rsid w:val="0008679A"/>
    <w:rsid w:val="000867B6"/>
    <w:rsid w:val="00086814"/>
    <w:rsid w:val="00086911"/>
    <w:rsid w:val="000869F6"/>
    <w:rsid w:val="00086BFB"/>
    <w:rsid w:val="00086C00"/>
    <w:rsid w:val="00086CC1"/>
    <w:rsid w:val="00086D02"/>
    <w:rsid w:val="00086D78"/>
    <w:rsid w:val="00086DC5"/>
    <w:rsid w:val="00086E2E"/>
    <w:rsid w:val="00086F10"/>
    <w:rsid w:val="00086FAC"/>
    <w:rsid w:val="00086FB3"/>
    <w:rsid w:val="00087011"/>
    <w:rsid w:val="00087066"/>
    <w:rsid w:val="00087074"/>
    <w:rsid w:val="000870E7"/>
    <w:rsid w:val="000871D3"/>
    <w:rsid w:val="00087205"/>
    <w:rsid w:val="000872E1"/>
    <w:rsid w:val="0008733B"/>
    <w:rsid w:val="00087352"/>
    <w:rsid w:val="000873D8"/>
    <w:rsid w:val="00087400"/>
    <w:rsid w:val="00087490"/>
    <w:rsid w:val="00087492"/>
    <w:rsid w:val="000874D8"/>
    <w:rsid w:val="00087654"/>
    <w:rsid w:val="000876ED"/>
    <w:rsid w:val="000877D5"/>
    <w:rsid w:val="0008780D"/>
    <w:rsid w:val="00087815"/>
    <w:rsid w:val="000878AC"/>
    <w:rsid w:val="000878CF"/>
    <w:rsid w:val="00087A1B"/>
    <w:rsid w:val="00087AAF"/>
    <w:rsid w:val="00087B1C"/>
    <w:rsid w:val="00087B29"/>
    <w:rsid w:val="00087B32"/>
    <w:rsid w:val="00087C8C"/>
    <w:rsid w:val="00087D8E"/>
    <w:rsid w:val="00087DBD"/>
    <w:rsid w:val="00087EB1"/>
    <w:rsid w:val="00087F44"/>
    <w:rsid w:val="0009005B"/>
    <w:rsid w:val="0009007E"/>
    <w:rsid w:val="00090123"/>
    <w:rsid w:val="000902B4"/>
    <w:rsid w:val="000903CD"/>
    <w:rsid w:val="000903E5"/>
    <w:rsid w:val="00090463"/>
    <w:rsid w:val="00090546"/>
    <w:rsid w:val="00090604"/>
    <w:rsid w:val="0009060B"/>
    <w:rsid w:val="00090778"/>
    <w:rsid w:val="000907A2"/>
    <w:rsid w:val="000907E3"/>
    <w:rsid w:val="0009096E"/>
    <w:rsid w:val="00090987"/>
    <w:rsid w:val="00090ADD"/>
    <w:rsid w:val="00090B42"/>
    <w:rsid w:val="00090BCC"/>
    <w:rsid w:val="00090C29"/>
    <w:rsid w:val="00090D8B"/>
    <w:rsid w:val="00090E04"/>
    <w:rsid w:val="00090ED4"/>
    <w:rsid w:val="00090EDB"/>
    <w:rsid w:val="00090F4C"/>
    <w:rsid w:val="0009100C"/>
    <w:rsid w:val="00091097"/>
    <w:rsid w:val="000910B4"/>
    <w:rsid w:val="000910D5"/>
    <w:rsid w:val="00091135"/>
    <w:rsid w:val="000911B6"/>
    <w:rsid w:val="00091219"/>
    <w:rsid w:val="0009121C"/>
    <w:rsid w:val="000912CB"/>
    <w:rsid w:val="00091323"/>
    <w:rsid w:val="00091333"/>
    <w:rsid w:val="0009134F"/>
    <w:rsid w:val="00091432"/>
    <w:rsid w:val="00091452"/>
    <w:rsid w:val="00091636"/>
    <w:rsid w:val="0009169C"/>
    <w:rsid w:val="000916C6"/>
    <w:rsid w:val="00091769"/>
    <w:rsid w:val="00091780"/>
    <w:rsid w:val="00091785"/>
    <w:rsid w:val="000917DC"/>
    <w:rsid w:val="0009187D"/>
    <w:rsid w:val="0009188C"/>
    <w:rsid w:val="00091C56"/>
    <w:rsid w:val="00091E16"/>
    <w:rsid w:val="00091F07"/>
    <w:rsid w:val="00091F71"/>
    <w:rsid w:val="000922AD"/>
    <w:rsid w:val="00092348"/>
    <w:rsid w:val="000923E3"/>
    <w:rsid w:val="000923F6"/>
    <w:rsid w:val="00092468"/>
    <w:rsid w:val="000926A6"/>
    <w:rsid w:val="000927A9"/>
    <w:rsid w:val="0009281A"/>
    <w:rsid w:val="0009287E"/>
    <w:rsid w:val="000928C8"/>
    <w:rsid w:val="000928CA"/>
    <w:rsid w:val="00092A65"/>
    <w:rsid w:val="00092C01"/>
    <w:rsid w:val="00092C0E"/>
    <w:rsid w:val="00092CB4"/>
    <w:rsid w:val="00092DCA"/>
    <w:rsid w:val="00092EDD"/>
    <w:rsid w:val="00092EEF"/>
    <w:rsid w:val="00092F02"/>
    <w:rsid w:val="00092FE1"/>
    <w:rsid w:val="0009301C"/>
    <w:rsid w:val="000930A1"/>
    <w:rsid w:val="000931A9"/>
    <w:rsid w:val="0009320F"/>
    <w:rsid w:val="0009325A"/>
    <w:rsid w:val="000932EE"/>
    <w:rsid w:val="00093361"/>
    <w:rsid w:val="000934A5"/>
    <w:rsid w:val="00093604"/>
    <w:rsid w:val="000937CC"/>
    <w:rsid w:val="000937F0"/>
    <w:rsid w:val="00093834"/>
    <w:rsid w:val="000938EF"/>
    <w:rsid w:val="000939F4"/>
    <w:rsid w:val="00093DBB"/>
    <w:rsid w:val="00093DD1"/>
    <w:rsid w:val="00093E10"/>
    <w:rsid w:val="00093F23"/>
    <w:rsid w:val="00093F73"/>
    <w:rsid w:val="00093FF5"/>
    <w:rsid w:val="00094049"/>
    <w:rsid w:val="000940AF"/>
    <w:rsid w:val="000940CD"/>
    <w:rsid w:val="000940E0"/>
    <w:rsid w:val="0009415E"/>
    <w:rsid w:val="0009417D"/>
    <w:rsid w:val="000942AD"/>
    <w:rsid w:val="000942BB"/>
    <w:rsid w:val="000942D0"/>
    <w:rsid w:val="00094365"/>
    <w:rsid w:val="000943AD"/>
    <w:rsid w:val="000943DF"/>
    <w:rsid w:val="0009442D"/>
    <w:rsid w:val="0009449D"/>
    <w:rsid w:val="00094505"/>
    <w:rsid w:val="0009467D"/>
    <w:rsid w:val="000947C5"/>
    <w:rsid w:val="00094834"/>
    <w:rsid w:val="000948B6"/>
    <w:rsid w:val="0009491F"/>
    <w:rsid w:val="00094932"/>
    <w:rsid w:val="000949C4"/>
    <w:rsid w:val="000949E9"/>
    <w:rsid w:val="00094A87"/>
    <w:rsid w:val="00094AF4"/>
    <w:rsid w:val="00094B3D"/>
    <w:rsid w:val="00094B6D"/>
    <w:rsid w:val="00094C81"/>
    <w:rsid w:val="00094CDF"/>
    <w:rsid w:val="00094D54"/>
    <w:rsid w:val="00094DBC"/>
    <w:rsid w:val="00094DF3"/>
    <w:rsid w:val="00094DFA"/>
    <w:rsid w:val="00094EF2"/>
    <w:rsid w:val="00094F4C"/>
    <w:rsid w:val="00094F5D"/>
    <w:rsid w:val="00095024"/>
    <w:rsid w:val="00095042"/>
    <w:rsid w:val="00095047"/>
    <w:rsid w:val="0009506B"/>
    <w:rsid w:val="0009506D"/>
    <w:rsid w:val="000950AF"/>
    <w:rsid w:val="00095134"/>
    <w:rsid w:val="00095138"/>
    <w:rsid w:val="000951B6"/>
    <w:rsid w:val="00095376"/>
    <w:rsid w:val="00095500"/>
    <w:rsid w:val="00095511"/>
    <w:rsid w:val="000956A2"/>
    <w:rsid w:val="000956B6"/>
    <w:rsid w:val="000956F2"/>
    <w:rsid w:val="00095796"/>
    <w:rsid w:val="00095943"/>
    <w:rsid w:val="00095A8E"/>
    <w:rsid w:val="00095B46"/>
    <w:rsid w:val="00095C18"/>
    <w:rsid w:val="00095C3E"/>
    <w:rsid w:val="00095C9A"/>
    <w:rsid w:val="00095CF7"/>
    <w:rsid w:val="00095F4E"/>
    <w:rsid w:val="00095F9A"/>
    <w:rsid w:val="0009611B"/>
    <w:rsid w:val="0009614E"/>
    <w:rsid w:val="00096165"/>
    <w:rsid w:val="00096212"/>
    <w:rsid w:val="0009621F"/>
    <w:rsid w:val="00096242"/>
    <w:rsid w:val="00096311"/>
    <w:rsid w:val="0009632D"/>
    <w:rsid w:val="0009646F"/>
    <w:rsid w:val="00096536"/>
    <w:rsid w:val="00096613"/>
    <w:rsid w:val="00096634"/>
    <w:rsid w:val="000966FA"/>
    <w:rsid w:val="00096742"/>
    <w:rsid w:val="00096830"/>
    <w:rsid w:val="0009690E"/>
    <w:rsid w:val="0009698E"/>
    <w:rsid w:val="00096A37"/>
    <w:rsid w:val="00096A41"/>
    <w:rsid w:val="00096AFF"/>
    <w:rsid w:val="00096B8A"/>
    <w:rsid w:val="00096C69"/>
    <w:rsid w:val="00096D35"/>
    <w:rsid w:val="00096E0E"/>
    <w:rsid w:val="00096E2A"/>
    <w:rsid w:val="00096E6C"/>
    <w:rsid w:val="00096E89"/>
    <w:rsid w:val="0009712C"/>
    <w:rsid w:val="00097166"/>
    <w:rsid w:val="0009719E"/>
    <w:rsid w:val="000971EC"/>
    <w:rsid w:val="00097211"/>
    <w:rsid w:val="00097221"/>
    <w:rsid w:val="000973AA"/>
    <w:rsid w:val="000973AE"/>
    <w:rsid w:val="00097579"/>
    <w:rsid w:val="0009765A"/>
    <w:rsid w:val="00097746"/>
    <w:rsid w:val="00097911"/>
    <w:rsid w:val="000979CC"/>
    <w:rsid w:val="000979DA"/>
    <w:rsid w:val="00097B86"/>
    <w:rsid w:val="00097CE9"/>
    <w:rsid w:val="00097D69"/>
    <w:rsid w:val="00097DEE"/>
    <w:rsid w:val="00097E99"/>
    <w:rsid w:val="00097EE1"/>
    <w:rsid w:val="00097F76"/>
    <w:rsid w:val="00097FA6"/>
    <w:rsid w:val="000A00E6"/>
    <w:rsid w:val="000A014C"/>
    <w:rsid w:val="000A02DA"/>
    <w:rsid w:val="000A02F7"/>
    <w:rsid w:val="000A03F5"/>
    <w:rsid w:val="000A0406"/>
    <w:rsid w:val="000A04AF"/>
    <w:rsid w:val="000A0661"/>
    <w:rsid w:val="000A0782"/>
    <w:rsid w:val="000A0895"/>
    <w:rsid w:val="000A096B"/>
    <w:rsid w:val="000A0985"/>
    <w:rsid w:val="000A098B"/>
    <w:rsid w:val="000A0A37"/>
    <w:rsid w:val="000A0A40"/>
    <w:rsid w:val="000A0A7E"/>
    <w:rsid w:val="000A0ACA"/>
    <w:rsid w:val="000A0B4B"/>
    <w:rsid w:val="000A0BA4"/>
    <w:rsid w:val="000A0BE5"/>
    <w:rsid w:val="000A0C3B"/>
    <w:rsid w:val="000A0C83"/>
    <w:rsid w:val="000A0CAD"/>
    <w:rsid w:val="000A0CCF"/>
    <w:rsid w:val="000A0D48"/>
    <w:rsid w:val="000A0DF1"/>
    <w:rsid w:val="000A0E09"/>
    <w:rsid w:val="000A0E25"/>
    <w:rsid w:val="000A0F64"/>
    <w:rsid w:val="000A0FDD"/>
    <w:rsid w:val="000A1188"/>
    <w:rsid w:val="000A11F6"/>
    <w:rsid w:val="000A12C6"/>
    <w:rsid w:val="000A1344"/>
    <w:rsid w:val="000A1440"/>
    <w:rsid w:val="000A147C"/>
    <w:rsid w:val="000A1497"/>
    <w:rsid w:val="000A14C4"/>
    <w:rsid w:val="000A1516"/>
    <w:rsid w:val="000A1541"/>
    <w:rsid w:val="000A1590"/>
    <w:rsid w:val="000A15E3"/>
    <w:rsid w:val="000A1628"/>
    <w:rsid w:val="000A1659"/>
    <w:rsid w:val="000A16C9"/>
    <w:rsid w:val="000A1905"/>
    <w:rsid w:val="000A19E7"/>
    <w:rsid w:val="000A1C4D"/>
    <w:rsid w:val="000A1C67"/>
    <w:rsid w:val="000A1CF8"/>
    <w:rsid w:val="000A1DA7"/>
    <w:rsid w:val="000A1E07"/>
    <w:rsid w:val="000A1E11"/>
    <w:rsid w:val="000A1F49"/>
    <w:rsid w:val="000A1F5B"/>
    <w:rsid w:val="000A21E8"/>
    <w:rsid w:val="000A2216"/>
    <w:rsid w:val="000A22CF"/>
    <w:rsid w:val="000A2359"/>
    <w:rsid w:val="000A2372"/>
    <w:rsid w:val="000A2393"/>
    <w:rsid w:val="000A23B3"/>
    <w:rsid w:val="000A2414"/>
    <w:rsid w:val="000A2581"/>
    <w:rsid w:val="000A258E"/>
    <w:rsid w:val="000A25C3"/>
    <w:rsid w:val="000A25DF"/>
    <w:rsid w:val="000A25EB"/>
    <w:rsid w:val="000A2691"/>
    <w:rsid w:val="000A26A0"/>
    <w:rsid w:val="000A2810"/>
    <w:rsid w:val="000A2882"/>
    <w:rsid w:val="000A2890"/>
    <w:rsid w:val="000A2921"/>
    <w:rsid w:val="000A2928"/>
    <w:rsid w:val="000A294A"/>
    <w:rsid w:val="000A2ABE"/>
    <w:rsid w:val="000A2AFF"/>
    <w:rsid w:val="000A2B94"/>
    <w:rsid w:val="000A2BD9"/>
    <w:rsid w:val="000A2CB4"/>
    <w:rsid w:val="000A2D3C"/>
    <w:rsid w:val="000A2D8B"/>
    <w:rsid w:val="000A2F26"/>
    <w:rsid w:val="000A2F98"/>
    <w:rsid w:val="000A301C"/>
    <w:rsid w:val="000A3039"/>
    <w:rsid w:val="000A3077"/>
    <w:rsid w:val="000A31F0"/>
    <w:rsid w:val="000A3278"/>
    <w:rsid w:val="000A338D"/>
    <w:rsid w:val="000A33C1"/>
    <w:rsid w:val="000A33C7"/>
    <w:rsid w:val="000A33E2"/>
    <w:rsid w:val="000A34A6"/>
    <w:rsid w:val="000A34D1"/>
    <w:rsid w:val="000A3702"/>
    <w:rsid w:val="000A3737"/>
    <w:rsid w:val="000A383B"/>
    <w:rsid w:val="000A3896"/>
    <w:rsid w:val="000A389C"/>
    <w:rsid w:val="000A3990"/>
    <w:rsid w:val="000A39D0"/>
    <w:rsid w:val="000A3B60"/>
    <w:rsid w:val="000A3BE6"/>
    <w:rsid w:val="000A3C2E"/>
    <w:rsid w:val="000A3CBF"/>
    <w:rsid w:val="000A3F47"/>
    <w:rsid w:val="000A4096"/>
    <w:rsid w:val="000A4160"/>
    <w:rsid w:val="000A4182"/>
    <w:rsid w:val="000A426F"/>
    <w:rsid w:val="000A4374"/>
    <w:rsid w:val="000A44E2"/>
    <w:rsid w:val="000A4536"/>
    <w:rsid w:val="000A469D"/>
    <w:rsid w:val="000A4828"/>
    <w:rsid w:val="000A4921"/>
    <w:rsid w:val="000A493E"/>
    <w:rsid w:val="000A4A70"/>
    <w:rsid w:val="000A4AD5"/>
    <w:rsid w:val="000A4AED"/>
    <w:rsid w:val="000A4BE8"/>
    <w:rsid w:val="000A4D55"/>
    <w:rsid w:val="000A4D98"/>
    <w:rsid w:val="000A4F53"/>
    <w:rsid w:val="000A50EF"/>
    <w:rsid w:val="000A527A"/>
    <w:rsid w:val="000A527F"/>
    <w:rsid w:val="000A53A4"/>
    <w:rsid w:val="000A53C4"/>
    <w:rsid w:val="000A53D7"/>
    <w:rsid w:val="000A5441"/>
    <w:rsid w:val="000A54E5"/>
    <w:rsid w:val="000A5685"/>
    <w:rsid w:val="000A5736"/>
    <w:rsid w:val="000A57A0"/>
    <w:rsid w:val="000A5887"/>
    <w:rsid w:val="000A58B0"/>
    <w:rsid w:val="000A58B9"/>
    <w:rsid w:val="000A59C3"/>
    <w:rsid w:val="000A5A08"/>
    <w:rsid w:val="000A5ACD"/>
    <w:rsid w:val="000A5CDB"/>
    <w:rsid w:val="000A5D85"/>
    <w:rsid w:val="000A5DA8"/>
    <w:rsid w:val="000A5DC4"/>
    <w:rsid w:val="000A5DF4"/>
    <w:rsid w:val="000A5FD7"/>
    <w:rsid w:val="000A5FE3"/>
    <w:rsid w:val="000A60E4"/>
    <w:rsid w:val="000A6177"/>
    <w:rsid w:val="000A61F3"/>
    <w:rsid w:val="000A62C5"/>
    <w:rsid w:val="000A62F3"/>
    <w:rsid w:val="000A63BB"/>
    <w:rsid w:val="000A63E6"/>
    <w:rsid w:val="000A660A"/>
    <w:rsid w:val="000A6658"/>
    <w:rsid w:val="000A66C0"/>
    <w:rsid w:val="000A678D"/>
    <w:rsid w:val="000A67A6"/>
    <w:rsid w:val="000A6804"/>
    <w:rsid w:val="000A6898"/>
    <w:rsid w:val="000A698A"/>
    <w:rsid w:val="000A69AE"/>
    <w:rsid w:val="000A6AAE"/>
    <w:rsid w:val="000A6ACD"/>
    <w:rsid w:val="000A6B53"/>
    <w:rsid w:val="000A6B6B"/>
    <w:rsid w:val="000A6C51"/>
    <w:rsid w:val="000A6C6E"/>
    <w:rsid w:val="000A6D35"/>
    <w:rsid w:val="000A6DDE"/>
    <w:rsid w:val="000A6DE8"/>
    <w:rsid w:val="000A6F09"/>
    <w:rsid w:val="000A6F2B"/>
    <w:rsid w:val="000A6F6A"/>
    <w:rsid w:val="000A6F85"/>
    <w:rsid w:val="000A6FFD"/>
    <w:rsid w:val="000A70EF"/>
    <w:rsid w:val="000A72B9"/>
    <w:rsid w:val="000A72BE"/>
    <w:rsid w:val="000A7390"/>
    <w:rsid w:val="000A747D"/>
    <w:rsid w:val="000A7532"/>
    <w:rsid w:val="000A754D"/>
    <w:rsid w:val="000A7603"/>
    <w:rsid w:val="000A765B"/>
    <w:rsid w:val="000A7698"/>
    <w:rsid w:val="000A76D0"/>
    <w:rsid w:val="000A7704"/>
    <w:rsid w:val="000A7721"/>
    <w:rsid w:val="000A778D"/>
    <w:rsid w:val="000A77A0"/>
    <w:rsid w:val="000A77CD"/>
    <w:rsid w:val="000A7802"/>
    <w:rsid w:val="000A797F"/>
    <w:rsid w:val="000A79EA"/>
    <w:rsid w:val="000A7AB2"/>
    <w:rsid w:val="000A7B0F"/>
    <w:rsid w:val="000A7C19"/>
    <w:rsid w:val="000A7C46"/>
    <w:rsid w:val="000A7D44"/>
    <w:rsid w:val="000A7D7F"/>
    <w:rsid w:val="000A7E91"/>
    <w:rsid w:val="000B0109"/>
    <w:rsid w:val="000B02E1"/>
    <w:rsid w:val="000B036C"/>
    <w:rsid w:val="000B03C0"/>
    <w:rsid w:val="000B052E"/>
    <w:rsid w:val="000B05DB"/>
    <w:rsid w:val="000B0752"/>
    <w:rsid w:val="000B0759"/>
    <w:rsid w:val="000B0816"/>
    <w:rsid w:val="000B0876"/>
    <w:rsid w:val="000B088D"/>
    <w:rsid w:val="000B08E1"/>
    <w:rsid w:val="000B091F"/>
    <w:rsid w:val="000B093C"/>
    <w:rsid w:val="000B0972"/>
    <w:rsid w:val="000B0CD5"/>
    <w:rsid w:val="000B0CE3"/>
    <w:rsid w:val="000B0D0A"/>
    <w:rsid w:val="000B0DE6"/>
    <w:rsid w:val="000B0F57"/>
    <w:rsid w:val="000B0FA5"/>
    <w:rsid w:val="000B0FC7"/>
    <w:rsid w:val="000B0FE9"/>
    <w:rsid w:val="000B10C1"/>
    <w:rsid w:val="000B1115"/>
    <w:rsid w:val="000B1127"/>
    <w:rsid w:val="000B1139"/>
    <w:rsid w:val="000B11E4"/>
    <w:rsid w:val="000B1336"/>
    <w:rsid w:val="000B135D"/>
    <w:rsid w:val="000B13B7"/>
    <w:rsid w:val="000B13C5"/>
    <w:rsid w:val="000B1410"/>
    <w:rsid w:val="000B1455"/>
    <w:rsid w:val="000B147D"/>
    <w:rsid w:val="000B14E5"/>
    <w:rsid w:val="000B1559"/>
    <w:rsid w:val="000B15DC"/>
    <w:rsid w:val="000B161C"/>
    <w:rsid w:val="000B1675"/>
    <w:rsid w:val="000B1738"/>
    <w:rsid w:val="000B1897"/>
    <w:rsid w:val="000B18AE"/>
    <w:rsid w:val="000B1A19"/>
    <w:rsid w:val="000B1A24"/>
    <w:rsid w:val="000B1A9F"/>
    <w:rsid w:val="000B1AAE"/>
    <w:rsid w:val="000B1C15"/>
    <w:rsid w:val="000B1D1D"/>
    <w:rsid w:val="000B1D2F"/>
    <w:rsid w:val="000B1D4B"/>
    <w:rsid w:val="000B1D95"/>
    <w:rsid w:val="000B1E47"/>
    <w:rsid w:val="000B1EDA"/>
    <w:rsid w:val="000B1EF3"/>
    <w:rsid w:val="000B1FD6"/>
    <w:rsid w:val="000B1FFD"/>
    <w:rsid w:val="000B2137"/>
    <w:rsid w:val="000B2243"/>
    <w:rsid w:val="000B22D1"/>
    <w:rsid w:val="000B22E4"/>
    <w:rsid w:val="000B25A3"/>
    <w:rsid w:val="000B25B7"/>
    <w:rsid w:val="000B25DA"/>
    <w:rsid w:val="000B261F"/>
    <w:rsid w:val="000B2764"/>
    <w:rsid w:val="000B276D"/>
    <w:rsid w:val="000B2918"/>
    <w:rsid w:val="000B2A3F"/>
    <w:rsid w:val="000B2AE5"/>
    <w:rsid w:val="000B2B01"/>
    <w:rsid w:val="000B2B31"/>
    <w:rsid w:val="000B2C0C"/>
    <w:rsid w:val="000B2C85"/>
    <w:rsid w:val="000B2D5F"/>
    <w:rsid w:val="000B2DA0"/>
    <w:rsid w:val="000B2DBB"/>
    <w:rsid w:val="000B2E1A"/>
    <w:rsid w:val="000B2F20"/>
    <w:rsid w:val="000B2F59"/>
    <w:rsid w:val="000B308B"/>
    <w:rsid w:val="000B3275"/>
    <w:rsid w:val="000B32B5"/>
    <w:rsid w:val="000B3320"/>
    <w:rsid w:val="000B3400"/>
    <w:rsid w:val="000B3434"/>
    <w:rsid w:val="000B362B"/>
    <w:rsid w:val="000B3733"/>
    <w:rsid w:val="000B3850"/>
    <w:rsid w:val="000B386D"/>
    <w:rsid w:val="000B393F"/>
    <w:rsid w:val="000B39D3"/>
    <w:rsid w:val="000B39D7"/>
    <w:rsid w:val="000B3B18"/>
    <w:rsid w:val="000B3B57"/>
    <w:rsid w:val="000B3BAB"/>
    <w:rsid w:val="000B3C6D"/>
    <w:rsid w:val="000B3CF9"/>
    <w:rsid w:val="000B3CFF"/>
    <w:rsid w:val="000B3DB9"/>
    <w:rsid w:val="000B3FCE"/>
    <w:rsid w:val="000B3FEF"/>
    <w:rsid w:val="000B4088"/>
    <w:rsid w:val="000B40AB"/>
    <w:rsid w:val="000B42A6"/>
    <w:rsid w:val="000B4324"/>
    <w:rsid w:val="000B43A5"/>
    <w:rsid w:val="000B44BE"/>
    <w:rsid w:val="000B44D7"/>
    <w:rsid w:val="000B456D"/>
    <w:rsid w:val="000B45A9"/>
    <w:rsid w:val="000B45C5"/>
    <w:rsid w:val="000B474D"/>
    <w:rsid w:val="000B476B"/>
    <w:rsid w:val="000B4776"/>
    <w:rsid w:val="000B47C0"/>
    <w:rsid w:val="000B4974"/>
    <w:rsid w:val="000B4B33"/>
    <w:rsid w:val="000B4B9A"/>
    <w:rsid w:val="000B4DEF"/>
    <w:rsid w:val="000B4F0E"/>
    <w:rsid w:val="000B4F2C"/>
    <w:rsid w:val="000B4F46"/>
    <w:rsid w:val="000B4FD7"/>
    <w:rsid w:val="000B4FDC"/>
    <w:rsid w:val="000B5026"/>
    <w:rsid w:val="000B50B3"/>
    <w:rsid w:val="000B5144"/>
    <w:rsid w:val="000B516A"/>
    <w:rsid w:val="000B51EA"/>
    <w:rsid w:val="000B534B"/>
    <w:rsid w:val="000B536B"/>
    <w:rsid w:val="000B536F"/>
    <w:rsid w:val="000B5422"/>
    <w:rsid w:val="000B5549"/>
    <w:rsid w:val="000B5560"/>
    <w:rsid w:val="000B5568"/>
    <w:rsid w:val="000B5691"/>
    <w:rsid w:val="000B5697"/>
    <w:rsid w:val="000B56AC"/>
    <w:rsid w:val="000B56BE"/>
    <w:rsid w:val="000B56BF"/>
    <w:rsid w:val="000B573F"/>
    <w:rsid w:val="000B57DB"/>
    <w:rsid w:val="000B58AC"/>
    <w:rsid w:val="000B58EB"/>
    <w:rsid w:val="000B5908"/>
    <w:rsid w:val="000B5951"/>
    <w:rsid w:val="000B595B"/>
    <w:rsid w:val="000B59C0"/>
    <w:rsid w:val="000B59E2"/>
    <w:rsid w:val="000B5A74"/>
    <w:rsid w:val="000B5AEF"/>
    <w:rsid w:val="000B5B2A"/>
    <w:rsid w:val="000B5BE2"/>
    <w:rsid w:val="000B5CC0"/>
    <w:rsid w:val="000B5D74"/>
    <w:rsid w:val="000B5DC0"/>
    <w:rsid w:val="000B5DFB"/>
    <w:rsid w:val="000B5E32"/>
    <w:rsid w:val="000B5E97"/>
    <w:rsid w:val="000B5EF5"/>
    <w:rsid w:val="000B5F2D"/>
    <w:rsid w:val="000B5F8A"/>
    <w:rsid w:val="000B5F8C"/>
    <w:rsid w:val="000B5FB4"/>
    <w:rsid w:val="000B5FF3"/>
    <w:rsid w:val="000B5FF9"/>
    <w:rsid w:val="000B6053"/>
    <w:rsid w:val="000B60BC"/>
    <w:rsid w:val="000B6120"/>
    <w:rsid w:val="000B6174"/>
    <w:rsid w:val="000B6245"/>
    <w:rsid w:val="000B631E"/>
    <w:rsid w:val="000B63B6"/>
    <w:rsid w:val="000B63E5"/>
    <w:rsid w:val="000B63EF"/>
    <w:rsid w:val="000B6434"/>
    <w:rsid w:val="000B6481"/>
    <w:rsid w:val="000B64F3"/>
    <w:rsid w:val="000B658F"/>
    <w:rsid w:val="000B65D5"/>
    <w:rsid w:val="000B664A"/>
    <w:rsid w:val="000B681F"/>
    <w:rsid w:val="000B6861"/>
    <w:rsid w:val="000B696F"/>
    <w:rsid w:val="000B6A62"/>
    <w:rsid w:val="000B6A76"/>
    <w:rsid w:val="000B6AF6"/>
    <w:rsid w:val="000B6BD2"/>
    <w:rsid w:val="000B6C68"/>
    <w:rsid w:val="000B6D1F"/>
    <w:rsid w:val="000B6D2E"/>
    <w:rsid w:val="000B6D52"/>
    <w:rsid w:val="000B6DA0"/>
    <w:rsid w:val="000B6E37"/>
    <w:rsid w:val="000B6F03"/>
    <w:rsid w:val="000B6F1B"/>
    <w:rsid w:val="000B6F89"/>
    <w:rsid w:val="000B712D"/>
    <w:rsid w:val="000B71AB"/>
    <w:rsid w:val="000B7275"/>
    <w:rsid w:val="000B7367"/>
    <w:rsid w:val="000B73B8"/>
    <w:rsid w:val="000B73C7"/>
    <w:rsid w:val="000B73CF"/>
    <w:rsid w:val="000B749A"/>
    <w:rsid w:val="000B74D1"/>
    <w:rsid w:val="000B7506"/>
    <w:rsid w:val="000B7545"/>
    <w:rsid w:val="000B755A"/>
    <w:rsid w:val="000B7585"/>
    <w:rsid w:val="000B75EF"/>
    <w:rsid w:val="000B76E8"/>
    <w:rsid w:val="000B770E"/>
    <w:rsid w:val="000B7781"/>
    <w:rsid w:val="000B7882"/>
    <w:rsid w:val="000B78AB"/>
    <w:rsid w:val="000B798D"/>
    <w:rsid w:val="000B7B19"/>
    <w:rsid w:val="000B7C4E"/>
    <w:rsid w:val="000B7CBE"/>
    <w:rsid w:val="000B7D09"/>
    <w:rsid w:val="000B7EC6"/>
    <w:rsid w:val="000B7F11"/>
    <w:rsid w:val="000B7FE3"/>
    <w:rsid w:val="000C0000"/>
    <w:rsid w:val="000C0030"/>
    <w:rsid w:val="000C0096"/>
    <w:rsid w:val="000C00DA"/>
    <w:rsid w:val="000C01F0"/>
    <w:rsid w:val="000C0240"/>
    <w:rsid w:val="000C0329"/>
    <w:rsid w:val="000C032C"/>
    <w:rsid w:val="000C0375"/>
    <w:rsid w:val="000C03CC"/>
    <w:rsid w:val="000C0425"/>
    <w:rsid w:val="000C0483"/>
    <w:rsid w:val="000C04F3"/>
    <w:rsid w:val="000C0561"/>
    <w:rsid w:val="000C057D"/>
    <w:rsid w:val="000C05F4"/>
    <w:rsid w:val="000C065B"/>
    <w:rsid w:val="000C07AC"/>
    <w:rsid w:val="000C082F"/>
    <w:rsid w:val="000C085C"/>
    <w:rsid w:val="000C08D4"/>
    <w:rsid w:val="000C09BA"/>
    <w:rsid w:val="000C0A91"/>
    <w:rsid w:val="000C0B31"/>
    <w:rsid w:val="000C0BB1"/>
    <w:rsid w:val="000C0C8B"/>
    <w:rsid w:val="000C0DB7"/>
    <w:rsid w:val="000C1131"/>
    <w:rsid w:val="000C1234"/>
    <w:rsid w:val="000C1286"/>
    <w:rsid w:val="000C12F2"/>
    <w:rsid w:val="000C13A7"/>
    <w:rsid w:val="000C13D6"/>
    <w:rsid w:val="000C14E9"/>
    <w:rsid w:val="000C15FC"/>
    <w:rsid w:val="000C15FF"/>
    <w:rsid w:val="000C1866"/>
    <w:rsid w:val="000C1882"/>
    <w:rsid w:val="000C1981"/>
    <w:rsid w:val="000C19CF"/>
    <w:rsid w:val="000C1A94"/>
    <w:rsid w:val="000C1AE9"/>
    <w:rsid w:val="000C1C3A"/>
    <w:rsid w:val="000C1C46"/>
    <w:rsid w:val="000C1C80"/>
    <w:rsid w:val="000C1D04"/>
    <w:rsid w:val="000C1DB0"/>
    <w:rsid w:val="000C1E97"/>
    <w:rsid w:val="000C1F00"/>
    <w:rsid w:val="000C1F86"/>
    <w:rsid w:val="000C2014"/>
    <w:rsid w:val="000C2018"/>
    <w:rsid w:val="000C2069"/>
    <w:rsid w:val="000C20DB"/>
    <w:rsid w:val="000C2126"/>
    <w:rsid w:val="000C212B"/>
    <w:rsid w:val="000C2180"/>
    <w:rsid w:val="000C21CB"/>
    <w:rsid w:val="000C22EC"/>
    <w:rsid w:val="000C22FD"/>
    <w:rsid w:val="000C230A"/>
    <w:rsid w:val="000C2332"/>
    <w:rsid w:val="000C233C"/>
    <w:rsid w:val="000C2383"/>
    <w:rsid w:val="000C23D4"/>
    <w:rsid w:val="000C243E"/>
    <w:rsid w:val="000C26B3"/>
    <w:rsid w:val="000C272D"/>
    <w:rsid w:val="000C2773"/>
    <w:rsid w:val="000C27A1"/>
    <w:rsid w:val="000C284C"/>
    <w:rsid w:val="000C2893"/>
    <w:rsid w:val="000C2929"/>
    <w:rsid w:val="000C29D9"/>
    <w:rsid w:val="000C2A96"/>
    <w:rsid w:val="000C2C5A"/>
    <w:rsid w:val="000C2CEF"/>
    <w:rsid w:val="000C2D0C"/>
    <w:rsid w:val="000C2D47"/>
    <w:rsid w:val="000C2DA9"/>
    <w:rsid w:val="000C2E58"/>
    <w:rsid w:val="000C2F3F"/>
    <w:rsid w:val="000C2F5D"/>
    <w:rsid w:val="000C2FEE"/>
    <w:rsid w:val="000C3001"/>
    <w:rsid w:val="000C30C6"/>
    <w:rsid w:val="000C30F8"/>
    <w:rsid w:val="000C316D"/>
    <w:rsid w:val="000C3337"/>
    <w:rsid w:val="000C333C"/>
    <w:rsid w:val="000C337E"/>
    <w:rsid w:val="000C33E1"/>
    <w:rsid w:val="000C3413"/>
    <w:rsid w:val="000C341A"/>
    <w:rsid w:val="000C343D"/>
    <w:rsid w:val="000C347D"/>
    <w:rsid w:val="000C34AD"/>
    <w:rsid w:val="000C3677"/>
    <w:rsid w:val="000C3896"/>
    <w:rsid w:val="000C38DE"/>
    <w:rsid w:val="000C391C"/>
    <w:rsid w:val="000C393A"/>
    <w:rsid w:val="000C39B3"/>
    <w:rsid w:val="000C39FD"/>
    <w:rsid w:val="000C3AD1"/>
    <w:rsid w:val="000C3B18"/>
    <w:rsid w:val="000C3B23"/>
    <w:rsid w:val="000C3BB1"/>
    <w:rsid w:val="000C3BBC"/>
    <w:rsid w:val="000C3BD5"/>
    <w:rsid w:val="000C3C4C"/>
    <w:rsid w:val="000C3C6B"/>
    <w:rsid w:val="000C3CBC"/>
    <w:rsid w:val="000C3E4C"/>
    <w:rsid w:val="000C3F0B"/>
    <w:rsid w:val="000C3F0D"/>
    <w:rsid w:val="000C3FA9"/>
    <w:rsid w:val="000C421F"/>
    <w:rsid w:val="000C4245"/>
    <w:rsid w:val="000C429F"/>
    <w:rsid w:val="000C446E"/>
    <w:rsid w:val="000C44CA"/>
    <w:rsid w:val="000C4549"/>
    <w:rsid w:val="000C458B"/>
    <w:rsid w:val="000C45EE"/>
    <w:rsid w:val="000C462A"/>
    <w:rsid w:val="000C466C"/>
    <w:rsid w:val="000C47C9"/>
    <w:rsid w:val="000C47E0"/>
    <w:rsid w:val="000C4890"/>
    <w:rsid w:val="000C4A1A"/>
    <w:rsid w:val="000C4A66"/>
    <w:rsid w:val="000C4B30"/>
    <w:rsid w:val="000C4CCF"/>
    <w:rsid w:val="000C4E14"/>
    <w:rsid w:val="000C4E57"/>
    <w:rsid w:val="000C4E68"/>
    <w:rsid w:val="000C4E6C"/>
    <w:rsid w:val="000C4E9B"/>
    <w:rsid w:val="000C4F5A"/>
    <w:rsid w:val="000C4F75"/>
    <w:rsid w:val="000C4FB8"/>
    <w:rsid w:val="000C4FFF"/>
    <w:rsid w:val="000C5011"/>
    <w:rsid w:val="000C50B1"/>
    <w:rsid w:val="000C50E0"/>
    <w:rsid w:val="000C50ED"/>
    <w:rsid w:val="000C5351"/>
    <w:rsid w:val="000C540B"/>
    <w:rsid w:val="000C5479"/>
    <w:rsid w:val="000C5568"/>
    <w:rsid w:val="000C565E"/>
    <w:rsid w:val="000C5789"/>
    <w:rsid w:val="000C5790"/>
    <w:rsid w:val="000C5797"/>
    <w:rsid w:val="000C58B3"/>
    <w:rsid w:val="000C59E9"/>
    <w:rsid w:val="000C5A80"/>
    <w:rsid w:val="000C5D03"/>
    <w:rsid w:val="000C5E16"/>
    <w:rsid w:val="000C5F33"/>
    <w:rsid w:val="000C5F56"/>
    <w:rsid w:val="000C6089"/>
    <w:rsid w:val="000C60AE"/>
    <w:rsid w:val="000C6118"/>
    <w:rsid w:val="000C62B6"/>
    <w:rsid w:val="000C6416"/>
    <w:rsid w:val="000C65B5"/>
    <w:rsid w:val="000C65DC"/>
    <w:rsid w:val="000C6629"/>
    <w:rsid w:val="000C6635"/>
    <w:rsid w:val="000C6787"/>
    <w:rsid w:val="000C67A3"/>
    <w:rsid w:val="000C67D8"/>
    <w:rsid w:val="000C6874"/>
    <w:rsid w:val="000C6926"/>
    <w:rsid w:val="000C6A47"/>
    <w:rsid w:val="000C6BE9"/>
    <w:rsid w:val="000C6C36"/>
    <w:rsid w:val="000C6CD0"/>
    <w:rsid w:val="000C6D06"/>
    <w:rsid w:val="000C6D26"/>
    <w:rsid w:val="000C6DCF"/>
    <w:rsid w:val="000C6E96"/>
    <w:rsid w:val="000C6F0D"/>
    <w:rsid w:val="000C6F81"/>
    <w:rsid w:val="000C702B"/>
    <w:rsid w:val="000C7079"/>
    <w:rsid w:val="000C732F"/>
    <w:rsid w:val="000C7397"/>
    <w:rsid w:val="000C7487"/>
    <w:rsid w:val="000C749B"/>
    <w:rsid w:val="000C74C2"/>
    <w:rsid w:val="000C74CA"/>
    <w:rsid w:val="000C757E"/>
    <w:rsid w:val="000C7622"/>
    <w:rsid w:val="000C7753"/>
    <w:rsid w:val="000C7781"/>
    <w:rsid w:val="000C782F"/>
    <w:rsid w:val="000C7AF8"/>
    <w:rsid w:val="000C7B3B"/>
    <w:rsid w:val="000C7B8D"/>
    <w:rsid w:val="000C7BA6"/>
    <w:rsid w:val="000C7BD3"/>
    <w:rsid w:val="000C7BDD"/>
    <w:rsid w:val="000C7C81"/>
    <w:rsid w:val="000C7DDC"/>
    <w:rsid w:val="000C7F5A"/>
    <w:rsid w:val="000C7F79"/>
    <w:rsid w:val="000CF701"/>
    <w:rsid w:val="000D0170"/>
    <w:rsid w:val="000D01EE"/>
    <w:rsid w:val="000D023D"/>
    <w:rsid w:val="000D029D"/>
    <w:rsid w:val="000D02B5"/>
    <w:rsid w:val="000D0352"/>
    <w:rsid w:val="000D0359"/>
    <w:rsid w:val="000D036F"/>
    <w:rsid w:val="000D0397"/>
    <w:rsid w:val="000D03D3"/>
    <w:rsid w:val="000D0465"/>
    <w:rsid w:val="000D0510"/>
    <w:rsid w:val="000D0575"/>
    <w:rsid w:val="000D0591"/>
    <w:rsid w:val="000D0637"/>
    <w:rsid w:val="000D064B"/>
    <w:rsid w:val="000D0661"/>
    <w:rsid w:val="000D0802"/>
    <w:rsid w:val="000D0846"/>
    <w:rsid w:val="000D097C"/>
    <w:rsid w:val="000D0994"/>
    <w:rsid w:val="000D09F2"/>
    <w:rsid w:val="000D0AB4"/>
    <w:rsid w:val="000D0B1E"/>
    <w:rsid w:val="000D0B3F"/>
    <w:rsid w:val="000D0B48"/>
    <w:rsid w:val="000D0BB1"/>
    <w:rsid w:val="000D0BEA"/>
    <w:rsid w:val="000D0C4E"/>
    <w:rsid w:val="000D0C5F"/>
    <w:rsid w:val="000D0C7A"/>
    <w:rsid w:val="000D0CF7"/>
    <w:rsid w:val="000D0D65"/>
    <w:rsid w:val="000D0D8D"/>
    <w:rsid w:val="000D0E04"/>
    <w:rsid w:val="000D0ED1"/>
    <w:rsid w:val="000D0ED2"/>
    <w:rsid w:val="000D11E2"/>
    <w:rsid w:val="000D13A1"/>
    <w:rsid w:val="000D1447"/>
    <w:rsid w:val="000D1542"/>
    <w:rsid w:val="000D1545"/>
    <w:rsid w:val="000D15A6"/>
    <w:rsid w:val="000D15F8"/>
    <w:rsid w:val="000D1618"/>
    <w:rsid w:val="000D170F"/>
    <w:rsid w:val="000D176D"/>
    <w:rsid w:val="000D1792"/>
    <w:rsid w:val="000D17C0"/>
    <w:rsid w:val="000D183D"/>
    <w:rsid w:val="000D1931"/>
    <w:rsid w:val="000D1AAE"/>
    <w:rsid w:val="000D1AFE"/>
    <w:rsid w:val="000D1B23"/>
    <w:rsid w:val="000D1E1E"/>
    <w:rsid w:val="000D1E4C"/>
    <w:rsid w:val="000D1E8E"/>
    <w:rsid w:val="000D1FD2"/>
    <w:rsid w:val="000D2086"/>
    <w:rsid w:val="000D20B0"/>
    <w:rsid w:val="000D211F"/>
    <w:rsid w:val="000D2248"/>
    <w:rsid w:val="000D229A"/>
    <w:rsid w:val="000D23AB"/>
    <w:rsid w:val="000D24CF"/>
    <w:rsid w:val="000D24DF"/>
    <w:rsid w:val="000D2555"/>
    <w:rsid w:val="000D2566"/>
    <w:rsid w:val="000D25AF"/>
    <w:rsid w:val="000D25B0"/>
    <w:rsid w:val="000D25CA"/>
    <w:rsid w:val="000D25E3"/>
    <w:rsid w:val="000D2621"/>
    <w:rsid w:val="000D26C6"/>
    <w:rsid w:val="000D2755"/>
    <w:rsid w:val="000D278A"/>
    <w:rsid w:val="000D27C3"/>
    <w:rsid w:val="000D27FD"/>
    <w:rsid w:val="000D2859"/>
    <w:rsid w:val="000D287F"/>
    <w:rsid w:val="000D28C8"/>
    <w:rsid w:val="000D29E9"/>
    <w:rsid w:val="000D2AEA"/>
    <w:rsid w:val="000D2B80"/>
    <w:rsid w:val="000D2BA1"/>
    <w:rsid w:val="000D2C10"/>
    <w:rsid w:val="000D2CF0"/>
    <w:rsid w:val="000D2D28"/>
    <w:rsid w:val="000D2D8B"/>
    <w:rsid w:val="000D2DC6"/>
    <w:rsid w:val="000D2E18"/>
    <w:rsid w:val="000D2E43"/>
    <w:rsid w:val="000D2ED1"/>
    <w:rsid w:val="000D2EE2"/>
    <w:rsid w:val="000D2F91"/>
    <w:rsid w:val="000D2FDC"/>
    <w:rsid w:val="000D3033"/>
    <w:rsid w:val="000D3063"/>
    <w:rsid w:val="000D3139"/>
    <w:rsid w:val="000D313B"/>
    <w:rsid w:val="000D3267"/>
    <w:rsid w:val="000D33AD"/>
    <w:rsid w:val="000D3513"/>
    <w:rsid w:val="000D3536"/>
    <w:rsid w:val="000D36BD"/>
    <w:rsid w:val="000D3738"/>
    <w:rsid w:val="000D380C"/>
    <w:rsid w:val="000D39E6"/>
    <w:rsid w:val="000D3AC2"/>
    <w:rsid w:val="000D3C48"/>
    <w:rsid w:val="000D3E09"/>
    <w:rsid w:val="000D3E6A"/>
    <w:rsid w:val="000D3F5D"/>
    <w:rsid w:val="000D3FC1"/>
    <w:rsid w:val="000D3FD1"/>
    <w:rsid w:val="000D4089"/>
    <w:rsid w:val="000D40B2"/>
    <w:rsid w:val="000D40C5"/>
    <w:rsid w:val="000D40F2"/>
    <w:rsid w:val="000D411A"/>
    <w:rsid w:val="000D414E"/>
    <w:rsid w:val="000D4198"/>
    <w:rsid w:val="000D428D"/>
    <w:rsid w:val="000D43F5"/>
    <w:rsid w:val="000D4421"/>
    <w:rsid w:val="000D44DB"/>
    <w:rsid w:val="000D458B"/>
    <w:rsid w:val="000D45CD"/>
    <w:rsid w:val="000D45CE"/>
    <w:rsid w:val="000D468E"/>
    <w:rsid w:val="000D46DA"/>
    <w:rsid w:val="000D476D"/>
    <w:rsid w:val="000D4775"/>
    <w:rsid w:val="000D4776"/>
    <w:rsid w:val="000D4787"/>
    <w:rsid w:val="000D47F4"/>
    <w:rsid w:val="000D4846"/>
    <w:rsid w:val="000D4899"/>
    <w:rsid w:val="000D49C1"/>
    <w:rsid w:val="000D4A12"/>
    <w:rsid w:val="000D4A41"/>
    <w:rsid w:val="000D4ACF"/>
    <w:rsid w:val="000D4B09"/>
    <w:rsid w:val="000D4BBB"/>
    <w:rsid w:val="000D4BED"/>
    <w:rsid w:val="000D4CF5"/>
    <w:rsid w:val="000D4D07"/>
    <w:rsid w:val="000D4D1B"/>
    <w:rsid w:val="000D4D26"/>
    <w:rsid w:val="000D4DC1"/>
    <w:rsid w:val="000D4E7D"/>
    <w:rsid w:val="000D4ED5"/>
    <w:rsid w:val="000D4F2D"/>
    <w:rsid w:val="000D5031"/>
    <w:rsid w:val="000D5110"/>
    <w:rsid w:val="000D5154"/>
    <w:rsid w:val="000D517F"/>
    <w:rsid w:val="000D5227"/>
    <w:rsid w:val="000D5229"/>
    <w:rsid w:val="000D5278"/>
    <w:rsid w:val="000D527C"/>
    <w:rsid w:val="000D52BF"/>
    <w:rsid w:val="000D53EE"/>
    <w:rsid w:val="000D5447"/>
    <w:rsid w:val="000D548B"/>
    <w:rsid w:val="000D561E"/>
    <w:rsid w:val="000D5695"/>
    <w:rsid w:val="000D56B3"/>
    <w:rsid w:val="000D572A"/>
    <w:rsid w:val="000D573E"/>
    <w:rsid w:val="000D57CB"/>
    <w:rsid w:val="000D57F0"/>
    <w:rsid w:val="000D585B"/>
    <w:rsid w:val="000D589C"/>
    <w:rsid w:val="000D5932"/>
    <w:rsid w:val="000D5A3F"/>
    <w:rsid w:val="000D5A66"/>
    <w:rsid w:val="000D5C14"/>
    <w:rsid w:val="000D5DA4"/>
    <w:rsid w:val="000D5E6B"/>
    <w:rsid w:val="000D5E99"/>
    <w:rsid w:val="000D5EBD"/>
    <w:rsid w:val="000D5F57"/>
    <w:rsid w:val="000D60D9"/>
    <w:rsid w:val="000D6147"/>
    <w:rsid w:val="000D6232"/>
    <w:rsid w:val="000D628E"/>
    <w:rsid w:val="000D62A9"/>
    <w:rsid w:val="000D63FB"/>
    <w:rsid w:val="000D6442"/>
    <w:rsid w:val="000D648D"/>
    <w:rsid w:val="000D64E2"/>
    <w:rsid w:val="000D64FF"/>
    <w:rsid w:val="000D6554"/>
    <w:rsid w:val="000D6728"/>
    <w:rsid w:val="000D6732"/>
    <w:rsid w:val="000D67E6"/>
    <w:rsid w:val="000D68B2"/>
    <w:rsid w:val="000D68B8"/>
    <w:rsid w:val="000D68CB"/>
    <w:rsid w:val="000D69B3"/>
    <w:rsid w:val="000D69C6"/>
    <w:rsid w:val="000D6AB5"/>
    <w:rsid w:val="000D6B14"/>
    <w:rsid w:val="000D6B29"/>
    <w:rsid w:val="000D6C53"/>
    <w:rsid w:val="000D6D0D"/>
    <w:rsid w:val="000D6D18"/>
    <w:rsid w:val="000D6D68"/>
    <w:rsid w:val="000D6D6A"/>
    <w:rsid w:val="000D6D8F"/>
    <w:rsid w:val="000D6DB2"/>
    <w:rsid w:val="000D6DBB"/>
    <w:rsid w:val="000D6E29"/>
    <w:rsid w:val="000D6EB2"/>
    <w:rsid w:val="000D6F63"/>
    <w:rsid w:val="000D707F"/>
    <w:rsid w:val="000D7096"/>
    <w:rsid w:val="000D70D2"/>
    <w:rsid w:val="000D718A"/>
    <w:rsid w:val="000D71DD"/>
    <w:rsid w:val="000D724C"/>
    <w:rsid w:val="000D730A"/>
    <w:rsid w:val="000D734E"/>
    <w:rsid w:val="000D7376"/>
    <w:rsid w:val="000D73B3"/>
    <w:rsid w:val="000D73CD"/>
    <w:rsid w:val="000D749F"/>
    <w:rsid w:val="000D7561"/>
    <w:rsid w:val="000D7647"/>
    <w:rsid w:val="000D7865"/>
    <w:rsid w:val="000D7A03"/>
    <w:rsid w:val="000D7ACD"/>
    <w:rsid w:val="000D7AE7"/>
    <w:rsid w:val="000D7BBB"/>
    <w:rsid w:val="000D7D31"/>
    <w:rsid w:val="000D7DA7"/>
    <w:rsid w:val="000D7DDA"/>
    <w:rsid w:val="000D7E38"/>
    <w:rsid w:val="000D7E83"/>
    <w:rsid w:val="000D7FE6"/>
    <w:rsid w:val="000E0065"/>
    <w:rsid w:val="000E0084"/>
    <w:rsid w:val="000E00EC"/>
    <w:rsid w:val="000E024F"/>
    <w:rsid w:val="000E045B"/>
    <w:rsid w:val="000E05CC"/>
    <w:rsid w:val="000E0626"/>
    <w:rsid w:val="000E063C"/>
    <w:rsid w:val="000E0644"/>
    <w:rsid w:val="000E06AE"/>
    <w:rsid w:val="000E06CB"/>
    <w:rsid w:val="000E07B4"/>
    <w:rsid w:val="000E0853"/>
    <w:rsid w:val="000E0A4A"/>
    <w:rsid w:val="000E0A93"/>
    <w:rsid w:val="000E0B33"/>
    <w:rsid w:val="000E0BA5"/>
    <w:rsid w:val="000E0BAD"/>
    <w:rsid w:val="000E0BB7"/>
    <w:rsid w:val="000E0BC2"/>
    <w:rsid w:val="000E0BC4"/>
    <w:rsid w:val="000E0BDA"/>
    <w:rsid w:val="000E0C4D"/>
    <w:rsid w:val="000E0C88"/>
    <w:rsid w:val="000E0D06"/>
    <w:rsid w:val="000E0DF2"/>
    <w:rsid w:val="000E0F07"/>
    <w:rsid w:val="000E10BC"/>
    <w:rsid w:val="000E110C"/>
    <w:rsid w:val="000E1152"/>
    <w:rsid w:val="000E1162"/>
    <w:rsid w:val="000E1227"/>
    <w:rsid w:val="000E1354"/>
    <w:rsid w:val="000E155D"/>
    <w:rsid w:val="000E1564"/>
    <w:rsid w:val="000E1603"/>
    <w:rsid w:val="000E167F"/>
    <w:rsid w:val="000E16A4"/>
    <w:rsid w:val="000E16FD"/>
    <w:rsid w:val="000E1704"/>
    <w:rsid w:val="000E174B"/>
    <w:rsid w:val="000E1790"/>
    <w:rsid w:val="000E17A0"/>
    <w:rsid w:val="000E17E6"/>
    <w:rsid w:val="000E184D"/>
    <w:rsid w:val="000E1882"/>
    <w:rsid w:val="000E18A9"/>
    <w:rsid w:val="000E18B7"/>
    <w:rsid w:val="000E1911"/>
    <w:rsid w:val="000E1935"/>
    <w:rsid w:val="000E1A5E"/>
    <w:rsid w:val="000E1A8C"/>
    <w:rsid w:val="000E1AA3"/>
    <w:rsid w:val="000E1AB2"/>
    <w:rsid w:val="000E1AC3"/>
    <w:rsid w:val="000E1AC7"/>
    <w:rsid w:val="000E1ACA"/>
    <w:rsid w:val="000E1AEE"/>
    <w:rsid w:val="000E1B22"/>
    <w:rsid w:val="000E1C63"/>
    <w:rsid w:val="000E1C7B"/>
    <w:rsid w:val="000E1CA1"/>
    <w:rsid w:val="000E1CCE"/>
    <w:rsid w:val="000E1CD4"/>
    <w:rsid w:val="000E1CE0"/>
    <w:rsid w:val="000E1D39"/>
    <w:rsid w:val="000E1D80"/>
    <w:rsid w:val="000E1EA1"/>
    <w:rsid w:val="000E1EFC"/>
    <w:rsid w:val="000E1FAD"/>
    <w:rsid w:val="000E2014"/>
    <w:rsid w:val="000E207C"/>
    <w:rsid w:val="000E2094"/>
    <w:rsid w:val="000E2135"/>
    <w:rsid w:val="000E2192"/>
    <w:rsid w:val="000E2230"/>
    <w:rsid w:val="000E2345"/>
    <w:rsid w:val="000E23A2"/>
    <w:rsid w:val="000E23B0"/>
    <w:rsid w:val="000E245A"/>
    <w:rsid w:val="000E24F5"/>
    <w:rsid w:val="000E260D"/>
    <w:rsid w:val="000E2685"/>
    <w:rsid w:val="000E2835"/>
    <w:rsid w:val="000E287F"/>
    <w:rsid w:val="000E28AF"/>
    <w:rsid w:val="000E28CB"/>
    <w:rsid w:val="000E28DA"/>
    <w:rsid w:val="000E2902"/>
    <w:rsid w:val="000E2959"/>
    <w:rsid w:val="000E2985"/>
    <w:rsid w:val="000E29FA"/>
    <w:rsid w:val="000E2A24"/>
    <w:rsid w:val="000E2A61"/>
    <w:rsid w:val="000E2AE8"/>
    <w:rsid w:val="000E2B51"/>
    <w:rsid w:val="000E2DB0"/>
    <w:rsid w:val="000E2E1E"/>
    <w:rsid w:val="000E2E29"/>
    <w:rsid w:val="000E2E60"/>
    <w:rsid w:val="000E3029"/>
    <w:rsid w:val="000E3056"/>
    <w:rsid w:val="000E30FE"/>
    <w:rsid w:val="000E3113"/>
    <w:rsid w:val="000E3145"/>
    <w:rsid w:val="000E31B3"/>
    <w:rsid w:val="000E3302"/>
    <w:rsid w:val="000E335F"/>
    <w:rsid w:val="000E3395"/>
    <w:rsid w:val="000E340A"/>
    <w:rsid w:val="000E3422"/>
    <w:rsid w:val="000E3492"/>
    <w:rsid w:val="000E350C"/>
    <w:rsid w:val="000E35DB"/>
    <w:rsid w:val="000E35F7"/>
    <w:rsid w:val="000E3640"/>
    <w:rsid w:val="000E3670"/>
    <w:rsid w:val="000E374D"/>
    <w:rsid w:val="000E3772"/>
    <w:rsid w:val="000E37FB"/>
    <w:rsid w:val="000E38A5"/>
    <w:rsid w:val="000E38E0"/>
    <w:rsid w:val="000E390D"/>
    <w:rsid w:val="000E393E"/>
    <w:rsid w:val="000E3963"/>
    <w:rsid w:val="000E3987"/>
    <w:rsid w:val="000E39B7"/>
    <w:rsid w:val="000E3AC4"/>
    <w:rsid w:val="000E3B84"/>
    <w:rsid w:val="000E3BF6"/>
    <w:rsid w:val="000E3CD6"/>
    <w:rsid w:val="000E3D84"/>
    <w:rsid w:val="000E3EDC"/>
    <w:rsid w:val="000E3EDD"/>
    <w:rsid w:val="000E3F1D"/>
    <w:rsid w:val="000E3F71"/>
    <w:rsid w:val="000E40C0"/>
    <w:rsid w:val="000E4197"/>
    <w:rsid w:val="000E4258"/>
    <w:rsid w:val="000E42AA"/>
    <w:rsid w:val="000E42BA"/>
    <w:rsid w:val="000E42F0"/>
    <w:rsid w:val="000E4386"/>
    <w:rsid w:val="000E44BB"/>
    <w:rsid w:val="000E458D"/>
    <w:rsid w:val="000E4680"/>
    <w:rsid w:val="000E475C"/>
    <w:rsid w:val="000E482D"/>
    <w:rsid w:val="000E489F"/>
    <w:rsid w:val="000E4903"/>
    <w:rsid w:val="000E4921"/>
    <w:rsid w:val="000E4A07"/>
    <w:rsid w:val="000E4A95"/>
    <w:rsid w:val="000E4AB2"/>
    <w:rsid w:val="000E4ACA"/>
    <w:rsid w:val="000E4C07"/>
    <w:rsid w:val="000E4D38"/>
    <w:rsid w:val="000E4D58"/>
    <w:rsid w:val="000E4E05"/>
    <w:rsid w:val="000E4EA0"/>
    <w:rsid w:val="000E4FD6"/>
    <w:rsid w:val="000E50C0"/>
    <w:rsid w:val="000E50FA"/>
    <w:rsid w:val="000E5227"/>
    <w:rsid w:val="000E5230"/>
    <w:rsid w:val="000E53BA"/>
    <w:rsid w:val="000E53F7"/>
    <w:rsid w:val="000E5454"/>
    <w:rsid w:val="000E55B1"/>
    <w:rsid w:val="000E5646"/>
    <w:rsid w:val="000E5667"/>
    <w:rsid w:val="000E5676"/>
    <w:rsid w:val="000E56E4"/>
    <w:rsid w:val="000E56F3"/>
    <w:rsid w:val="000E576C"/>
    <w:rsid w:val="000E57C4"/>
    <w:rsid w:val="000E58CD"/>
    <w:rsid w:val="000E590D"/>
    <w:rsid w:val="000E59AF"/>
    <w:rsid w:val="000E5BDF"/>
    <w:rsid w:val="000E5C53"/>
    <w:rsid w:val="000E5CD7"/>
    <w:rsid w:val="000E5CF3"/>
    <w:rsid w:val="000E5D88"/>
    <w:rsid w:val="000E5E6F"/>
    <w:rsid w:val="000E5E7D"/>
    <w:rsid w:val="000E5F3A"/>
    <w:rsid w:val="000E600B"/>
    <w:rsid w:val="000E6088"/>
    <w:rsid w:val="000E60F1"/>
    <w:rsid w:val="000E6111"/>
    <w:rsid w:val="000E6251"/>
    <w:rsid w:val="000E6296"/>
    <w:rsid w:val="000E6312"/>
    <w:rsid w:val="000E636D"/>
    <w:rsid w:val="000E6621"/>
    <w:rsid w:val="000E66E8"/>
    <w:rsid w:val="000E6787"/>
    <w:rsid w:val="000E6A25"/>
    <w:rsid w:val="000E6A31"/>
    <w:rsid w:val="000E6AA7"/>
    <w:rsid w:val="000E6BD5"/>
    <w:rsid w:val="000E6CE6"/>
    <w:rsid w:val="000E6CEC"/>
    <w:rsid w:val="000E6D0E"/>
    <w:rsid w:val="000E6D18"/>
    <w:rsid w:val="000E6DC7"/>
    <w:rsid w:val="000E6E17"/>
    <w:rsid w:val="000E6EBC"/>
    <w:rsid w:val="000E6F45"/>
    <w:rsid w:val="000E6FB0"/>
    <w:rsid w:val="000E7031"/>
    <w:rsid w:val="000E70A7"/>
    <w:rsid w:val="000E72E1"/>
    <w:rsid w:val="000E735A"/>
    <w:rsid w:val="000E7563"/>
    <w:rsid w:val="000E759C"/>
    <w:rsid w:val="000E7626"/>
    <w:rsid w:val="000E762D"/>
    <w:rsid w:val="000E76C5"/>
    <w:rsid w:val="000E771E"/>
    <w:rsid w:val="000E781F"/>
    <w:rsid w:val="000E789F"/>
    <w:rsid w:val="000E78AA"/>
    <w:rsid w:val="000E78F8"/>
    <w:rsid w:val="000E79FC"/>
    <w:rsid w:val="000E7B47"/>
    <w:rsid w:val="000E7C0D"/>
    <w:rsid w:val="000E7CC8"/>
    <w:rsid w:val="000E7D71"/>
    <w:rsid w:val="000E7DAD"/>
    <w:rsid w:val="000E7DFA"/>
    <w:rsid w:val="000E7FA0"/>
    <w:rsid w:val="000F0054"/>
    <w:rsid w:val="000F01DD"/>
    <w:rsid w:val="000F0386"/>
    <w:rsid w:val="000F0388"/>
    <w:rsid w:val="000F03B2"/>
    <w:rsid w:val="000F041D"/>
    <w:rsid w:val="000F063F"/>
    <w:rsid w:val="000F06A8"/>
    <w:rsid w:val="000F06E7"/>
    <w:rsid w:val="000F07E8"/>
    <w:rsid w:val="000F09C1"/>
    <w:rsid w:val="000F0ADB"/>
    <w:rsid w:val="000F0BD0"/>
    <w:rsid w:val="000F0CE5"/>
    <w:rsid w:val="000F0E4A"/>
    <w:rsid w:val="000F1041"/>
    <w:rsid w:val="000F1175"/>
    <w:rsid w:val="000F11EB"/>
    <w:rsid w:val="000F126A"/>
    <w:rsid w:val="000F12A9"/>
    <w:rsid w:val="000F13AC"/>
    <w:rsid w:val="000F1463"/>
    <w:rsid w:val="000F14BC"/>
    <w:rsid w:val="000F1533"/>
    <w:rsid w:val="000F1729"/>
    <w:rsid w:val="000F1803"/>
    <w:rsid w:val="000F1823"/>
    <w:rsid w:val="000F1A15"/>
    <w:rsid w:val="000F1A17"/>
    <w:rsid w:val="000F1A46"/>
    <w:rsid w:val="000F1B51"/>
    <w:rsid w:val="000F1BCE"/>
    <w:rsid w:val="000F1C80"/>
    <w:rsid w:val="000F1CD1"/>
    <w:rsid w:val="000F1DE0"/>
    <w:rsid w:val="000F1EE3"/>
    <w:rsid w:val="000F1F4A"/>
    <w:rsid w:val="000F1F80"/>
    <w:rsid w:val="000F2016"/>
    <w:rsid w:val="000F2036"/>
    <w:rsid w:val="000F2041"/>
    <w:rsid w:val="000F2059"/>
    <w:rsid w:val="000F2124"/>
    <w:rsid w:val="000F21BC"/>
    <w:rsid w:val="000F2220"/>
    <w:rsid w:val="000F2232"/>
    <w:rsid w:val="000F2259"/>
    <w:rsid w:val="000F243F"/>
    <w:rsid w:val="000F24B4"/>
    <w:rsid w:val="000F25CE"/>
    <w:rsid w:val="000F2600"/>
    <w:rsid w:val="000F26F4"/>
    <w:rsid w:val="000F2701"/>
    <w:rsid w:val="000F2726"/>
    <w:rsid w:val="000F2764"/>
    <w:rsid w:val="000F279E"/>
    <w:rsid w:val="000F2864"/>
    <w:rsid w:val="000F299A"/>
    <w:rsid w:val="000F2A80"/>
    <w:rsid w:val="000F2AD3"/>
    <w:rsid w:val="000F2AFE"/>
    <w:rsid w:val="000F2B39"/>
    <w:rsid w:val="000F2C75"/>
    <w:rsid w:val="000F2CBE"/>
    <w:rsid w:val="000F2E96"/>
    <w:rsid w:val="000F2FA8"/>
    <w:rsid w:val="000F3036"/>
    <w:rsid w:val="000F3082"/>
    <w:rsid w:val="000F31FF"/>
    <w:rsid w:val="000F32D9"/>
    <w:rsid w:val="000F32DB"/>
    <w:rsid w:val="000F3344"/>
    <w:rsid w:val="000F33B7"/>
    <w:rsid w:val="000F341B"/>
    <w:rsid w:val="000F3423"/>
    <w:rsid w:val="000F347A"/>
    <w:rsid w:val="000F34DD"/>
    <w:rsid w:val="000F3505"/>
    <w:rsid w:val="000F35C4"/>
    <w:rsid w:val="000F35F9"/>
    <w:rsid w:val="000F360B"/>
    <w:rsid w:val="000F366A"/>
    <w:rsid w:val="000F367E"/>
    <w:rsid w:val="000F3696"/>
    <w:rsid w:val="000F375C"/>
    <w:rsid w:val="000F38FC"/>
    <w:rsid w:val="000F3A4A"/>
    <w:rsid w:val="000F3A4C"/>
    <w:rsid w:val="000F3A5C"/>
    <w:rsid w:val="000F3BB6"/>
    <w:rsid w:val="000F3BC5"/>
    <w:rsid w:val="000F3C03"/>
    <w:rsid w:val="000F3C42"/>
    <w:rsid w:val="000F3C89"/>
    <w:rsid w:val="000F3CEF"/>
    <w:rsid w:val="000F3D05"/>
    <w:rsid w:val="000F3D5C"/>
    <w:rsid w:val="000F3D7F"/>
    <w:rsid w:val="000F3F0D"/>
    <w:rsid w:val="000F3F31"/>
    <w:rsid w:val="000F3F75"/>
    <w:rsid w:val="000F3F8E"/>
    <w:rsid w:val="000F4182"/>
    <w:rsid w:val="000F42A9"/>
    <w:rsid w:val="000F42CD"/>
    <w:rsid w:val="000F435B"/>
    <w:rsid w:val="000F4364"/>
    <w:rsid w:val="000F437A"/>
    <w:rsid w:val="000F442F"/>
    <w:rsid w:val="000F446A"/>
    <w:rsid w:val="000F4483"/>
    <w:rsid w:val="000F45F9"/>
    <w:rsid w:val="000F45FF"/>
    <w:rsid w:val="000F4637"/>
    <w:rsid w:val="000F470B"/>
    <w:rsid w:val="000F47FA"/>
    <w:rsid w:val="000F489D"/>
    <w:rsid w:val="000F4960"/>
    <w:rsid w:val="000F4A6C"/>
    <w:rsid w:val="000F4B09"/>
    <w:rsid w:val="000F4B40"/>
    <w:rsid w:val="000F4B7D"/>
    <w:rsid w:val="000F4BCE"/>
    <w:rsid w:val="000F4BF7"/>
    <w:rsid w:val="000F4EEA"/>
    <w:rsid w:val="000F4F3B"/>
    <w:rsid w:val="000F4F7E"/>
    <w:rsid w:val="000F4FF1"/>
    <w:rsid w:val="000F506F"/>
    <w:rsid w:val="000F5134"/>
    <w:rsid w:val="000F5150"/>
    <w:rsid w:val="000F51CA"/>
    <w:rsid w:val="000F52DA"/>
    <w:rsid w:val="000F5445"/>
    <w:rsid w:val="000F5454"/>
    <w:rsid w:val="000F55A0"/>
    <w:rsid w:val="000F5653"/>
    <w:rsid w:val="000F56DF"/>
    <w:rsid w:val="000F579F"/>
    <w:rsid w:val="000F585A"/>
    <w:rsid w:val="000F58C7"/>
    <w:rsid w:val="000F5912"/>
    <w:rsid w:val="000F593C"/>
    <w:rsid w:val="000F59B0"/>
    <w:rsid w:val="000F5A5B"/>
    <w:rsid w:val="000F5BF2"/>
    <w:rsid w:val="000F5DB0"/>
    <w:rsid w:val="000F5DC8"/>
    <w:rsid w:val="000F5EB7"/>
    <w:rsid w:val="000F5EE6"/>
    <w:rsid w:val="000F5FE9"/>
    <w:rsid w:val="000F6021"/>
    <w:rsid w:val="000F60BC"/>
    <w:rsid w:val="000F6230"/>
    <w:rsid w:val="000F639B"/>
    <w:rsid w:val="000F63BE"/>
    <w:rsid w:val="000F64CC"/>
    <w:rsid w:val="000F6536"/>
    <w:rsid w:val="000F65A9"/>
    <w:rsid w:val="000F65CA"/>
    <w:rsid w:val="000F65EC"/>
    <w:rsid w:val="000F65F5"/>
    <w:rsid w:val="000F664F"/>
    <w:rsid w:val="000F66CA"/>
    <w:rsid w:val="000F67A8"/>
    <w:rsid w:val="000F6808"/>
    <w:rsid w:val="000F689D"/>
    <w:rsid w:val="000F68F7"/>
    <w:rsid w:val="000F6912"/>
    <w:rsid w:val="000F69D7"/>
    <w:rsid w:val="000F6A6A"/>
    <w:rsid w:val="000F6A9C"/>
    <w:rsid w:val="000F6B66"/>
    <w:rsid w:val="000F6BA1"/>
    <w:rsid w:val="000F6CE5"/>
    <w:rsid w:val="000F6D0D"/>
    <w:rsid w:val="000F6D3F"/>
    <w:rsid w:val="000F6D42"/>
    <w:rsid w:val="000F6EB6"/>
    <w:rsid w:val="000F6ED3"/>
    <w:rsid w:val="000F6F13"/>
    <w:rsid w:val="000F7052"/>
    <w:rsid w:val="000F70E9"/>
    <w:rsid w:val="000F7110"/>
    <w:rsid w:val="000F7165"/>
    <w:rsid w:val="000F724A"/>
    <w:rsid w:val="000F727D"/>
    <w:rsid w:val="000F738C"/>
    <w:rsid w:val="000F738F"/>
    <w:rsid w:val="000F74EA"/>
    <w:rsid w:val="000F76B4"/>
    <w:rsid w:val="000F76C8"/>
    <w:rsid w:val="000F776D"/>
    <w:rsid w:val="000F78C1"/>
    <w:rsid w:val="000F78C7"/>
    <w:rsid w:val="000F7ABD"/>
    <w:rsid w:val="000F7BAD"/>
    <w:rsid w:val="000F7C5A"/>
    <w:rsid w:val="000F7DB8"/>
    <w:rsid w:val="000F7EAA"/>
    <w:rsid w:val="000F7F5D"/>
    <w:rsid w:val="000F7FAF"/>
    <w:rsid w:val="00100010"/>
    <w:rsid w:val="001000CD"/>
    <w:rsid w:val="00100151"/>
    <w:rsid w:val="00100175"/>
    <w:rsid w:val="001002DB"/>
    <w:rsid w:val="001002E2"/>
    <w:rsid w:val="00100331"/>
    <w:rsid w:val="00100417"/>
    <w:rsid w:val="00100476"/>
    <w:rsid w:val="001004E1"/>
    <w:rsid w:val="00100569"/>
    <w:rsid w:val="00100588"/>
    <w:rsid w:val="001006BF"/>
    <w:rsid w:val="0010079C"/>
    <w:rsid w:val="00100835"/>
    <w:rsid w:val="0010083F"/>
    <w:rsid w:val="001008A4"/>
    <w:rsid w:val="0010091B"/>
    <w:rsid w:val="00100B4C"/>
    <w:rsid w:val="00100B9C"/>
    <w:rsid w:val="00100BD4"/>
    <w:rsid w:val="00100C20"/>
    <w:rsid w:val="00100C6B"/>
    <w:rsid w:val="00100E30"/>
    <w:rsid w:val="00100F45"/>
    <w:rsid w:val="0010108B"/>
    <w:rsid w:val="001010FE"/>
    <w:rsid w:val="001013B1"/>
    <w:rsid w:val="00101521"/>
    <w:rsid w:val="00101524"/>
    <w:rsid w:val="0010154D"/>
    <w:rsid w:val="0010157A"/>
    <w:rsid w:val="00101584"/>
    <w:rsid w:val="001015C1"/>
    <w:rsid w:val="00101611"/>
    <w:rsid w:val="001016DA"/>
    <w:rsid w:val="00101785"/>
    <w:rsid w:val="00101825"/>
    <w:rsid w:val="00101859"/>
    <w:rsid w:val="001018E0"/>
    <w:rsid w:val="00101A5F"/>
    <w:rsid w:val="00101A7C"/>
    <w:rsid w:val="00101AD2"/>
    <w:rsid w:val="00101AEF"/>
    <w:rsid w:val="00101B1B"/>
    <w:rsid w:val="00101C37"/>
    <w:rsid w:val="00101D99"/>
    <w:rsid w:val="00101D9D"/>
    <w:rsid w:val="00101DAA"/>
    <w:rsid w:val="00101E1F"/>
    <w:rsid w:val="00101EF9"/>
    <w:rsid w:val="00101F3E"/>
    <w:rsid w:val="00101F6F"/>
    <w:rsid w:val="00101FCF"/>
    <w:rsid w:val="00102024"/>
    <w:rsid w:val="0010210D"/>
    <w:rsid w:val="0010220E"/>
    <w:rsid w:val="00102337"/>
    <w:rsid w:val="001024B7"/>
    <w:rsid w:val="00102574"/>
    <w:rsid w:val="001025DE"/>
    <w:rsid w:val="00102600"/>
    <w:rsid w:val="00102707"/>
    <w:rsid w:val="0010277C"/>
    <w:rsid w:val="001028D0"/>
    <w:rsid w:val="001028D3"/>
    <w:rsid w:val="00102923"/>
    <w:rsid w:val="001029A8"/>
    <w:rsid w:val="001029F5"/>
    <w:rsid w:val="00102AFC"/>
    <w:rsid w:val="00102BC5"/>
    <w:rsid w:val="00102C92"/>
    <w:rsid w:val="00102D03"/>
    <w:rsid w:val="00102DDA"/>
    <w:rsid w:val="00102DE3"/>
    <w:rsid w:val="00102F60"/>
    <w:rsid w:val="00103039"/>
    <w:rsid w:val="00103054"/>
    <w:rsid w:val="001030AF"/>
    <w:rsid w:val="0010311F"/>
    <w:rsid w:val="00103255"/>
    <w:rsid w:val="00103367"/>
    <w:rsid w:val="00103406"/>
    <w:rsid w:val="00103428"/>
    <w:rsid w:val="0010345E"/>
    <w:rsid w:val="001034E5"/>
    <w:rsid w:val="00103590"/>
    <w:rsid w:val="001035E0"/>
    <w:rsid w:val="0010360A"/>
    <w:rsid w:val="0010377A"/>
    <w:rsid w:val="0010382F"/>
    <w:rsid w:val="001038F9"/>
    <w:rsid w:val="0010390D"/>
    <w:rsid w:val="00103997"/>
    <w:rsid w:val="00103A1C"/>
    <w:rsid w:val="00103C1B"/>
    <w:rsid w:val="00103C92"/>
    <w:rsid w:val="00103DC5"/>
    <w:rsid w:val="00103E75"/>
    <w:rsid w:val="00103EA6"/>
    <w:rsid w:val="00103F12"/>
    <w:rsid w:val="00104028"/>
    <w:rsid w:val="0010404D"/>
    <w:rsid w:val="00104150"/>
    <w:rsid w:val="0010424C"/>
    <w:rsid w:val="001043A0"/>
    <w:rsid w:val="0010444D"/>
    <w:rsid w:val="0010447D"/>
    <w:rsid w:val="00104574"/>
    <w:rsid w:val="001045A1"/>
    <w:rsid w:val="001047F7"/>
    <w:rsid w:val="00104899"/>
    <w:rsid w:val="00104906"/>
    <w:rsid w:val="00104940"/>
    <w:rsid w:val="00104966"/>
    <w:rsid w:val="001049FF"/>
    <w:rsid w:val="00104A15"/>
    <w:rsid w:val="00104A25"/>
    <w:rsid w:val="00104D9D"/>
    <w:rsid w:val="00104E01"/>
    <w:rsid w:val="00104F16"/>
    <w:rsid w:val="00104FF8"/>
    <w:rsid w:val="00105021"/>
    <w:rsid w:val="001050AC"/>
    <w:rsid w:val="0010514D"/>
    <w:rsid w:val="00105183"/>
    <w:rsid w:val="00105209"/>
    <w:rsid w:val="001052A2"/>
    <w:rsid w:val="001053F4"/>
    <w:rsid w:val="00105415"/>
    <w:rsid w:val="0010556E"/>
    <w:rsid w:val="001056EE"/>
    <w:rsid w:val="00105785"/>
    <w:rsid w:val="001057F1"/>
    <w:rsid w:val="0010585F"/>
    <w:rsid w:val="001059C7"/>
    <w:rsid w:val="001059E8"/>
    <w:rsid w:val="00105AA8"/>
    <w:rsid w:val="00105ABC"/>
    <w:rsid w:val="00105AEE"/>
    <w:rsid w:val="00105B66"/>
    <w:rsid w:val="00105B8E"/>
    <w:rsid w:val="00105D78"/>
    <w:rsid w:val="00105E2B"/>
    <w:rsid w:val="00105F50"/>
    <w:rsid w:val="001060C6"/>
    <w:rsid w:val="00106124"/>
    <w:rsid w:val="00106131"/>
    <w:rsid w:val="001061FC"/>
    <w:rsid w:val="001062F2"/>
    <w:rsid w:val="0010630F"/>
    <w:rsid w:val="00106315"/>
    <w:rsid w:val="00106359"/>
    <w:rsid w:val="0010638C"/>
    <w:rsid w:val="0010651F"/>
    <w:rsid w:val="00106527"/>
    <w:rsid w:val="0010664F"/>
    <w:rsid w:val="00106787"/>
    <w:rsid w:val="001067FF"/>
    <w:rsid w:val="0010699C"/>
    <w:rsid w:val="00106A45"/>
    <w:rsid w:val="00106DE6"/>
    <w:rsid w:val="00106E17"/>
    <w:rsid w:val="00106E21"/>
    <w:rsid w:val="00106E83"/>
    <w:rsid w:val="00106EAB"/>
    <w:rsid w:val="001070DA"/>
    <w:rsid w:val="001071AE"/>
    <w:rsid w:val="0010736B"/>
    <w:rsid w:val="001074D6"/>
    <w:rsid w:val="00107546"/>
    <w:rsid w:val="001075FE"/>
    <w:rsid w:val="00107693"/>
    <w:rsid w:val="00107696"/>
    <w:rsid w:val="001076E5"/>
    <w:rsid w:val="001076F2"/>
    <w:rsid w:val="00107770"/>
    <w:rsid w:val="0010786A"/>
    <w:rsid w:val="00107957"/>
    <w:rsid w:val="00107A43"/>
    <w:rsid w:val="00107ADC"/>
    <w:rsid w:val="00107AF8"/>
    <w:rsid w:val="00107BB6"/>
    <w:rsid w:val="00107C51"/>
    <w:rsid w:val="00107CA7"/>
    <w:rsid w:val="00107CD8"/>
    <w:rsid w:val="00107D35"/>
    <w:rsid w:val="00107E22"/>
    <w:rsid w:val="00107EA1"/>
    <w:rsid w:val="00107ED9"/>
    <w:rsid w:val="00107F7C"/>
    <w:rsid w:val="00110018"/>
    <w:rsid w:val="0011006F"/>
    <w:rsid w:val="00110208"/>
    <w:rsid w:val="00110230"/>
    <w:rsid w:val="0011026F"/>
    <w:rsid w:val="001102B1"/>
    <w:rsid w:val="00110316"/>
    <w:rsid w:val="00110351"/>
    <w:rsid w:val="00110415"/>
    <w:rsid w:val="001104D4"/>
    <w:rsid w:val="00110523"/>
    <w:rsid w:val="001105A9"/>
    <w:rsid w:val="00110717"/>
    <w:rsid w:val="00110722"/>
    <w:rsid w:val="0011086F"/>
    <w:rsid w:val="00110887"/>
    <w:rsid w:val="001108BD"/>
    <w:rsid w:val="001108F7"/>
    <w:rsid w:val="001109FB"/>
    <w:rsid w:val="00110A27"/>
    <w:rsid w:val="00110ACF"/>
    <w:rsid w:val="00110B54"/>
    <w:rsid w:val="00110B7E"/>
    <w:rsid w:val="00110C78"/>
    <w:rsid w:val="00110CC3"/>
    <w:rsid w:val="00110DD7"/>
    <w:rsid w:val="00110F9B"/>
    <w:rsid w:val="0011101E"/>
    <w:rsid w:val="001110D6"/>
    <w:rsid w:val="0011115A"/>
    <w:rsid w:val="001112D2"/>
    <w:rsid w:val="00111409"/>
    <w:rsid w:val="00111527"/>
    <w:rsid w:val="001116B5"/>
    <w:rsid w:val="0011171F"/>
    <w:rsid w:val="001117B9"/>
    <w:rsid w:val="0011180E"/>
    <w:rsid w:val="00111812"/>
    <w:rsid w:val="001119E4"/>
    <w:rsid w:val="00111A66"/>
    <w:rsid w:val="00111A9F"/>
    <w:rsid w:val="00111ACA"/>
    <w:rsid w:val="00111B12"/>
    <w:rsid w:val="00111B1F"/>
    <w:rsid w:val="00111C09"/>
    <w:rsid w:val="00111C2C"/>
    <w:rsid w:val="00111CB5"/>
    <w:rsid w:val="00111DA5"/>
    <w:rsid w:val="00111E7C"/>
    <w:rsid w:val="00111F7C"/>
    <w:rsid w:val="00111FE6"/>
    <w:rsid w:val="001122E4"/>
    <w:rsid w:val="00112375"/>
    <w:rsid w:val="00112386"/>
    <w:rsid w:val="001123A2"/>
    <w:rsid w:val="001123B7"/>
    <w:rsid w:val="001123CB"/>
    <w:rsid w:val="0011249A"/>
    <w:rsid w:val="001124AF"/>
    <w:rsid w:val="0011253E"/>
    <w:rsid w:val="00112578"/>
    <w:rsid w:val="001125D5"/>
    <w:rsid w:val="001125D8"/>
    <w:rsid w:val="00112657"/>
    <w:rsid w:val="0011265A"/>
    <w:rsid w:val="00112697"/>
    <w:rsid w:val="00112806"/>
    <w:rsid w:val="001128AA"/>
    <w:rsid w:val="001128AC"/>
    <w:rsid w:val="00112907"/>
    <w:rsid w:val="0011294F"/>
    <w:rsid w:val="00112C0D"/>
    <w:rsid w:val="00112C17"/>
    <w:rsid w:val="00112D1B"/>
    <w:rsid w:val="00112D8F"/>
    <w:rsid w:val="00112DA0"/>
    <w:rsid w:val="00112F42"/>
    <w:rsid w:val="00112F70"/>
    <w:rsid w:val="0011305E"/>
    <w:rsid w:val="001130B0"/>
    <w:rsid w:val="001130C0"/>
    <w:rsid w:val="0011319C"/>
    <w:rsid w:val="001131F6"/>
    <w:rsid w:val="001132E5"/>
    <w:rsid w:val="00113315"/>
    <w:rsid w:val="00113440"/>
    <w:rsid w:val="00113446"/>
    <w:rsid w:val="00113462"/>
    <w:rsid w:val="001134FC"/>
    <w:rsid w:val="00113695"/>
    <w:rsid w:val="00113699"/>
    <w:rsid w:val="001136C2"/>
    <w:rsid w:val="001137D0"/>
    <w:rsid w:val="001137D2"/>
    <w:rsid w:val="001137E4"/>
    <w:rsid w:val="001137EC"/>
    <w:rsid w:val="001137F8"/>
    <w:rsid w:val="001139AC"/>
    <w:rsid w:val="001139EF"/>
    <w:rsid w:val="00113A7B"/>
    <w:rsid w:val="00113A8C"/>
    <w:rsid w:val="00113B7A"/>
    <w:rsid w:val="00113BFE"/>
    <w:rsid w:val="00113C8D"/>
    <w:rsid w:val="00113C9C"/>
    <w:rsid w:val="00113CE0"/>
    <w:rsid w:val="00113CF9"/>
    <w:rsid w:val="00113D4C"/>
    <w:rsid w:val="00113D81"/>
    <w:rsid w:val="00113DB4"/>
    <w:rsid w:val="00113E6B"/>
    <w:rsid w:val="00113E78"/>
    <w:rsid w:val="00113EC1"/>
    <w:rsid w:val="00113F07"/>
    <w:rsid w:val="001141C0"/>
    <w:rsid w:val="001141DA"/>
    <w:rsid w:val="001141EF"/>
    <w:rsid w:val="0011431A"/>
    <w:rsid w:val="0011467F"/>
    <w:rsid w:val="00114923"/>
    <w:rsid w:val="001149B5"/>
    <w:rsid w:val="001149E1"/>
    <w:rsid w:val="00114BD8"/>
    <w:rsid w:val="00114BE6"/>
    <w:rsid w:val="00114C3C"/>
    <w:rsid w:val="00114CA2"/>
    <w:rsid w:val="00114CDB"/>
    <w:rsid w:val="00114DF3"/>
    <w:rsid w:val="00114E64"/>
    <w:rsid w:val="00114EBD"/>
    <w:rsid w:val="0011506D"/>
    <w:rsid w:val="0011514E"/>
    <w:rsid w:val="00115267"/>
    <w:rsid w:val="00115312"/>
    <w:rsid w:val="0011535B"/>
    <w:rsid w:val="00115378"/>
    <w:rsid w:val="001153EB"/>
    <w:rsid w:val="001154DC"/>
    <w:rsid w:val="001155ED"/>
    <w:rsid w:val="00115681"/>
    <w:rsid w:val="0011568E"/>
    <w:rsid w:val="001156CB"/>
    <w:rsid w:val="001157A7"/>
    <w:rsid w:val="001158B1"/>
    <w:rsid w:val="00115A1D"/>
    <w:rsid w:val="00115A5A"/>
    <w:rsid w:val="00115AA9"/>
    <w:rsid w:val="00115AE5"/>
    <w:rsid w:val="00115BC1"/>
    <w:rsid w:val="00115E5A"/>
    <w:rsid w:val="00115E92"/>
    <w:rsid w:val="00115FAC"/>
    <w:rsid w:val="00116061"/>
    <w:rsid w:val="00116064"/>
    <w:rsid w:val="001160BC"/>
    <w:rsid w:val="0011613B"/>
    <w:rsid w:val="00116164"/>
    <w:rsid w:val="001162FB"/>
    <w:rsid w:val="00116304"/>
    <w:rsid w:val="0011630E"/>
    <w:rsid w:val="00116475"/>
    <w:rsid w:val="00116547"/>
    <w:rsid w:val="0011656A"/>
    <w:rsid w:val="0011661C"/>
    <w:rsid w:val="00116716"/>
    <w:rsid w:val="001167EE"/>
    <w:rsid w:val="00116815"/>
    <w:rsid w:val="00116843"/>
    <w:rsid w:val="0011687A"/>
    <w:rsid w:val="001169AC"/>
    <w:rsid w:val="00116A06"/>
    <w:rsid w:val="00116A1D"/>
    <w:rsid w:val="00116B7F"/>
    <w:rsid w:val="00116BA4"/>
    <w:rsid w:val="00116BF5"/>
    <w:rsid w:val="00116C15"/>
    <w:rsid w:val="00116CDF"/>
    <w:rsid w:val="00116D13"/>
    <w:rsid w:val="00116D3C"/>
    <w:rsid w:val="00116D8D"/>
    <w:rsid w:val="00116FFF"/>
    <w:rsid w:val="0011711A"/>
    <w:rsid w:val="00117171"/>
    <w:rsid w:val="001171A4"/>
    <w:rsid w:val="00117242"/>
    <w:rsid w:val="0011737A"/>
    <w:rsid w:val="0011738C"/>
    <w:rsid w:val="00117396"/>
    <w:rsid w:val="0011739D"/>
    <w:rsid w:val="00117475"/>
    <w:rsid w:val="00117487"/>
    <w:rsid w:val="0011751F"/>
    <w:rsid w:val="0011763D"/>
    <w:rsid w:val="001177A7"/>
    <w:rsid w:val="001177B0"/>
    <w:rsid w:val="0011781B"/>
    <w:rsid w:val="00117A4B"/>
    <w:rsid w:val="00117AF6"/>
    <w:rsid w:val="00117B25"/>
    <w:rsid w:val="00117D3A"/>
    <w:rsid w:val="00117ECA"/>
    <w:rsid w:val="00117F1B"/>
    <w:rsid w:val="00117F9C"/>
    <w:rsid w:val="0012000F"/>
    <w:rsid w:val="0012003E"/>
    <w:rsid w:val="00120083"/>
    <w:rsid w:val="001200A7"/>
    <w:rsid w:val="001200AC"/>
    <w:rsid w:val="001200CA"/>
    <w:rsid w:val="00120155"/>
    <w:rsid w:val="0012024A"/>
    <w:rsid w:val="00120274"/>
    <w:rsid w:val="00120390"/>
    <w:rsid w:val="001203F7"/>
    <w:rsid w:val="0012041E"/>
    <w:rsid w:val="00120477"/>
    <w:rsid w:val="001204DD"/>
    <w:rsid w:val="001204E6"/>
    <w:rsid w:val="001205EC"/>
    <w:rsid w:val="00120623"/>
    <w:rsid w:val="00120645"/>
    <w:rsid w:val="001206BD"/>
    <w:rsid w:val="00120725"/>
    <w:rsid w:val="00120946"/>
    <w:rsid w:val="001209D4"/>
    <w:rsid w:val="00120A04"/>
    <w:rsid w:val="00120A4C"/>
    <w:rsid w:val="00120AC6"/>
    <w:rsid w:val="00120B51"/>
    <w:rsid w:val="00120B6B"/>
    <w:rsid w:val="00120BD7"/>
    <w:rsid w:val="00120C58"/>
    <w:rsid w:val="00120CAA"/>
    <w:rsid w:val="00120CB5"/>
    <w:rsid w:val="00120E57"/>
    <w:rsid w:val="00120ECB"/>
    <w:rsid w:val="00120EFA"/>
    <w:rsid w:val="00120F80"/>
    <w:rsid w:val="0012109F"/>
    <w:rsid w:val="001210A2"/>
    <w:rsid w:val="001211C8"/>
    <w:rsid w:val="0012124E"/>
    <w:rsid w:val="001212CE"/>
    <w:rsid w:val="00121316"/>
    <w:rsid w:val="0012134F"/>
    <w:rsid w:val="00121362"/>
    <w:rsid w:val="001213AF"/>
    <w:rsid w:val="00121474"/>
    <w:rsid w:val="001214B4"/>
    <w:rsid w:val="001214F4"/>
    <w:rsid w:val="00121551"/>
    <w:rsid w:val="00121566"/>
    <w:rsid w:val="00121591"/>
    <w:rsid w:val="001216C3"/>
    <w:rsid w:val="00121821"/>
    <w:rsid w:val="0012182F"/>
    <w:rsid w:val="0012184E"/>
    <w:rsid w:val="00121A75"/>
    <w:rsid w:val="00121AE5"/>
    <w:rsid w:val="00121BE0"/>
    <w:rsid w:val="00121BE7"/>
    <w:rsid w:val="00121C35"/>
    <w:rsid w:val="00121CD2"/>
    <w:rsid w:val="00121F6D"/>
    <w:rsid w:val="00122172"/>
    <w:rsid w:val="001221E4"/>
    <w:rsid w:val="0012222E"/>
    <w:rsid w:val="0012226A"/>
    <w:rsid w:val="001222C3"/>
    <w:rsid w:val="0012237D"/>
    <w:rsid w:val="001223E7"/>
    <w:rsid w:val="001223FB"/>
    <w:rsid w:val="00122538"/>
    <w:rsid w:val="00122557"/>
    <w:rsid w:val="0012255A"/>
    <w:rsid w:val="001225A9"/>
    <w:rsid w:val="001225CD"/>
    <w:rsid w:val="00122627"/>
    <w:rsid w:val="0012267B"/>
    <w:rsid w:val="001226FC"/>
    <w:rsid w:val="0012283A"/>
    <w:rsid w:val="001228F1"/>
    <w:rsid w:val="0012292A"/>
    <w:rsid w:val="001229C0"/>
    <w:rsid w:val="001229F7"/>
    <w:rsid w:val="00122A7B"/>
    <w:rsid w:val="00122B83"/>
    <w:rsid w:val="00122BC1"/>
    <w:rsid w:val="00122BC8"/>
    <w:rsid w:val="00122BFA"/>
    <w:rsid w:val="00122CC1"/>
    <w:rsid w:val="00122D0E"/>
    <w:rsid w:val="00122D95"/>
    <w:rsid w:val="00122E1D"/>
    <w:rsid w:val="00122F43"/>
    <w:rsid w:val="00122F58"/>
    <w:rsid w:val="00122FD9"/>
    <w:rsid w:val="00123028"/>
    <w:rsid w:val="001230DF"/>
    <w:rsid w:val="00123132"/>
    <w:rsid w:val="00123179"/>
    <w:rsid w:val="001232A6"/>
    <w:rsid w:val="0012334F"/>
    <w:rsid w:val="00123350"/>
    <w:rsid w:val="00123354"/>
    <w:rsid w:val="00123481"/>
    <w:rsid w:val="00123492"/>
    <w:rsid w:val="001234A4"/>
    <w:rsid w:val="00123542"/>
    <w:rsid w:val="0012359C"/>
    <w:rsid w:val="0012365E"/>
    <w:rsid w:val="001236E9"/>
    <w:rsid w:val="0012375F"/>
    <w:rsid w:val="0012376D"/>
    <w:rsid w:val="001237CF"/>
    <w:rsid w:val="00123810"/>
    <w:rsid w:val="00123855"/>
    <w:rsid w:val="001239B3"/>
    <w:rsid w:val="001239D5"/>
    <w:rsid w:val="00123C45"/>
    <w:rsid w:val="00123D3D"/>
    <w:rsid w:val="00123E13"/>
    <w:rsid w:val="00123F1D"/>
    <w:rsid w:val="00123F5D"/>
    <w:rsid w:val="00123F8E"/>
    <w:rsid w:val="001240B1"/>
    <w:rsid w:val="001240EE"/>
    <w:rsid w:val="00124296"/>
    <w:rsid w:val="001243A4"/>
    <w:rsid w:val="001243DE"/>
    <w:rsid w:val="001244AB"/>
    <w:rsid w:val="001244D3"/>
    <w:rsid w:val="001247FE"/>
    <w:rsid w:val="001248B0"/>
    <w:rsid w:val="001249C6"/>
    <w:rsid w:val="001249E7"/>
    <w:rsid w:val="00124A69"/>
    <w:rsid w:val="00124A89"/>
    <w:rsid w:val="00124A8F"/>
    <w:rsid w:val="00124B68"/>
    <w:rsid w:val="00124C66"/>
    <w:rsid w:val="00124D83"/>
    <w:rsid w:val="00124D9A"/>
    <w:rsid w:val="00124DD5"/>
    <w:rsid w:val="00124DF8"/>
    <w:rsid w:val="00124E1E"/>
    <w:rsid w:val="00124E3D"/>
    <w:rsid w:val="00124E9F"/>
    <w:rsid w:val="00124EB0"/>
    <w:rsid w:val="00124F52"/>
    <w:rsid w:val="00124FB2"/>
    <w:rsid w:val="00124FE5"/>
    <w:rsid w:val="00125054"/>
    <w:rsid w:val="001250FA"/>
    <w:rsid w:val="0012536A"/>
    <w:rsid w:val="00125384"/>
    <w:rsid w:val="00125472"/>
    <w:rsid w:val="001258C0"/>
    <w:rsid w:val="001259AE"/>
    <w:rsid w:val="00125A0E"/>
    <w:rsid w:val="00125A5B"/>
    <w:rsid w:val="00125AD4"/>
    <w:rsid w:val="00125ADE"/>
    <w:rsid w:val="00125B49"/>
    <w:rsid w:val="00125BE7"/>
    <w:rsid w:val="00125CA8"/>
    <w:rsid w:val="00125CC8"/>
    <w:rsid w:val="00125CCF"/>
    <w:rsid w:val="00125D4D"/>
    <w:rsid w:val="00125E48"/>
    <w:rsid w:val="00125EAC"/>
    <w:rsid w:val="00125F1C"/>
    <w:rsid w:val="00125F84"/>
    <w:rsid w:val="00125FAF"/>
    <w:rsid w:val="00125FB5"/>
    <w:rsid w:val="00126032"/>
    <w:rsid w:val="0012606E"/>
    <w:rsid w:val="0012610D"/>
    <w:rsid w:val="001261FB"/>
    <w:rsid w:val="00126263"/>
    <w:rsid w:val="00126266"/>
    <w:rsid w:val="0012630F"/>
    <w:rsid w:val="001263C7"/>
    <w:rsid w:val="001264DB"/>
    <w:rsid w:val="00126537"/>
    <w:rsid w:val="00126614"/>
    <w:rsid w:val="00126625"/>
    <w:rsid w:val="0012667E"/>
    <w:rsid w:val="00126782"/>
    <w:rsid w:val="001268D8"/>
    <w:rsid w:val="001268E7"/>
    <w:rsid w:val="001269B6"/>
    <w:rsid w:val="001269BB"/>
    <w:rsid w:val="001269E6"/>
    <w:rsid w:val="00126AB4"/>
    <w:rsid w:val="00126B03"/>
    <w:rsid w:val="00126B06"/>
    <w:rsid w:val="00126B46"/>
    <w:rsid w:val="00126BA9"/>
    <w:rsid w:val="00126BCB"/>
    <w:rsid w:val="00126C8E"/>
    <w:rsid w:val="00126DB3"/>
    <w:rsid w:val="00126F71"/>
    <w:rsid w:val="00126F77"/>
    <w:rsid w:val="00126FED"/>
    <w:rsid w:val="00127114"/>
    <w:rsid w:val="001271D8"/>
    <w:rsid w:val="00127269"/>
    <w:rsid w:val="001273DB"/>
    <w:rsid w:val="00127427"/>
    <w:rsid w:val="0012743A"/>
    <w:rsid w:val="00127460"/>
    <w:rsid w:val="00127608"/>
    <w:rsid w:val="0012768A"/>
    <w:rsid w:val="001276DE"/>
    <w:rsid w:val="00127701"/>
    <w:rsid w:val="001277B5"/>
    <w:rsid w:val="001277E0"/>
    <w:rsid w:val="0012798F"/>
    <w:rsid w:val="001279AD"/>
    <w:rsid w:val="00127A39"/>
    <w:rsid w:val="00127AC3"/>
    <w:rsid w:val="00127AC9"/>
    <w:rsid w:val="00127AEC"/>
    <w:rsid w:val="00127B55"/>
    <w:rsid w:val="00127B5C"/>
    <w:rsid w:val="00127BEC"/>
    <w:rsid w:val="00127C8C"/>
    <w:rsid w:val="00127D32"/>
    <w:rsid w:val="00127E66"/>
    <w:rsid w:val="00127E85"/>
    <w:rsid w:val="00127EF1"/>
    <w:rsid w:val="00127F0E"/>
    <w:rsid w:val="00127F0F"/>
    <w:rsid w:val="00127F71"/>
    <w:rsid w:val="00130084"/>
    <w:rsid w:val="001300A8"/>
    <w:rsid w:val="001300F8"/>
    <w:rsid w:val="00130177"/>
    <w:rsid w:val="0013029B"/>
    <w:rsid w:val="001302CD"/>
    <w:rsid w:val="00130348"/>
    <w:rsid w:val="001303A5"/>
    <w:rsid w:val="00130637"/>
    <w:rsid w:val="0013064B"/>
    <w:rsid w:val="001306B8"/>
    <w:rsid w:val="0013070D"/>
    <w:rsid w:val="001307A9"/>
    <w:rsid w:val="001307C2"/>
    <w:rsid w:val="00130813"/>
    <w:rsid w:val="00130827"/>
    <w:rsid w:val="001308EA"/>
    <w:rsid w:val="00130A4F"/>
    <w:rsid w:val="00130A7E"/>
    <w:rsid w:val="00130AB6"/>
    <w:rsid w:val="00130CA0"/>
    <w:rsid w:val="00130CA4"/>
    <w:rsid w:val="00130CC1"/>
    <w:rsid w:val="00130D2A"/>
    <w:rsid w:val="00130D32"/>
    <w:rsid w:val="00130D63"/>
    <w:rsid w:val="00130DE0"/>
    <w:rsid w:val="00130EB9"/>
    <w:rsid w:val="00130ECF"/>
    <w:rsid w:val="00130F77"/>
    <w:rsid w:val="00130FAD"/>
    <w:rsid w:val="00130FBB"/>
    <w:rsid w:val="00131067"/>
    <w:rsid w:val="00131199"/>
    <w:rsid w:val="00131297"/>
    <w:rsid w:val="0013130B"/>
    <w:rsid w:val="00131342"/>
    <w:rsid w:val="001313A9"/>
    <w:rsid w:val="0013148A"/>
    <w:rsid w:val="001314EA"/>
    <w:rsid w:val="0013158A"/>
    <w:rsid w:val="0013158F"/>
    <w:rsid w:val="001316E0"/>
    <w:rsid w:val="0013175A"/>
    <w:rsid w:val="0013183F"/>
    <w:rsid w:val="001319A7"/>
    <w:rsid w:val="00131A40"/>
    <w:rsid w:val="00131A52"/>
    <w:rsid w:val="00131A90"/>
    <w:rsid w:val="00131B31"/>
    <w:rsid w:val="00131BD9"/>
    <w:rsid w:val="00131C7A"/>
    <w:rsid w:val="00131D1B"/>
    <w:rsid w:val="00131D6C"/>
    <w:rsid w:val="00131D78"/>
    <w:rsid w:val="00131F34"/>
    <w:rsid w:val="00131F35"/>
    <w:rsid w:val="00131FAA"/>
    <w:rsid w:val="00131FAC"/>
    <w:rsid w:val="00131FCD"/>
    <w:rsid w:val="00131FE0"/>
    <w:rsid w:val="00132052"/>
    <w:rsid w:val="00132060"/>
    <w:rsid w:val="00132190"/>
    <w:rsid w:val="0013219D"/>
    <w:rsid w:val="00132273"/>
    <w:rsid w:val="0013228E"/>
    <w:rsid w:val="0013236C"/>
    <w:rsid w:val="00132429"/>
    <w:rsid w:val="001324C6"/>
    <w:rsid w:val="00132502"/>
    <w:rsid w:val="001325B4"/>
    <w:rsid w:val="001325B5"/>
    <w:rsid w:val="0013268F"/>
    <w:rsid w:val="0013283D"/>
    <w:rsid w:val="00132845"/>
    <w:rsid w:val="00132870"/>
    <w:rsid w:val="001328C2"/>
    <w:rsid w:val="00132956"/>
    <w:rsid w:val="00132966"/>
    <w:rsid w:val="0013297F"/>
    <w:rsid w:val="001329D8"/>
    <w:rsid w:val="00132A1A"/>
    <w:rsid w:val="00132B01"/>
    <w:rsid w:val="00132C74"/>
    <w:rsid w:val="00132C99"/>
    <w:rsid w:val="00132D63"/>
    <w:rsid w:val="00132D6D"/>
    <w:rsid w:val="00132E46"/>
    <w:rsid w:val="00132E55"/>
    <w:rsid w:val="00132F1C"/>
    <w:rsid w:val="00132F55"/>
    <w:rsid w:val="00133055"/>
    <w:rsid w:val="00133070"/>
    <w:rsid w:val="00133144"/>
    <w:rsid w:val="0013314E"/>
    <w:rsid w:val="00133188"/>
    <w:rsid w:val="00133192"/>
    <w:rsid w:val="00133210"/>
    <w:rsid w:val="00133233"/>
    <w:rsid w:val="001334E7"/>
    <w:rsid w:val="00133548"/>
    <w:rsid w:val="00133589"/>
    <w:rsid w:val="001335A8"/>
    <w:rsid w:val="00133660"/>
    <w:rsid w:val="001336B8"/>
    <w:rsid w:val="00133770"/>
    <w:rsid w:val="00133794"/>
    <w:rsid w:val="00133880"/>
    <w:rsid w:val="0013389B"/>
    <w:rsid w:val="00133986"/>
    <w:rsid w:val="00133AE5"/>
    <w:rsid w:val="00133D26"/>
    <w:rsid w:val="00133E37"/>
    <w:rsid w:val="00133F09"/>
    <w:rsid w:val="0013408E"/>
    <w:rsid w:val="0013414C"/>
    <w:rsid w:val="00134159"/>
    <w:rsid w:val="0013420E"/>
    <w:rsid w:val="0013433C"/>
    <w:rsid w:val="001343D4"/>
    <w:rsid w:val="0013442C"/>
    <w:rsid w:val="001344BC"/>
    <w:rsid w:val="0013453B"/>
    <w:rsid w:val="001346CA"/>
    <w:rsid w:val="0013482C"/>
    <w:rsid w:val="0013496D"/>
    <w:rsid w:val="0013497D"/>
    <w:rsid w:val="00134A06"/>
    <w:rsid w:val="00134A60"/>
    <w:rsid w:val="00134A7E"/>
    <w:rsid w:val="00134AF2"/>
    <w:rsid w:val="00134B35"/>
    <w:rsid w:val="00134B47"/>
    <w:rsid w:val="00134B48"/>
    <w:rsid w:val="00134BB8"/>
    <w:rsid w:val="00134C1E"/>
    <w:rsid w:val="00134C61"/>
    <w:rsid w:val="00134D1B"/>
    <w:rsid w:val="00134D55"/>
    <w:rsid w:val="00134E1F"/>
    <w:rsid w:val="00134E94"/>
    <w:rsid w:val="00135040"/>
    <w:rsid w:val="0013505E"/>
    <w:rsid w:val="0013514C"/>
    <w:rsid w:val="00135295"/>
    <w:rsid w:val="00135299"/>
    <w:rsid w:val="00135326"/>
    <w:rsid w:val="00135372"/>
    <w:rsid w:val="00135408"/>
    <w:rsid w:val="001354D5"/>
    <w:rsid w:val="001355F5"/>
    <w:rsid w:val="001356ED"/>
    <w:rsid w:val="00135774"/>
    <w:rsid w:val="0013580F"/>
    <w:rsid w:val="0013587A"/>
    <w:rsid w:val="001359DF"/>
    <w:rsid w:val="00135A09"/>
    <w:rsid w:val="00135AFB"/>
    <w:rsid w:val="00135B84"/>
    <w:rsid w:val="00135BB5"/>
    <w:rsid w:val="00135BEA"/>
    <w:rsid w:val="00135C25"/>
    <w:rsid w:val="00135C9A"/>
    <w:rsid w:val="00135CAE"/>
    <w:rsid w:val="00135D00"/>
    <w:rsid w:val="00135D27"/>
    <w:rsid w:val="00135D3A"/>
    <w:rsid w:val="00135E84"/>
    <w:rsid w:val="00135EB4"/>
    <w:rsid w:val="00135F74"/>
    <w:rsid w:val="00135FE4"/>
    <w:rsid w:val="001360CE"/>
    <w:rsid w:val="001360FA"/>
    <w:rsid w:val="0013622A"/>
    <w:rsid w:val="0013626F"/>
    <w:rsid w:val="0013650F"/>
    <w:rsid w:val="0013656A"/>
    <w:rsid w:val="00136575"/>
    <w:rsid w:val="001365B9"/>
    <w:rsid w:val="001365DA"/>
    <w:rsid w:val="001366D3"/>
    <w:rsid w:val="00136791"/>
    <w:rsid w:val="00136796"/>
    <w:rsid w:val="001368FD"/>
    <w:rsid w:val="00136909"/>
    <w:rsid w:val="0013695B"/>
    <w:rsid w:val="0013699E"/>
    <w:rsid w:val="00136A81"/>
    <w:rsid w:val="00136B28"/>
    <w:rsid w:val="00136B94"/>
    <w:rsid w:val="00136CF4"/>
    <w:rsid w:val="00136D2C"/>
    <w:rsid w:val="00136DDF"/>
    <w:rsid w:val="00136EEB"/>
    <w:rsid w:val="00136FBE"/>
    <w:rsid w:val="001370A4"/>
    <w:rsid w:val="00137108"/>
    <w:rsid w:val="001371CF"/>
    <w:rsid w:val="001373BA"/>
    <w:rsid w:val="001373E2"/>
    <w:rsid w:val="00137408"/>
    <w:rsid w:val="001374CF"/>
    <w:rsid w:val="001374EC"/>
    <w:rsid w:val="001375B0"/>
    <w:rsid w:val="001375C5"/>
    <w:rsid w:val="001375ED"/>
    <w:rsid w:val="00137634"/>
    <w:rsid w:val="0013771A"/>
    <w:rsid w:val="0013784D"/>
    <w:rsid w:val="001378E2"/>
    <w:rsid w:val="00137BC1"/>
    <w:rsid w:val="00137BDA"/>
    <w:rsid w:val="00137D16"/>
    <w:rsid w:val="00137D2E"/>
    <w:rsid w:val="00137E0C"/>
    <w:rsid w:val="00137E2D"/>
    <w:rsid w:val="00137F6D"/>
    <w:rsid w:val="00137F7E"/>
    <w:rsid w:val="00137F8B"/>
    <w:rsid w:val="00140110"/>
    <w:rsid w:val="00140168"/>
    <w:rsid w:val="0014016E"/>
    <w:rsid w:val="0014025F"/>
    <w:rsid w:val="001403AC"/>
    <w:rsid w:val="001403D4"/>
    <w:rsid w:val="001403E4"/>
    <w:rsid w:val="001404D5"/>
    <w:rsid w:val="00140603"/>
    <w:rsid w:val="00140633"/>
    <w:rsid w:val="001406E3"/>
    <w:rsid w:val="001407D7"/>
    <w:rsid w:val="001407F1"/>
    <w:rsid w:val="0014091B"/>
    <w:rsid w:val="001409C6"/>
    <w:rsid w:val="00140A4B"/>
    <w:rsid w:val="00140A62"/>
    <w:rsid w:val="00140AC6"/>
    <w:rsid w:val="00140C22"/>
    <w:rsid w:val="00140DF1"/>
    <w:rsid w:val="00140E4C"/>
    <w:rsid w:val="00140E7D"/>
    <w:rsid w:val="00140E8D"/>
    <w:rsid w:val="00140EE3"/>
    <w:rsid w:val="0014105B"/>
    <w:rsid w:val="001410DC"/>
    <w:rsid w:val="001410FF"/>
    <w:rsid w:val="0014123E"/>
    <w:rsid w:val="00141269"/>
    <w:rsid w:val="001412CA"/>
    <w:rsid w:val="00141394"/>
    <w:rsid w:val="001413FD"/>
    <w:rsid w:val="00141480"/>
    <w:rsid w:val="001414C6"/>
    <w:rsid w:val="0014167B"/>
    <w:rsid w:val="00141722"/>
    <w:rsid w:val="001417D6"/>
    <w:rsid w:val="001417DD"/>
    <w:rsid w:val="0014183B"/>
    <w:rsid w:val="00141894"/>
    <w:rsid w:val="0014194A"/>
    <w:rsid w:val="00141997"/>
    <w:rsid w:val="001419C1"/>
    <w:rsid w:val="00141A6D"/>
    <w:rsid w:val="00141A9A"/>
    <w:rsid w:val="00141AB5"/>
    <w:rsid w:val="00141C5A"/>
    <w:rsid w:val="00141D3F"/>
    <w:rsid w:val="00141DAA"/>
    <w:rsid w:val="00141DEF"/>
    <w:rsid w:val="00141EBC"/>
    <w:rsid w:val="00141F4C"/>
    <w:rsid w:val="00141F65"/>
    <w:rsid w:val="0014212C"/>
    <w:rsid w:val="001421B1"/>
    <w:rsid w:val="001421BD"/>
    <w:rsid w:val="001421F9"/>
    <w:rsid w:val="001422A6"/>
    <w:rsid w:val="001422F3"/>
    <w:rsid w:val="001424E3"/>
    <w:rsid w:val="00142528"/>
    <w:rsid w:val="0014267C"/>
    <w:rsid w:val="00142693"/>
    <w:rsid w:val="001426B7"/>
    <w:rsid w:val="001426B8"/>
    <w:rsid w:val="001426D2"/>
    <w:rsid w:val="0014273A"/>
    <w:rsid w:val="0014279C"/>
    <w:rsid w:val="001427C1"/>
    <w:rsid w:val="00142817"/>
    <w:rsid w:val="00142851"/>
    <w:rsid w:val="00142878"/>
    <w:rsid w:val="001428AF"/>
    <w:rsid w:val="001429A0"/>
    <w:rsid w:val="00142A40"/>
    <w:rsid w:val="00142B35"/>
    <w:rsid w:val="00142BBA"/>
    <w:rsid w:val="00142C6C"/>
    <w:rsid w:val="00142C7D"/>
    <w:rsid w:val="00142CAC"/>
    <w:rsid w:val="00142D90"/>
    <w:rsid w:val="00142E9B"/>
    <w:rsid w:val="001430E3"/>
    <w:rsid w:val="0014322F"/>
    <w:rsid w:val="00143287"/>
    <w:rsid w:val="001432AD"/>
    <w:rsid w:val="00143339"/>
    <w:rsid w:val="0014334E"/>
    <w:rsid w:val="0014345A"/>
    <w:rsid w:val="0014345E"/>
    <w:rsid w:val="00143469"/>
    <w:rsid w:val="00143500"/>
    <w:rsid w:val="00143529"/>
    <w:rsid w:val="00143596"/>
    <w:rsid w:val="0014381B"/>
    <w:rsid w:val="00143906"/>
    <w:rsid w:val="00143951"/>
    <w:rsid w:val="0014398B"/>
    <w:rsid w:val="001439D5"/>
    <w:rsid w:val="00143D08"/>
    <w:rsid w:val="00143D51"/>
    <w:rsid w:val="00143EA6"/>
    <w:rsid w:val="00143ED2"/>
    <w:rsid w:val="00143ED8"/>
    <w:rsid w:val="00143F9B"/>
    <w:rsid w:val="00143F9E"/>
    <w:rsid w:val="00143FC7"/>
    <w:rsid w:val="0014409E"/>
    <w:rsid w:val="00144311"/>
    <w:rsid w:val="0014439F"/>
    <w:rsid w:val="001443A5"/>
    <w:rsid w:val="001443B0"/>
    <w:rsid w:val="00144456"/>
    <w:rsid w:val="00144467"/>
    <w:rsid w:val="0014457D"/>
    <w:rsid w:val="001445FF"/>
    <w:rsid w:val="00144715"/>
    <w:rsid w:val="001447B6"/>
    <w:rsid w:val="001447E0"/>
    <w:rsid w:val="00144845"/>
    <w:rsid w:val="00144849"/>
    <w:rsid w:val="001448F4"/>
    <w:rsid w:val="0014490D"/>
    <w:rsid w:val="00144986"/>
    <w:rsid w:val="00144A29"/>
    <w:rsid w:val="00144A86"/>
    <w:rsid w:val="00144BEA"/>
    <w:rsid w:val="00144C08"/>
    <w:rsid w:val="00144C7B"/>
    <w:rsid w:val="00144EA2"/>
    <w:rsid w:val="00144F00"/>
    <w:rsid w:val="00144F4C"/>
    <w:rsid w:val="0014504F"/>
    <w:rsid w:val="0014509F"/>
    <w:rsid w:val="00145101"/>
    <w:rsid w:val="001451FC"/>
    <w:rsid w:val="0014522C"/>
    <w:rsid w:val="00145231"/>
    <w:rsid w:val="001452C7"/>
    <w:rsid w:val="00145347"/>
    <w:rsid w:val="0014538E"/>
    <w:rsid w:val="00145394"/>
    <w:rsid w:val="0014541C"/>
    <w:rsid w:val="0014555E"/>
    <w:rsid w:val="001455C2"/>
    <w:rsid w:val="001457AB"/>
    <w:rsid w:val="001457CA"/>
    <w:rsid w:val="0014583F"/>
    <w:rsid w:val="0014593D"/>
    <w:rsid w:val="001459EE"/>
    <w:rsid w:val="001459F1"/>
    <w:rsid w:val="00145A02"/>
    <w:rsid w:val="00145A47"/>
    <w:rsid w:val="00145B9C"/>
    <w:rsid w:val="00145C39"/>
    <w:rsid w:val="00145C4C"/>
    <w:rsid w:val="00145C4E"/>
    <w:rsid w:val="00145C83"/>
    <w:rsid w:val="00145D37"/>
    <w:rsid w:val="00145D87"/>
    <w:rsid w:val="00145D92"/>
    <w:rsid w:val="00145F1F"/>
    <w:rsid w:val="00145F8B"/>
    <w:rsid w:val="0014638D"/>
    <w:rsid w:val="001463F9"/>
    <w:rsid w:val="0014646E"/>
    <w:rsid w:val="0014647B"/>
    <w:rsid w:val="00146503"/>
    <w:rsid w:val="00146794"/>
    <w:rsid w:val="001467E1"/>
    <w:rsid w:val="0014684D"/>
    <w:rsid w:val="00146989"/>
    <w:rsid w:val="001469F5"/>
    <w:rsid w:val="00146A33"/>
    <w:rsid w:val="00146A87"/>
    <w:rsid w:val="00146C1F"/>
    <w:rsid w:val="00146C4C"/>
    <w:rsid w:val="00146C61"/>
    <w:rsid w:val="00146CDE"/>
    <w:rsid w:val="00146CEE"/>
    <w:rsid w:val="00146DC9"/>
    <w:rsid w:val="00146E08"/>
    <w:rsid w:val="00146E77"/>
    <w:rsid w:val="00146EA3"/>
    <w:rsid w:val="00146F48"/>
    <w:rsid w:val="00146FA7"/>
    <w:rsid w:val="001471D3"/>
    <w:rsid w:val="0014727F"/>
    <w:rsid w:val="001472C0"/>
    <w:rsid w:val="001473D4"/>
    <w:rsid w:val="00147474"/>
    <w:rsid w:val="00147488"/>
    <w:rsid w:val="00147550"/>
    <w:rsid w:val="00147619"/>
    <w:rsid w:val="00147699"/>
    <w:rsid w:val="001476B5"/>
    <w:rsid w:val="001476BD"/>
    <w:rsid w:val="001476D6"/>
    <w:rsid w:val="0014770D"/>
    <w:rsid w:val="0014771C"/>
    <w:rsid w:val="001477FC"/>
    <w:rsid w:val="00147998"/>
    <w:rsid w:val="001479D1"/>
    <w:rsid w:val="00147B32"/>
    <w:rsid w:val="00147CE7"/>
    <w:rsid w:val="00147D57"/>
    <w:rsid w:val="00147DFB"/>
    <w:rsid w:val="00147E56"/>
    <w:rsid w:val="00147EC7"/>
    <w:rsid w:val="001501E8"/>
    <w:rsid w:val="0015020A"/>
    <w:rsid w:val="00150232"/>
    <w:rsid w:val="00150244"/>
    <w:rsid w:val="001503C4"/>
    <w:rsid w:val="00150404"/>
    <w:rsid w:val="00150446"/>
    <w:rsid w:val="001504C8"/>
    <w:rsid w:val="001506CC"/>
    <w:rsid w:val="001506DB"/>
    <w:rsid w:val="00150710"/>
    <w:rsid w:val="0015093E"/>
    <w:rsid w:val="00150998"/>
    <w:rsid w:val="001509B0"/>
    <w:rsid w:val="00150A70"/>
    <w:rsid w:val="00150A87"/>
    <w:rsid w:val="00150B41"/>
    <w:rsid w:val="00150C25"/>
    <w:rsid w:val="00150CC4"/>
    <w:rsid w:val="00150CD0"/>
    <w:rsid w:val="00150DEA"/>
    <w:rsid w:val="00150DF7"/>
    <w:rsid w:val="00150E64"/>
    <w:rsid w:val="00150E97"/>
    <w:rsid w:val="001510D2"/>
    <w:rsid w:val="001510D3"/>
    <w:rsid w:val="001512AA"/>
    <w:rsid w:val="00151356"/>
    <w:rsid w:val="00151377"/>
    <w:rsid w:val="00151441"/>
    <w:rsid w:val="00151452"/>
    <w:rsid w:val="00151456"/>
    <w:rsid w:val="0015158B"/>
    <w:rsid w:val="00151592"/>
    <w:rsid w:val="001515B5"/>
    <w:rsid w:val="00151659"/>
    <w:rsid w:val="0015185E"/>
    <w:rsid w:val="00151880"/>
    <w:rsid w:val="0015188F"/>
    <w:rsid w:val="001518DB"/>
    <w:rsid w:val="00151917"/>
    <w:rsid w:val="00151935"/>
    <w:rsid w:val="00151A19"/>
    <w:rsid w:val="00151B02"/>
    <w:rsid w:val="00151B1A"/>
    <w:rsid w:val="00151C45"/>
    <w:rsid w:val="00151C88"/>
    <w:rsid w:val="00151E0B"/>
    <w:rsid w:val="00151E23"/>
    <w:rsid w:val="00151EBD"/>
    <w:rsid w:val="0015203B"/>
    <w:rsid w:val="00152088"/>
    <w:rsid w:val="001520BD"/>
    <w:rsid w:val="00152149"/>
    <w:rsid w:val="00152264"/>
    <w:rsid w:val="0015226A"/>
    <w:rsid w:val="001523DB"/>
    <w:rsid w:val="001524BC"/>
    <w:rsid w:val="00152542"/>
    <w:rsid w:val="001525D3"/>
    <w:rsid w:val="00152629"/>
    <w:rsid w:val="0015262A"/>
    <w:rsid w:val="00152671"/>
    <w:rsid w:val="001526AE"/>
    <w:rsid w:val="001526E8"/>
    <w:rsid w:val="001527D9"/>
    <w:rsid w:val="0015282B"/>
    <w:rsid w:val="00152887"/>
    <w:rsid w:val="00152902"/>
    <w:rsid w:val="00152989"/>
    <w:rsid w:val="00152A2B"/>
    <w:rsid w:val="00152A89"/>
    <w:rsid w:val="00152AE3"/>
    <w:rsid w:val="00152B60"/>
    <w:rsid w:val="00152C17"/>
    <w:rsid w:val="00152C55"/>
    <w:rsid w:val="00152DA0"/>
    <w:rsid w:val="00152DF1"/>
    <w:rsid w:val="00152E2D"/>
    <w:rsid w:val="00152F31"/>
    <w:rsid w:val="0015304F"/>
    <w:rsid w:val="001530AC"/>
    <w:rsid w:val="001530F3"/>
    <w:rsid w:val="0015324B"/>
    <w:rsid w:val="00153250"/>
    <w:rsid w:val="00153271"/>
    <w:rsid w:val="001532CC"/>
    <w:rsid w:val="001533F0"/>
    <w:rsid w:val="00153403"/>
    <w:rsid w:val="00153437"/>
    <w:rsid w:val="00153439"/>
    <w:rsid w:val="00153522"/>
    <w:rsid w:val="00153585"/>
    <w:rsid w:val="001536AE"/>
    <w:rsid w:val="00153749"/>
    <w:rsid w:val="0015377A"/>
    <w:rsid w:val="0015378C"/>
    <w:rsid w:val="001537ED"/>
    <w:rsid w:val="0015384A"/>
    <w:rsid w:val="0015384B"/>
    <w:rsid w:val="00153882"/>
    <w:rsid w:val="001538BB"/>
    <w:rsid w:val="001538E3"/>
    <w:rsid w:val="001538EF"/>
    <w:rsid w:val="00153A0D"/>
    <w:rsid w:val="00153A70"/>
    <w:rsid w:val="00153B0F"/>
    <w:rsid w:val="00153B1A"/>
    <w:rsid w:val="00153B29"/>
    <w:rsid w:val="00153BCF"/>
    <w:rsid w:val="00153BF8"/>
    <w:rsid w:val="00153C50"/>
    <w:rsid w:val="00153C5E"/>
    <w:rsid w:val="00153CC9"/>
    <w:rsid w:val="00153E46"/>
    <w:rsid w:val="00153E69"/>
    <w:rsid w:val="00153F62"/>
    <w:rsid w:val="00153F8F"/>
    <w:rsid w:val="00153F98"/>
    <w:rsid w:val="00153FD9"/>
    <w:rsid w:val="00154022"/>
    <w:rsid w:val="00154071"/>
    <w:rsid w:val="00154189"/>
    <w:rsid w:val="001541A0"/>
    <w:rsid w:val="0015421E"/>
    <w:rsid w:val="0015425F"/>
    <w:rsid w:val="0015426B"/>
    <w:rsid w:val="00154283"/>
    <w:rsid w:val="001542BB"/>
    <w:rsid w:val="00154339"/>
    <w:rsid w:val="00154495"/>
    <w:rsid w:val="001544EE"/>
    <w:rsid w:val="0015454A"/>
    <w:rsid w:val="001545AB"/>
    <w:rsid w:val="001546E7"/>
    <w:rsid w:val="0015486F"/>
    <w:rsid w:val="00154876"/>
    <w:rsid w:val="0015487F"/>
    <w:rsid w:val="00154946"/>
    <w:rsid w:val="00154977"/>
    <w:rsid w:val="00154B05"/>
    <w:rsid w:val="00154BEC"/>
    <w:rsid w:val="00154C30"/>
    <w:rsid w:val="00154D20"/>
    <w:rsid w:val="00154D38"/>
    <w:rsid w:val="00154EA0"/>
    <w:rsid w:val="00154F74"/>
    <w:rsid w:val="00155021"/>
    <w:rsid w:val="0015504D"/>
    <w:rsid w:val="00155080"/>
    <w:rsid w:val="00155095"/>
    <w:rsid w:val="001550F8"/>
    <w:rsid w:val="00155169"/>
    <w:rsid w:val="00155237"/>
    <w:rsid w:val="0015530F"/>
    <w:rsid w:val="00155415"/>
    <w:rsid w:val="0015547D"/>
    <w:rsid w:val="001554A5"/>
    <w:rsid w:val="00155550"/>
    <w:rsid w:val="0015568B"/>
    <w:rsid w:val="001556B5"/>
    <w:rsid w:val="001556B9"/>
    <w:rsid w:val="001556D3"/>
    <w:rsid w:val="001556FD"/>
    <w:rsid w:val="0015577E"/>
    <w:rsid w:val="0015593C"/>
    <w:rsid w:val="00155AB6"/>
    <w:rsid w:val="00155AD6"/>
    <w:rsid w:val="00155BAB"/>
    <w:rsid w:val="00155C4C"/>
    <w:rsid w:val="00155C83"/>
    <w:rsid w:val="00155C9D"/>
    <w:rsid w:val="00155F29"/>
    <w:rsid w:val="00155F63"/>
    <w:rsid w:val="00155FC1"/>
    <w:rsid w:val="00156026"/>
    <w:rsid w:val="00156170"/>
    <w:rsid w:val="001561FE"/>
    <w:rsid w:val="0015631D"/>
    <w:rsid w:val="00156330"/>
    <w:rsid w:val="001563F6"/>
    <w:rsid w:val="00156539"/>
    <w:rsid w:val="00156581"/>
    <w:rsid w:val="001566DB"/>
    <w:rsid w:val="001566E0"/>
    <w:rsid w:val="001566F7"/>
    <w:rsid w:val="001567E8"/>
    <w:rsid w:val="00156883"/>
    <w:rsid w:val="001568AB"/>
    <w:rsid w:val="001568D4"/>
    <w:rsid w:val="001568EE"/>
    <w:rsid w:val="001569C5"/>
    <w:rsid w:val="00156D53"/>
    <w:rsid w:val="00156E16"/>
    <w:rsid w:val="00156EF3"/>
    <w:rsid w:val="00156F91"/>
    <w:rsid w:val="001570E4"/>
    <w:rsid w:val="00157131"/>
    <w:rsid w:val="001572AB"/>
    <w:rsid w:val="001572AF"/>
    <w:rsid w:val="0015732A"/>
    <w:rsid w:val="001574BF"/>
    <w:rsid w:val="0015752E"/>
    <w:rsid w:val="001575C9"/>
    <w:rsid w:val="00157605"/>
    <w:rsid w:val="0015763D"/>
    <w:rsid w:val="001576E2"/>
    <w:rsid w:val="00157735"/>
    <w:rsid w:val="00157761"/>
    <w:rsid w:val="0015779D"/>
    <w:rsid w:val="001577FF"/>
    <w:rsid w:val="001578A2"/>
    <w:rsid w:val="00157A76"/>
    <w:rsid w:val="00157B5C"/>
    <w:rsid w:val="00157B65"/>
    <w:rsid w:val="00157B8A"/>
    <w:rsid w:val="00157C31"/>
    <w:rsid w:val="00157D19"/>
    <w:rsid w:val="00157D2F"/>
    <w:rsid w:val="00157D63"/>
    <w:rsid w:val="00157D66"/>
    <w:rsid w:val="00157DBB"/>
    <w:rsid w:val="00157E49"/>
    <w:rsid w:val="00157EF8"/>
    <w:rsid w:val="00157F65"/>
    <w:rsid w:val="00157FF9"/>
    <w:rsid w:val="0016006F"/>
    <w:rsid w:val="001601DC"/>
    <w:rsid w:val="00160287"/>
    <w:rsid w:val="00160288"/>
    <w:rsid w:val="0016040D"/>
    <w:rsid w:val="00160459"/>
    <w:rsid w:val="00160519"/>
    <w:rsid w:val="00160537"/>
    <w:rsid w:val="0016058B"/>
    <w:rsid w:val="001606F4"/>
    <w:rsid w:val="001607CD"/>
    <w:rsid w:val="00160891"/>
    <w:rsid w:val="001608C8"/>
    <w:rsid w:val="00160963"/>
    <w:rsid w:val="0016098F"/>
    <w:rsid w:val="00160BC1"/>
    <w:rsid w:val="00160C05"/>
    <w:rsid w:val="00160CBB"/>
    <w:rsid w:val="00160D54"/>
    <w:rsid w:val="00160D9B"/>
    <w:rsid w:val="00160EB3"/>
    <w:rsid w:val="00160F20"/>
    <w:rsid w:val="00160F31"/>
    <w:rsid w:val="00160F87"/>
    <w:rsid w:val="0016128B"/>
    <w:rsid w:val="001612F5"/>
    <w:rsid w:val="00161323"/>
    <w:rsid w:val="0016132A"/>
    <w:rsid w:val="00161435"/>
    <w:rsid w:val="001615A2"/>
    <w:rsid w:val="00161610"/>
    <w:rsid w:val="001616C3"/>
    <w:rsid w:val="001617CB"/>
    <w:rsid w:val="001617E2"/>
    <w:rsid w:val="001617E7"/>
    <w:rsid w:val="001617F3"/>
    <w:rsid w:val="00161993"/>
    <w:rsid w:val="00161994"/>
    <w:rsid w:val="00161C72"/>
    <w:rsid w:val="00161CD9"/>
    <w:rsid w:val="00161D0C"/>
    <w:rsid w:val="00161D90"/>
    <w:rsid w:val="00161DA0"/>
    <w:rsid w:val="00161E1B"/>
    <w:rsid w:val="00161E88"/>
    <w:rsid w:val="00162046"/>
    <w:rsid w:val="00162101"/>
    <w:rsid w:val="00162262"/>
    <w:rsid w:val="001622E0"/>
    <w:rsid w:val="0016231D"/>
    <w:rsid w:val="0016232C"/>
    <w:rsid w:val="00162336"/>
    <w:rsid w:val="00162380"/>
    <w:rsid w:val="00162392"/>
    <w:rsid w:val="00162404"/>
    <w:rsid w:val="0016246D"/>
    <w:rsid w:val="001624B1"/>
    <w:rsid w:val="001624D4"/>
    <w:rsid w:val="001624D9"/>
    <w:rsid w:val="001624E4"/>
    <w:rsid w:val="00162590"/>
    <w:rsid w:val="001625AB"/>
    <w:rsid w:val="001625D3"/>
    <w:rsid w:val="00162610"/>
    <w:rsid w:val="0016273E"/>
    <w:rsid w:val="001628C3"/>
    <w:rsid w:val="00162AB2"/>
    <w:rsid w:val="00162B4E"/>
    <w:rsid w:val="00162BE2"/>
    <w:rsid w:val="00162C76"/>
    <w:rsid w:val="00162CCC"/>
    <w:rsid w:val="00162D1C"/>
    <w:rsid w:val="00162D5C"/>
    <w:rsid w:val="00162DBA"/>
    <w:rsid w:val="00162DDE"/>
    <w:rsid w:val="00162DEF"/>
    <w:rsid w:val="00162EAC"/>
    <w:rsid w:val="00163127"/>
    <w:rsid w:val="00163178"/>
    <w:rsid w:val="00163189"/>
    <w:rsid w:val="0016334D"/>
    <w:rsid w:val="0016336A"/>
    <w:rsid w:val="0016346C"/>
    <w:rsid w:val="0016349A"/>
    <w:rsid w:val="0016353E"/>
    <w:rsid w:val="00163560"/>
    <w:rsid w:val="001635AF"/>
    <w:rsid w:val="001635B2"/>
    <w:rsid w:val="001635DB"/>
    <w:rsid w:val="001636DD"/>
    <w:rsid w:val="00163739"/>
    <w:rsid w:val="001637B5"/>
    <w:rsid w:val="00163880"/>
    <w:rsid w:val="00163943"/>
    <w:rsid w:val="001639BC"/>
    <w:rsid w:val="001639C6"/>
    <w:rsid w:val="00163A39"/>
    <w:rsid w:val="00163A3F"/>
    <w:rsid w:val="00163A86"/>
    <w:rsid w:val="00163AAC"/>
    <w:rsid w:val="00163B06"/>
    <w:rsid w:val="00163B65"/>
    <w:rsid w:val="00163B80"/>
    <w:rsid w:val="00163B9D"/>
    <w:rsid w:val="00163C53"/>
    <w:rsid w:val="00163CA3"/>
    <w:rsid w:val="00163E5B"/>
    <w:rsid w:val="00163F61"/>
    <w:rsid w:val="00163FE1"/>
    <w:rsid w:val="00164084"/>
    <w:rsid w:val="001640D0"/>
    <w:rsid w:val="0016413D"/>
    <w:rsid w:val="001641F3"/>
    <w:rsid w:val="001641F5"/>
    <w:rsid w:val="00164223"/>
    <w:rsid w:val="0016427C"/>
    <w:rsid w:val="00164344"/>
    <w:rsid w:val="0016434E"/>
    <w:rsid w:val="00164449"/>
    <w:rsid w:val="001644B3"/>
    <w:rsid w:val="00164515"/>
    <w:rsid w:val="00164588"/>
    <w:rsid w:val="00164650"/>
    <w:rsid w:val="001646DD"/>
    <w:rsid w:val="001647FF"/>
    <w:rsid w:val="0016489C"/>
    <w:rsid w:val="001648AE"/>
    <w:rsid w:val="0016498B"/>
    <w:rsid w:val="00164A81"/>
    <w:rsid w:val="00164AF4"/>
    <w:rsid w:val="00164B4E"/>
    <w:rsid w:val="00164BBF"/>
    <w:rsid w:val="00164CE4"/>
    <w:rsid w:val="00164DA9"/>
    <w:rsid w:val="00164E44"/>
    <w:rsid w:val="00164FE3"/>
    <w:rsid w:val="00165088"/>
    <w:rsid w:val="001650AE"/>
    <w:rsid w:val="001651E7"/>
    <w:rsid w:val="001652B0"/>
    <w:rsid w:val="001653F5"/>
    <w:rsid w:val="0016541A"/>
    <w:rsid w:val="001654AF"/>
    <w:rsid w:val="0016550C"/>
    <w:rsid w:val="001656D9"/>
    <w:rsid w:val="0016570D"/>
    <w:rsid w:val="0016574B"/>
    <w:rsid w:val="001657BC"/>
    <w:rsid w:val="001658B7"/>
    <w:rsid w:val="00165988"/>
    <w:rsid w:val="00165A04"/>
    <w:rsid w:val="00165AD0"/>
    <w:rsid w:val="00165CB2"/>
    <w:rsid w:val="00165D88"/>
    <w:rsid w:val="00165D8F"/>
    <w:rsid w:val="00165DE0"/>
    <w:rsid w:val="00165F1A"/>
    <w:rsid w:val="00165FCA"/>
    <w:rsid w:val="00166087"/>
    <w:rsid w:val="001660B3"/>
    <w:rsid w:val="001660C3"/>
    <w:rsid w:val="00166109"/>
    <w:rsid w:val="00166159"/>
    <w:rsid w:val="001661C4"/>
    <w:rsid w:val="00166221"/>
    <w:rsid w:val="00166286"/>
    <w:rsid w:val="001662B9"/>
    <w:rsid w:val="00166364"/>
    <w:rsid w:val="0016663A"/>
    <w:rsid w:val="00166673"/>
    <w:rsid w:val="001666E1"/>
    <w:rsid w:val="00166728"/>
    <w:rsid w:val="0016673A"/>
    <w:rsid w:val="00166761"/>
    <w:rsid w:val="0016677D"/>
    <w:rsid w:val="00166924"/>
    <w:rsid w:val="001669FB"/>
    <w:rsid w:val="00166A17"/>
    <w:rsid w:val="00166A36"/>
    <w:rsid w:val="00166A43"/>
    <w:rsid w:val="00166A95"/>
    <w:rsid w:val="00166AE2"/>
    <w:rsid w:val="00166AE7"/>
    <w:rsid w:val="00166BFD"/>
    <w:rsid w:val="00166C72"/>
    <w:rsid w:val="00166FD3"/>
    <w:rsid w:val="0016710D"/>
    <w:rsid w:val="0016711A"/>
    <w:rsid w:val="00167196"/>
    <w:rsid w:val="0016719B"/>
    <w:rsid w:val="0016720D"/>
    <w:rsid w:val="00167212"/>
    <w:rsid w:val="00167301"/>
    <w:rsid w:val="00167343"/>
    <w:rsid w:val="0016738A"/>
    <w:rsid w:val="00167420"/>
    <w:rsid w:val="0016742F"/>
    <w:rsid w:val="0016751D"/>
    <w:rsid w:val="0016756A"/>
    <w:rsid w:val="001675E5"/>
    <w:rsid w:val="0016760F"/>
    <w:rsid w:val="00167621"/>
    <w:rsid w:val="00167830"/>
    <w:rsid w:val="0016786A"/>
    <w:rsid w:val="001678DE"/>
    <w:rsid w:val="0016791B"/>
    <w:rsid w:val="00167979"/>
    <w:rsid w:val="001679B0"/>
    <w:rsid w:val="00167A9F"/>
    <w:rsid w:val="00167BAA"/>
    <w:rsid w:val="00167DE1"/>
    <w:rsid w:val="00167E9A"/>
    <w:rsid w:val="00167F10"/>
    <w:rsid w:val="00167F27"/>
    <w:rsid w:val="00167F28"/>
    <w:rsid w:val="00167F53"/>
    <w:rsid w:val="00167FD0"/>
    <w:rsid w:val="0017001C"/>
    <w:rsid w:val="00170095"/>
    <w:rsid w:val="001700A7"/>
    <w:rsid w:val="001700E1"/>
    <w:rsid w:val="00170206"/>
    <w:rsid w:val="001702A6"/>
    <w:rsid w:val="001702B2"/>
    <w:rsid w:val="001702B9"/>
    <w:rsid w:val="00170323"/>
    <w:rsid w:val="00170417"/>
    <w:rsid w:val="0017041A"/>
    <w:rsid w:val="00170437"/>
    <w:rsid w:val="00170501"/>
    <w:rsid w:val="0017054B"/>
    <w:rsid w:val="0017063F"/>
    <w:rsid w:val="001707DD"/>
    <w:rsid w:val="00170954"/>
    <w:rsid w:val="00170966"/>
    <w:rsid w:val="00170996"/>
    <w:rsid w:val="001709F2"/>
    <w:rsid w:val="00170A91"/>
    <w:rsid w:val="00170ABE"/>
    <w:rsid w:val="00170BF8"/>
    <w:rsid w:val="00170C9B"/>
    <w:rsid w:val="00170D79"/>
    <w:rsid w:val="00170E81"/>
    <w:rsid w:val="00170EB8"/>
    <w:rsid w:val="00171070"/>
    <w:rsid w:val="00171107"/>
    <w:rsid w:val="0017113A"/>
    <w:rsid w:val="001711C4"/>
    <w:rsid w:val="001711CA"/>
    <w:rsid w:val="00171397"/>
    <w:rsid w:val="0017142F"/>
    <w:rsid w:val="001714C0"/>
    <w:rsid w:val="001714F7"/>
    <w:rsid w:val="00171632"/>
    <w:rsid w:val="00171692"/>
    <w:rsid w:val="00171865"/>
    <w:rsid w:val="001718C0"/>
    <w:rsid w:val="00171919"/>
    <w:rsid w:val="00171936"/>
    <w:rsid w:val="0017195D"/>
    <w:rsid w:val="00171AEE"/>
    <w:rsid w:val="00171BAB"/>
    <w:rsid w:val="00171BDB"/>
    <w:rsid w:val="00171C1A"/>
    <w:rsid w:val="00171C3D"/>
    <w:rsid w:val="00171D2D"/>
    <w:rsid w:val="00171E40"/>
    <w:rsid w:val="00171E47"/>
    <w:rsid w:val="00171E8B"/>
    <w:rsid w:val="00171EF4"/>
    <w:rsid w:val="00171F32"/>
    <w:rsid w:val="00171F5D"/>
    <w:rsid w:val="00171FDA"/>
    <w:rsid w:val="0017211C"/>
    <w:rsid w:val="0017213C"/>
    <w:rsid w:val="00172173"/>
    <w:rsid w:val="00172185"/>
    <w:rsid w:val="001721CC"/>
    <w:rsid w:val="001721F3"/>
    <w:rsid w:val="0017227A"/>
    <w:rsid w:val="00172372"/>
    <w:rsid w:val="0017244E"/>
    <w:rsid w:val="001725E0"/>
    <w:rsid w:val="001726FC"/>
    <w:rsid w:val="001726FE"/>
    <w:rsid w:val="00172833"/>
    <w:rsid w:val="00172873"/>
    <w:rsid w:val="0017288A"/>
    <w:rsid w:val="00172963"/>
    <w:rsid w:val="001729C9"/>
    <w:rsid w:val="001729E0"/>
    <w:rsid w:val="001729F7"/>
    <w:rsid w:val="00172AF7"/>
    <w:rsid w:val="00172BED"/>
    <w:rsid w:val="00172CE4"/>
    <w:rsid w:val="00172D84"/>
    <w:rsid w:val="00172DA2"/>
    <w:rsid w:val="00172E36"/>
    <w:rsid w:val="00172E9C"/>
    <w:rsid w:val="00172F4E"/>
    <w:rsid w:val="00173103"/>
    <w:rsid w:val="0017319A"/>
    <w:rsid w:val="001731C8"/>
    <w:rsid w:val="001731FF"/>
    <w:rsid w:val="00173211"/>
    <w:rsid w:val="001732C2"/>
    <w:rsid w:val="001732C4"/>
    <w:rsid w:val="001732E3"/>
    <w:rsid w:val="0017332D"/>
    <w:rsid w:val="001733DD"/>
    <w:rsid w:val="00173638"/>
    <w:rsid w:val="00173660"/>
    <w:rsid w:val="00173689"/>
    <w:rsid w:val="001736AF"/>
    <w:rsid w:val="001736B7"/>
    <w:rsid w:val="00173743"/>
    <w:rsid w:val="00173960"/>
    <w:rsid w:val="00173B6C"/>
    <w:rsid w:val="00173C80"/>
    <w:rsid w:val="00173D45"/>
    <w:rsid w:val="00173DE7"/>
    <w:rsid w:val="00173EBD"/>
    <w:rsid w:val="00173F13"/>
    <w:rsid w:val="00174012"/>
    <w:rsid w:val="00174019"/>
    <w:rsid w:val="00174053"/>
    <w:rsid w:val="0017405A"/>
    <w:rsid w:val="00174165"/>
    <w:rsid w:val="0017418B"/>
    <w:rsid w:val="001741BB"/>
    <w:rsid w:val="001741FE"/>
    <w:rsid w:val="00174290"/>
    <w:rsid w:val="001742EB"/>
    <w:rsid w:val="00174316"/>
    <w:rsid w:val="001743A7"/>
    <w:rsid w:val="00174577"/>
    <w:rsid w:val="001745E8"/>
    <w:rsid w:val="00174718"/>
    <w:rsid w:val="00174774"/>
    <w:rsid w:val="00174972"/>
    <w:rsid w:val="001749D7"/>
    <w:rsid w:val="001749F6"/>
    <w:rsid w:val="001749FF"/>
    <w:rsid w:val="00174AF1"/>
    <w:rsid w:val="00174B13"/>
    <w:rsid w:val="00174B4D"/>
    <w:rsid w:val="00174C25"/>
    <w:rsid w:val="00174CDF"/>
    <w:rsid w:val="00174D17"/>
    <w:rsid w:val="00174D72"/>
    <w:rsid w:val="00174ECE"/>
    <w:rsid w:val="00174F1C"/>
    <w:rsid w:val="00174FF3"/>
    <w:rsid w:val="001750BF"/>
    <w:rsid w:val="00175129"/>
    <w:rsid w:val="0017519B"/>
    <w:rsid w:val="00175276"/>
    <w:rsid w:val="0017532E"/>
    <w:rsid w:val="00175422"/>
    <w:rsid w:val="0017545D"/>
    <w:rsid w:val="0017547D"/>
    <w:rsid w:val="00175494"/>
    <w:rsid w:val="00175536"/>
    <w:rsid w:val="00175677"/>
    <w:rsid w:val="00175695"/>
    <w:rsid w:val="00175758"/>
    <w:rsid w:val="001758DE"/>
    <w:rsid w:val="001758EF"/>
    <w:rsid w:val="00175934"/>
    <w:rsid w:val="001759FF"/>
    <w:rsid w:val="00175A66"/>
    <w:rsid w:val="00175AE4"/>
    <w:rsid w:val="00175CA9"/>
    <w:rsid w:val="00175D54"/>
    <w:rsid w:val="00175E26"/>
    <w:rsid w:val="00175E9E"/>
    <w:rsid w:val="00175F3D"/>
    <w:rsid w:val="00175F45"/>
    <w:rsid w:val="00175F58"/>
    <w:rsid w:val="00176027"/>
    <w:rsid w:val="001760DB"/>
    <w:rsid w:val="0017616B"/>
    <w:rsid w:val="001761A8"/>
    <w:rsid w:val="001761FC"/>
    <w:rsid w:val="00176207"/>
    <w:rsid w:val="00176234"/>
    <w:rsid w:val="00176341"/>
    <w:rsid w:val="00176457"/>
    <w:rsid w:val="00176574"/>
    <w:rsid w:val="0017657B"/>
    <w:rsid w:val="001766BF"/>
    <w:rsid w:val="001766EA"/>
    <w:rsid w:val="001767BF"/>
    <w:rsid w:val="00176875"/>
    <w:rsid w:val="00176973"/>
    <w:rsid w:val="00176997"/>
    <w:rsid w:val="001769E8"/>
    <w:rsid w:val="00176A00"/>
    <w:rsid w:val="00176A17"/>
    <w:rsid w:val="00176A86"/>
    <w:rsid w:val="00176ABB"/>
    <w:rsid w:val="00176B13"/>
    <w:rsid w:val="00176B83"/>
    <w:rsid w:val="00176C00"/>
    <w:rsid w:val="00176F5F"/>
    <w:rsid w:val="00176F6D"/>
    <w:rsid w:val="00176FE1"/>
    <w:rsid w:val="00177099"/>
    <w:rsid w:val="0017727A"/>
    <w:rsid w:val="001772A9"/>
    <w:rsid w:val="001772DE"/>
    <w:rsid w:val="001772E7"/>
    <w:rsid w:val="00177318"/>
    <w:rsid w:val="001773D5"/>
    <w:rsid w:val="001773EE"/>
    <w:rsid w:val="00177440"/>
    <w:rsid w:val="00177469"/>
    <w:rsid w:val="001774DA"/>
    <w:rsid w:val="0017759B"/>
    <w:rsid w:val="001775C3"/>
    <w:rsid w:val="001775E7"/>
    <w:rsid w:val="001776CC"/>
    <w:rsid w:val="0017770D"/>
    <w:rsid w:val="0017780B"/>
    <w:rsid w:val="00177829"/>
    <w:rsid w:val="001778A1"/>
    <w:rsid w:val="001779F5"/>
    <w:rsid w:val="00177A15"/>
    <w:rsid w:val="00177AA5"/>
    <w:rsid w:val="00177BDA"/>
    <w:rsid w:val="00177CCC"/>
    <w:rsid w:val="00177CE5"/>
    <w:rsid w:val="00177D61"/>
    <w:rsid w:val="00177DBC"/>
    <w:rsid w:val="00177DD6"/>
    <w:rsid w:val="00177E0C"/>
    <w:rsid w:val="00177E20"/>
    <w:rsid w:val="00177E2B"/>
    <w:rsid w:val="00177E80"/>
    <w:rsid w:val="00177FAA"/>
    <w:rsid w:val="00177FDC"/>
    <w:rsid w:val="00177FE1"/>
    <w:rsid w:val="001800FF"/>
    <w:rsid w:val="00180151"/>
    <w:rsid w:val="00180196"/>
    <w:rsid w:val="0018022F"/>
    <w:rsid w:val="001802D8"/>
    <w:rsid w:val="00180334"/>
    <w:rsid w:val="00180533"/>
    <w:rsid w:val="00180581"/>
    <w:rsid w:val="0018072B"/>
    <w:rsid w:val="00180814"/>
    <w:rsid w:val="001808BB"/>
    <w:rsid w:val="001808F1"/>
    <w:rsid w:val="0018094B"/>
    <w:rsid w:val="00180972"/>
    <w:rsid w:val="00180B4F"/>
    <w:rsid w:val="00180BF2"/>
    <w:rsid w:val="00180C2E"/>
    <w:rsid w:val="00180D13"/>
    <w:rsid w:val="00180D32"/>
    <w:rsid w:val="00180D60"/>
    <w:rsid w:val="00180E1C"/>
    <w:rsid w:val="00180ED6"/>
    <w:rsid w:val="00180ED9"/>
    <w:rsid w:val="00180EDE"/>
    <w:rsid w:val="00180F92"/>
    <w:rsid w:val="00180FA3"/>
    <w:rsid w:val="00180FC0"/>
    <w:rsid w:val="00181064"/>
    <w:rsid w:val="00181096"/>
    <w:rsid w:val="00181187"/>
    <w:rsid w:val="001811C0"/>
    <w:rsid w:val="001811DD"/>
    <w:rsid w:val="001811E5"/>
    <w:rsid w:val="001811F5"/>
    <w:rsid w:val="00181248"/>
    <w:rsid w:val="0018125B"/>
    <w:rsid w:val="001812F7"/>
    <w:rsid w:val="001812FA"/>
    <w:rsid w:val="00181401"/>
    <w:rsid w:val="00181424"/>
    <w:rsid w:val="0018144A"/>
    <w:rsid w:val="00181457"/>
    <w:rsid w:val="0018149A"/>
    <w:rsid w:val="00181548"/>
    <w:rsid w:val="001816AF"/>
    <w:rsid w:val="001816FA"/>
    <w:rsid w:val="00181733"/>
    <w:rsid w:val="001817D7"/>
    <w:rsid w:val="001818B5"/>
    <w:rsid w:val="001818E5"/>
    <w:rsid w:val="00181933"/>
    <w:rsid w:val="00181A33"/>
    <w:rsid w:val="00181A3D"/>
    <w:rsid w:val="00181A5F"/>
    <w:rsid w:val="00181B13"/>
    <w:rsid w:val="00181B19"/>
    <w:rsid w:val="00181B75"/>
    <w:rsid w:val="00181E54"/>
    <w:rsid w:val="00181F39"/>
    <w:rsid w:val="00181F4B"/>
    <w:rsid w:val="00182022"/>
    <w:rsid w:val="00182023"/>
    <w:rsid w:val="00182086"/>
    <w:rsid w:val="001820EF"/>
    <w:rsid w:val="0018214D"/>
    <w:rsid w:val="00182317"/>
    <w:rsid w:val="00182320"/>
    <w:rsid w:val="00182351"/>
    <w:rsid w:val="001825C6"/>
    <w:rsid w:val="00182691"/>
    <w:rsid w:val="001826E2"/>
    <w:rsid w:val="001827C4"/>
    <w:rsid w:val="001827D1"/>
    <w:rsid w:val="001828E0"/>
    <w:rsid w:val="00182A11"/>
    <w:rsid w:val="00182A39"/>
    <w:rsid w:val="00182A5F"/>
    <w:rsid w:val="00182A6C"/>
    <w:rsid w:val="00182B7B"/>
    <w:rsid w:val="00182BDE"/>
    <w:rsid w:val="00182C88"/>
    <w:rsid w:val="00182D55"/>
    <w:rsid w:val="00182DBE"/>
    <w:rsid w:val="00182DD0"/>
    <w:rsid w:val="00182E55"/>
    <w:rsid w:val="00182EE8"/>
    <w:rsid w:val="00182F21"/>
    <w:rsid w:val="00183138"/>
    <w:rsid w:val="00183272"/>
    <w:rsid w:val="001832A5"/>
    <w:rsid w:val="001834B5"/>
    <w:rsid w:val="001834D3"/>
    <w:rsid w:val="0018358B"/>
    <w:rsid w:val="00183598"/>
    <w:rsid w:val="0018362F"/>
    <w:rsid w:val="00183703"/>
    <w:rsid w:val="0018378D"/>
    <w:rsid w:val="001837BA"/>
    <w:rsid w:val="00183868"/>
    <w:rsid w:val="001838A2"/>
    <w:rsid w:val="0018391C"/>
    <w:rsid w:val="00183AB5"/>
    <w:rsid w:val="00183B45"/>
    <w:rsid w:val="00183B7B"/>
    <w:rsid w:val="00183CE6"/>
    <w:rsid w:val="00183D36"/>
    <w:rsid w:val="00183D97"/>
    <w:rsid w:val="001840A9"/>
    <w:rsid w:val="001840B0"/>
    <w:rsid w:val="001841A1"/>
    <w:rsid w:val="001842BF"/>
    <w:rsid w:val="0018440C"/>
    <w:rsid w:val="0018443A"/>
    <w:rsid w:val="001844F0"/>
    <w:rsid w:val="00184589"/>
    <w:rsid w:val="001845BC"/>
    <w:rsid w:val="00184922"/>
    <w:rsid w:val="00184923"/>
    <w:rsid w:val="00184A2F"/>
    <w:rsid w:val="00184A6E"/>
    <w:rsid w:val="00184A87"/>
    <w:rsid w:val="00184ABB"/>
    <w:rsid w:val="00184B73"/>
    <w:rsid w:val="00184C34"/>
    <w:rsid w:val="00184D73"/>
    <w:rsid w:val="00184EE6"/>
    <w:rsid w:val="001850D4"/>
    <w:rsid w:val="00185102"/>
    <w:rsid w:val="0018520F"/>
    <w:rsid w:val="001852E8"/>
    <w:rsid w:val="0018536B"/>
    <w:rsid w:val="0018543E"/>
    <w:rsid w:val="00185449"/>
    <w:rsid w:val="001854E5"/>
    <w:rsid w:val="00185587"/>
    <w:rsid w:val="001855B0"/>
    <w:rsid w:val="00185723"/>
    <w:rsid w:val="0018590E"/>
    <w:rsid w:val="00185A5C"/>
    <w:rsid w:val="00185AC5"/>
    <w:rsid w:val="00185B21"/>
    <w:rsid w:val="00185BA0"/>
    <w:rsid w:val="00185D1F"/>
    <w:rsid w:val="00185DB6"/>
    <w:rsid w:val="00185DED"/>
    <w:rsid w:val="00185F9B"/>
    <w:rsid w:val="00185FB2"/>
    <w:rsid w:val="0018608B"/>
    <w:rsid w:val="001860FD"/>
    <w:rsid w:val="0018621E"/>
    <w:rsid w:val="00186309"/>
    <w:rsid w:val="00186330"/>
    <w:rsid w:val="00186508"/>
    <w:rsid w:val="00186564"/>
    <w:rsid w:val="00186568"/>
    <w:rsid w:val="001865E3"/>
    <w:rsid w:val="0018672E"/>
    <w:rsid w:val="00186748"/>
    <w:rsid w:val="001867A4"/>
    <w:rsid w:val="001867E5"/>
    <w:rsid w:val="0018681E"/>
    <w:rsid w:val="001868EF"/>
    <w:rsid w:val="00186943"/>
    <w:rsid w:val="001869EF"/>
    <w:rsid w:val="00186A1B"/>
    <w:rsid w:val="00186A66"/>
    <w:rsid w:val="00186A67"/>
    <w:rsid w:val="00186B18"/>
    <w:rsid w:val="00186B3A"/>
    <w:rsid w:val="00186C00"/>
    <w:rsid w:val="00186C6F"/>
    <w:rsid w:val="00186C8B"/>
    <w:rsid w:val="00186D5A"/>
    <w:rsid w:val="00186E60"/>
    <w:rsid w:val="0018703F"/>
    <w:rsid w:val="0018717D"/>
    <w:rsid w:val="001871A2"/>
    <w:rsid w:val="00187229"/>
    <w:rsid w:val="001872C6"/>
    <w:rsid w:val="001875AA"/>
    <w:rsid w:val="001877C4"/>
    <w:rsid w:val="001878A4"/>
    <w:rsid w:val="001879D1"/>
    <w:rsid w:val="00187A0D"/>
    <w:rsid w:val="00187A82"/>
    <w:rsid w:val="00187B3F"/>
    <w:rsid w:val="00187B71"/>
    <w:rsid w:val="00187C20"/>
    <w:rsid w:val="00187CF7"/>
    <w:rsid w:val="00187D73"/>
    <w:rsid w:val="00187D74"/>
    <w:rsid w:val="00187E57"/>
    <w:rsid w:val="00187E62"/>
    <w:rsid w:val="00187ED6"/>
    <w:rsid w:val="00187F16"/>
    <w:rsid w:val="00190034"/>
    <w:rsid w:val="0019005A"/>
    <w:rsid w:val="001900E2"/>
    <w:rsid w:val="00190152"/>
    <w:rsid w:val="00190354"/>
    <w:rsid w:val="001903BD"/>
    <w:rsid w:val="001903F7"/>
    <w:rsid w:val="00190405"/>
    <w:rsid w:val="00190500"/>
    <w:rsid w:val="00190557"/>
    <w:rsid w:val="0019066E"/>
    <w:rsid w:val="001906A6"/>
    <w:rsid w:val="00190896"/>
    <w:rsid w:val="001909A4"/>
    <w:rsid w:val="001909D5"/>
    <w:rsid w:val="00190A04"/>
    <w:rsid w:val="00190A4A"/>
    <w:rsid w:val="00190A69"/>
    <w:rsid w:val="00190AF3"/>
    <w:rsid w:val="00190B7E"/>
    <w:rsid w:val="00190BD2"/>
    <w:rsid w:val="00190CB8"/>
    <w:rsid w:val="00190D1A"/>
    <w:rsid w:val="00190E5B"/>
    <w:rsid w:val="00190F19"/>
    <w:rsid w:val="00190F4F"/>
    <w:rsid w:val="00191085"/>
    <w:rsid w:val="001910CC"/>
    <w:rsid w:val="001910CE"/>
    <w:rsid w:val="0019110F"/>
    <w:rsid w:val="001911AD"/>
    <w:rsid w:val="00191210"/>
    <w:rsid w:val="00191484"/>
    <w:rsid w:val="001914FA"/>
    <w:rsid w:val="0019185B"/>
    <w:rsid w:val="00191941"/>
    <w:rsid w:val="001919BE"/>
    <w:rsid w:val="00191B5B"/>
    <w:rsid w:val="00191B69"/>
    <w:rsid w:val="00191BE7"/>
    <w:rsid w:val="00191D4F"/>
    <w:rsid w:val="00191DC1"/>
    <w:rsid w:val="00191F1A"/>
    <w:rsid w:val="00191F85"/>
    <w:rsid w:val="00191FF5"/>
    <w:rsid w:val="00192016"/>
    <w:rsid w:val="00192028"/>
    <w:rsid w:val="00192139"/>
    <w:rsid w:val="00192184"/>
    <w:rsid w:val="0019221D"/>
    <w:rsid w:val="0019223E"/>
    <w:rsid w:val="0019228E"/>
    <w:rsid w:val="00192294"/>
    <w:rsid w:val="001923D3"/>
    <w:rsid w:val="00192669"/>
    <w:rsid w:val="001926CF"/>
    <w:rsid w:val="001927F0"/>
    <w:rsid w:val="001928BF"/>
    <w:rsid w:val="00192A6D"/>
    <w:rsid w:val="00192AC5"/>
    <w:rsid w:val="00192B30"/>
    <w:rsid w:val="00192B90"/>
    <w:rsid w:val="00192CB0"/>
    <w:rsid w:val="00192CF1"/>
    <w:rsid w:val="00192DBA"/>
    <w:rsid w:val="00192E82"/>
    <w:rsid w:val="00192E93"/>
    <w:rsid w:val="00192F0E"/>
    <w:rsid w:val="00192F48"/>
    <w:rsid w:val="0019309F"/>
    <w:rsid w:val="001930AE"/>
    <w:rsid w:val="00193320"/>
    <w:rsid w:val="0019352A"/>
    <w:rsid w:val="00193587"/>
    <w:rsid w:val="001936DB"/>
    <w:rsid w:val="001937B4"/>
    <w:rsid w:val="00193871"/>
    <w:rsid w:val="0019387B"/>
    <w:rsid w:val="0019388D"/>
    <w:rsid w:val="00193931"/>
    <w:rsid w:val="00193970"/>
    <w:rsid w:val="00193A39"/>
    <w:rsid w:val="00193A4F"/>
    <w:rsid w:val="00193AA3"/>
    <w:rsid w:val="00193B06"/>
    <w:rsid w:val="00193B41"/>
    <w:rsid w:val="00193B7B"/>
    <w:rsid w:val="00193BF8"/>
    <w:rsid w:val="00193D52"/>
    <w:rsid w:val="00193DA3"/>
    <w:rsid w:val="00193DA6"/>
    <w:rsid w:val="00193DB8"/>
    <w:rsid w:val="00193DBF"/>
    <w:rsid w:val="00193DDC"/>
    <w:rsid w:val="00194052"/>
    <w:rsid w:val="00194056"/>
    <w:rsid w:val="0019408F"/>
    <w:rsid w:val="001940E8"/>
    <w:rsid w:val="00194136"/>
    <w:rsid w:val="001941DB"/>
    <w:rsid w:val="00194296"/>
    <w:rsid w:val="00194383"/>
    <w:rsid w:val="001943B9"/>
    <w:rsid w:val="0019448D"/>
    <w:rsid w:val="0019467B"/>
    <w:rsid w:val="001946A7"/>
    <w:rsid w:val="0019480C"/>
    <w:rsid w:val="00194815"/>
    <w:rsid w:val="001948A7"/>
    <w:rsid w:val="001948CF"/>
    <w:rsid w:val="00194969"/>
    <w:rsid w:val="00194B22"/>
    <w:rsid w:val="00194B93"/>
    <w:rsid w:val="00194C07"/>
    <w:rsid w:val="00194D39"/>
    <w:rsid w:val="00194DAD"/>
    <w:rsid w:val="00194DEB"/>
    <w:rsid w:val="00194FE9"/>
    <w:rsid w:val="00194FF8"/>
    <w:rsid w:val="00195178"/>
    <w:rsid w:val="001951A0"/>
    <w:rsid w:val="001951B1"/>
    <w:rsid w:val="001952CF"/>
    <w:rsid w:val="00195381"/>
    <w:rsid w:val="0019540A"/>
    <w:rsid w:val="00195494"/>
    <w:rsid w:val="001954BF"/>
    <w:rsid w:val="0019552C"/>
    <w:rsid w:val="00195540"/>
    <w:rsid w:val="001955B9"/>
    <w:rsid w:val="00195629"/>
    <w:rsid w:val="0019565E"/>
    <w:rsid w:val="001956CC"/>
    <w:rsid w:val="00195705"/>
    <w:rsid w:val="00195793"/>
    <w:rsid w:val="001957B3"/>
    <w:rsid w:val="00195804"/>
    <w:rsid w:val="00195811"/>
    <w:rsid w:val="00195836"/>
    <w:rsid w:val="0019586E"/>
    <w:rsid w:val="0019597F"/>
    <w:rsid w:val="001959DA"/>
    <w:rsid w:val="00195A7B"/>
    <w:rsid w:val="00195ACB"/>
    <w:rsid w:val="00195B2C"/>
    <w:rsid w:val="00195BE6"/>
    <w:rsid w:val="00195C2A"/>
    <w:rsid w:val="00195C33"/>
    <w:rsid w:val="00195C4A"/>
    <w:rsid w:val="00195CAE"/>
    <w:rsid w:val="00195CE0"/>
    <w:rsid w:val="00195E5B"/>
    <w:rsid w:val="00195F1B"/>
    <w:rsid w:val="00195F7E"/>
    <w:rsid w:val="00195FFE"/>
    <w:rsid w:val="001960AA"/>
    <w:rsid w:val="00196224"/>
    <w:rsid w:val="00196230"/>
    <w:rsid w:val="001964D0"/>
    <w:rsid w:val="00196539"/>
    <w:rsid w:val="00196613"/>
    <w:rsid w:val="001966AB"/>
    <w:rsid w:val="00196793"/>
    <w:rsid w:val="001967A2"/>
    <w:rsid w:val="001967E9"/>
    <w:rsid w:val="001967EE"/>
    <w:rsid w:val="00196915"/>
    <w:rsid w:val="00196920"/>
    <w:rsid w:val="001969FF"/>
    <w:rsid w:val="00196AD7"/>
    <w:rsid w:val="00196B62"/>
    <w:rsid w:val="00196C04"/>
    <w:rsid w:val="00196C2E"/>
    <w:rsid w:val="00196CAF"/>
    <w:rsid w:val="00196D5A"/>
    <w:rsid w:val="00196DF5"/>
    <w:rsid w:val="00196E28"/>
    <w:rsid w:val="00196E77"/>
    <w:rsid w:val="00196F6E"/>
    <w:rsid w:val="00196FB5"/>
    <w:rsid w:val="00196FEA"/>
    <w:rsid w:val="00197193"/>
    <w:rsid w:val="001971A7"/>
    <w:rsid w:val="001971F7"/>
    <w:rsid w:val="0019722A"/>
    <w:rsid w:val="001972EB"/>
    <w:rsid w:val="00197334"/>
    <w:rsid w:val="0019740A"/>
    <w:rsid w:val="00197439"/>
    <w:rsid w:val="0019752A"/>
    <w:rsid w:val="00197591"/>
    <w:rsid w:val="00197650"/>
    <w:rsid w:val="00197660"/>
    <w:rsid w:val="0019769A"/>
    <w:rsid w:val="00197710"/>
    <w:rsid w:val="001978E6"/>
    <w:rsid w:val="0019790A"/>
    <w:rsid w:val="001979CB"/>
    <w:rsid w:val="00197B4D"/>
    <w:rsid w:val="00197EAC"/>
    <w:rsid w:val="00197F71"/>
    <w:rsid w:val="001A002B"/>
    <w:rsid w:val="001A015E"/>
    <w:rsid w:val="001A016F"/>
    <w:rsid w:val="001A0269"/>
    <w:rsid w:val="001A0301"/>
    <w:rsid w:val="001A0317"/>
    <w:rsid w:val="001A055F"/>
    <w:rsid w:val="001A06DC"/>
    <w:rsid w:val="001A06EB"/>
    <w:rsid w:val="001A0775"/>
    <w:rsid w:val="001A0776"/>
    <w:rsid w:val="001A078B"/>
    <w:rsid w:val="001A085A"/>
    <w:rsid w:val="001A0920"/>
    <w:rsid w:val="001A09BA"/>
    <w:rsid w:val="001A0A87"/>
    <w:rsid w:val="001A0CA3"/>
    <w:rsid w:val="001A0EAF"/>
    <w:rsid w:val="001A0ED0"/>
    <w:rsid w:val="001A0F10"/>
    <w:rsid w:val="001A0FD7"/>
    <w:rsid w:val="001A1022"/>
    <w:rsid w:val="001A1048"/>
    <w:rsid w:val="001A111A"/>
    <w:rsid w:val="001A114F"/>
    <w:rsid w:val="001A115F"/>
    <w:rsid w:val="001A1282"/>
    <w:rsid w:val="001A1509"/>
    <w:rsid w:val="001A1711"/>
    <w:rsid w:val="001A1733"/>
    <w:rsid w:val="001A17AD"/>
    <w:rsid w:val="001A1892"/>
    <w:rsid w:val="001A1905"/>
    <w:rsid w:val="001A1928"/>
    <w:rsid w:val="001A1A0D"/>
    <w:rsid w:val="001A1A15"/>
    <w:rsid w:val="001A1A84"/>
    <w:rsid w:val="001A1A9D"/>
    <w:rsid w:val="001A1B62"/>
    <w:rsid w:val="001A1BCC"/>
    <w:rsid w:val="001A1C5A"/>
    <w:rsid w:val="001A1CA0"/>
    <w:rsid w:val="001A1CA1"/>
    <w:rsid w:val="001A1CC4"/>
    <w:rsid w:val="001A1D05"/>
    <w:rsid w:val="001A1D34"/>
    <w:rsid w:val="001A1D84"/>
    <w:rsid w:val="001A1E05"/>
    <w:rsid w:val="001A1E59"/>
    <w:rsid w:val="001A1ED5"/>
    <w:rsid w:val="001A1F73"/>
    <w:rsid w:val="001A1FCB"/>
    <w:rsid w:val="001A2078"/>
    <w:rsid w:val="001A2127"/>
    <w:rsid w:val="001A2163"/>
    <w:rsid w:val="001A2255"/>
    <w:rsid w:val="001A249D"/>
    <w:rsid w:val="001A2563"/>
    <w:rsid w:val="001A256E"/>
    <w:rsid w:val="001A26CB"/>
    <w:rsid w:val="001A270F"/>
    <w:rsid w:val="001A273B"/>
    <w:rsid w:val="001A2762"/>
    <w:rsid w:val="001A27FF"/>
    <w:rsid w:val="001A2868"/>
    <w:rsid w:val="001A288B"/>
    <w:rsid w:val="001A28F1"/>
    <w:rsid w:val="001A2920"/>
    <w:rsid w:val="001A2A1A"/>
    <w:rsid w:val="001A2A7B"/>
    <w:rsid w:val="001A2AE2"/>
    <w:rsid w:val="001A2AE3"/>
    <w:rsid w:val="001A2B06"/>
    <w:rsid w:val="001A2CD8"/>
    <w:rsid w:val="001A2D0D"/>
    <w:rsid w:val="001A2D7C"/>
    <w:rsid w:val="001A2D8D"/>
    <w:rsid w:val="001A2F67"/>
    <w:rsid w:val="001A2FE7"/>
    <w:rsid w:val="001A2FF4"/>
    <w:rsid w:val="001A2FFA"/>
    <w:rsid w:val="001A3063"/>
    <w:rsid w:val="001A3094"/>
    <w:rsid w:val="001A3160"/>
    <w:rsid w:val="001A321C"/>
    <w:rsid w:val="001A3391"/>
    <w:rsid w:val="001A33CF"/>
    <w:rsid w:val="001A34D7"/>
    <w:rsid w:val="001A353A"/>
    <w:rsid w:val="001A3540"/>
    <w:rsid w:val="001A367D"/>
    <w:rsid w:val="001A36AD"/>
    <w:rsid w:val="001A36E7"/>
    <w:rsid w:val="001A3768"/>
    <w:rsid w:val="001A3775"/>
    <w:rsid w:val="001A37FB"/>
    <w:rsid w:val="001A383E"/>
    <w:rsid w:val="001A39CC"/>
    <w:rsid w:val="001A39EF"/>
    <w:rsid w:val="001A3A00"/>
    <w:rsid w:val="001A3A60"/>
    <w:rsid w:val="001A3A6E"/>
    <w:rsid w:val="001A3C5F"/>
    <w:rsid w:val="001A3C70"/>
    <w:rsid w:val="001A3DA5"/>
    <w:rsid w:val="001A3DF7"/>
    <w:rsid w:val="001A3FA1"/>
    <w:rsid w:val="001A4063"/>
    <w:rsid w:val="001A4085"/>
    <w:rsid w:val="001A4162"/>
    <w:rsid w:val="001A4192"/>
    <w:rsid w:val="001A4290"/>
    <w:rsid w:val="001A42B3"/>
    <w:rsid w:val="001A42D1"/>
    <w:rsid w:val="001A437A"/>
    <w:rsid w:val="001A450C"/>
    <w:rsid w:val="001A45C2"/>
    <w:rsid w:val="001A4639"/>
    <w:rsid w:val="001A47E1"/>
    <w:rsid w:val="001A4808"/>
    <w:rsid w:val="001A49D2"/>
    <w:rsid w:val="001A4A44"/>
    <w:rsid w:val="001A4B62"/>
    <w:rsid w:val="001A4B96"/>
    <w:rsid w:val="001A4C16"/>
    <w:rsid w:val="001A4CFE"/>
    <w:rsid w:val="001A4D8C"/>
    <w:rsid w:val="001A4DFD"/>
    <w:rsid w:val="001A4E0B"/>
    <w:rsid w:val="001A4E5A"/>
    <w:rsid w:val="001A4F0A"/>
    <w:rsid w:val="001A4FE8"/>
    <w:rsid w:val="001A508E"/>
    <w:rsid w:val="001A5202"/>
    <w:rsid w:val="001A523F"/>
    <w:rsid w:val="001A524D"/>
    <w:rsid w:val="001A5298"/>
    <w:rsid w:val="001A52AB"/>
    <w:rsid w:val="001A537C"/>
    <w:rsid w:val="001A5480"/>
    <w:rsid w:val="001A54D6"/>
    <w:rsid w:val="001A54EE"/>
    <w:rsid w:val="001A5505"/>
    <w:rsid w:val="001A5586"/>
    <w:rsid w:val="001A57E7"/>
    <w:rsid w:val="001A5885"/>
    <w:rsid w:val="001A5920"/>
    <w:rsid w:val="001A5924"/>
    <w:rsid w:val="001A5966"/>
    <w:rsid w:val="001A5AD8"/>
    <w:rsid w:val="001A5BA9"/>
    <w:rsid w:val="001A5BD3"/>
    <w:rsid w:val="001A5BE4"/>
    <w:rsid w:val="001A5D01"/>
    <w:rsid w:val="001A5D44"/>
    <w:rsid w:val="001A5D49"/>
    <w:rsid w:val="001A5E96"/>
    <w:rsid w:val="001A5E9B"/>
    <w:rsid w:val="001A5F94"/>
    <w:rsid w:val="001A605A"/>
    <w:rsid w:val="001A61D9"/>
    <w:rsid w:val="001A6225"/>
    <w:rsid w:val="001A6250"/>
    <w:rsid w:val="001A6254"/>
    <w:rsid w:val="001A626D"/>
    <w:rsid w:val="001A628A"/>
    <w:rsid w:val="001A635C"/>
    <w:rsid w:val="001A6367"/>
    <w:rsid w:val="001A659D"/>
    <w:rsid w:val="001A6617"/>
    <w:rsid w:val="001A66A9"/>
    <w:rsid w:val="001A66F6"/>
    <w:rsid w:val="001A6709"/>
    <w:rsid w:val="001A6762"/>
    <w:rsid w:val="001A6861"/>
    <w:rsid w:val="001A696E"/>
    <w:rsid w:val="001A6BA2"/>
    <w:rsid w:val="001A6CBC"/>
    <w:rsid w:val="001A6CDC"/>
    <w:rsid w:val="001A6D5C"/>
    <w:rsid w:val="001A6DF1"/>
    <w:rsid w:val="001A71F1"/>
    <w:rsid w:val="001A7259"/>
    <w:rsid w:val="001A731D"/>
    <w:rsid w:val="001A7417"/>
    <w:rsid w:val="001A75E1"/>
    <w:rsid w:val="001A765F"/>
    <w:rsid w:val="001A7774"/>
    <w:rsid w:val="001A78A1"/>
    <w:rsid w:val="001A78AE"/>
    <w:rsid w:val="001A78F1"/>
    <w:rsid w:val="001A78FE"/>
    <w:rsid w:val="001A7AA0"/>
    <w:rsid w:val="001A7AF7"/>
    <w:rsid w:val="001A7BCE"/>
    <w:rsid w:val="001A7C46"/>
    <w:rsid w:val="001A7CAF"/>
    <w:rsid w:val="001A7D35"/>
    <w:rsid w:val="001A7DA5"/>
    <w:rsid w:val="001A7DAF"/>
    <w:rsid w:val="001A7E5F"/>
    <w:rsid w:val="001A7F30"/>
    <w:rsid w:val="001A7FF2"/>
    <w:rsid w:val="001B00B1"/>
    <w:rsid w:val="001B01C2"/>
    <w:rsid w:val="001B01F7"/>
    <w:rsid w:val="001B023F"/>
    <w:rsid w:val="001B047B"/>
    <w:rsid w:val="001B04CC"/>
    <w:rsid w:val="001B050E"/>
    <w:rsid w:val="001B06E7"/>
    <w:rsid w:val="001B078F"/>
    <w:rsid w:val="001B07BB"/>
    <w:rsid w:val="001B07FB"/>
    <w:rsid w:val="001B0866"/>
    <w:rsid w:val="001B0963"/>
    <w:rsid w:val="001B0A01"/>
    <w:rsid w:val="001B0A7E"/>
    <w:rsid w:val="001B0BAD"/>
    <w:rsid w:val="001B0BE8"/>
    <w:rsid w:val="001B0C75"/>
    <w:rsid w:val="001B0CCB"/>
    <w:rsid w:val="001B0E14"/>
    <w:rsid w:val="001B0E2E"/>
    <w:rsid w:val="001B0F1C"/>
    <w:rsid w:val="001B1078"/>
    <w:rsid w:val="001B10AD"/>
    <w:rsid w:val="001B11F3"/>
    <w:rsid w:val="001B12B4"/>
    <w:rsid w:val="001B1325"/>
    <w:rsid w:val="001B1326"/>
    <w:rsid w:val="001B13AD"/>
    <w:rsid w:val="001B13CE"/>
    <w:rsid w:val="001B144A"/>
    <w:rsid w:val="001B14A7"/>
    <w:rsid w:val="001B1515"/>
    <w:rsid w:val="001B151A"/>
    <w:rsid w:val="001B15F2"/>
    <w:rsid w:val="001B1682"/>
    <w:rsid w:val="001B1820"/>
    <w:rsid w:val="001B18A2"/>
    <w:rsid w:val="001B18D9"/>
    <w:rsid w:val="001B1A33"/>
    <w:rsid w:val="001B1AC8"/>
    <w:rsid w:val="001B1B35"/>
    <w:rsid w:val="001B1B65"/>
    <w:rsid w:val="001B1B67"/>
    <w:rsid w:val="001B1BFC"/>
    <w:rsid w:val="001B1C06"/>
    <w:rsid w:val="001B1CE9"/>
    <w:rsid w:val="001B1D81"/>
    <w:rsid w:val="001B1DB2"/>
    <w:rsid w:val="001B1F7D"/>
    <w:rsid w:val="001B1FB6"/>
    <w:rsid w:val="001B2132"/>
    <w:rsid w:val="001B218D"/>
    <w:rsid w:val="001B22E8"/>
    <w:rsid w:val="001B233E"/>
    <w:rsid w:val="001B2367"/>
    <w:rsid w:val="001B23B9"/>
    <w:rsid w:val="001B2630"/>
    <w:rsid w:val="001B263D"/>
    <w:rsid w:val="001B266B"/>
    <w:rsid w:val="001B2686"/>
    <w:rsid w:val="001B271E"/>
    <w:rsid w:val="001B2767"/>
    <w:rsid w:val="001B277D"/>
    <w:rsid w:val="001B2783"/>
    <w:rsid w:val="001B27FD"/>
    <w:rsid w:val="001B283C"/>
    <w:rsid w:val="001B283E"/>
    <w:rsid w:val="001B2889"/>
    <w:rsid w:val="001B2893"/>
    <w:rsid w:val="001B28AF"/>
    <w:rsid w:val="001B29DA"/>
    <w:rsid w:val="001B2A19"/>
    <w:rsid w:val="001B2A68"/>
    <w:rsid w:val="001B2BE0"/>
    <w:rsid w:val="001B2C28"/>
    <w:rsid w:val="001B2C88"/>
    <w:rsid w:val="001B2CAD"/>
    <w:rsid w:val="001B2D6A"/>
    <w:rsid w:val="001B2DF1"/>
    <w:rsid w:val="001B2E9C"/>
    <w:rsid w:val="001B2F2F"/>
    <w:rsid w:val="001B3031"/>
    <w:rsid w:val="001B3048"/>
    <w:rsid w:val="001B30BC"/>
    <w:rsid w:val="001B30D6"/>
    <w:rsid w:val="001B30E3"/>
    <w:rsid w:val="001B3100"/>
    <w:rsid w:val="001B320A"/>
    <w:rsid w:val="001B328A"/>
    <w:rsid w:val="001B32E3"/>
    <w:rsid w:val="001B3460"/>
    <w:rsid w:val="001B3524"/>
    <w:rsid w:val="001B3534"/>
    <w:rsid w:val="001B358D"/>
    <w:rsid w:val="001B35C0"/>
    <w:rsid w:val="001B35F7"/>
    <w:rsid w:val="001B386A"/>
    <w:rsid w:val="001B3AC2"/>
    <w:rsid w:val="001B3AD6"/>
    <w:rsid w:val="001B3BC6"/>
    <w:rsid w:val="001B3C37"/>
    <w:rsid w:val="001B3C84"/>
    <w:rsid w:val="001B3CB9"/>
    <w:rsid w:val="001B3D0E"/>
    <w:rsid w:val="001B3DFD"/>
    <w:rsid w:val="001B3E44"/>
    <w:rsid w:val="001B3E73"/>
    <w:rsid w:val="001B3F02"/>
    <w:rsid w:val="001B3F2E"/>
    <w:rsid w:val="001B4046"/>
    <w:rsid w:val="001B41A7"/>
    <w:rsid w:val="001B42AB"/>
    <w:rsid w:val="001B42E7"/>
    <w:rsid w:val="001B4366"/>
    <w:rsid w:val="001B4537"/>
    <w:rsid w:val="001B4626"/>
    <w:rsid w:val="001B463F"/>
    <w:rsid w:val="001B46DA"/>
    <w:rsid w:val="001B4824"/>
    <w:rsid w:val="001B49A2"/>
    <w:rsid w:val="001B49E9"/>
    <w:rsid w:val="001B4AB9"/>
    <w:rsid w:val="001B4B0D"/>
    <w:rsid w:val="001B4BA5"/>
    <w:rsid w:val="001B4C05"/>
    <w:rsid w:val="001B4C86"/>
    <w:rsid w:val="001B4D25"/>
    <w:rsid w:val="001B4ED6"/>
    <w:rsid w:val="001B4EE1"/>
    <w:rsid w:val="001B4F46"/>
    <w:rsid w:val="001B51C5"/>
    <w:rsid w:val="001B5255"/>
    <w:rsid w:val="001B5280"/>
    <w:rsid w:val="001B52DE"/>
    <w:rsid w:val="001B540C"/>
    <w:rsid w:val="001B57A3"/>
    <w:rsid w:val="001B57FD"/>
    <w:rsid w:val="001B5830"/>
    <w:rsid w:val="001B58F2"/>
    <w:rsid w:val="001B5919"/>
    <w:rsid w:val="001B59DF"/>
    <w:rsid w:val="001B5A71"/>
    <w:rsid w:val="001B5AAA"/>
    <w:rsid w:val="001B5AEE"/>
    <w:rsid w:val="001B5CE2"/>
    <w:rsid w:val="001B5D6B"/>
    <w:rsid w:val="001B5E03"/>
    <w:rsid w:val="001B5E42"/>
    <w:rsid w:val="001B5F3B"/>
    <w:rsid w:val="001B602A"/>
    <w:rsid w:val="001B62DB"/>
    <w:rsid w:val="001B62F7"/>
    <w:rsid w:val="001B6317"/>
    <w:rsid w:val="001B63C9"/>
    <w:rsid w:val="001B6500"/>
    <w:rsid w:val="001B650E"/>
    <w:rsid w:val="001B65A6"/>
    <w:rsid w:val="001B673C"/>
    <w:rsid w:val="001B67E5"/>
    <w:rsid w:val="001B682D"/>
    <w:rsid w:val="001B6854"/>
    <w:rsid w:val="001B6930"/>
    <w:rsid w:val="001B6974"/>
    <w:rsid w:val="001B69CF"/>
    <w:rsid w:val="001B6B03"/>
    <w:rsid w:val="001B6B28"/>
    <w:rsid w:val="001B6B46"/>
    <w:rsid w:val="001B6B76"/>
    <w:rsid w:val="001B6C4F"/>
    <w:rsid w:val="001B6D71"/>
    <w:rsid w:val="001B6EC1"/>
    <w:rsid w:val="001B6F27"/>
    <w:rsid w:val="001B7229"/>
    <w:rsid w:val="001B7241"/>
    <w:rsid w:val="001B72E2"/>
    <w:rsid w:val="001B733A"/>
    <w:rsid w:val="001B73D1"/>
    <w:rsid w:val="001B7414"/>
    <w:rsid w:val="001B742F"/>
    <w:rsid w:val="001B748B"/>
    <w:rsid w:val="001B7688"/>
    <w:rsid w:val="001B76C3"/>
    <w:rsid w:val="001B7796"/>
    <w:rsid w:val="001B7824"/>
    <w:rsid w:val="001B7845"/>
    <w:rsid w:val="001B7851"/>
    <w:rsid w:val="001B78AE"/>
    <w:rsid w:val="001B7941"/>
    <w:rsid w:val="001B798E"/>
    <w:rsid w:val="001B7A1A"/>
    <w:rsid w:val="001B7B1B"/>
    <w:rsid w:val="001B7B48"/>
    <w:rsid w:val="001B7C12"/>
    <w:rsid w:val="001B7CDA"/>
    <w:rsid w:val="001B7D8D"/>
    <w:rsid w:val="001B7DDA"/>
    <w:rsid w:val="001C0100"/>
    <w:rsid w:val="001C01E4"/>
    <w:rsid w:val="001C01FD"/>
    <w:rsid w:val="001C0286"/>
    <w:rsid w:val="001C02C6"/>
    <w:rsid w:val="001C047E"/>
    <w:rsid w:val="001C04D5"/>
    <w:rsid w:val="001C0559"/>
    <w:rsid w:val="001C058D"/>
    <w:rsid w:val="001C05A3"/>
    <w:rsid w:val="001C05B0"/>
    <w:rsid w:val="001C06A7"/>
    <w:rsid w:val="001C06EE"/>
    <w:rsid w:val="001C08BB"/>
    <w:rsid w:val="001C090B"/>
    <w:rsid w:val="001C0962"/>
    <w:rsid w:val="001C0975"/>
    <w:rsid w:val="001C0A11"/>
    <w:rsid w:val="001C0AA8"/>
    <w:rsid w:val="001C0B3F"/>
    <w:rsid w:val="001C0B42"/>
    <w:rsid w:val="001C0BB9"/>
    <w:rsid w:val="001C0DDB"/>
    <w:rsid w:val="001C0EDA"/>
    <w:rsid w:val="001C0F35"/>
    <w:rsid w:val="001C0FB6"/>
    <w:rsid w:val="001C114F"/>
    <w:rsid w:val="001C122F"/>
    <w:rsid w:val="001C1272"/>
    <w:rsid w:val="001C1289"/>
    <w:rsid w:val="001C1342"/>
    <w:rsid w:val="001C1386"/>
    <w:rsid w:val="001C1391"/>
    <w:rsid w:val="001C1398"/>
    <w:rsid w:val="001C139D"/>
    <w:rsid w:val="001C1401"/>
    <w:rsid w:val="001C142D"/>
    <w:rsid w:val="001C1459"/>
    <w:rsid w:val="001C149A"/>
    <w:rsid w:val="001C14A5"/>
    <w:rsid w:val="001C1581"/>
    <w:rsid w:val="001C169D"/>
    <w:rsid w:val="001C17E4"/>
    <w:rsid w:val="001C19BA"/>
    <w:rsid w:val="001C1A3D"/>
    <w:rsid w:val="001C1A56"/>
    <w:rsid w:val="001C1A6B"/>
    <w:rsid w:val="001C1ABF"/>
    <w:rsid w:val="001C1B46"/>
    <w:rsid w:val="001C1B63"/>
    <w:rsid w:val="001C1B6A"/>
    <w:rsid w:val="001C1B76"/>
    <w:rsid w:val="001C1C41"/>
    <w:rsid w:val="001C1D60"/>
    <w:rsid w:val="001C1EAC"/>
    <w:rsid w:val="001C1EBC"/>
    <w:rsid w:val="001C1ED3"/>
    <w:rsid w:val="001C2030"/>
    <w:rsid w:val="001C2137"/>
    <w:rsid w:val="001C2190"/>
    <w:rsid w:val="001C21EB"/>
    <w:rsid w:val="001C224F"/>
    <w:rsid w:val="001C2367"/>
    <w:rsid w:val="001C242A"/>
    <w:rsid w:val="001C24C9"/>
    <w:rsid w:val="001C24CA"/>
    <w:rsid w:val="001C2573"/>
    <w:rsid w:val="001C25B3"/>
    <w:rsid w:val="001C2614"/>
    <w:rsid w:val="001C2885"/>
    <w:rsid w:val="001C288C"/>
    <w:rsid w:val="001C2972"/>
    <w:rsid w:val="001C2B00"/>
    <w:rsid w:val="001C2B32"/>
    <w:rsid w:val="001C2BA8"/>
    <w:rsid w:val="001C2BF6"/>
    <w:rsid w:val="001C2C36"/>
    <w:rsid w:val="001C2D70"/>
    <w:rsid w:val="001C2DE8"/>
    <w:rsid w:val="001C2F2E"/>
    <w:rsid w:val="001C2FE9"/>
    <w:rsid w:val="001C301F"/>
    <w:rsid w:val="001C3023"/>
    <w:rsid w:val="001C3043"/>
    <w:rsid w:val="001C31B6"/>
    <w:rsid w:val="001C32FB"/>
    <w:rsid w:val="001C331F"/>
    <w:rsid w:val="001C332C"/>
    <w:rsid w:val="001C33B8"/>
    <w:rsid w:val="001C351A"/>
    <w:rsid w:val="001C3653"/>
    <w:rsid w:val="001C365F"/>
    <w:rsid w:val="001C3790"/>
    <w:rsid w:val="001C37AC"/>
    <w:rsid w:val="001C38BF"/>
    <w:rsid w:val="001C3AEF"/>
    <w:rsid w:val="001C3B0E"/>
    <w:rsid w:val="001C3BEC"/>
    <w:rsid w:val="001C3C11"/>
    <w:rsid w:val="001C3FD8"/>
    <w:rsid w:val="001C404D"/>
    <w:rsid w:val="001C40DC"/>
    <w:rsid w:val="001C41ED"/>
    <w:rsid w:val="001C4205"/>
    <w:rsid w:val="001C425A"/>
    <w:rsid w:val="001C433F"/>
    <w:rsid w:val="001C435D"/>
    <w:rsid w:val="001C44D4"/>
    <w:rsid w:val="001C4573"/>
    <w:rsid w:val="001C46AC"/>
    <w:rsid w:val="001C46BE"/>
    <w:rsid w:val="001C4759"/>
    <w:rsid w:val="001C47E8"/>
    <w:rsid w:val="001C4849"/>
    <w:rsid w:val="001C48DA"/>
    <w:rsid w:val="001C4BFB"/>
    <w:rsid w:val="001C4C32"/>
    <w:rsid w:val="001C4C41"/>
    <w:rsid w:val="001C4D39"/>
    <w:rsid w:val="001C4EBF"/>
    <w:rsid w:val="001C4F22"/>
    <w:rsid w:val="001C51D7"/>
    <w:rsid w:val="001C52B9"/>
    <w:rsid w:val="001C57DD"/>
    <w:rsid w:val="001C5830"/>
    <w:rsid w:val="001C5865"/>
    <w:rsid w:val="001C5872"/>
    <w:rsid w:val="001C593B"/>
    <w:rsid w:val="001C5A09"/>
    <w:rsid w:val="001C5A8A"/>
    <w:rsid w:val="001C5ADA"/>
    <w:rsid w:val="001C5B06"/>
    <w:rsid w:val="001C5B59"/>
    <w:rsid w:val="001C5B98"/>
    <w:rsid w:val="001C5C77"/>
    <w:rsid w:val="001C5D66"/>
    <w:rsid w:val="001C5D90"/>
    <w:rsid w:val="001C5F29"/>
    <w:rsid w:val="001C5F81"/>
    <w:rsid w:val="001C5FC9"/>
    <w:rsid w:val="001C6005"/>
    <w:rsid w:val="001C605C"/>
    <w:rsid w:val="001C613C"/>
    <w:rsid w:val="001C619A"/>
    <w:rsid w:val="001C61AE"/>
    <w:rsid w:val="001C622F"/>
    <w:rsid w:val="001C6230"/>
    <w:rsid w:val="001C6232"/>
    <w:rsid w:val="001C63B6"/>
    <w:rsid w:val="001C6437"/>
    <w:rsid w:val="001C64CF"/>
    <w:rsid w:val="001C65F1"/>
    <w:rsid w:val="001C665E"/>
    <w:rsid w:val="001C6661"/>
    <w:rsid w:val="001C6676"/>
    <w:rsid w:val="001C66FD"/>
    <w:rsid w:val="001C6761"/>
    <w:rsid w:val="001C67DD"/>
    <w:rsid w:val="001C688E"/>
    <w:rsid w:val="001C68CC"/>
    <w:rsid w:val="001C68D3"/>
    <w:rsid w:val="001C6997"/>
    <w:rsid w:val="001C6A4F"/>
    <w:rsid w:val="001C6A91"/>
    <w:rsid w:val="001C6AA5"/>
    <w:rsid w:val="001C6CDD"/>
    <w:rsid w:val="001C6CF1"/>
    <w:rsid w:val="001C6D3D"/>
    <w:rsid w:val="001C6F1C"/>
    <w:rsid w:val="001C7037"/>
    <w:rsid w:val="001C70B7"/>
    <w:rsid w:val="001C70CA"/>
    <w:rsid w:val="001C7189"/>
    <w:rsid w:val="001C71E2"/>
    <w:rsid w:val="001C737D"/>
    <w:rsid w:val="001C7509"/>
    <w:rsid w:val="001C75A6"/>
    <w:rsid w:val="001C76B1"/>
    <w:rsid w:val="001C76EA"/>
    <w:rsid w:val="001C782F"/>
    <w:rsid w:val="001C7889"/>
    <w:rsid w:val="001C78D5"/>
    <w:rsid w:val="001C790A"/>
    <w:rsid w:val="001C7957"/>
    <w:rsid w:val="001C7974"/>
    <w:rsid w:val="001C79B7"/>
    <w:rsid w:val="001C7BF7"/>
    <w:rsid w:val="001C7C78"/>
    <w:rsid w:val="001C7C88"/>
    <w:rsid w:val="001C7CBE"/>
    <w:rsid w:val="001C7CF4"/>
    <w:rsid w:val="001C7D23"/>
    <w:rsid w:val="001C7D96"/>
    <w:rsid w:val="001C7EDE"/>
    <w:rsid w:val="001D001D"/>
    <w:rsid w:val="001D00DB"/>
    <w:rsid w:val="001D02A7"/>
    <w:rsid w:val="001D0341"/>
    <w:rsid w:val="001D041E"/>
    <w:rsid w:val="001D04BB"/>
    <w:rsid w:val="001D04F2"/>
    <w:rsid w:val="001D061B"/>
    <w:rsid w:val="001D068A"/>
    <w:rsid w:val="001D069C"/>
    <w:rsid w:val="001D06DB"/>
    <w:rsid w:val="001D0771"/>
    <w:rsid w:val="001D0772"/>
    <w:rsid w:val="001D0828"/>
    <w:rsid w:val="001D0965"/>
    <w:rsid w:val="001D09D0"/>
    <w:rsid w:val="001D0AD4"/>
    <w:rsid w:val="001D0B29"/>
    <w:rsid w:val="001D0D94"/>
    <w:rsid w:val="001D0D9A"/>
    <w:rsid w:val="001D0D9B"/>
    <w:rsid w:val="001D0DD3"/>
    <w:rsid w:val="001D0E27"/>
    <w:rsid w:val="001D0E80"/>
    <w:rsid w:val="001D0F9C"/>
    <w:rsid w:val="001D103C"/>
    <w:rsid w:val="001D11C0"/>
    <w:rsid w:val="001D136A"/>
    <w:rsid w:val="001D13C3"/>
    <w:rsid w:val="001D13C5"/>
    <w:rsid w:val="001D147C"/>
    <w:rsid w:val="001D1486"/>
    <w:rsid w:val="001D1492"/>
    <w:rsid w:val="001D14FD"/>
    <w:rsid w:val="001D1536"/>
    <w:rsid w:val="001D1835"/>
    <w:rsid w:val="001D183D"/>
    <w:rsid w:val="001D18DE"/>
    <w:rsid w:val="001D197D"/>
    <w:rsid w:val="001D1A20"/>
    <w:rsid w:val="001D1A4C"/>
    <w:rsid w:val="001D1B58"/>
    <w:rsid w:val="001D1BFB"/>
    <w:rsid w:val="001D1C45"/>
    <w:rsid w:val="001D1C69"/>
    <w:rsid w:val="001D1C6A"/>
    <w:rsid w:val="001D1D65"/>
    <w:rsid w:val="001D1DF3"/>
    <w:rsid w:val="001D1E0C"/>
    <w:rsid w:val="001D201D"/>
    <w:rsid w:val="001D2129"/>
    <w:rsid w:val="001D2341"/>
    <w:rsid w:val="001D236B"/>
    <w:rsid w:val="001D23C1"/>
    <w:rsid w:val="001D23CC"/>
    <w:rsid w:val="001D2404"/>
    <w:rsid w:val="001D24C0"/>
    <w:rsid w:val="001D2592"/>
    <w:rsid w:val="001D2770"/>
    <w:rsid w:val="001D2850"/>
    <w:rsid w:val="001D28F5"/>
    <w:rsid w:val="001D296F"/>
    <w:rsid w:val="001D2C21"/>
    <w:rsid w:val="001D2CCC"/>
    <w:rsid w:val="001D2D03"/>
    <w:rsid w:val="001D2D12"/>
    <w:rsid w:val="001D2D2C"/>
    <w:rsid w:val="001D2DAB"/>
    <w:rsid w:val="001D2E53"/>
    <w:rsid w:val="001D2E90"/>
    <w:rsid w:val="001D2EA2"/>
    <w:rsid w:val="001D2F14"/>
    <w:rsid w:val="001D2F5C"/>
    <w:rsid w:val="001D3037"/>
    <w:rsid w:val="001D32D0"/>
    <w:rsid w:val="001D3342"/>
    <w:rsid w:val="001D337B"/>
    <w:rsid w:val="001D3384"/>
    <w:rsid w:val="001D339B"/>
    <w:rsid w:val="001D33AF"/>
    <w:rsid w:val="001D34AB"/>
    <w:rsid w:val="001D352D"/>
    <w:rsid w:val="001D378A"/>
    <w:rsid w:val="001D37B2"/>
    <w:rsid w:val="001D37D4"/>
    <w:rsid w:val="001D3831"/>
    <w:rsid w:val="001D3923"/>
    <w:rsid w:val="001D3983"/>
    <w:rsid w:val="001D3990"/>
    <w:rsid w:val="001D3B5C"/>
    <w:rsid w:val="001D3B74"/>
    <w:rsid w:val="001D3BB3"/>
    <w:rsid w:val="001D3C01"/>
    <w:rsid w:val="001D3C46"/>
    <w:rsid w:val="001D3D4C"/>
    <w:rsid w:val="001D3EF7"/>
    <w:rsid w:val="001D40A1"/>
    <w:rsid w:val="001D4153"/>
    <w:rsid w:val="001D418D"/>
    <w:rsid w:val="001D4192"/>
    <w:rsid w:val="001D4198"/>
    <w:rsid w:val="001D421E"/>
    <w:rsid w:val="001D429F"/>
    <w:rsid w:val="001D43CE"/>
    <w:rsid w:val="001D43FF"/>
    <w:rsid w:val="001D4414"/>
    <w:rsid w:val="001D44DA"/>
    <w:rsid w:val="001D4534"/>
    <w:rsid w:val="001D456A"/>
    <w:rsid w:val="001D46AB"/>
    <w:rsid w:val="001D473F"/>
    <w:rsid w:val="001D47C3"/>
    <w:rsid w:val="001D47CC"/>
    <w:rsid w:val="001D4950"/>
    <w:rsid w:val="001D4973"/>
    <w:rsid w:val="001D4A20"/>
    <w:rsid w:val="001D4A8E"/>
    <w:rsid w:val="001D4AE8"/>
    <w:rsid w:val="001D4C87"/>
    <w:rsid w:val="001D4C98"/>
    <w:rsid w:val="001D4CC2"/>
    <w:rsid w:val="001D4D32"/>
    <w:rsid w:val="001D4D3A"/>
    <w:rsid w:val="001D4D57"/>
    <w:rsid w:val="001D4D6F"/>
    <w:rsid w:val="001D4DC9"/>
    <w:rsid w:val="001D4E38"/>
    <w:rsid w:val="001D4E3F"/>
    <w:rsid w:val="001D5008"/>
    <w:rsid w:val="001D5027"/>
    <w:rsid w:val="001D50EB"/>
    <w:rsid w:val="001D51C5"/>
    <w:rsid w:val="001D5256"/>
    <w:rsid w:val="001D5380"/>
    <w:rsid w:val="001D544E"/>
    <w:rsid w:val="001D5458"/>
    <w:rsid w:val="001D54C5"/>
    <w:rsid w:val="001D550A"/>
    <w:rsid w:val="001D55BA"/>
    <w:rsid w:val="001D5684"/>
    <w:rsid w:val="001D5789"/>
    <w:rsid w:val="001D580C"/>
    <w:rsid w:val="001D583F"/>
    <w:rsid w:val="001D5874"/>
    <w:rsid w:val="001D5960"/>
    <w:rsid w:val="001D59AF"/>
    <w:rsid w:val="001D59D9"/>
    <w:rsid w:val="001D5A4D"/>
    <w:rsid w:val="001D5A59"/>
    <w:rsid w:val="001D5A70"/>
    <w:rsid w:val="001D5A7D"/>
    <w:rsid w:val="001D5D1D"/>
    <w:rsid w:val="001D5E08"/>
    <w:rsid w:val="001D5E78"/>
    <w:rsid w:val="001D5E85"/>
    <w:rsid w:val="001D5F2A"/>
    <w:rsid w:val="001D5F33"/>
    <w:rsid w:val="001D5FCE"/>
    <w:rsid w:val="001D606E"/>
    <w:rsid w:val="001D6080"/>
    <w:rsid w:val="001D60DD"/>
    <w:rsid w:val="001D60F4"/>
    <w:rsid w:val="001D6231"/>
    <w:rsid w:val="001D623C"/>
    <w:rsid w:val="001D625B"/>
    <w:rsid w:val="001D62B3"/>
    <w:rsid w:val="001D6330"/>
    <w:rsid w:val="001D6401"/>
    <w:rsid w:val="001D6489"/>
    <w:rsid w:val="001D648B"/>
    <w:rsid w:val="001D6511"/>
    <w:rsid w:val="001D65E2"/>
    <w:rsid w:val="001D65E6"/>
    <w:rsid w:val="001D6640"/>
    <w:rsid w:val="001D6702"/>
    <w:rsid w:val="001D670B"/>
    <w:rsid w:val="001D6734"/>
    <w:rsid w:val="001D6736"/>
    <w:rsid w:val="001D6744"/>
    <w:rsid w:val="001D6829"/>
    <w:rsid w:val="001D692A"/>
    <w:rsid w:val="001D6A60"/>
    <w:rsid w:val="001D6AD8"/>
    <w:rsid w:val="001D6C32"/>
    <w:rsid w:val="001D6C41"/>
    <w:rsid w:val="001D6C45"/>
    <w:rsid w:val="001D6CBE"/>
    <w:rsid w:val="001D6D94"/>
    <w:rsid w:val="001D6E6D"/>
    <w:rsid w:val="001D6E85"/>
    <w:rsid w:val="001D6ECA"/>
    <w:rsid w:val="001D6F5E"/>
    <w:rsid w:val="001D6F9D"/>
    <w:rsid w:val="001D7001"/>
    <w:rsid w:val="001D7098"/>
    <w:rsid w:val="001D70A0"/>
    <w:rsid w:val="001D7115"/>
    <w:rsid w:val="001D712E"/>
    <w:rsid w:val="001D717C"/>
    <w:rsid w:val="001D7189"/>
    <w:rsid w:val="001D723E"/>
    <w:rsid w:val="001D7254"/>
    <w:rsid w:val="001D7280"/>
    <w:rsid w:val="001D72AB"/>
    <w:rsid w:val="001D735E"/>
    <w:rsid w:val="001D7390"/>
    <w:rsid w:val="001D73F0"/>
    <w:rsid w:val="001D7537"/>
    <w:rsid w:val="001D7542"/>
    <w:rsid w:val="001D757E"/>
    <w:rsid w:val="001D75CC"/>
    <w:rsid w:val="001D766E"/>
    <w:rsid w:val="001D76B6"/>
    <w:rsid w:val="001D76CF"/>
    <w:rsid w:val="001D7711"/>
    <w:rsid w:val="001D7781"/>
    <w:rsid w:val="001D77D5"/>
    <w:rsid w:val="001D78CB"/>
    <w:rsid w:val="001D7981"/>
    <w:rsid w:val="001D79C2"/>
    <w:rsid w:val="001D7A1F"/>
    <w:rsid w:val="001D7A23"/>
    <w:rsid w:val="001D7B1C"/>
    <w:rsid w:val="001D7C63"/>
    <w:rsid w:val="001D7CD9"/>
    <w:rsid w:val="001D7D16"/>
    <w:rsid w:val="001D7D43"/>
    <w:rsid w:val="001D7DC9"/>
    <w:rsid w:val="001D7E1F"/>
    <w:rsid w:val="001D7F2D"/>
    <w:rsid w:val="001D7FA1"/>
    <w:rsid w:val="001E00E0"/>
    <w:rsid w:val="001E01F0"/>
    <w:rsid w:val="001E0521"/>
    <w:rsid w:val="001E07B2"/>
    <w:rsid w:val="001E07C7"/>
    <w:rsid w:val="001E07CF"/>
    <w:rsid w:val="001E07D7"/>
    <w:rsid w:val="001E0868"/>
    <w:rsid w:val="001E0923"/>
    <w:rsid w:val="001E0973"/>
    <w:rsid w:val="001E0B51"/>
    <w:rsid w:val="001E0BD5"/>
    <w:rsid w:val="001E0C4A"/>
    <w:rsid w:val="001E0C64"/>
    <w:rsid w:val="001E0D21"/>
    <w:rsid w:val="001E0DAF"/>
    <w:rsid w:val="001E0E0E"/>
    <w:rsid w:val="001E0E46"/>
    <w:rsid w:val="001E0E8C"/>
    <w:rsid w:val="001E0F33"/>
    <w:rsid w:val="001E0FA4"/>
    <w:rsid w:val="001E0FAC"/>
    <w:rsid w:val="001E0FAF"/>
    <w:rsid w:val="001E0FEF"/>
    <w:rsid w:val="001E10D8"/>
    <w:rsid w:val="001E1255"/>
    <w:rsid w:val="001E12B5"/>
    <w:rsid w:val="001E13F0"/>
    <w:rsid w:val="001E1665"/>
    <w:rsid w:val="001E166F"/>
    <w:rsid w:val="001E16DD"/>
    <w:rsid w:val="001E1777"/>
    <w:rsid w:val="001E17A5"/>
    <w:rsid w:val="001E17FB"/>
    <w:rsid w:val="001E1886"/>
    <w:rsid w:val="001E18F0"/>
    <w:rsid w:val="001E1974"/>
    <w:rsid w:val="001E1976"/>
    <w:rsid w:val="001E19AE"/>
    <w:rsid w:val="001E1A46"/>
    <w:rsid w:val="001E1A78"/>
    <w:rsid w:val="001E1A9E"/>
    <w:rsid w:val="001E1C92"/>
    <w:rsid w:val="001E1D93"/>
    <w:rsid w:val="001E1D94"/>
    <w:rsid w:val="001E1DB3"/>
    <w:rsid w:val="001E1DE9"/>
    <w:rsid w:val="001E1FD0"/>
    <w:rsid w:val="001E1FD4"/>
    <w:rsid w:val="001E2007"/>
    <w:rsid w:val="001E2133"/>
    <w:rsid w:val="001E2278"/>
    <w:rsid w:val="001E234C"/>
    <w:rsid w:val="001E2372"/>
    <w:rsid w:val="001E25D6"/>
    <w:rsid w:val="001E26BB"/>
    <w:rsid w:val="001E2762"/>
    <w:rsid w:val="001E27A7"/>
    <w:rsid w:val="001E27F6"/>
    <w:rsid w:val="001E28E9"/>
    <w:rsid w:val="001E2900"/>
    <w:rsid w:val="001E29B7"/>
    <w:rsid w:val="001E2AB7"/>
    <w:rsid w:val="001E2BC5"/>
    <w:rsid w:val="001E2BC8"/>
    <w:rsid w:val="001E2C3D"/>
    <w:rsid w:val="001E2CC7"/>
    <w:rsid w:val="001E2DD8"/>
    <w:rsid w:val="001E2DDF"/>
    <w:rsid w:val="001E2EDD"/>
    <w:rsid w:val="001E2F69"/>
    <w:rsid w:val="001E30E1"/>
    <w:rsid w:val="001E30EE"/>
    <w:rsid w:val="001E3177"/>
    <w:rsid w:val="001E31B2"/>
    <w:rsid w:val="001E327C"/>
    <w:rsid w:val="001E331F"/>
    <w:rsid w:val="001E3522"/>
    <w:rsid w:val="001E3581"/>
    <w:rsid w:val="001E361E"/>
    <w:rsid w:val="001E3673"/>
    <w:rsid w:val="001E371C"/>
    <w:rsid w:val="001E3759"/>
    <w:rsid w:val="001E3766"/>
    <w:rsid w:val="001E3819"/>
    <w:rsid w:val="001E3878"/>
    <w:rsid w:val="001E389D"/>
    <w:rsid w:val="001E38B3"/>
    <w:rsid w:val="001E38FD"/>
    <w:rsid w:val="001E39DA"/>
    <w:rsid w:val="001E39F4"/>
    <w:rsid w:val="001E3AC1"/>
    <w:rsid w:val="001E3BEF"/>
    <w:rsid w:val="001E3CB0"/>
    <w:rsid w:val="001E3DF9"/>
    <w:rsid w:val="001E3E2E"/>
    <w:rsid w:val="001E40FB"/>
    <w:rsid w:val="001E4162"/>
    <w:rsid w:val="001E429B"/>
    <w:rsid w:val="001E42BA"/>
    <w:rsid w:val="001E42C3"/>
    <w:rsid w:val="001E42FF"/>
    <w:rsid w:val="001E43D9"/>
    <w:rsid w:val="001E442E"/>
    <w:rsid w:val="001E456F"/>
    <w:rsid w:val="001E4579"/>
    <w:rsid w:val="001E457E"/>
    <w:rsid w:val="001E458C"/>
    <w:rsid w:val="001E4630"/>
    <w:rsid w:val="001E4672"/>
    <w:rsid w:val="001E48E1"/>
    <w:rsid w:val="001E4921"/>
    <w:rsid w:val="001E4982"/>
    <w:rsid w:val="001E4992"/>
    <w:rsid w:val="001E4A7D"/>
    <w:rsid w:val="001E4AF0"/>
    <w:rsid w:val="001E4AF5"/>
    <w:rsid w:val="001E4B2C"/>
    <w:rsid w:val="001E4B97"/>
    <w:rsid w:val="001E4C1C"/>
    <w:rsid w:val="001E4C7C"/>
    <w:rsid w:val="001E4CD5"/>
    <w:rsid w:val="001E4D21"/>
    <w:rsid w:val="001E4E7C"/>
    <w:rsid w:val="001E5003"/>
    <w:rsid w:val="001E50BC"/>
    <w:rsid w:val="001E50E2"/>
    <w:rsid w:val="001E50FE"/>
    <w:rsid w:val="001E51DD"/>
    <w:rsid w:val="001E527A"/>
    <w:rsid w:val="001E5283"/>
    <w:rsid w:val="001E53F6"/>
    <w:rsid w:val="001E5460"/>
    <w:rsid w:val="001E5469"/>
    <w:rsid w:val="001E546C"/>
    <w:rsid w:val="001E5546"/>
    <w:rsid w:val="001E5625"/>
    <w:rsid w:val="001E568A"/>
    <w:rsid w:val="001E56BA"/>
    <w:rsid w:val="001E5771"/>
    <w:rsid w:val="001E5797"/>
    <w:rsid w:val="001E585D"/>
    <w:rsid w:val="001E58E6"/>
    <w:rsid w:val="001E594C"/>
    <w:rsid w:val="001E5A4E"/>
    <w:rsid w:val="001E5A8D"/>
    <w:rsid w:val="001E5B27"/>
    <w:rsid w:val="001E5BAF"/>
    <w:rsid w:val="001E5CC1"/>
    <w:rsid w:val="001E5D2B"/>
    <w:rsid w:val="001E5E02"/>
    <w:rsid w:val="001E5E99"/>
    <w:rsid w:val="001E6067"/>
    <w:rsid w:val="001E6071"/>
    <w:rsid w:val="001E6087"/>
    <w:rsid w:val="001E60B5"/>
    <w:rsid w:val="001E6232"/>
    <w:rsid w:val="001E633F"/>
    <w:rsid w:val="001E6514"/>
    <w:rsid w:val="001E657C"/>
    <w:rsid w:val="001E6622"/>
    <w:rsid w:val="001E6640"/>
    <w:rsid w:val="001E669C"/>
    <w:rsid w:val="001E66A3"/>
    <w:rsid w:val="001E675C"/>
    <w:rsid w:val="001E683D"/>
    <w:rsid w:val="001E691D"/>
    <w:rsid w:val="001E692E"/>
    <w:rsid w:val="001E697A"/>
    <w:rsid w:val="001E6A86"/>
    <w:rsid w:val="001E6AE7"/>
    <w:rsid w:val="001E6BF2"/>
    <w:rsid w:val="001E6CA5"/>
    <w:rsid w:val="001E6D68"/>
    <w:rsid w:val="001E6D82"/>
    <w:rsid w:val="001E6DA8"/>
    <w:rsid w:val="001E6DD9"/>
    <w:rsid w:val="001E6E2B"/>
    <w:rsid w:val="001E6E79"/>
    <w:rsid w:val="001E6F02"/>
    <w:rsid w:val="001E706B"/>
    <w:rsid w:val="001E70CA"/>
    <w:rsid w:val="001E70D5"/>
    <w:rsid w:val="001E7156"/>
    <w:rsid w:val="001E7157"/>
    <w:rsid w:val="001E7168"/>
    <w:rsid w:val="001E71E8"/>
    <w:rsid w:val="001E7204"/>
    <w:rsid w:val="001E7270"/>
    <w:rsid w:val="001E729F"/>
    <w:rsid w:val="001E72E1"/>
    <w:rsid w:val="001E7480"/>
    <w:rsid w:val="001E76C0"/>
    <w:rsid w:val="001E77EC"/>
    <w:rsid w:val="001E7800"/>
    <w:rsid w:val="001E782F"/>
    <w:rsid w:val="001E7912"/>
    <w:rsid w:val="001E7932"/>
    <w:rsid w:val="001E79E6"/>
    <w:rsid w:val="001E7B11"/>
    <w:rsid w:val="001E7B71"/>
    <w:rsid w:val="001E7C9F"/>
    <w:rsid w:val="001E7CB7"/>
    <w:rsid w:val="001E7E89"/>
    <w:rsid w:val="001E7ED7"/>
    <w:rsid w:val="001E7F28"/>
    <w:rsid w:val="001E7F96"/>
    <w:rsid w:val="001E7FD2"/>
    <w:rsid w:val="001F0355"/>
    <w:rsid w:val="001F035B"/>
    <w:rsid w:val="001F037B"/>
    <w:rsid w:val="001F0645"/>
    <w:rsid w:val="001F0679"/>
    <w:rsid w:val="001F076F"/>
    <w:rsid w:val="001F0802"/>
    <w:rsid w:val="001F08CC"/>
    <w:rsid w:val="001F098E"/>
    <w:rsid w:val="001F0A28"/>
    <w:rsid w:val="001F0AD5"/>
    <w:rsid w:val="001F0B27"/>
    <w:rsid w:val="001F0B53"/>
    <w:rsid w:val="001F0B6C"/>
    <w:rsid w:val="001F0B8D"/>
    <w:rsid w:val="001F0C74"/>
    <w:rsid w:val="001F0D6E"/>
    <w:rsid w:val="001F0DB4"/>
    <w:rsid w:val="001F0DC1"/>
    <w:rsid w:val="001F0EB7"/>
    <w:rsid w:val="001F0F65"/>
    <w:rsid w:val="001F114D"/>
    <w:rsid w:val="001F11D0"/>
    <w:rsid w:val="001F124D"/>
    <w:rsid w:val="001F1276"/>
    <w:rsid w:val="001F12A6"/>
    <w:rsid w:val="001F1375"/>
    <w:rsid w:val="001F1636"/>
    <w:rsid w:val="001F1668"/>
    <w:rsid w:val="001F1670"/>
    <w:rsid w:val="001F16B8"/>
    <w:rsid w:val="001F171A"/>
    <w:rsid w:val="001F1761"/>
    <w:rsid w:val="001F178A"/>
    <w:rsid w:val="001F1820"/>
    <w:rsid w:val="001F184A"/>
    <w:rsid w:val="001F1986"/>
    <w:rsid w:val="001F1B3E"/>
    <w:rsid w:val="001F1BDF"/>
    <w:rsid w:val="001F1C3A"/>
    <w:rsid w:val="001F1CDE"/>
    <w:rsid w:val="001F1D82"/>
    <w:rsid w:val="001F1E78"/>
    <w:rsid w:val="001F1E9B"/>
    <w:rsid w:val="001F1F85"/>
    <w:rsid w:val="001F2150"/>
    <w:rsid w:val="001F2167"/>
    <w:rsid w:val="001F222B"/>
    <w:rsid w:val="001F223E"/>
    <w:rsid w:val="001F226D"/>
    <w:rsid w:val="001F2270"/>
    <w:rsid w:val="001F23DF"/>
    <w:rsid w:val="001F244C"/>
    <w:rsid w:val="001F2503"/>
    <w:rsid w:val="001F25C6"/>
    <w:rsid w:val="001F2605"/>
    <w:rsid w:val="001F27CF"/>
    <w:rsid w:val="001F27F8"/>
    <w:rsid w:val="001F285E"/>
    <w:rsid w:val="001F2880"/>
    <w:rsid w:val="001F28CC"/>
    <w:rsid w:val="001F291F"/>
    <w:rsid w:val="001F292F"/>
    <w:rsid w:val="001F2A32"/>
    <w:rsid w:val="001F2CB6"/>
    <w:rsid w:val="001F2D13"/>
    <w:rsid w:val="001F2D22"/>
    <w:rsid w:val="001F2D84"/>
    <w:rsid w:val="001F2E6C"/>
    <w:rsid w:val="001F2F5E"/>
    <w:rsid w:val="001F2FF6"/>
    <w:rsid w:val="001F3211"/>
    <w:rsid w:val="001F3281"/>
    <w:rsid w:val="001F3353"/>
    <w:rsid w:val="001F33B4"/>
    <w:rsid w:val="001F342D"/>
    <w:rsid w:val="001F3464"/>
    <w:rsid w:val="001F3590"/>
    <w:rsid w:val="001F3749"/>
    <w:rsid w:val="001F37B3"/>
    <w:rsid w:val="001F37E8"/>
    <w:rsid w:val="001F3844"/>
    <w:rsid w:val="001F38B9"/>
    <w:rsid w:val="001F391D"/>
    <w:rsid w:val="001F391E"/>
    <w:rsid w:val="001F3A0B"/>
    <w:rsid w:val="001F3B25"/>
    <w:rsid w:val="001F3B81"/>
    <w:rsid w:val="001F3BCA"/>
    <w:rsid w:val="001F3C28"/>
    <w:rsid w:val="001F3DF3"/>
    <w:rsid w:val="001F3DFC"/>
    <w:rsid w:val="001F3FDC"/>
    <w:rsid w:val="001F3FE9"/>
    <w:rsid w:val="001F4148"/>
    <w:rsid w:val="001F4387"/>
    <w:rsid w:val="001F4456"/>
    <w:rsid w:val="001F4679"/>
    <w:rsid w:val="001F4685"/>
    <w:rsid w:val="001F46F7"/>
    <w:rsid w:val="001F478C"/>
    <w:rsid w:val="001F4B00"/>
    <w:rsid w:val="001F4CD4"/>
    <w:rsid w:val="001F4CD8"/>
    <w:rsid w:val="001F4CE4"/>
    <w:rsid w:val="001F4D3E"/>
    <w:rsid w:val="001F4F0C"/>
    <w:rsid w:val="001F51F1"/>
    <w:rsid w:val="001F5248"/>
    <w:rsid w:val="001F531F"/>
    <w:rsid w:val="001F5343"/>
    <w:rsid w:val="001F5345"/>
    <w:rsid w:val="001F53C8"/>
    <w:rsid w:val="001F540F"/>
    <w:rsid w:val="001F54D4"/>
    <w:rsid w:val="001F54E4"/>
    <w:rsid w:val="001F5561"/>
    <w:rsid w:val="001F55E5"/>
    <w:rsid w:val="001F5623"/>
    <w:rsid w:val="001F56D8"/>
    <w:rsid w:val="001F5787"/>
    <w:rsid w:val="001F5808"/>
    <w:rsid w:val="001F58A7"/>
    <w:rsid w:val="001F5908"/>
    <w:rsid w:val="001F597F"/>
    <w:rsid w:val="001F5C91"/>
    <w:rsid w:val="001F5CCF"/>
    <w:rsid w:val="001F5CD2"/>
    <w:rsid w:val="001F5E67"/>
    <w:rsid w:val="001F5EA2"/>
    <w:rsid w:val="001F5F4C"/>
    <w:rsid w:val="001F60A7"/>
    <w:rsid w:val="001F6225"/>
    <w:rsid w:val="001F62F6"/>
    <w:rsid w:val="001F63EA"/>
    <w:rsid w:val="001F6554"/>
    <w:rsid w:val="001F6573"/>
    <w:rsid w:val="001F65B2"/>
    <w:rsid w:val="001F65BB"/>
    <w:rsid w:val="001F6657"/>
    <w:rsid w:val="001F6706"/>
    <w:rsid w:val="001F6749"/>
    <w:rsid w:val="001F675F"/>
    <w:rsid w:val="001F677A"/>
    <w:rsid w:val="001F6886"/>
    <w:rsid w:val="001F6958"/>
    <w:rsid w:val="001F6A37"/>
    <w:rsid w:val="001F6B32"/>
    <w:rsid w:val="001F6C89"/>
    <w:rsid w:val="001F6DD4"/>
    <w:rsid w:val="001F6DF9"/>
    <w:rsid w:val="001F6ED5"/>
    <w:rsid w:val="001F6F68"/>
    <w:rsid w:val="001F70A7"/>
    <w:rsid w:val="001F70E4"/>
    <w:rsid w:val="001F7188"/>
    <w:rsid w:val="001F71C1"/>
    <w:rsid w:val="001F71EB"/>
    <w:rsid w:val="001F721D"/>
    <w:rsid w:val="001F7242"/>
    <w:rsid w:val="001F7268"/>
    <w:rsid w:val="001F728C"/>
    <w:rsid w:val="001F72C2"/>
    <w:rsid w:val="001F72E8"/>
    <w:rsid w:val="001F74A5"/>
    <w:rsid w:val="001F74CA"/>
    <w:rsid w:val="001F7579"/>
    <w:rsid w:val="001F7647"/>
    <w:rsid w:val="001F7678"/>
    <w:rsid w:val="001F76AB"/>
    <w:rsid w:val="001F76E0"/>
    <w:rsid w:val="001F79DB"/>
    <w:rsid w:val="001F79DD"/>
    <w:rsid w:val="001F7A0E"/>
    <w:rsid w:val="001F7A6D"/>
    <w:rsid w:val="001F7AC2"/>
    <w:rsid w:val="001F7ACF"/>
    <w:rsid w:val="001F7B47"/>
    <w:rsid w:val="001F7BAB"/>
    <w:rsid w:val="001F7BD4"/>
    <w:rsid w:val="001F7C4F"/>
    <w:rsid w:val="001F7CC9"/>
    <w:rsid w:val="001F7D55"/>
    <w:rsid w:val="001F7D75"/>
    <w:rsid w:val="001F7D95"/>
    <w:rsid w:val="001F7DC0"/>
    <w:rsid w:val="001F7E06"/>
    <w:rsid w:val="001F7EFA"/>
    <w:rsid w:val="001F7FA1"/>
    <w:rsid w:val="00200060"/>
    <w:rsid w:val="002002F6"/>
    <w:rsid w:val="0020040D"/>
    <w:rsid w:val="00200448"/>
    <w:rsid w:val="00200490"/>
    <w:rsid w:val="00200497"/>
    <w:rsid w:val="0020049D"/>
    <w:rsid w:val="002005AF"/>
    <w:rsid w:val="002005F6"/>
    <w:rsid w:val="00200670"/>
    <w:rsid w:val="002008EA"/>
    <w:rsid w:val="00200B10"/>
    <w:rsid w:val="00200C7A"/>
    <w:rsid w:val="00200CCF"/>
    <w:rsid w:val="00200CE4"/>
    <w:rsid w:val="00200D17"/>
    <w:rsid w:val="00200D21"/>
    <w:rsid w:val="00200D94"/>
    <w:rsid w:val="00200E97"/>
    <w:rsid w:val="00200F28"/>
    <w:rsid w:val="00201036"/>
    <w:rsid w:val="002010D1"/>
    <w:rsid w:val="0020117C"/>
    <w:rsid w:val="00201183"/>
    <w:rsid w:val="0020121C"/>
    <w:rsid w:val="002012E3"/>
    <w:rsid w:val="002013B6"/>
    <w:rsid w:val="002014CC"/>
    <w:rsid w:val="00201539"/>
    <w:rsid w:val="0020158A"/>
    <w:rsid w:val="0020166C"/>
    <w:rsid w:val="00201754"/>
    <w:rsid w:val="002017C3"/>
    <w:rsid w:val="00201887"/>
    <w:rsid w:val="002018D2"/>
    <w:rsid w:val="00201924"/>
    <w:rsid w:val="0020196B"/>
    <w:rsid w:val="00201A40"/>
    <w:rsid w:val="00201AAD"/>
    <w:rsid w:val="00201AF5"/>
    <w:rsid w:val="00201BC7"/>
    <w:rsid w:val="00201BDC"/>
    <w:rsid w:val="00201BE0"/>
    <w:rsid w:val="00201C0D"/>
    <w:rsid w:val="00201CEC"/>
    <w:rsid w:val="00201D72"/>
    <w:rsid w:val="00201E98"/>
    <w:rsid w:val="00201EEE"/>
    <w:rsid w:val="00201F4F"/>
    <w:rsid w:val="00202018"/>
    <w:rsid w:val="0020222A"/>
    <w:rsid w:val="00202242"/>
    <w:rsid w:val="002022A5"/>
    <w:rsid w:val="00202399"/>
    <w:rsid w:val="00202485"/>
    <w:rsid w:val="0020253E"/>
    <w:rsid w:val="00202552"/>
    <w:rsid w:val="002025DA"/>
    <w:rsid w:val="002026D9"/>
    <w:rsid w:val="00202701"/>
    <w:rsid w:val="0020273B"/>
    <w:rsid w:val="00202763"/>
    <w:rsid w:val="00202850"/>
    <w:rsid w:val="0020285F"/>
    <w:rsid w:val="00202901"/>
    <w:rsid w:val="00202A1A"/>
    <w:rsid w:val="00202B34"/>
    <w:rsid w:val="00202B56"/>
    <w:rsid w:val="00202B87"/>
    <w:rsid w:val="00202BBD"/>
    <w:rsid w:val="00202BD7"/>
    <w:rsid w:val="00202C32"/>
    <w:rsid w:val="00202DBF"/>
    <w:rsid w:val="00202DE2"/>
    <w:rsid w:val="00202E26"/>
    <w:rsid w:val="00202ED1"/>
    <w:rsid w:val="00202F02"/>
    <w:rsid w:val="00202F82"/>
    <w:rsid w:val="0020303D"/>
    <w:rsid w:val="00203060"/>
    <w:rsid w:val="0020308C"/>
    <w:rsid w:val="00203165"/>
    <w:rsid w:val="002031A6"/>
    <w:rsid w:val="002031DA"/>
    <w:rsid w:val="00203278"/>
    <w:rsid w:val="00203398"/>
    <w:rsid w:val="002033C3"/>
    <w:rsid w:val="00203423"/>
    <w:rsid w:val="0020342A"/>
    <w:rsid w:val="0020346F"/>
    <w:rsid w:val="00203489"/>
    <w:rsid w:val="00203627"/>
    <w:rsid w:val="00203669"/>
    <w:rsid w:val="00203688"/>
    <w:rsid w:val="00203742"/>
    <w:rsid w:val="002039B9"/>
    <w:rsid w:val="00203AD7"/>
    <w:rsid w:val="00203CC8"/>
    <w:rsid w:val="00203F10"/>
    <w:rsid w:val="00203F70"/>
    <w:rsid w:val="002040CC"/>
    <w:rsid w:val="002040D6"/>
    <w:rsid w:val="0020412B"/>
    <w:rsid w:val="0020417C"/>
    <w:rsid w:val="002041EF"/>
    <w:rsid w:val="002042FA"/>
    <w:rsid w:val="0020434D"/>
    <w:rsid w:val="002043D3"/>
    <w:rsid w:val="0020466D"/>
    <w:rsid w:val="002046EB"/>
    <w:rsid w:val="0020482B"/>
    <w:rsid w:val="00204A36"/>
    <w:rsid w:val="00204A52"/>
    <w:rsid w:val="00204C80"/>
    <w:rsid w:val="00204EA4"/>
    <w:rsid w:val="00204EA8"/>
    <w:rsid w:val="00204FC7"/>
    <w:rsid w:val="00205075"/>
    <w:rsid w:val="00205172"/>
    <w:rsid w:val="002051E5"/>
    <w:rsid w:val="00205246"/>
    <w:rsid w:val="00205282"/>
    <w:rsid w:val="0020541A"/>
    <w:rsid w:val="00205480"/>
    <w:rsid w:val="00205622"/>
    <w:rsid w:val="0020564C"/>
    <w:rsid w:val="00205838"/>
    <w:rsid w:val="00205862"/>
    <w:rsid w:val="00205B42"/>
    <w:rsid w:val="00205BFC"/>
    <w:rsid w:val="00205DAB"/>
    <w:rsid w:val="00205DC7"/>
    <w:rsid w:val="00205DE0"/>
    <w:rsid w:val="00206004"/>
    <w:rsid w:val="00206101"/>
    <w:rsid w:val="00206254"/>
    <w:rsid w:val="002062A4"/>
    <w:rsid w:val="002063AC"/>
    <w:rsid w:val="002063D6"/>
    <w:rsid w:val="00206491"/>
    <w:rsid w:val="002065EB"/>
    <w:rsid w:val="00206603"/>
    <w:rsid w:val="00206633"/>
    <w:rsid w:val="00206721"/>
    <w:rsid w:val="00206831"/>
    <w:rsid w:val="00206857"/>
    <w:rsid w:val="00206915"/>
    <w:rsid w:val="00206936"/>
    <w:rsid w:val="00206943"/>
    <w:rsid w:val="002069FC"/>
    <w:rsid w:val="00206BAC"/>
    <w:rsid w:val="00206BC7"/>
    <w:rsid w:val="00206C6D"/>
    <w:rsid w:val="00206D7D"/>
    <w:rsid w:val="00206DA1"/>
    <w:rsid w:val="00206F00"/>
    <w:rsid w:val="00206F30"/>
    <w:rsid w:val="00206FE7"/>
    <w:rsid w:val="00207201"/>
    <w:rsid w:val="0020722B"/>
    <w:rsid w:val="00207238"/>
    <w:rsid w:val="002072D8"/>
    <w:rsid w:val="0020760C"/>
    <w:rsid w:val="002079F2"/>
    <w:rsid w:val="00207A54"/>
    <w:rsid w:val="00207A9F"/>
    <w:rsid w:val="00207AEC"/>
    <w:rsid w:val="00207BA4"/>
    <w:rsid w:val="00207CA8"/>
    <w:rsid w:val="00207CDC"/>
    <w:rsid w:val="00207E01"/>
    <w:rsid w:val="00207E33"/>
    <w:rsid w:val="00207E45"/>
    <w:rsid w:val="00207E60"/>
    <w:rsid w:val="00207EEE"/>
    <w:rsid w:val="00207F02"/>
    <w:rsid w:val="00207F0A"/>
    <w:rsid w:val="00207F47"/>
    <w:rsid w:val="00207F80"/>
    <w:rsid w:val="00210068"/>
    <w:rsid w:val="002100A4"/>
    <w:rsid w:val="002100A9"/>
    <w:rsid w:val="002100AC"/>
    <w:rsid w:val="00210109"/>
    <w:rsid w:val="00210160"/>
    <w:rsid w:val="0021018B"/>
    <w:rsid w:val="002101D5"/>
    <w:rsid w:val="00210207"/>
    <w:rsid w:val="00210232"/>
    <w:rsid w:val="0021033F"/>
    <w:rsid w:val="00210394"/>
    <w:rsid w:val="0021039D"/>
    <w:rsid w:val="002103E7"/>
    <w:rsid w:val="00210406"/>
    <w:rsid w:val="0021056D"/>
    <w:rsid w:val="0021059D"/>
    <w:rsid w:val="00210721"/>
    <w:rsid w:val="002107C1"/>
    <w:rsid w:val="00210892"/>
    <w:rsid w:val="00210916"/>
    <w:rsid w:val="002109E1"/>
    <w:rsid w:val="00210A28"/>
    <w:rsid w:val="00210A49"/>
    <w:rsid w:val="00210AD9"/>
    <w:rsid w:val="00210BFF"/>
    <w:rsid w:val="00210D15"/>
    <w:rsid w:val="00210F6D"/>
    <w:rsid w:val="00211034"/>
    <w:rsid w:val="00211054"/>
    <w:rsid w:val="00211088"/>
    <w:rsid w:val="00211263"/>
    <w:rsid w:val="002112A1"/>
    <w:rsid w:val="002112FA"/>
    <w:rsid w:val="002114BA"/>
    <w:rsid w:val="002114DA"/>
    <w:rsid w:val="00211507"/>
    <w:rsid w:val="00211671"/>
    <w:rsid w:val="00211679"/>
    <w:rsid w:val="0021174E"/>
    <w:rsid w:val="00211752"/>
    <w:rsid w:val="00211756"/>
    <w:rsid w:val="002117CD"/>
    <w:rsid w:val="0021189B"/>
    <w:rsid w:val="0021189E"/>
    <w:rsid w:val="00211971"/>
    <w:rsid w:val="00211987"/>
    <w:rsid w:val="002119DE"/>
    <w:rsid w:val="00211A75"/>
    <w:rsid w:val="00211A91"/>
    <w:rsid w:val="00211B04"/>
    <w:rsid w:val="00211B39"/>
    <w:rsid w:val="00211B5A"/>
    <w:rsid w:val="00211BBB"/>
    <w:rsid w:val="00211BCE"/>
    <w:rsid w:val="00211C35"/>
    <w:rsid w:val="00211D6A"/>
    <w:rsid w:val="00211E1D"/>
    <w:rsid w:val="00211E78"/>
    <w:rsid w:val="00211F04"/>
    <w:rsid w:val="00211F05"/>
    <w:rsid w:val="0021202C"/>
    <w:rsid w:val="00212061"/>
    <w:rsid w:val="002120DD"/>
    <w:rsid w:val="002121C0"/>
    <w:rsid w:val="00212272"/>
    <w:rsid w:val="00212359"/>
    <w:rsid w:val="0021247F"/>
    <w:rsid w:val="0021249E"/>
    <w:rsid w:val="00212565"/>
    <w:rsid w:val="0021256C"/>
    <w:rsid w:val="00212604"/>
    <w:rsid w:val="00212760"/>
    <w:rsid w:val="002127E1"/>
    <w:rsid w:val="002127F9"/>
    <w:rsid w:val="0021286A"/>
    <w:rsid w:val="002128C5"/>
    <w:rsid w:val="00212935"/>
    <w:rsid w:val="00212938"/>
    <w:rsid w:val="00212950"/>
    <w:rsid w:val="002129E2"/>
    <w:rsid w:val="00212A30"/>
    <w:rsid w:val="00212A57"/>
    <w:rsid w:val="00212AB2"/>
    <w:rsid w:val="00212B58"/>
    <w:rsid w:val="00212B82"/>
    <w:rsid w:val="00212BA0"/>
    <w:rsid w:val="00212C1D"/>
    <w:rsid w:val="00212C8C"/>
    <w:rsid w:val="00212D5C"/>
    <w:rsid w:val="00212D88"/>
    <w:rsid w:val="00212E9F"/>
    <w:rsid w:val="00212ED1"/>
    <w:rsid w:val="00212EF1"/>
    <w:rsid w:val="00212F04"/>
    <w:rsid w:val="00212F74"/>
    <w:rsid w:val="00213032"/>
    <w:rsid w:val="002130DA"/>
    <w:rsid w:val="00213121"/>
    <w:rsid w:val="0021313B"/>
    <w:rsid w:val="002131E8"/>
    <w:rsid w:val="00213235"/>
    <w:rsid w:val="00213253"/>
    <w:rsid w:val="002133D3"/>
    <w:rsid w:val="0021350C"/>
    <w:rsid w:val="00213566"/>
    <w:rsid w:val="00213602"/>
    <w:rsid w:val="0021360A"/>
    <w:rsid w:val="00213628"/>
    <w:rsid w:val="00213755"/>
    <w:rsid w:val="00213899"/>
    <w:rsid w:val="00213A4F"/>
    <w:rsid w:val="00213B9E"/>
    <w:rsid w:val="00213BA3"/>
    <w:rsid w:val="00213C93"/>
    <w:rsid w:val="00213D4B"/>
    <w:rsid w:val="00213E04"/>
    <w:rsid w:val="00213E05"/>
    <w:rsid w:val="0021409A"/>
    <w:rsid w:val="0021419B"/>
    <w:rsid w:val="002141AA"/>
    <w:rsid w:val="002141B1"/>
    <w:rsid w:val="00214212"/>
    <w:rsid w:val="0021429C"/>
    <w:rsid w:val="002143C5"/>
    <w:rsid w:val="002144DC"/>
    <w:rsid w:val="0021466D"/>
    <w:rsid w:val="002146E0"/>
    <w:rsid w:val="0021491C"/>
    <w:rsid w:val="002149A8"/>
    <w:rsid w:val="00214A59"/>
    <w:rsid w:val="00214CED"/>
    <w:rsid w:val="00214D31"/>
    <w:rsid w:val="00214DEC"/>
    <w:rsid w:val="00214E38"/>
    <w:rsid w:val="00214E94"/>
    <w:rsid w:val="00214EF3"/>
    <w:rsid w:val="00214F32"/>
    <w:rsid w:val="002150D0"/>
    <w:rsid w:val="0021510A"/>
    <w:rsid w:val="00215233"/>
    <w:rsid w:val="00215275"/>
    <w:rsid w:val="0021527B"/>
    <w:rsid w:val="002152BD"/>
    <w:rsid w:val="0021534C"/>
    <w:rsid w:val="00215432"/>
    <w:rsid w:val="002154CD"/>
    <w:rsid w:val="002155D9"/>
    <w:rsid w:val="002155F9"/>
    <w:rsid w:val="00215608"/>
    <w:rsid w:val="0021565F"/>
    <w:rsid w:val="0021576E"/>
    <w:rsid w:val="002157F3"/>
    <w:rsid w:val="0021588E"/>
    <w:rsid w:val="00215A24"/>
    <w:rsid w:val="00215AE7"/>
    <w:rsid w:val="00215B3B"/>
    <w:rsid w:val="00215B74"/>
    <w:rsid w:val="00215CD2"/>
    <w:rsid w:val="00215E10"/>
    <w:rsid w:val="00215E61"/>
    <w:rsid w:val="00215E7A"/>
    <w:rsid w:val="00215F20"/>
    <w:rsid w:val="00215FD1"/>
    <w:rsid w:val="0021617A"/>
    <w:rsid w:val="002161A8"/>
    <w:rsid w:val="002161FA"/>
    <w:rsid w:val="00216272"/>
    <w:rsid w:val="002162BB"/>
    <w:rsid w:val="002162DA"/>
    <w:rsid w:val="002162FE"/>
    <w:rsid w:val="00216331"/>
    <w:rsid w:val="002163CE"/>
    <w:rsid w:val="00216407"/>
    <w:rsid w:val="0021671F"/>
    <w:rsid w:val="00216724"/>
    <w:rsid w:val="002167E3"/>
    <w:rsid w:val="002167E4"/>
    <w:rsid w:val="00216895"/>
    <w:rsid w:val="002168C4"/>
    <w:rsid w:val="00216900"/>
    <w:rsid w:val="0021694B"/>
    <w:rsid w:val="00216980"/>
    <w:rsid w:val="00216AF3"/>
    <w:rsid w:val="00216B84"/>
    <w:rsid w:val="00216BFF"/>
    <w:rsid w:val="00216D27"/>
    <w:rsid w:val="00216E18"/>
    <w:rsid w:val="00216E29"/>
    <w:rsid w:val="0021708E"/>
    <w:rsid w:val="0021724A"/>
    <w:rsid w:val="0021732C"/>
    <w:rsid w:val="0021734C"/>
    <w:rsid w:val="0021760F"/>
    <w:rsid w:val="00217617"/>
    <w:rsid w:val="002177B4"/>
    <w:rsid w:val="002177DF"/>
    <w:rsid w:val="00217873"/>
    <w:rsid w:val="002179F7"/>
    <w:rsid w:val="00217A2A"/>
    <w:rsid w:val="00217A53"/>
    <w:rsid w:val="00217A70"/>
    <w:rsid w:val="00217B13"/>
    <w:rsid w:val="00217B25"/>
    <w:rsid w:val="00217B4A"/>
    <w:rsid w:val="00217BAD"/>
    <w:rsid w:val="00217C47"/>
    <w:rsid w:val="00217D26"/>
    <w:rsid w:val="00217D6A"/>
    <w:rsid w:val="00217DAE"/>
    <w:rsid w:val="00217F2B"/>
    <w:rsid w:val="00217F45"/>
    <w:rsid w:val="00217FAD"/>
    <w:rsid w:val="0022005C"/>
    <w:rsid w:val="00220161"/>
    <w:rsid w:val="002201B3"/>
    <w:rsid w:val="00220211"/>
    <w:rsid w:val="002203C0"/>
    <w:rsid w:val="0022045D"/>
    <w:rsid w:val="00220555"/>
    <w:rsid w:val="00220578"/>
    <w:rsid w:val="002206FE"/>
    <w:rsid w:val="00220713"/>
    <w:rsid w:val="00220729"/>
    <w:rsid w:val="0022075F"/>
    <w:rsid w:val="002208BD"/>
    <w:rsid w:val="0022099F"/>
    <w:rsid w:val="00220A1B"/>
    <w:rsid w:val="00220A1E"/>
    <w:rsid w:val="00220A89"/>
    <w:rsid w:val="00220A93"/>
    <w:rsid w:val="00220ADF"/>
    <w:rsid w:val="00220C63"/>
    <w:rsid w:val="00220CDA"/>
    <w:rsid w:val="00220D5E"/>
    <w:rsid w:val="00220D8E"/>
    <w:rsid w:val="00220DC0"/>
    <w:rsid w:val="00220E04"/>
    <w:rsid w:val="00220EF1"/>
    <w:rsid w:val="00221067"/>
    <w:rsid w:val="00221103"/>
    <w:rsid w:val="00221114"/>
    <w:rsid w:val="00221146"/>
    <w:rsid w:val="00221173"/>
    <w:rsid w:val="002212F1"/>
    <w:rsid w:val="00221557"/>
    <w:rsid w:val="002215ED"/>
    <w:rsid w:val="0022161F"/>
    <w:rsid w:val="00221628"/>
    <w:rsid w:val="00221646"/>
    <w:rsid w:val="0022164B"/>
    <w:rsid w:val="0022173D"/>
    <w:rsid w:val="002217CA"/>
    <w:rsid w:val="002217F0"/>
    <w:rsid w:val="00221855"/>
    <w:rsid w:val="0022187F"/>
    <w:rsid w:val="00221898"/>
    <w:rsid w:val="0022189E"/>
    <w:rsid w:val="002219FF"/>
    <w:rsid w:val="00221A87"/>
    <w:rsid w:val="00221B69"/>
    <w:rsid w:val="00221B83"/>
    <w:rsid w:val="00221D7D"/>
    <w:rsid w:val="00221DAC"/>
    <w:rsid w:val="00221E4A"/>
    <w:rsid w:val="0022202B"/>
    <w:rsid w:val="00222040"/>
    <w:rsid w:val="00222065"/>
    <w:rsid w:val="0022212E"/>
    <w:rsid w:val="00222142"/>
    <w:rsid w:val="0022216E"/>
    <w:rsid w:val="002221B2"/>
    <w:rsid w:val="00222320"/>
    <w:rsid w:val="002223AA"/>
    <w:rsid w:val="0022242F"/>
    <w:rsid w:val="00222468"/>
    <w:rsid w:val="0022252C"/>
    <w:rsid w:val="00222669"/>
    <w:rsid w:val="002226E0"/>
    <w:rsid w:val="002226F4"/>
    <w:rsid w:val="0022294D"/>
    <w:rsid w:val="00222A69"/>
    <w:rsid w:val="00222AC1"/>
    <w:rsid w:val="00222B83"/>
    <w:rsid w:val="00222CC7"/>
    <w:rsid w:val="00222D2C"/>
    <w:rsid w:val="00222D3C"/>
    <w:rsid w:val="00222D52"/>
    <w:rsid w:val="00222F72"/>
    <w:rsid w:val="0022300D"/>
    <w:rsid w:val="002230E2"/>
    <w:rsid w:val="0022326F"/>
    <w:rsid w:val="0022334A"/>
    <w:rsid w:val="00223354"/>
    <w:rsid w:val="00223370"/>
    <w:rsid w:val="002233D0"/>
    <w:rsid w:val="00223451"/>
    <w:rsid w:val="00223456"/>
    <w:rsid w:val="002235DB"/>
    <w:rsid w:val="0022360E"/>
    <w:rsid w:val="00223649"/>
    <w:rsid w:val="002237C9"/>
    <w:rsid w:val="00223810"/>
    <w:rsid w:val="00223873"/>
    <w:rsid w:val="00223903"/>
    <w:rsid w:val="00223974"/>
    <w:rsid w:val="00223999"/>
    <w:rsid w:val="00223A5A"/>
    <w:rsid w:val="00223AB9"/>
    <w:rsid w:val="00223B2E"/>
    <w:rsid w:val="00223B8A"/>
    <w:rsid w:val="00223BA9"/>
    <w:rsid w:val="00223C67"/>
    <w:rsid w:val="00223CC1"/>
    <w:rsid w:val="00223CCA"/>
    <w:rsid w:val="00223D91"/>
    <w:rsid w:val="00223F85"/>
    <w:rsid w:val="00224171"/>
    <w:rsid w:val="002241D4"/>
    <w:rsid w:val="00224226"/>
    <w:rsid w:val="00224254"/>
    <w:rsid w:val="002242B0"/>
    <w:rsid w:val="00224412"/>
    <w:rsid w:val="002244E8"/>
    <w:rsid w:val="00224556"/>
    <w:rsid w:val="002246FB"/>
    <w:rsid w:val="0022475A"/>
    <w:rsid w:val="002247AD"/>
    <w:rsid w:val="00224801"/>
    <w:rsid w:val="00224811"/>
    <w:rsid w:val="00224849"/>
    <w:rsid w:val="002248C8"/>
    <w:rsid w:val="002248F7"/>
    <w:rsid w:val="00224996"/>
    <w:rsid w:val="00224A19"/>
    <w:rsid w:val="00224A53"/>
    <w:rsid w:val="00224A6A"/>
    <w:rsid w:val="00224A94"/>
    <w:rsid w:val="00224BBF"/>
    <w:rsid w:val="00224CFC"/>
    <w:rsid w:val="00224D5C"/>
    <w:rsid w:val="00224DBC"/>
    <w:rsid w:val="00224DE0"/>
    <w:rsid w:val="00224E07"/>
    <w:rsid w:val="00224FEF"/>
    <w:rsid w:val="0022504D"/>
    <w:rsid w:val="00225050"/>
    <w:rsid w:val="00225114"/>
    <w:rsid w:val="0022518A"/>
    <w:rsid w:val="00225228"/>
    <w:rsid w:val="002252F7"/>
    <w:rsid w:val="00225409"/>
    <w:rsid w:val="0022541B"/>
    <w:rsid w:val="0022558A"/>
    <w:rsid w:val="002255B3"/>
    <w:rsid w:val="00225601"/>
    <w:rsid w:val="00225604"/>
    <w:rsid w:val="002256CB"/>
    <w:rsid w:val="002256E2"/>
    <w:rsid w:val="00225758"/>
    <w:rsid w:val="002257E2"/>
    <w:rsid w:val="00225891"/>
    <w:rsid w:val="002259CF"/>
    <w:rsid w:val="00225AD3"/>
    <w:rsid w:val="00225B6A"/>
    <w:rsid w:val="00225FA5"/>
    <w:rsid w:val="00225FC9"/>
    <w:rsid w:val="002260B5"/>
    <w:rsid w:val="00226126"/>
    <w:rsid w:val="00226128"/>
    <w:rsid w:val="00226143"/>
    <w:rsid w:val="00226147"/>
    <w:rsid w:val="0022615B"/>
    <w:rsid w:val="00226165"/>
    <w:rsid w:val="002262F9"/>
    <w:rsid w:val="0022646A"/>
    <w:rsid w:val="0022651B"/>
    <w:rsid w:val="0022652D"/>
    <w:rsid w:val="00226580"/>
    <w:rsid w:val="00226614"/>
    <w:rsid w:val="00226623"/>
    <w:rsid w:val="00226762"/>
    <w:rsid w:val="002267FF"/>
    <w:rsid w:val="00226825"/>
    <w:rsid w:val="0022685F"/>
    <w:rsid w:val="00226863"/>
    <w:rsid w:val="002268B6"/>
    <w:rsid w:val="002268F9"/>
    <w:rsid w:val="002269DF"/>
    <w:rsid w:val="002269FC"/>
    <w:rsid w:val="00226A0D"/>
    <w:rsid w:val="00226A6B"/>
    <w:rsid w:val="00226ADF"/>
    <w:rsid w:val="00226C91"/>
    <w:rsid w:val="00226C96"/>
    <w:rsid w:val="00226CCF"/>
    <w:rsid w:val="00226D1D"/>
    <w:rsid w:val="00226D5B"/>
    <w:rsid w:val="00226D78"/>
    <w:rsid w:val="00226DA3"/>
    <w:rsid w:val="00226DCA"/>
    <w:rsid w:val="00226E4B"/>
    <w:rsid w:val="00226E59"/>
    <w:rsid w:val="00226E6A"/>
    <w:rsid w:val="00226E72"/>
    <w:rsid w:val="00226F2F"/>
    <w:rsid w:val="00226FC0"/>
    <w:rsid w:val="00227068"/>
    <w:rsid w:val="0022709B"/>
    <w:rsid w:val="002271C7"/>
    <w:rsid w:val="00227305"/>
    <w:rsid w:val="0022732E"/>
    <w:rsid w:val="00227378"/>
    <w:rsid w:val="002273A5"/>
    <w:rsid w:val="0022740E"/>
    <w:rsid w:val="00227460"/>
    <w:rsid w:val="002274A3"/>
    <w:rsid w:val="002274B6"/>
    <w:rsid w:val="0022751E"/>
    <w:rsid w:val="002276E6"/>
    <w:rsid w:val="00227797"/>
    <w:rsid w:val="002277D7"/>
    <w:rsid w:val="0022782C"/>
    <w:rsid w:val="0022786D"/>
    <w:rsid w:val="0022787E"/>
    <w:rsid w:val="00227991"/>
    <w:rsid w:val="00227A76"/>
    <w:rsid w:val="00227AB0"/>
    <w:rsid w:val="00227ACC"/>
    <w:rsid w:val="00227B2A"/>
    <w:rsid w:val="00227BD6"/>
    <w:rsid w:val="00227D38"/>
    <w:rsid w:val="00227D54"/>
    <w:rsid w:val="00227D69"/>
    <w:rsid w:val="00227E10"/>
    <w:rsid w:val="00227EA4"/>
    <w:rsid w:val="00227EC8"/>
    <w:rsid w:val="00227EFE"/>
    <w:rsid w:val="00227F42"/>
    <w:rsid w:val="00227F80"/>
    <w:rsid w:val="0023024A"/>
    <w:rsid w:val="0023028A"/>
    <w:rsid w:val="002303EE"/>
    <w:rsid w:val="00230432"/>
    <w:rsid w:val="00230464"/>
    <w:rsid w:val="002304AD"/>
    <w:rsid w:val="002304F0"/>
    <w:rsid w:val="0023062D"/>
    <w:rsid w:val="0023066C"/>
    <w:rsid w:val="0023069B"/>
    <w:rsid w:val="00230780"/>
    <w:rsid w:val="002307D2"/>
    <w:rsid w:val="002308B4"/>
    <w:rsid w:val="0023097F"/>
    <w:rsid w:val="002309BB"/>
    <w:rsid w:val="00230A53"/>
    <w:rsid w:val="00230ADB"/>
    <w:rsid w:val="00230E4C"/>
    <w:rsid w:val="00230E8E"/>
    <w:rsid w:val="00230F3F"/>
    <w:rsid w:val="00230FE1"/>
    <w:rsid w:val="00231189"/>
    <w:rsid w:val="002311A5"/>
    <w:rsid w:val="00231200"/>
    <w:rsid w:val="00231268"/>
    <w:rsid w:val="00231330"/>
    <w:rsid w:val="002313C6"/>
    <w:rsid w:val="00231432"/>
    <w:rsid w:val="00231455"/>
    <w:rsid w:val="0023157F"/>
    <w:rsid w:val="002315A7"/>
    <w:rsid w:val="002315E0"/>
    <w:rsid w:val="002316A1"/>
    <w:rsid w:val="00231768"/>
    <w:rsid w:val="00231869"/>
    <w:rsid w:val="00231936"/>
    <w:rsid w:val="00231A52"/>
    <w:rsid w:val="00231A63"/>
    <w:rsid w:val="00231A68"/>
    <w:rsid w:val="00231A8D"/>
    <w:rsid w:val="00231BA5"/>
    <w:rsid w:val="00231D94"/>
    <w:rsid w:val="00231DA6"/>
    <w:rsid w:val="00231E17"/>
    <w:rsid w:val="00231E20"/>
    <w:rsid w:val="00231E94"/>
    <w:rsid w:val="00231FAF"/>
    <w:rsid w:val="002321C8"/>
    <w:rsid w:val="0023226E"/>
    <w:rsid w:val="00232291"/>
    <w:rsid w:val="0023240F"/>
    <w:rsid w:val="002324CE"/>
    <w:rsid w:val="00232520"/>
    <w:rsid w:val="00232571"/>
    <w:rsid w:val="002325DB"/>
    <w:rsid w:val="00232607"/>
    <w:rsid w:val="00232754"/>
    <w:rsid w:val="00232784"/>
    <w:rsid w:val="002327B7"/>
    <w:rsid w:val="002327DC"/>
    <w:rsid w:val="0023286F"/>
    <w:rsid w:val="002328C7"/>
    <w:rsid w:val="00232A44"/>
    <w:rsid w:val="00232A5D"/>
    <w:rsid w:val="00232ADA"/>
    <w:rsid w:val="00232B01"/>
    <w:rsid w:val="00232C6D"/>
    <w:rsid w:val="00232D93"/>
    <w:rsid w:val="00232E59"/>
    <w:rsid w:val="00232EBD"/>
    <w:rsid w:val="00232F27"/>
    <w:rsid w:val="00232F57"/>
    <w:rsid w:val="00232F82"/>
    <w:rsid w:val="00232FF2"/>
    <w:rsid w:val="002330FC"/>
    <w:rsid w:val="0023310B"/>
    <w:rsid w:val="002331B9"/>
    <w:rsid w:val="0023328C"/>
    <w:rsid w:val="0023328D"/>
    <w:rsid w:val="0023330B"/>
    <w:rsid w:val="00233332"/>
    <w:rsid w:val="00233396"/>
    <w:rsid w:val="002334A4"/>
    <w:rsid w:val="002334FE"/>
    <w:rsid w:val="00233547"/>
    <w:rsid w:val="00233587"/>
    <w:rsid w:val="00233898"/>
    <w:rsid w:val="002338A6"/>
    <w:rsid w:val="0023398D"/>
    <w:rsid w:val="00233991"/>
    <w:rsid w:val="002339DE"/>
    <w:rsid w:val="00233A1C"/>
    <w:rsid w:val="00233A86"/>
    <w:rsid w:val="00233D23"/>
    <w:rsid w:val="00234065"/>
    <w:rsid w:val="002340FE"/>
    <w:rsid w:val="00234125"/>
    <w:rsid w:val="002341C0"/>
    <w:rsid w:val="00234296"/>
    <w:rsid w:val="0023429A"/>
    <w:rsid w:val="00234319"/>
    <w:rsid w:val="002343CC"/>
    <w:rsid w:val="00234405"/>
    <w:rsid w:val="002344B0"/>
    <w:rsid w:val="002345A4"/>
    <w:rsid w:val="002345DA"/>
    <w:rsid w:val="0023461E"/>
    <w:rsid w:val="00234667"/>
    <w:rsid w:val="002346C2"/>
    <w:rsid w:val="002346F5"/>
    <w:rsid w:val="00234732"/>
    <w:rsid w:val="0023483F"/>
    <w:rsid w:val="0023497B"/>
    <w:rsid w:val="002349B7"/>
    <w:rsid w:val="00234A33"/>
    <w:rsid w:val="00234AB5"/>
    <w:rsid w:val="00234ACC"/>
    <w:rsid w:val="00234AE9"/>
    <w:rsid w:val="00234B3A"/>
    <w:rsid w:val="00234B78"/>
    <w:rsid w:val="00234B94"/>
    <w:rsid w:val="00234BD4"/>
    <w:rsid w:val="00234D58"/>
    <w:rsid w:val="00234E25"/>
    <w:rsid w:val="00234E30"/>
    <w:rsid w:val="00234EFA"/>
    <w:rsid w:val="00234F45"/>
    <w:rsid w:val="00234F47"/>
    <w:rsid w:val="00234F6C"/>
    <w:rsid w:val="00234FF7"/>
    <w:rsid w:val="002350AC"/>
    <w:rsid w:val="00235185"/>
    <w:rsid w:val="002351DF"/>
    <w:rsid w:val="0023529F"/>
    <w:rsid w:val="0023530E"/>
    <w:rsid w:val="002353E9"/>
    <w:rsid w:val="00235472"/>
    <w:rsid w:val="00235504"/>
    <w:rsid w:val="00235548"/>
    <w:rsid w:val="002356DA"/>
    <w:rsid w:val="00235733"/>
    <w:rsid w:val="00235829"/>
    <w:rsid w:val="00235895"/>
    <w:rsid w:val="0023592E"/>
    <w:rsid w:val="00235A4C"/>
    <w:rsid w:val="00235AA1"/>
    <w:rsid w:val="00235ABB"/>
    <w:rsid w:val="00235B7C"/>
    <w:rsid w:val="00235B82"/>
    <w:rsid w:val="00235C5C"/>
    <w:rsid w:val="00235C60"/>
    <w:rsid w:val="00235F0D"/>
    <w:rsid w:val="00235FA9"/>
    <w:rsid w:val="0023605A"/>
    <w:rsid w:val="0023613B"/>
    <w:rsid w:val="00236149"/>
    <w:rsid w:val="00236264"/>
    <w:rsid w:val="00236288"/>
    <w:rsid w:val="00236390"/>
    <w:rsid w:val="002363D7"/>
    <w:rsid w:val="00236578"/>
    <w:rsid w:val="0023659D"/>
    <w:rsid w:val="002365CC"/>
    <w:rsid w:val="0023676A"/>
    <w:rsid w:val="00236831"/>
    <w:rsid w:val="0023693C"/>
    <w:rsid w:val="00236A63"/>
    <w:rsid w:val="00236B27"/>
    <w:rsid w:val="00236B67"/>
    <w:rsid w:val="00236B6B"/>
    <w:rsid w:val="00236B86"/>
    <w:rsid w:val="00236B8F"/>
    <w:rsid w:val="00236C59"/>
    <w:rsid w:val="00236D58"/>
    <w:rsid w:val="00236DBC"/>
    <w:rsid w:val="00236E11"/>
    <w:rsid w:val="00236E5C"/>
    <w:rsid w:val="00236F31"/>
    <w:rsid w:val="00236FAD"/>
    <w:rsid w:val="002370D1"/>
    <w:rsid w:val="002370E5"/>
    <w:rsid w:val="00237205"/>
    <w:rsid w:val="00237251"/>
    <w:rsid w:val="002372B0"/>
    <w:rsid w:val="00237311"/>
    <w:rsid w:val="0023732C"/>
    <w:rsid w:val="00237340"/>
    <w:rsid w:val="00237382"/>
    <w:rsid w:val="0023743D"/>
    <w:rsid w:val="00237447"/>
    <w:rsid w:val="002374A7"/>
    <w:rsid w:val="00237518"/>
    <w:rsid w:val="002375E5"/>
    <w:rsid w:val="0023776F"/>
    <w:rsid w:val="002377D4"/>
    <w:rsid w:val="00237860"/>
    <w:rsid w:val="00237918"/>
    <w:rsid w:val="002379B7"/>
    <w:rsid w:val="00237B58"/>
    <w:rsid w:val="00237E2A"/>
    <w:rsid w:val="00237EE0"/>
    <w:rsid w:val="00237F22"/>
    <w:rsid w:val="00237F2E"/>
    <w:rsid w:val="00237FAB"/>
    <w:rsid w:val="00240067"/>
    <w:rsid w:val="00240089"/>
    <w:rsid w:val="002400E3"/>
    <w:rsid w:val="002400F3"/>
    <w:rsid w:val="00240119"/>
    <w:rsid w:val="00240198"/>
    <w:rsid w:val="00240233"/>
    <w:rsid w:val="0024023F"/>
    <w:rsid w:val="002402AD"/>
    <w:rsid w:val="002402D2"/>
    <w:rsid w:val="0024036A"/>
    <w:rsid w:val="002403A6"/>
    <w:rsid w:val="002403EF"/>
    <w:rsid w:val="0024053F"/>
    <w:rsid w:val="00240597"/>
    <w:rsid w:val="002405D8"/>
    <w:rsid w:val="002406A0"/>
    <w:rsid w:val="002406D2"/>
    <w:rsid w:val="0024097C"/>
    <w:rsid w:val="0024099E"/>
    <w:rsid w:val="002409D5"/>
    <w:rsid w:val="00240A31"/>
    <w:rsid w:val="00240AB7"/>
    <w:rsid w:val="00240ADD"/>
    <w:rsid w:val="00240B73"/>
    <w:rsid w:val="00240B8C"/>
    <w:rsid w:val="00240C02"/>
    <w:rsid w:val="00240C35"/>
    <w:rsid w:val="00240D73"/>
    <w:rsid w:val="00240DDD"/>
    <w:rsid w:val="00240F85"/>
    <w:rsid w:val="002410EA"/>
    <w:rsid w:val="0024114D"/>
    <w:rsid w:val="00241193"/>
    <w:rsid w:val="0024119C"/>
    <w:rsid w:val="002411B0"/>
    <w:rsid w:val="002411F7"/>
    <w:rsid w:val="00241310"/>
    <w:rsid w:val="0024134C"/>
    <w:rsid w:val="0024151A"/>
    <w:rsid w:val="00241550"/>
    <w:rsid w:val="002415CD"/>
    <w:rsid w:val="002417DC"/>
    <w:rsid w:val="002417EC"/>
    <w:rsid w:val="00241817"/>
    <w:rsid w:val="0024189B"/>
    <w:rsid w:val="00241974"/>
    <w:rsid w:val="00241A0B"/>
    <w:rsid w:val="00241A9F"/>
    <w:rsid w:val="00241ABA"/>
    <w:rsid w:val="00241B2A"/>
    <w:rsid w:val="00241B6B"/>
    <w:rsid w:val="00241C44"/>
    <w:rsid w:val="00241C68"/>
    <w:rsid w:val="00241DF1"/>
    <w:rsid w:val="00241E5E"/>
    <w:rsid w:val="00241EF2"/>
    <w:rsid w:val="00241FD9"/>
    <w:rsid w:val="002421BE"/>
    <w:rsid w:val="00242359"/>
    <w:rsid w:val="00242481"/>
    <w:rsid w:val="0024265F"/>
    <w:rsid w:val="002427B0"/>
    <w:rsid w:val="00242997"/>
    <w:rsid w:val="002429DB"/>
    <w:rsid w:val="00242AAA"/>
    <w:rsid w:val="00242B31"/>
    <w:rsid w:val="00242B57"/>
    <w:rsid w:val="00242B95"/>
    <w:rsid w:val="00242B97"/>
    <w:rsid w:val="00242BA0"/>
    <w:rsid w:val="00242D9F"/>
    <w:rsid w:val="00242EBD"/>
    <w:rsid w:val="00242F14"/>
    <w:rsid w:val="00242FD5"/>
    <w:rsid w:val="00243041"/>
    <w:rsid w:val="002430F0"/>
    <w:rsid w:val="002431FD"/>
    <w:rsid w:val="002433D1"/>
    <w:rsid w:val="002433D9"/>
    <w:rsid w:val="002433E8"/>
    <w:rsid w:val="00243464"/>
    <w:rsid w:val="002434FB"/>
    <w:rsid w:val="0024371F"/>
    <w:rsid w:val="00243761"/>
    <w:rsid w:val="00243787"/>
    <w:rsid w:val="00243796"/>
    <w:rsid w:val="00243837"/>
    <w:rsid w:val="0024392F"/>
    <w:rsid w:val="00243986"/>
    <w:rsid w:val="00243AD6"/>
    <w:rsid w:val="00243ADA"/>
    <w:rsid w:val="00243C5D"/>
    <w:rsid w:val="00243CA3"/>
    <w:rsid w:val="00243D64"/>
    <w:rsid w:val="00243DD2"/>
    <w:rsid w:val="00243E4A"/>
    <w:rsid w:val="00243F82"/>
    <w:rsid w:val="00243FB4"/>
    <w:rsid w:val="00243FBC"/>
    <w:rsid w:val="002440C1"/>
    <w:rsid w:val="002440CF"/>
    <w:rsid w:val="00244164"/>
    <w:rsid w:val="00244176"/>
    <w:rsid w:val="0024426E"/>
    <w:rsid w:val="00244319"/>
    <w:rsid w:val="00244329"/>
    <w:rsid w:val="00244343"/>
    <w:rsid w:val="002443FB"/>
    <w:rsid w:val="002445F1"/>
    <w:rsid w:val="0024465A"/>
    <w:rsid w:val="00244662"/>
    <w:rsid w:val="0024471F"/>
    <w:rsid w:val="00244734"/>
    <w:rsid w:val="00244738"/>
    <w:rsid w:val="00244753"/>
    <w:rsid w:val="00244BBE"/>
    <w:rsid w:val="00244C0B"/>
    <w:rsid w:val="00244CBF"/>
    <w:rsid w:val="00244D36"/>
    <w:rsid w:val="00244D66"/>
    <w:rsid w:val="00244DAD"/>
    <w:rsid w:val="0024504F"/>
    <w:rsid w:val="00245058"/>
    <w:rsid w:val="0024508E"/>
    <w:rsid w:val="002450C8"/>
    <w:rsid w:val="002450D9"/>
    <w:rsid w:val="002450EC"/>
    <w:rsid w:val="002451B7"/>
    <w:rsid w:val="00245283"/>
    <w:rsid w:val="00245323"/>
    <w:rsid w:val="0024534E"/>
    <w:rsid w:val="00245422"/>
    <w:rsid w:val="002454C0"/>
    <w:rsid w:val="00245539"/>
    <w:rsid w:val="0024570F"/>
    <w:rsid w:val="002457F1"/>
    <w:rsid w:val="00245868"/>
    <w:rsid w:val="0024589D"/>
    <w:rsid w:val="0024598F"/>
    <w:rsid w:val="00245A42"/>
    <w:rsid w:val="00245A4A"/>
    <w:rsid w:val="00245A93"/>
    <w:rsid w:val="00245C5A"/>
    <w:rsid w:val="00245F3E"/>
    <w:rsid w:val="0024608E"/>
    <w:rsid w:val="0024609A"/>
    <w:rsid w:val="0024619F"/>
    <w:rsid w:val="00246255"/>
    <w:rsid w:val="002462B9"/>
    <w:rsid w:val="002462D7"/>
    <w:rsid w:val="0024630F"/>
    <w:rsid w:val="002463E2"/>
    <w:rsid w:val="0024642C"/>
    <w:rsid w:val="00246454"/>
    <w:rsid w:val="00246469"/>
    <w:rsid w:val="002464EB"/>
    <w:rsid w:val="00246504"/>
    <w:rsid w:val="0024660D"/>
    <w:rsid w:val="00246648"/>
    <w:rsid w:val="0024664A"/>
    <w:rsid w:val="002466E0"/>
    <w:rsid w:val="002467CA"/>
    <w:rsid w:val="00246849"/>
    <w:rsid w:val="00246895"/>
    <w:rsid w:val="002468AA"/>
    <w:rsid w:val="002469C9"/>
    <w:rsid w:val="00246A4E"/>
    <w:rsid w:val="00246AAB"/>
    <w:rsid w:val="00246B66"/>
    <w:rsid w:val="00246CEB"/>
    <w:rsid w:val="00246CF9"/>
    <w:rsid w:val="00246DA2"/>
    <w:rsid w:val="00246E09"/>
    <w:rsid w:val="00246E1A"/>
    <w:rsid w:val="00246E26"/>
    <w:rsid w:val="00246EAF"/>
    <w:rsid w:val="00246EB2"/>
    <w:rsid w:val="00246FEF"/>
    <w:rsid w:val="00247006"/>
    <w:rsid w:val="00247222"/>
    <w:rsid w:val="00247259"/>
    <w:rsid w:val="002472B1"/>
    <w:rsid w:val="00247387"/>
    <w:rsid w:val="00247391"/>
    <w:rsid w:val="002473B3"/>
    <w:rsid w:val="00247417"/>
    <w:rsid w:val="0024746B"/>
    <w:rsid w:val="002474A0"/>
    <w:rsid w:val="002474C8"/>
    <w:rsid w:val="0024752C"/>
    <w:rsid w:val="0024755D"/>
    <w:rsid w:val="002475BA"/>
    <w:rsid w:val="002475C1"/>
    <w:rsid w:val="00247623"/>
    <w:rsid w:val="00247640"/>
    <w:rsid w:val="00247664"/>
    <w:rsid w:val="002477A6"/>
    <w:rsid w:val="002478E7"/>
    <w:rsid w:val="00247A13"/>
    <w:rsid w:val="00247A5C"/>
    <w:rsid w:val="00247B2E"/>
    <w:rsid w:val="00247BFB"/>
    <w:rsid w:val="00247C56"/>
    <w:rsid w:val="00247CB7"/>
    <w:rsid w:val="00247D2D"/>
    <w:rsid w:val="00247DC7"/>
    <w:rsid w:val="00247DD7"/>
    <w:rsid w:val="00247E16"/>
    <w:rsid w:val="0025020B"/>
    <w:rsid w:val="002502D3"/>
    <w:rsid w:val="00250375"/>
    <w:rsid w:val="002504CE"/>
    <w:rsid w:val="002504DF"/>
    <w:rsid w:val="002506B9"/>
    <w:rsid w:val="002507A6"/>
    <w:rsid w:val="00250844"/>
    <w:rsid w:val="002508D0"/>
    <w:rsid w:val="0025098C"/>
    <w:rsid w:val="002509D8"/>
    <w:rsid w:val="00250A10"/>
    <w:rsid w:val="00250A15"/>
    <w:rsid w:val="00250A53"/>
    <w:rsid w:val="00250A7D"/>
    <w:rsid w:val="00250B3D"/>
    <w:rsid w:val="00250BC6"/>
    <w:rsid w:val="00250DD4"/>
    <w:rsid w:val="00250DF0"/>
    <w:rsid w:val="00250DF6"/>
    <w:rsid w:val="00250E72"/>
    <w:rsid w:val="00250F04"/>
    <w:rsid w:val="00250FA1"/>
    <w:rsid w:val="00250FF3"/>
    <w:rsid w:val="0025110C"/>
    <w:rsid w:val="00251138"/>
    <w:rsid w:val="002511CB"/>
    <w:rsid w:val="00251299"/>
    <w:rsid w:val="00251308"/>
    <w:rsid w:val="0025134B"/>
    <w:rsid w:val="0025142E"/>
    <w:rsid w:val="0025159F"/>
    <w:rsid w:val="0025173E"/>
    <w:rsid w:val="0025179A"/>
    <w:rsid w:val="002517B6"/>
    <w:rsid w:val="0025185D"/>
    <w:rsid w:val="00251978"/>
    <w:rsid w:val="00251A95"/>
    <w:rsid w:val="00251AF0"/>
    <w:rsid w:val="00251BCD"/>
    <w:rsid w:val="00251C75"/>
    <w:rsid w:val="00251C81"/>
    <w:rsid w:val="00251D41"/>
    <w:rsid w:val="00251D9E"/>
    <w:rsid w:val="00251E09"/>
    <w:rsid w:val="00251E0E"/>
    <w:rsid w:val="00251EBF"/>
    <w:rsid w:val="00251F6B"/>
    <w:rsid w:val="00252040"/>
    <w:rsid w:val="0025212D"/>
    <w:rsid w:val="00252436"/>
    <w:rsid w:val="00252598"/>
    <w:rsid w:val="002525BA"/>
    <w:rsid w:val="002526A7"/>
    <w:rsid w:val="0025274B"/>
    <w:rsid w:val="002527DE"/>
    <w:rsid w:val="00252827"/>
    <w:rsid w:val="00252960"/>
    <w:rsid w:val="00252997"/>
    <w:rsid w:val="00252A82"/>
    <w:rsid w:val="00252A91"/>
    <w:rsid w:val="00252BD3"/>
    <w:rsid w:val="00252C9C"/>
    <w:rsid w:val="00252CA6"/>
    <w:rsid w:val="00252DD2"/>
    <w:rsid w:val="00252DF3"/>
    <w:rsid w:val="00252E14"/>
    <w:rsid w:val="00252E9A"/>
    <w:rsid w:val="00252F09"/>
    <w:rsid w:val="00253089"/>
    <w:rsid w:val="002530CB"/>
    <w:rsid w:val="002532DD"/>
    <w:rsid w:val="00253319"/>
    <w:rsid w:val="002533FE"/>
    <w:rsid w:val="0025341F"/>
    <w:rsid w:val="0025345A"/>
    <w:rsid w:val="0025352C"/>
    <w:rsid w:val="002535B7"/>
    <w:rsid w:val="002535CD"/>
    <w:rsid w:val="0025370A"/>
    <w:rsid w:val="0025381A"/>
    <w:rsid w:val="002539B6"/>
    <w:rsid w:val="00253AB8"/>
    <w:rsid w:val="00253CAA"/>
    <w:rsid w:val="00253CCD"/>
    <w:rsid w:val="00253D1B"/>
    <w:rsid w:val="00253D2F"/>
    <w:rsid w:val="002540B2"/>
    <w:rsid w:val="00254100"/>
    <w:rsid w:val="00254220"/>
    <w:rsid w:val="0025423A"/>
    <w:rsid w:val="00254295"/>
    <w:rsid w:val="0025433B"/>
    <w:rsid w:val="002544C8"/>
    <w:rsid w:val="0025454A"/>
    <w:rsid w:val="00254591"/>
    <w:rsid w:val="00254605"/>
    <w:rsid w:val="0025460F"/>
    <w:rsid w:val="0025469A"/>
    <w:rsid w:val="002546AB"/>
    <w:rsid w:val="002546F9"/>
    <w:rsid w:val="00254826"/>
    <w:rsid w:val="002549A7"/>
    <w:rsid w:val="00254AE1"/>
    <w:rsid w:val="00254C4D"/>
    <w:rsid w:val="00254C89"/>
    <w:rsid w:val="00254CA7"/>
    <w:rsid w:val="00254DFA"/>
    <w:rsid w:val="00254E79"/>
    <w:rsid w:val="00254EAE"/>
    <w:rsid w:val="00254F2E"/>
    <w:rsid w:val="00254FAF"/>
    <w:rsid w:val="00255006"/>
    <w:rsid w:val="002550AD"/>
    <w:rsid w:val="002551AE"/>
    <w:rsid w:val="00255211"/>
    <w:rsid w:val="00255281"/>
    <w:rsid w:val="00255432"/>
    <w:rsid w:val="00255580"/>
    <w:rsid w:val="002555A8"/>
    <w:rsid w:val="002555FC"/>
    <w:rsid w:val="00255696"/>
    <w:rsid w:val="002556A9"/>
    <w:rsid w:val="00255739"/>
    <w:rsid w:val="00255797"/>
    <w:rsid w:val="002557A2"/>
    <w:rsid w:val="002557FD"/>
    <w:rsid w:val="00255824"/>
    <w:rsid w:val="0025584C"/>
    <w:rsid w:val="00255869"/>
    <w:rsid w:val="00255922"/>
    <w:rsid w:val="002559DA"/>
    <w:rsid w:val="00255A11"/>
    <w:rsid w:val="00255A3A"/>
    <w:rsid w:val="00255A78"/>
    <w:rsid w:val="00255AE7"/>
    <w:rsid w:val="00255C1A"/>
    <w:rsid w:val="00255C57"/>
    <w:rsid w:val="00255F6A"/>
    <w:rsid w:val="00255FD9"/>
    <w:rsid w:val="002560AF"/>
    <w:rsid w:val="002560FF"/>
    <w:rsid w:val="0025614A"/>
    <w:rsid w:val="00256167"/>
    <w:rsid w:val="002561A0"/>
    <w:rsid w:val="002561BA"/>
    <w:rsid w:val="002562FE"/>
    <w:rsid w:val="00256375"/>
    <w:rsid w:val="002563DF"/>
    <w:rsid w:val="00256461"/>
    <w:rsid w:val="00256504"/>
    <w:rsid w:val="0025651C"/>
    <w:rsid w:val="00256532"/>
    <w:rsid w:val="00256534"/>
    <w:rsid w:val="00256568"/>
    <w:rsid w:val="00256591"/>
    <w:rsid w:val="0025663D"/>
    <w:rsid w:val="0025667D"/>
    <w:rsid w:val="0025670E"/>
    <w:rsid w:val="002569F9"/>
    <w:rsid w:val="00256A32"/>
    <w:rsid w:val="00256AAE"/>
    <w:rsid w:val="00256B7F"/>
    <w:rsid w:val="00256CB9"/>
    <w:rsid w:val="00256CC2"/>
    <w:rsid w:val="00256D16"/>
    <w:rsid w:val="00256D27"/>
    <w:rsid w:val="00256D8A"/>
    <w:rsid w:val="00256DD7"/>
    <w:rsid w:val="00256E01"/>
    <w:rsid w:val="00256E05"/>
    <w:rsid w:val="00256E33"/>
    <w:rsid w:val="00256EA2"/>
    <w:rsid w:val="00256EBD"/>
    <w:rsid w:val="00256F94"/>
    <w:rsid w:val="00256FC2"/>
    <w:rsid w:val="0025703F"/>
    <w:rsid w:val="00257085"/>
    <w:rsid w:val="0025711B"/>
    <w:rsid w:val="0025719F"/>
    <w:rsid w:val="002571A0"/>
    <w:rsid w:val="002572F2"/>
    <w:rsid w:val="00257375"/>
    <w:rsid w:val="00257468"/>
    <w:rsid w:val="00257558"/>
    <w:rsid w:val="00257560"/>
    <w:rsid w:val="002575A6"/>
    <w:rsid w:val="002575CC"/>
    <w:rsid w:val="002575FA"/>
    <w:rsid w:val="0025771F"/>
    <w:rsid w:val="00257847"/>
    <w:rsid w:val="00257851"/>
    <w:rsid w:val="00257971"/>
    <w:rsid w:val="00257999"/>
    <w:rsid w:val="00257B27"/>
    <w:rsid w:val="00257B4F"/>
    <w:rsid w:val="00257BB3"/>
    <w:rsid w:val="00257C4A"/>
    <w:rsid w:val="00257CEB"/>
    <w:rsid w:val="00257E49"/>
    <w:rsid w:val="00260019"/>
    <w:rsid w:val="002600D4"/>
    <w:rsid w:val="002600E6"/>
    <w:rsid w:val="0026029B"/>
    <w:rsid w:val="00260319"/>
    <w:rsid w:val="00260399"/>
    <w:rsid w:val="002604E7"/>
    <w:rsid w:val="0026054D"/>
    <w:rsid w:val="002605DD"/>
    <w:rsid w:val="0026069E"/>
    <w:rsid w:val="00260735"/>
    <w:rsid w:val="0026079A"/>
    <w:rsid w:val="00260849"/>
    <w:rsid w:val="002608BF"/>
    <w:rsid w:val="00260915"/>
    <w:rsid w:val="00260919"/>
    <w:rsid w:val="00260962"/>
    <w:rsid w:val="002609BF"/>
    <w:rsid w:val="00260A26"/>
    <w:rsid w:val="00260AA3"/>
    <w:rsid w:val="00260B45"/>
    <w:rsid w:val="00260B4B"/>
    <w:rsid w:val="00260B5A"/>
    <w:rsid w:val="00260BF4"/>
    <w:rsid w:val="00260C2F"/>
    <w:rsid w:val="00260D1E"/>
    <w:rsid w:val="00260D25"/>
    <w:rsid w:val="00260D50"/>
    <w:rsid w:val="00260D75"/>
    <w:rsid w:val="00260F6C"/>
    <w:rsid w:val="00260FEA"/>
    <w:rsid w:val="00260FFF"/>
    <w:rsid w:val="002610FC"/>
    <w:rsid w:val="00261175"/>
    <w:rsid w:val="002611C1"/>
    <w:rsid w:val="002611D9"/>
    <w:rsid w:val="00261214"/>
    <w:rsid w:val="0026126E"/>
    <w:rsid w:val="0026131F"/>
    <w:rsid w:val="00261327"/>
    <w:rsid w:val="002613DA"/>
    <w:rsid w:val="0026144D"/>
    <w:rsid w:val="002614C0"/>
    <w:rsid w:val="002614DC"/>
    <w:rsid w:val="00261529"/>
    <w:rsid w:val="0026154E"/>
    <w:rsid w:val="002615E6"/>
    <w:rsid w:val="002615F1"/>
    <w:rsid w:val="0026169D"/>
    <w:rsid w:val="00261800"/>
    <w:rsid w:val="002618F9"/>
    <w:rsid w:val="002619D8"/>
    <w:rsid w:val="002619E6"/>
    <w:rsid w:val="00261AB8"/>
    <w:rsid w:val="00261AE0"/>
    <w:rsid w:val="00261BCF"/>
    <w:rsid w:val="00261BF5"/>
    <w:rsid w:val="00261C2E"/>
    <w:rsid w:val="00261CE7"/>
    <w:rsid w:val="00261D11"/>
    <w:rsid w:val="00261D4F"/>
    <w:rsid w:val="00261D81"/>
    <w:rsid w:val="00261E06"/>
    <w:rsid w:val="00261EF4"/>
    <w:rsid w:val="00261F0D"/>
    <w:rsid w:val="00261F3D"/>
    <w:rsid w:val="00261F7C"/>
    <w:rsid w:val="00261FF8"/>
    <w:rsid w:val="002620AF"/>
    <w:rsid w:val="00262157"/>
    <w:rsid w:val="002621BE"/>
    <w:rsid w:val="002621CE"/>
    <w:rsid w:val="0026235E"/>
    <w:rsid w:val="002623E7"/>
    <w:rsid w:val="0026248B"/>
    <w:rsid w:val="0026255A"/>
    <w:rsid w:val="0026260A"/>
    <w:rsid w:val="002626BC"/>
    <w:rsid w:val="002626C7"/>
    <w:rsid w:val="002628FA"/>
    <w:rsid w:val="0026291F"/>
    <w:rsid w:val="0026292E"/>
    <w:rsid w:val="00262930"/>
    <w:rsid w:val="002629A0"/>
    <w:rsid w:val="002629BB"/>
    <w:rsid w:val="00262B24"/>
    <w:rsid w:val="00262BD4"/>
    <w:rsid w:val="00262C08"/>
    <w:rsid w:val="00262CA8"/>
    <w:rsid w:val="00262D43"/>
    <w:rsid w:val="00262EBB"/>
    <w:rsid w:val="00262EC8"/>
    <w:rsid w:val="00262F3C"/>
    <w:rsid w:val="00262F50"/>
    <w:rsid w:val="00262FD9"/>
    <w:rsid w:val="00262FF5"/>
    <w:rsid w:val="002630EC"/>
    <w:rsid w:val="00263151"/>
    <w:rsid w:val="002631DD"/>
    <w:rsid w:val="002631F0"/>
    <w:rsid w:val="00263257"/>
    <w:rsid w:val="002632C8"/>
    <w:rsid w:val="002632FB"/>
    <w:rsid w:val="00263345"/>
    <w:rsid w:val="0026336F"/>
    <w:rsid w:val="00263492"/>
    <w:rsid w:val="00263522"/>
    <w:rsid w:val="00263698"/>
    <w:rsid w:val="002636DD"/>
    <w:rsid w:val="00263727"/>
    <w:rsid w:val="0026393D"/>
    <w:rsid w:val="002639B8"/>
    <w:rsid w:val="00263AA2"/>
    <w:rsid w:val="00263B1D"/>
    <w:rsid w:val="00263B3E"/>
    <w:rsid w:val="00263BF8"/>
    <w:rsid w:val="00263C90"/>
    <w:rsid w:val="00263DC0"/>
    <w:rsid w:val="00263DDF"/>
    <w:rsid w:val="00263E27"/>
    <w:rsid w:val="00263E82"/>
    <w:rsid w:val="00263EE6"/>
    <w:rsid w:val="00263F79"/>
    <w:rsid w:val="00263F7D"/>
    <w:rsid w:val="00263FB4"/>
    <w:rsid w:val="00264074"/>
    <w:rsid w:val="002640F1"/>
    <w:rsid w:val="002641C1"/>
    <w:rsid w:val="002641F2"/>
    <w:rsid w:val="00264212"/>
    <w:rsid w:val="00264280"/>
    <w:rsid w:val="002642FD"/>
    <w:rsid w:val="002643DC"/>
    <w:rsid w:val="00264423"/>
    <w:rsid w:val="00264475"/>
    <w:rsid w:val="002644D2"/>
    <w:rsid w:val="0026455E"/>
    <w:rsid w:val="00264561"/>
    <w:rsid w:val="00264574"/>
    <w:rsid w:val="002645CB"/>
    <w:rsid w:val="002645E2"/>
    <w:rsid w:val="002645E6"/>
    <w:rsid w:val="00264676"/>
    <w:rsid w:val="002646BB"/>
    <w:rsid w:val="002646E5"/>
    <w:rsid w:val="00264850"/>
    <w:rsid w:val="00264912"/>
    <w:rsid w:val="00264932"/>
    <w:rsid w:val="00264944"/>
    <w:rsid w:val="0026497C"/>
    <w:rsid w:val="00264A16"/>
    <w:rsid w:val="00264B0A"/>
    <w:rsid w:val="00264BC5"/>
    <w:rsid w:val="00264D36"/>
    <w:rsid w:val="00264D3E"/>
    <w:rsid w:val="00264D65"/>
    <w:rsid w:val="00264DEE"/>
    <w:rsid w:val="00264DF3"/>
    <w:rsid w:val="00264E15"/>
    <w:rsid w:val="00264E3D"/>
    <w:rsid w:val="00264E6A"/>
    <w:rsid w:val="00264F1F"/>
    <w:rsid w:val="00264F5C"/>
    <w:rsid w:val="00264F99"/>
    <w:rsid w:val="00265151"/>
    <w:rsid w:val="0026516C"/>
    <w:rsid w:val="00265265"/>
    <w:rsid w:val="002652A9"/>
    <w:rsid w:val="002652E1"/>
    <w:rsid w:val="00265330"/>
    <w:rsid w:val="00265391"/>
    <w:rsid w:val="002653DE"/>
    <w:rsid w:val="0026559F"/>
    <w:rsid w:val="0026567E"/>
    <w:rsid w:val="00265749"/>
    <w:rsid w:val="00265773"/>
    <w:rsid w:val="002657AB"/>
    <w:rsid w:val="002658E9"/>
    <w:rsid w:val="00265978"/>
    <w:rsid w:val="002659FD"/>
    <w:rsid w:val="00265A9E"/>
    <w:rsid w:val="00265B53"/>
    <w:rsid w:val="00265B6A"/>
    <w:rsid w:val="00265B76"/>
    <w:rsid w:val="00265D1F"/>
    <w:rsid w:val="00265D69"/>
    <w:rsid w:val="00265D6E"/>
    <w:rsid w:val="00265DCE"/>
    <w:rsid w:val="00265F3B"/>
    <w:rsid w:val="0026600C"/>
    <w:rsid w:val="0026608A"/>
    <w:rsid w:val="0026612E"/>
    <w:rsid w:val="00266171"/>
    <w:rsid w:val="002661DC"/>
    <w:rsid w:val="0026630E"/>
    <w:rsid w:val="002663CF"/>
    <w:rsid w:val="002663DD"/>
    <w:rsid w:val="002664CB"/>
    <w:rsid w:val="00266588"/>
    <w:rsid w:val="00266629"/>
    <w:rsid w:val="00266733"/>
    <w:rsid w:val="0026686F"/>
    <w:rsid w:val="002668A9"/>
    <w:rsid w:val="00266A39"/>
    <w:rsid w:val="00266A8D"/>
    <w:rsid w:val="00266A9A"/>
    <w:rsid w:val="00266AA7"/>
    <w:rsid w:val="00266DB4"/>
    <w:rsid w:val="00266E35"/>
    <w:rsid w:val="00266E6E"/>
    <w:rsid w:val="00266E7E"/>
    <w:rsid w:val="00266F30"/>
    <w:rsid w:val="00266FE0"/>
    <w:rsid w:val="002670F6"/>
    <w:rsid w:val="00267161"/>
    <w:rsid w:val="0026719B"/>
    <w:rsid w:val="00267210"/>
    <w:rsid w:val="0026741A"/>
    <w:rsid w:val="0026741F"/>
    <w:rsid w:val="00267428"/>
    <w:rsid w:val="00267438"/>
    <w:rsid w:val="002674A3"/>
    <w:rsid w:val="002674CB"/>
    <w:rsid w:val="002676EE"/>
    <w:rsid w:val="00267732"/>
    <w:rsid w:val="00267768"/>
    <w:rsid w:val="002677AA"/>
    <w:rsid w:val="00267881"/>
    <w:rsid w:val="00267945"/>
    <w:rsid w:val="00267980"/>
    <w:rsid w:val="00267A7D"/>
    <w:rsid w:val="00267B3C"/>
    <w:rsid w:val="00267CF3"/>
    <w:rsid w:val="0027008F"/>
    <w:rsid w:val="00270097"/>
    <w:rsid w:val="00270101"/>
    <w:rsid w:val="00270121"/>
    <w:rsid w:val="00270169"/>
    <w:rsid w:val="002701BA"/>
    <w:rsid w:val="00270328"/>
    <w:rsid w:val="002703B9"/>
    <w:rsid w:val="002703C9"/>
    <w:rsid w:val="0027047D"/>
    <w:rsid w:val="00270549"/>
    <w:rsid w:val="002706B8"/>
    <w:rsid w:val="00270781"/>
    <w:rsid w:val="002707A2"/>
    <w:rsid w:val="002707AD"/>
    <w:rsid w:val="002707C1"/>
    <w:rsid w:val="0027080D"/>
    <w:rsid w:val="00270867"/>
    <w:rsid w:val="00270874"/>
    <w:rsid w:val="002709E1"/>
    <w:rsid w:val="00270A96"/>
    <w:rsid w:val="00270AFF"/>
    <w:rsid w:val="00270BD1"/>
    <w:rsid w:val="00270C17"/>
    <w:rsid w:val="00270CD5"/>
    <w:rsid w:val="00270D20"/>
    <w:rsid w:val="00270DAE"/>
    <w:rsid w:val="00270E12"/>
    <w:rsid w:val="00270FAA"/>
    <w:rsid w:val="00271060"/>
    <w:rsid w:val="00271085"/>
    <w:rsid w:val="00271098"/>
    <w:rsid w:val="0027113E"/>
    <w:rsid w:val="0027114C"/>
    <w:rsid w:val="00271168"/>
    <w:rsid w:val="002711A1"/>
    <w:rsid w:val="0027126E"/>
    <w:rsid w:val="002712A7"/>
    <w:rsid w:val="002712AF"/>
    <w:rsid w:val="0027141A"/>
    <w:rsid w:val="002714FD"/>
    <w:rsid w:val="00271501"/>
    <w:rsid w:val="00271635"/>
    <w:rsid w:val="002716A3"/>
    <w:rsid w:val="002716F0"/>
    <w:rsid w:val="0027170D"/>
    <w:rsid w:val="002717B8"/>
    <w:rsid w:val="002717BA"/>
    <w:rsid w:val="002717DF"/>
    <w:rsid w:val="002717E9"/>
    <w:rsid w:val="00271918"/>
    <w:rsid w:val="00271921"/>
    <w:rsid w:val="0027196A"/>
    <w:rsid w:val="00271BA5"/>
    <w:rsid w:val="00271CB9"/>
    <w:rsid w:val="00271DF0"/>
    <w:rsid w:val="00271EB6"/>
    <w:rsid w:val="00271EDA"/>
    <w:rsid w:val="00271FC5"/>
    <w:rsid w:val="002720A4"/>
    <w:rsid w:val="0027223C"/>
    <w:rsid w:val="00272306"/>
    <w:rsid w:val="00272315"/>
    <w:rsid w:val="00272349"/>
    <w:rsid w:val="00272362"/>
    <w:rsid w:val="002723E3"/>
    <w:rsid w:val="0027248B"/>
    <w:rsid w:val="00272582"/>
    <w:rsid w:val="0027268C"/>
    <w:rsid w:val="00272715"/>
    <w:rsid w:val="0027279B"/>
    <w:rsid w:val="002728AD"/>
    <w:rsid w:val="00272A36"/>
    <w:rsid w:val="00272AB3"/>
    <w:rsid w:val="00272C23"/>
    <w:rsid w:val="00272EF8"/>
    <w:rsid w:val="00272F86"/>
    <w:rsid w:val="0027313D"/>
    <w:rsid w:val="00273175"/>
    <w:rsid w:val="0027318B"/>
    <w:rsid w:val="0027319F"/>
    <w:rsid w:val="0027336F"/>
    <w:rsid w:val="00273495"/>
    <w:rsid w:val="002734C4"/>
    <w:rsid w:val="002734E5"/>
    <w:rsid w:val="002735A3"/>
    <w:rsid w:val="002735D5"/>
    <w:rsid w:val="002735E6"/>
    <w:rsid w:val="00273612"/>
    <w:rsid w:val="002736E3"/>
    <w:rsid w:val="0027375E"/>
    <w:rsid w:val="002737CD"/>
    <w:rsid w:val="0027387F"/>
    <w:rsid w:val="00273883"/>
    <w:rsid w:val="0027392F"/>
    <w:rsid w:val="00273943"/>
    <w:rsid w:val="002739C2"/>
    <w:rsid w:val="002739DE"/>
    <w:rsid w:val="00273ADA"/>
    <w:rsid w:val="00273BA0"/>
    <w:rsid w:val="00273C3F"/>
    <w:rsid w:val="00273CA2"/>
    <w:rsid w:val="00273DC5"/>
    <w:rsid w:val="00273F07"/>
    <w:rsid w:val="00273F69"/>
    <w:rsid w:val="00274059"/>
    <w:rsid w:val="00274291"/>
    <w:rsid w:val="0027438D"/>
    <w:rsid w:val="00274406"/>
    <w:rsid w:val="002744EA"/>
    <w:rsid w:val="002744EB"/>
    <w:rsid w:val="00274516"/>
    <w:rsid w:val="002745CD"/>
    <w:rsid w:val="002746DA"/>
    <w:rsid w:val="00274A94"/>
    <w:rsid w:val="00274AB9"/>
    <w:rsid w:val="00274B24"/>
    <w:rsid w:val="00274B27"/>
    <w:rsid w:val="00274C54"/>
    <w:rsid w:val="00274DD7"/>
    <w:rsid w:val="00274E0B"/>
    <w:rsid w:val="00274E0E"/>
    <w:rsid w:val="00274E36"/>
    <w:rsid w:val="00274E39"/>
    <w:rsid w:val="00274F5C"/>
    <w:rsid w:val="00274FF1"/>
    <w:rsid w:val="0027503E"/>
    <w:rsid w:val="002750A5"/>
    <w:rsid w:val="00275103"/>
    <w:rsid w:val="00275201"/>
    <w:rsid w:val="00275272"/>
    <w:rsid w:val="002752E0"/>
    <w:rsid w:val="0027541E"/>
    <w:rsid w:val="00275460"/>
    <w:rsid w:val="002754A8"/>
    <w:rsid w:val="002754B1"/>
    <w:rsid w:val="00275528"/>
    <w:rsid w:val="00275552"/>
    <w:rsid w:val="00275583"/>
    <w:rsid w:val="0027558B"/>
    <w:rsid w:val="0027579B"/>
    <w:rsid w:val="002757AF"/>
    <w:rsid w:val="0027583A"/>
    <w:rsid w:val="002759A9"/>
    <w:rsid w:val="002759AB"/>
    <w:rsid w:val="00275B8D"/>
    <w:rsid w:val="00275BE1"/>
    <w:rsid w:val="00275C87"/>
    <w:rsid w:val="00275CD0"/>
    <w:rsid w:val="00275CDD"/>
    <w:rsid w:val="00275DCB"/>
    <w:rsid w:val="00275E94"/>
    <w:rsid w:val="00275E96"/>
    <w:rsid w:val="00275EFC"/>
    <w:rsid w:val="00275FE7"/>
    <w:rsid w:val="0027603B"/>
    <w:rsid w:val="00276086"/>
    <w:rsid w:val="002760F1"/>
    <w:rsid w:val="00276153"/>
    <w:rsid w:val="0027630A"/>
    <w:rsid w:val="00276399"/>
    <w:rsid w:val="00276421"/>
    <w:rsid w:val="002764E0"/>
    <w:rsid w:val="00276538"/>
    <w:rsid w:val="0027654B"/>
    <w:rsid w:val="002765A7"/>
    <w:rsid w:val="002765F6"/>
    <w:rsid w:val="00276674"/>
    <w:rsid w:val="00276757"/>
    <w:rsid w:val="00276A03"/>
    <w:rsid w:val="00276A19"/>
    <w:rsid w:val="00276A5C"/>
    <w:rsid w:val="00276C08"/>
    <w:rsid w:val="00276C9C"/>
    <w:rsid w:val="00276CF0"/>
    <w:rsid w:val="00276D64"/>
    <w:rsid w:val="00276D96"/>
    <w:rsid w:val="00276DF9"/>
    <w:rsid w:val="00276E77"/>
    <w:rsid w:val="00276EB0"/>
    <w:rsid w:val="00276F08"/>
    <w:rsid w:val="00276F2A"/>
    <w:rsid w:val="00277086"/>
    <w:rsid w:val="0027709F"/>
    <w:rsid w:val="00277153"/>
    <w:rsid w:val="00277253"/>
    <w:rsid w:val="002772BA"/>
    <w:rsid w:val="002772F0"/>
    <w:rsid w:val="00277322"/>
    <w:rsid w:val="0027734A"/>
    <w:rsid w:val="00277402"/>
    <w:rsid w:val="0027752D"/>
    <w:rsid w:val="00277544"/>
    <w:rsid w:val="00277547"/>
    <w:rsid w:val="002776BC"/>
    <w:rsid w:val="002777F4"/>
    <w:rsid w:val="002778B2"/>
    <w:rsid w:val="00277974"/>
    <w:rsid w:val="002779C0"/>
    <w:rsid w:val="00277B77"/>
    <w:rsid w:val="00277B90"/>
    <w:rsid w:val="00277B9A"/>
    <w:rsid w:val="00277C02"/>
    <w:rsid w:val="00277D43"/>
    <w:rsid w:val="00277D6E"/>
    <w:rsid w:val="00277D8F"/>
    <w:rsid w:val="00277DCD"/>
    <w:rsid w:val="00277DDE"/>
    <w:rsid w:val="00277E93"/>
    <w:rsid w:val="00277FBB"/>
    <w:rsid w:val="00277FFA"/>
    <w:rsid w:val="00280020"/>
    <w:rsid w:val="00280058"/>
    <w:rsid w:val="002800EA"/>
    <w:rsid w:val="0028030C"/>
    <w:rsid w:val="0028036A"/>
    <w:rsid w:val="002803B3"/>
    <w:rsid w:val="002803C1"/>
    <w:rsid w:val="0028053A"/>
    <w:rsid w:val="00280588"/>
    <w:rsid w:val="00280599"/>
    <w:rsid w:val="002805EF"/>
    <w:rsid w:val="0028068E"/>
    <w:rsid w:val="0028071B"/>
    <w:rsid w:val="0028079A"/>
    <w:rsid w:val="00280862"/>
    <w:rsid w:val="00280863"/>
    <w:rsid w:val="002808A6"/>
    <w:rsid w:val="002808A7"/>
    <w:rsid w:val="002808CA"/>
    <w:rsid w:val="002808D7"/>
    <w:rsid w:val="0028096F"/>
    <w:rsid w:val="0028099A"/>
    <w:rsid w:val="002809ED"/>
    <w:rsid w:val="00280C06"/>
    <w:rsid w:val="00280CF5"/>
    <w:rsid w:val="00280D88"/>
    <w:rsid w:val="00280DB8"/>
    <w:rsid w:val="00280FA5"/>
    <w:rsid w:val="0028109A"/>
    <w:rsid w:val="0028110E"/>
    <w:rsid w:val="002811CC"/>
    <w:rsid w:val="00281264"/>
    <w:rsid w:val="0028126E"/>
    <w:rsid w:val="00281350"/>
    <w:rsid w:val="00281363"/>
    <w:rsid w:val="00281367"/>
    <w:rsid w:val="00281489"/>
    <w:rsid w:val="002814B5"/>
    <w:rsid w:val="002814EF"/>
    <w:rsid w:val="00281514"/>
    <w:rsid w:val="00281675"/>
    <w:rsid w:val="0028168B"/>
    <w:rsid w:val="0028171B"/>
    <w:rsid w:val="0028174E"/>
    <w:rsid w:val="0028183C"/>
    <w:rsid w:val="002818CB"/>
    <w:rsid w:val="0028198F"/>
    <w:rsid w:val="00281AC8"/>
    <w:rsid w:val="00281B31"/>
    <w:rsid w:val="00281BFB"/>
    <w:rsid w:val="00281C60"/>
    <w:rsid w:val="00281CDA"/>
    <w:rsid w:val="00281D5A"/>
    <w:rsid w:val="00281D86"/>
    <w:rsid w:val="00281D9B"/>
    <w:rsid w:val="00281D9C"/>
    <w:rsid w:val="00281E87"/>
    <w:rsid w:val="00281E8C"/>
    <w:rsid w:val="00281EB0"/>
    <w:rsid w:val="00281FB4"/>
    <w:rsid w:val="00281FEE"/>
    <w:rsid w:val="002820AA"/>
    <w:rsid w:val="002820DC"/>
    <w:rsid w:val="00282175"/>
    <w:rsid w:val="00282219"/>
    <w:rsid w:val="00282290"/>
    <w:rsid w:val="00282354"/>
    <w:rsid w:val="002823F0"/>
    <w:rsid w:val="002823F8"/>
    <w:rsid w:val="00282500"/>
    <w:rsid w:val="0028254F"/>
    <w:rsid w:val="00282782"/>
    <w:rsid w:val="002827D0"/>
    <w:rsid w:val="00282971"/>
    <w:rsid w:val="0028297C"/>
    <w:rsid w:val="002829BB"/>
    <w:rsid w:val="00282A59"/>
    <w:rsid w:val="00282A73"/>
    <w:rsid w:val="00282C43"/>
    <w:rsid w:val="00282C68"/>
    <w:rsid w:val="00282E8B"/>
    <w:rsid w:val="00282EC2"/>
    <w:rsid w:val="00282F1E"/>
    <w:rsid w:val="00282F49"/>
    <w:rsid w:val="00283041"/>
    <w:rsid w:val="00283096"/>
    <w:rsid w:val="002831AD"/>
    <w:rsid w:val="002832B7"/>
    <w:rsid w:val="00283349"/>
    <w:rsid w:val="002833B2"/>
    <w:rsid w:val="00283518"/>
    <w:rsid w:val="002835C4"/>
    <w:rsid w:val="0028379E"/>
    <w:rsid w:val="0028383F"/>
    <w:rsid w:val="002838F7"/>
    <w:rsid w:val="00283913"/>
    <w:rsid w:val="00283A6B"/>
    <w:rsid w:val="00283A7D"/>
    <w:rsid w:val="00283AD8"/>
    <w:rsid w:val="00283C39"/>
    <w:rsid w:val="00283C54"/>
    <w:rsid w:val="00283CB9"/>
    <w:rsid w:val="00283CED"/>
    <w:rsid w:val="00283D07"/>
    <w:rsid w:val="00283D7D"/>
    <w:rsid w:val="00283F47"/>
    <w:rsid w:val="00283F59"/>
    <w:rsid w:val="00284092"/>
    <w:rsid w:val="0028411F"/>
    <w:rsid w:val="00284164"/>
    <w:rsid w:val="002842D9"/>
    <w:rsid w:val="00284310"/>
    <w:rsid w:val="00284321"/>
    <w:rsid w:val="0028446F"/>
    <w:rsid w:val="00284474"/>
    <w:rsid w:val="0028447F"/>
    <w:rsid w:val="00284577"/>
    <w:rsid w:val="0028468D"/>
    <w:rsid w:val="002846A3"/>
    <w:rsid w:val="002846B8"/>
    <w:rsid w:val="002846D9"/>
    <w:rsid w:val="0028474D"/>
    <w:rsid w:val="00284754"/>
    <w:rsid w:val="002848A8"/>
    <w:rsid w:val="002848C7"/>
    <w:rsid w:val="002848FB"/>
    <w:rsid w:val="0028491B"/>
    <w:rsid w:val="00284A62"/>
    <w:rsid w:val="00284A6B"/>
    <w:rsid w:val="00284BCE"/>
    <w:rsid w:val="00284C8D"/>
    <w:rsid w:val="00284D1F"/>
    <w:rsid w:val="00284D78"/>
    <w:rsid w:val="00284D88"/>
    <w:rsid w:val="00284E23"/>
    <w:rsid w:val="00284F9A"/>
    <w:rsid w:val="00285123"/>
    <w:rsid w:val="0028513D"/>
    <w:rsid w:val="00285198"/>
    <w:rsid w:val="002851A7"/>
    <w:rsid w:val="00285218"/>
    <w:rsid w:val="002852AA"/>
    <w:rsid w:val="002852B0"/>
    <w:rsid w:val="002852BC"/>
    <w:rsid w:val="00285335"/>
    <w:rsid w:val="00285396"/>
    <w:rsid w:val="00285419"/>
    <w:rsid w:val="002854D5"/>
    <w:rsid w:val="0028553E"/>
    <w:rsid w:val="00285579"/>
    <w:rsid w:val="0028559A"/>
    <w:rsid w:val="00285696"/>
    <w:rsid w:val="002856C8"/>
    <w:rsid w:val="002856D0"/>
    <w:rsid w:val="00285806"/>
    <w:rsid w:val="0028589A"/>
    <w:rsid w:val="00285944"/>
    <w:rsid w:val="00285A3F"/>
    <w:rsid w:val="00285D4A"/>
    <w:rsid w:val="00285D6E"/>
    <w:rsid w:val="00285D73"/>
    <w:rsid w:val="00285D93"/>
    <w:rsid w:val="00285EDE"/>
    <w:rsid w:val="00285F3C"/>
    <w:rsid w:val="00285F7C"/>
    <w:rsid w:val="00285F9D"/>
    <w:rsid w:val="00286010"/>
    <w:rsid w:val="00286030"/>
    <w:rsid w:val="0028605D"/>
    <w:rsid w:val="0028609E"/>
    <w:rsid w:val="002860C4"/>
    <w:rsid w:val="00286132"/>
    <w:rsid w:val="002861A2"/>
    <w:rsid w:val="00286201"/>
    <w:rsid w:val="00286224"/>
    <w:rsid w:val="002862A4"/>
    <w:rsid w:val="00286301"/>
    <w:rsid w:val="002863A1"/>
    <w:rsid w:val="00286456"/>
    <w:rsid w:val="0028649E"/>
    <w:rsid w:val="002864AB"/>
    <w:rsid w:val="002864AC"/>
    <w:rsid w:val="002864CD"/>
    <w:rsid w:val="0028650B"/>
    <w:rsid w:val="00286522"/>
    <w:rsid w:val="00286568"/>
    <w:rsid w:val="0028671A"/>
    <w:rsid w:val="00286720"/>
    <w:rsid w:val="00286725"/>
    <w:rsid w:val="0028690C"/>
    <w:rsid w:val="0028695F"/>
    <w:rsid w:val="00286B3A"/>
    <w:rsid w:val="00286B61"/>
    <w:rsid w:val="00286B91"/>
    <w:rsid w:val="00286BDC"/>
    <w:rsid w:val="00286C7F"/>
    <w:rsid w:val="0028718A"/>
    <w:rsid w:val="002871F6"/>
    <w:rsid w:val="00287201"/>
    <w:rsid w:val="00287282"/>
    <w:rsid w:val="002873F2"/>
    <w:rsid w:val="002873FC"/>
    <w:rsid w:val="00287435"/>
    <w:rsid w:val="002874A0"/>
    <w:rsid w:val="002874DE"/>
    <w:rsid w:val="0028758C"/>
    <w:rsid w:val="002877E9"/>
    <w:rsid w:val="0028791D"/>
    <w:rsid w:val="0028795D"/>
    <w:rsid w:val="00287976"/>
    <w:rsid w:val="00287986"/>
    <w:rsid w:val="002879CE"/>
    <w:rsid w:val="00287AE0"/>
    <w:rsid w:val="00287B77"/>
    <w:rsid w:val="00287CC4"/>
    <w:rsid w:val="00287CCD"/>
    <w:rsid w:val="00287D00"/>
    <w:rsid w:val="00287DAE"/>
    <w:rsid w:val="00287DBB"/>
    <w:rsid w:val="00287E2B"/>
    <w:rsid w:val="00287E99"/>
    <w:rsid w:val="002900E8"/>
    <w:rsid w:val="00290135"/>
    <w:rsid w:val="00290197"/>
    <w:rsid w:val="0029033A"/>
    <w:rsid w:val="00290364"/>
    <w:rsid w:val="0029037C"/>
    <w:rsid w:val="00290416"/>
    <w:rsid w:val="00290493"/>
    <w:rsid w:val="002904DF"/>
    <w:rsid w:val="002904E9"/>
    <w:rsid w:val="00290524"/>
    <w:rsid w:val="00290574"/>
    <w:rsid w:val="00290679"/>
    <w:rsid w:val="0029067F"/>
    <w:rsid w:val="0029074D"/>
    <w:rsid w:val="00290882"/>
    <w:rsid w:val="002908AE"/>
    <w:rsid w:val="002908F3"/>
    <w:rsid w:val="00290920"/>
    <w:rsid w:val="00290988"/>
    <w:rsid w:val="002909F2"/>
    <w:rsid w:val="00290AB1"/>
    <w:rsid w:val="00290B5E"/>
    <w:rsid w:val="00290CDA"/>
    <w:rsid w:val="00290E54"/>
    <w:rsid w:val="00290E74"/>
    <w:rsid w:val="00290E93"/>
    <w:rsid w:val="00290EC1"/>
    <w:rsid w:val="00290F7B"/>
    <w:rsid w:val="00290FB9"/>
    <w:rsid w:val="00291071"/>
    <w:rsid w:val="002911C4"/>
    <w:rsid w:val="0029123F"/>
    <w:rsid w:val="002913C9"/>
    <w:rsid w:val="00291422"/>
    <w:rsid w:val="0029144E"/>
    <w:rsid w:val="002915E4"/>
    <w:rsid w:val="00291658"/>
    <w:rsid w:val="0029169A"/>
    <w:rsid w:val="002916A1"/>
    <w:rsid w:val="0029183C"/>
    <w:rsid w:val="00291926"/>
    <w:rsid w:val="00291A8D"/>
    <w:rsid w:val="00291BD5"/>
    <w:rsid w:val="00291D56"/>
    <w:rsid w:val="00291E25"/>
    <w:rsid w:val="00291E73"/>
    <w:rsid w:val="00291F1D"/>
    <w:rsid w:val="00291F2E"/>
    <w:rsid w:val="00291F9E"/>
    <w:rsid w:val="0029209B"/>
    <w:rsid w:val="002920BB"/>
    <w:rsid w:val="00292198"/>
    <w:rsid w:val="002921E2"/>
    <w:rsid w:val="002921FC"/>
    <w:rsid w:val="00292297"/>
    <w:rsid w:val="0029236A"/>
    <w:rsid w:val="0029237D"/>
    <w:rsid w:val="00292477"/>
    <w:rsid w:val="002925A2"/>
    <w:rsid w:val="0029273A"/>
    <w:rsid w:val="0029299F"/>
    <w:rsid w:val="00292A74"/>
    <w:rsid w:val="00292A99"/>
    <w:rsid w:val="00292B3B"/>
    <w:rsid w:val="00292C28"/>
    <w:rsid w:val="00292C56"/>
    <w:rsid w:val="00292CFC"/>
    <w:rsid w:val="00292D44"/>
    <w:rsid w:val="00292D6C"/>
    <w:rsid w:val="00292DD3"/>
    <w:rsid w:val="00292E1C"/>
    <w:rsid w:val="00292EFC"/>
    <w:rsid w:val="00292F3F"/>
    <w:rsid w:val="00293077"/>
    <w:rsid w:val="002930F1"/>
    <w:rsid w:val="00293143"/>
    <w:rsid w:val="00293157"/>
    <w:rsid w:val="002931C8"/>
    <w:rsid w:val="00293348"/>
    <w:rsid w:val="00293377"/>
    <w:rsid w:val="00293390"/>
    <w:rsid w:val="00293431"/>
    <w:rsid w:val="002934A3"/>
    <w:rsid w:val="0029350C"/>
    <w:rsid w:val="002935AA"/>
    <w:rsid w:val="002935F7"/>
    <w:rsid w:val="00293619"/>
    <w:rsid w:val="002936CB"/>
    <w:rsid w:val="0029370A"/>
    <w:rsid w:val="0029372C"/>
    <w:rsid w:val="00293747"/>
    <w:rsid w:val="002937C3"/>
    <w:rsid w:val="00293829"/>
    <w:rsid w:val="002938C5"/>
    <w:rsid w:val="00293908"/>
    <w:rsid w:val="0029395E"/>
    <w:rsid w:val="00293965"/>
    <w:rsid w:val="0029396F"/>
    <w:rsid w:val="002939DB"/>
    <w:rsid w:val="00293A37"/>
    <w:rsid w:val="00293A88"/>
    <w:rsid w:val="00293A94"/>
    <w:rsid w:val="00293B31"/>
    <w:rsid w:val="00293C48"/>
    <w:rsid w:val="00293CF4"/>
    <w:rsid w:val="00293D0B"/>
    <w:rsid w:val="00293D59"/>
    <w:rsid w:val="00293DFB"/>
    <w:rsid w:val="00293E23"/>
    <w:rsid w:val="00293EC5"/>
    <w:rsid w:val="00294007"/>
    <w:rsid w:val="00294103"/>
    <w:rsid w:val="00294132"/>
    <w:rsid w:val="0029425A"/>
    <w:rsid w:val="0029441C"/>
    <w:rsid w:val="0029448C"/>
    <w:rsid w:val="002944E3"/>
    <w:rsid w:val="0029483F"/>
    <w:rsid w:val="00294856"/>
    <w:rsid w:val="0029493E"/>
    <w:rsid w:val="00294AFB"/>
    <w:rsid w:val="00294CAC"/>
    <w:rsid w:val="00294DF3"/>
    <w:rsid w:val="00294E0E"/>
    <w:rsid w:val="00294E8D"/>
    <w:rsid w:val="00294EBC"/>
    <w:rsid w:val="00294ED2"/>
    <w:rsid w:val="00294F14"/>
    <w:rsid w:val="00294F2F"/>
    <w:rsid w:val="00294FBF"/>
    <w:rsid w:val="00295089"/>
    <w:rsid w:val="0029509D"/>
    <w:rsid w:val="002950C6"/>
    <w:rsid w:val="0029510D"/>
    <w:rsid w:val="00295136"/>
    <w:rsid w:val="00295189"/>
    <w:rsid w:val="002951DA"/>
    <w:rsid w:val="002951F2"/>
    <w:rsid w:val="00295210"/>
    <w:rsid w:val="0029521E"/>
    <w:rsid w:val="0029527E"/>
    <w:rsid w:val="00295394"/>
    <w:rsid w:val="002953D0"/>
    <w:rsid w:val="00295427"/>
    <w:rsid w:val="0029549D"/>
    <w:rsid w:val="002955A1"/>
    <w:rsid w:val="002955C8"/>
    <w:rsid w:val="002956A2"/>
    <w:rsid w:val="002956FA"/>
    <w:rsid w:val="0029577D"/>
    <w:rsid w:val="002957A6"/>
    <w:rsid w:val="002957D1"/>
    <w:rsid w:val="002957D6"/>
    <w:rsid w:val="002957E0"/>
    <w:rsid w:val="00295803"/>
    <w:rsid w:val="002958EE"/>
    <w:rsid w:val="00295932"/>
    <w:rsid w:val="00295958"/>
    <w:rsid w:val="00295984"/>
    <w:rsid w:val="00295A2E"/>
    <w:rsid w:val="00295A58"/>
    <w:rsid w:val="00295B3B"/>
    <w:rsid w:val="00295CDA"/>
    <w:rsid w:val="00295D36"/>
    <w:rsid w:val="00295DB0"/>
    <w:rsid w:val="00295DE9"/>
    <w:rsid w:val="00295DFC"/>
    <w:rsid w:val="00295E13"/>
    <w:rsid w:val="00296012"/>
    <w:rsid w:val="0029604D"/>
    <w:rsid w:val="0029605D"/>
    <w:rsid w:val="002960A4"/>
    <w:rsid w:val="0029615D"/>
    <w:rsid w:val="002961AB"/>
    <w:rsid w:val="002961F3"/>
    <w:rsid w:val="00296257"/>
    <w:rsid w:val="002963E0"/>
    <w:rsid w:val="00296414"/>
    <w:rsid w:val="0029642F"/>
    <w:rsid w:val="00296445"/>
    <w:rsid w:val="002965C1"/>
    <w:rsid w:val="00296624"/>
    <w:rsid w:val="002966D2"/>
    <w:rsid w:val="00296993"/>
    <w:rsid w:val="002969DB"/>
    <w:rsid w:val="00296A57"/>
    <w:rsid w:val="00296B50"/>
    <w:rsid w:val="00296C3F"/>
    <w:rsid w:val="00296C5C"/>
    <w:rsid w:val="00296C9F"/>
    <w:rsid w:val="00296D06"/>
    <w:rsid w:val="00296D12"/>
    <w:rsid w:val="00296D4E"/>
    <w:rsid w:val="00296E6C"/>
    <w:rsid w:val="00296E88"/>
    <w:rsid w:val="0029708F"/>
    <w:rsid w:val="0029712D"/>
    <w:rsid w:val="00297134"/>
    <w:rsid w:val="00297206"/>
    <w:rsid w:val="002972BC"/>
    <w:rsid w:val="00297496"/>
    <w:rsid w:val="0029749F"/>
    <w:rsid w:val="002975B3"/>
    <w:rsid w:val="00297953"/>
    <w:rsid w:val="00297ABA"/>
    <w:rsid w:val="00297BD0"/>
    <w:rsid w:val="00297BF9"/>
    <w:rsid w:val="00297C27"/>
    <w:rsid w:val="00297C39"/>
    <w:rsid w:val="00297C72"/>
    <w:rsid w:val="00297DB0"/>
    <w:rsid w:val="00297DE4"/>
    <w:rsid w:val="00297F1E"/>
    <w:rsid w:val="00297FFA"/>
    <w:rsid w:val="002A0156"/>
    <w:rsid w:val="002A01BF"/>
    <w:rsid w:val="002A01D0"/>
    <w:rsid w:val="002A0239"/>
    <w:rsid w:val="002A034A"/>
    <w:rsid w:val="002A03B8"/>
    <w:rsid w:val="002A03F6"/>
    <w:rsid w:val="002A0422"/>
    <w:rsid w:val="002A047B"/>
    <w:rsid w:val="002A0691"/>
    <w:rsid w:val="002A081F"/>
    <w:rsid w:val="002A0848"/>
    <w:rsid w:val="002A088E"/>
    <w:rsid w:val="002A08D7"/>
    <w:rsid w:val="002A09C3"/>
    <w:rsid w:val="002A0A5C"/>
    <w:rsid w:val="002A0B58"/>
    <w:rsid w:val="002A0BCD"/>
    <w:rsid w:val="002A0D89"/>
    <w:rsid w:val="002A0DBE"/>
    <w:rsid w:val="002A0EE3"/>
    <w:rsid w:val="002A0F0E"/>
    <w:rsid w:val="002A0FC5"/>
    <w:rsid w:val="002A1002"/>
    <w:rsid w:val="002A1089"/>
    <w:rsid w:val="002A1105"/>
    <w:rsid w:val="002A116E"/>
    <w:rsid w:val="002A1177"/>
    <w:rsid w:val="002A1184"/>
    <w:rsid w:val="002A123D"/>
    <w:rsid w:val="002A130C"/>
    <w:rsid w:val="002A137A"/>
    <w:rsid w:val="002A143A"/>
    <w:rsid w:val="002A146C"/>
    <w:rsid w:val="002A14C9"/>
    <w:rsid w:val="002A15A2"/>
    <w:rsid w:val="002A15AE"/>
    <w:rsid w:val="002A15FA"/>
    <w:rsid w:val="002A168C"/>
    <w:rsid w:val="002A16DD"/>
    <w:rsid w:val="002A1956"/>
    <w:rsid w:val="002A1A37"/>
    <w:rsid w:val="002A1A99"/>
    <w:rsid w:val="002A1B23"/>
    <w:rsid w:val="002A1BF5"/>
    <w:rsid w:val="002A1D9A"/>
    <w:rsid w:val="002A1F3C"/>
    <w:rsid w:val="002A1FB8"/>
    <w:rsid w:val="002A1FC2"/>
    <w:rsid w:val="002A2091"/>
    <w:rsid w:val="002A20D6"/>
    <w:rsid w:val="002A211D"/>
    <w:rsid w:val="002A2150"/>
    <w:rsid w:val="002A21F5"/>
    <w:rsid w:val="002A235F"/>
    <w:rsid w:val="002A2386"/>
    <w:rsid w:val="002A2494"/>
    <w:rsid w:val="002A2518"/>
    <w:rsid w:val="002A252F"/>
    <w:rsid w:val="002A2548"/>
    <w:rsid w:val="002A2688"/>
    <w:rsid w:val="002A26DF"/>
    <w:rsid w:val="002A2734"/>
    <w:rsid w:val="002A28F3"/>
    <w:rsid w:val="002A2BAA"/>
    <w:rsid w:val="002A2BAB"/>
    <w:rsid w:val="002A2BEA"/>
    <w:rsid w:val="002A2BEF"/>
    <w:rsid w:val="002A2C16"/>
    <w:rsid w:val="002A2D3E"/>
    <w:rsid w:val="002A2D7B"/>
    <w:rsid w:val="002A2D8F"/>
    <w:rsid w:val="002A2E03"/>
    <w:rsid w:val="002A2ED8"/>
    <w:rsid w:val="002A2EF5"/>
    <w:rsid w:val="002A2EFE"/>
    <w:rsid w:val="002A2F13"/>
    <w:rsid w:val="002A3070"/>
    <w:rsid w:val="002A3082"/>
    <w:rsid w:val="002A30E0"/>
    <w:rsid w:val="002A3118"/>
    <w:rsid w:val="002A320C"/>
    <w:rsid w:val="002A3292"/>
    <w:rsid w:val="002A32DC"/>
    <w:rsid w:val="002A33CC"/>
    <w:rsid w:val="002A33F1"/>
    <w:rsid w:val="002A3473"/>
    <w:rsid w:val="002A3482"/>
    <w:rsid w:val="002A34B3"/>
    <w:rsid w:val="002A34E2"/>
    <w:rsid w:val="002A34EF"/>
    <w:rsid w:val="002A34FE"/>
    <w:rsid w:val="002A355B"/>
    <w:rsid w:val="002A3598"/>
    <w:rsid w:val="002A35F7"/>
    <w:rsid w:val="002A36EA"/>
    <w:rsid w:val="002A3718"/>
    <w:rsid w:val="002A37B3"/>
    <w:rsid w:val="002A37D1"/>
    <w:rsid w:val="002A3827"/>
    <w:rsid w:val="002A394A"/>
    <w:rsid w:val="002A394F"/>
    <w:rsid w:val="002A39A9"/>
    <w:rsid w:val="002A39D6"/>
    <w:rsid w:val="002A3A01"/>
    <w:rsid w:val="002A3A21"/>
    <w:rsid w:val="002A3AE7"/>
    <w:rsid w:val="002A3AEF"/>
    <w:rsid w:val="002A3B05"/>
    <w:rsid w:val="002A3BC3"/>
    <w:rsid w:val="002A3CF3"/>
    <w:rsid w:val="002A3D50"/>
    <w:rsid w:val="002A3DF2"/>
    <w:rsid w:val="002A3E11"/>
    <w:rsid w:val="002A3EC4"/>
    <w:rsid w:val="002A3F07"/>
    <w:rsid w:val="002A3F18"/>
    <w:rsid w:val="002A3F73"/>
    <w:rsid w:val="002A3FCA"/>
    <w:rsid w:val="002A4008"/>
    <w:rsid w:val="002A4036"/>
    <w:rsid w:val="002A426A"/>
    <w:rsid w:val="002A42A8"/>
    <w:rsid w:val="002A42B4"/>
    <w:rsid w:val="002A43E9"/>
    <w:rsid w:val="002A44D7"/>
    <w:rsid w:val="002A4513"/>
    <w:rsid w:val="002A4586"/>
    <w:rsid w:val="002A4683"/>
    <w:rsid w:val="002A46B4"/>
    <w:rsid w:val="002A4708"/>
    <w:rsid w:val="002A478C"/>
    <w:rsid w:val="002A47AC"/>
    <w:rsid w:val="002A4817"/>
    <w:rsid w:val="002A4866"/>
    <w:rsid w:val="002A48CE"/>
    <w:rsid w:val="002A4A82"/>
    <w:rsid w:val="002A4AA1"/>
    <w:rsid w:val="002A4AD6"/>
    <w:rsid w:val="002A4C92"/>
    <w:rsid w:val="002A4D07"/>
    <w:rsid w:val="002A4D65"/>
    <w:rsid w:val="002A4DA5"/>
    <w:rsid w:val="002A4DB8"/>
    <w:rsid w:val="002A4DF1"/>
    <w:rsid w:val="002A4E1C"/>
    <w:rsid w:val="002A4F59"/>
    <w:rsid w:val="002A52C4"/>
    <w:rsid w:val="002A5325"/>
    <w:rsid w:val="002A5511"/>
    <w:rsid w:val="002A5549"/>
    <w:rsid w:val="002A55C0"/>
    <w:rsid w:val="002A55F6"/>
    <w:rsid w:val="002A55F8"/>
    <w:rsid w:val="002A56AD"/>
    <w:rsid w:val="002A5763"/>
    <w:rsid w:val="002A5857"/>
    <w:rsid w:val="002A587F"/>
    <w:rsid w:val="002A5894"/>
    <w:rsid w:val="002A59AE"/>
    <w:rsid w:val="002A5A40"/>
    <w:rsid w:val="002A5C80"/>
    <w:rsid w:val="002A5D84"/>
    <w:rsid w:val="002A5D99"/>
    <w:rsid w:val="002A5DB8"/>
    <w:rsid w:val="002A5E06"/>
    <w:rsid w:val="002A5FB0"/>
    <w:rsid w:val="002A5FF3"/>
    <w:rsid w:val="002A61AF"/>
    <w:rsid w:val="002A62B6"/>
    <w:rsid w:val="002A635F"/>
    <w:rsid w:val="002A64B6"/>
    <w:rsid w:val="002A666B"/>
    <w:rsid w:val="002A6677"/>
    <w:rsid w:val="002A6678"/>
    <w:rsid w:val="002A66FE"/>
    <w:rsid w:val="002A6708"/>
    <w:rsid w:val="002A67B1"/>
    <w:rsid w:val="002A6834"/>
    <w:rsid w:val="002A6965"/>
    <w:rsid w:val="002A6ACD"/>
    <w:rsid w:val="002A6BB8"/>
    <w:rsid w:val="002A6CE4"/>
    <w:rsid w:val="002A6E0C"/>
    <w:rsid w:val="002A6EAD"/>
    <w:rsid w:val="002A6FAD"/>
    <w:rsid w:val="002A6FCB"/>
    <w:rsid w:val="002A6FE5"/>
    <w:rsid w:val="002A717F"/>
    <w:rsid w:val="002A731A"/>
    <w:rsid w:val="002A73B6"/>
    <w:rsid w:val="002A7468"/>
    <w:rsid w:val="002A74BA"/>
    <w:rsid w:val="002A752B"/>
    <w:rsid w:val="002A7563"/>
    <w:rsid w:val="002A7667"/>
    <w:rsid w:val="002A76F3"/>
    <w:rsid w:val="002A783F"/>
    <w:rsid w:val="002A7843"/>
    <w:rsid w:val="002A7852"/>
    <w:rsid w:val="002A7A17"/>
    <w:rsid w:val="002A7A51"/>
    <w:rsid w:val="002A7A52"/>
    <w:rsid w:val="002A7B59"/>
    <w:rsid w:val="002A7B64"/>
    <w:rsid w:val="002A7BFC"/>
    <w:rsid w:val="002A7C06"/>
    <w:rsid w:val="002A7C11"/>
    <w:rsid w:val="002A7D4A"/>
    <w:rsid w:val="002A7D91"/>
    <w:rsid w:val="002A7E80"/>
    <w:rsid w:val="002A7EF7"/>
    <w:rsid w:val="002A7EFF"/>
    <w:rsid w:val="002A7F4F"/>
    <w:rsid w:val="002B0000"/>
    <w:rsid w:val="002B0058"/>
    <w:rsid w:val="002B0193"/>
    <w:rsid w:val="002B03C2"/>
    <w:rsid w:val="002B04CB"/>
    <w:rsid w:val="002B04DB"/>
    <w:rsid w:val="002B0657"/>
    <w:rsid w:val="002B0729"/>
    <w:rsid w:val="002B079C"/>
    <w:rsid w:val="002B07B7"/>
    <w:rsid w:val="002B088B"/>
    <w:rsid w:val="002B092A"/>
    <w:rsid w:val="002B0955"/>
    <w:rsid w:val="002B09CE"/>
    <w:rsid w:val="002B09F0"/>
    <w:rsid w:val="002B0B10"/>
    <w:rsid w:val="002B0BD7"/>
    <w:rsid w:val="002B0CF4"/>
    <w:rsid w:val="002B0D25"/>
    <w:rsid w:val="002B0DCF"/>
    <w:rsid w:val="002B0E29"/>
    <w:rsid w:val="002B0F0C"/>
    <w:rsid w:val="002B0F85"/>
    <w:rsid w:val="002B11B3"/>
    <w:rsid w:val="002B11C1"/>
    <w:rsid w:val="002B11D9"/>
    <w:rsid w:val="002B1235"/>
    <w:rsid w:val="002B12F8"/>
    <w:rsid w:val="002B1374"/>
    <w:rsid w:val="002B143A"/>
    <w:rsid w:val="002B14FC"/>
    <w:rsid w:val="002B1502"/>
    <w:rsid w:val="002B156A"/>
    <w:rsid w:val="002B16D7"/>
    <w:rsid w:val="002B170F"/>
    <w:rsid w:val="002B175B"/>
    <w:rsid w:val="002B17D9"/>
    <w:rsid w:val="002B196E"/>
    <w:rsid w:val="002B19D6"/>
    <w:rsid w:val="002B1A8C"/>
    <w:rsid w:val="002B1A96"/>
    <w:rsid w:val="002B1AB8"/>
    <w:rsid w:val="002B1C3E"/>
    <w:rsid w:val="002B1C57"/>
    <w:rsid w:val="002B1CD1"/>
    <w:rsid w:val="002B1D4B"/>
    <w:rsid w:val="002B1E51"/>
    <w:rsid w:val="002B1EC3"/>
    <w:rsid w:val="002B1FBB"/>
    <w:rsid w:val="002B2108"/>
    <w:rsid w:val="002B2135"/>
    <w:rsid w:val="002B222A"/>
    <w:rsid w:val="002B22E8"/>
    <w:rsid w:val="002B2366"/>
    <w:rsid w:val="002B23A9"/>
    <w:rsid w:val="002B23D0"/>
    <w:rsid w:val="002B241C"/>
    <w:rsid w:val="002B2454"/>
    <w:rsid w:val="002B259D"/>
    <w:rsid w:val="002B25AF"/>
    <w:rsid w:val="002B25F0"/>
    <w:rsid w:val="002B26B2"/>
    <w:rsid w:val="002B282B"/>
    <w:rsid w:val="002B2840"/>
    <w:rsid w:val="002B28C6"/>
    <w:rsid w:val="002B29D9"/>
    <w:rsid w:val="002B2A0F"/>
    <w:rsid w:val="002B2A5C"/>
    <w:rsid w:val="002B2B97"/>
    <w:rsid w:val="002B2C4E"/>
    <w:rsid w:val="002B2CBE"/>
    <w:rsid w:val="002B2EF4"/>
    <w:rsid w:val="002B2F3B"/>
    <w:rsid w:val="002B3011"/>
    <w:rsid w:val="002B3043"/>
    <w:rsid w:val="002B3364"/>
    <w:rsid w:val="002B3386"/>
    <w:rsid w:val="002B3409"/>
    <w:rsid w:val="002B3478"/>
    <w:rsid w:val="002B34A1"/>
    <w:rsid w:val="002B3510"/>
    <w:rsid w:val="002B353C"/>
    <w:rsid w:val="002B35C7"/>
    <w:rsid w:val="002B370C"/>
    <w:rsid w:val="002B3769"/>
    <w:rsid w:val="002B38F1"/>
    <w:rsid w:val="002B3930"/>
    <w:rsid w:val="002B397E"/>
    <w:rsid w:val="002B3999"/>
    <w:rsid w:val="002B39BB"/>
    <w:rsid w:val="002B3A2B"/>
    <w:rsid w:val="002B3A60"/>
    <w:rsid w:val="002B3A7F"/>
    <w:rsid w:val="002B3AA7"/>
    <w:rsid w:val="002B3AFA"/>
    <w:rsid w:val="002B3B55"/>
    <w:rsid w:val="002B3BE9"/>
    <w:rsid w:val="002B3D4D"/>
    <w:rsid w:val="002B3E90"/>
    <w:rsid w:val="002B4048"/>
    <w:rsid w:val="002B40A1"/>
    <w:rsid w:val="002B40E8"/>
    <w:rsid w:val="002B4110"/>
    <w:rsid w:val="002B4259"/>
    <w:rsid w:val="002B42B4"/>
    <w:rsid w:val="002B42FD"/>
    <w:rsid w:val="002B4339"/>
    <w:rsid w:val="002B4452"/>
    <w:rsid w:val="002B4472"/>
    <w:rsid w:val="002B454B"/>
    <w:rsid w:val="002B467F"/>
    <w:rsid w:val="002B46F1"/>
    <w:rsid w:val="002B4729"/>
    <w:rsid w:val="002B475A"/>
    <w:rsid w:val="002B4826"/>
    <w:rsid w:val="002B488B"/>
    <w:rsid w:val="002B48A1"/>
    <w:rsid w:val="002B4A10"/>
    <w:rsid w:val="002B4CCB"/>
    <w:rsid w:val="002B4D7E"/>
    <w:rsid w:val="002B4EDE"/>
    <w:rsid w:val="002B4F8E"/>
    <w:rsid w:val="002B4FE0"/>
    <w:rsid w:val="002B4FFF"/>
    <w:rsid w:val="002B5034"/>
    <w:rsid w:val="002B50BF"/>
    <w:rsid w:val="002B5128"/>
    <w:rsid w:val="002B5153"/>
    <w:rsid w:val="002B51BF"/>
    <w:rsid w:val="002B51D5"/>
    <w:rsid w:val="002B51E4"/>
    <w:rsid w:val="002B529A"/>
    <w:rsid w:val="002B52EE"/>
    <w:rsid w:val="002B534C"/>
    <w:rsid w:val="002B5352"/>
    <w:rsid w:val="002B5565"/>
    <w:rsid w:val="002B55D9"/>
    <w:rsid w:val="002B561E"/>
    <w:rsid w:val="002B5672"/>
    <w:rsid w:val="002B5698"/>
    <w:rsid w:val="002B571B"/>
    <w:rsid w:val="002B5761"/>
    <w:rsid w:val="002B5786"/>
    <w:rsid w:val="002B5822"/>
    <w:rsid w:val="002B5830"/>
    <w:rsid w:val="002B583C"/>
    <w:rsid w:val="002B5911"/>
    <w:rsid w:val="002B59A4"/>
    <w:rsid w:val="002B59C1"/>
    <w:rsid w:val="002B5A88"/>
    <w:rsid w:val="002B5A9C"/>
    <w:rsid w:val="002B5AF7"/>
    <w:rsid w:val="002B5B9C"/>
    <w:rsid w:val="002B5BB3"/>
    <w:rsid w:val="002B5C38"/>
    <w:rsid w:val="002B5C94"/>
    <w:rsid w:val="002B5C9A"/>
    <w:rsid w:val="002B5D40"/>
    <w:rsid w:val="002B5D76"/>
    <w:rsid w:val="002B5DE9"/>
    <w:rsid w:val="002B5E43"/>
    <w:rsid w:val="002B5EC7"/>
    <w:rsid w:val="002B5F54"/>
    <w:rsid w:val="002B602F"/>
    <w:rsid w:val="002B603E"/>
    <w:rsid w:val="002B611F"/>
    <w:rsid w:val="002B61E7"/>
    <w:rsid w:val="002B624C"/>
    <w:rsid w:val="002B6287"/>
    <w:rsid w:val="002B635F"/>
    <w:rsid w:val="002B6363"/>
    <w:rsid w:val="002B63D5"/>
    <w:rsid w:val="002B654F"/>
    <w:rsid w:val="002B65A6"/>
    <w:rsid w:val="002B6605"/>
    <w:rsid w:val="002B6633"/>
    <w:rsid w:val="002B66AB"/>
    <w:rsid w:val="002B6780"/>
    <w:rsid w:val="002B6852"/>
    <w:rsid w:val="002B6A4D"/>
    <w:rsid w:val="002B6A56"/>
    <w:rsid w:val="002B6A6A"/>
    <w:rsid w:val="002B6AB3"/>
    <w:rsid w:val="002B6ABF"/>
    <w:rsid w:val="002B6ADA"/>
    <w:rsid w:val="002B6BA2"/>
    <w:rsid w:val="002B6C1B"/>
    <w:rsid w:val="002B6C36"/>
    <w:rsid w:val="002B6CCE"/>
    <w:rsid w:val="002B6D8B"/>
    <w:rsid w:val="002B6D92"/>
    <w:rsid w:val="002B6D9A"/>
    <w:rsid w:val="002B6E0E"/>
    <w:rsid w:val="002B6E6D"/>
    <w:rsid w:val="002B6ED3"/>
    <w:rsid w:val="002B7114"/>
    <w:rsid w:val="002B71B2"/>
    <w:rsid w:val="002B71E4"/>
    <w:rsid w:val="002B728D"/>
    <w:rsid w:val="002B73C4"/>
    <w:rsid w:val="002B73FA"/>
    <w:rsid w:val="002B73FF"/>
    <w:rsid w:val="002B7434"/>
    <w:rsid w:val="002B755A"/>
    <w:rsid w:val="002B758E"/>
    <w:rsid w:val="002B7687"/>
    <w:rsid w:val="002B76BE"/>
    <w:rsid w:val="002B76CC"/>
    <w:rsid w:val="002B76D4"/>
    <w:rsid w:val="002B7710"/>
    <w:rsid w:val="002B785E"/>
    <w:rsid w:val="002B798D"/>
    <w:rsid w:val="002B7A08"/>
    <w:rsid w:val="002B7AC2"/>
    <w:rsid w:val="002B7AC6"/>
    <w:rsid w:val="002B7BD2"/>
    <w:rsid w:val="002B7BE6"/>
    <w:rsid w:val="002B7C44"/>
    <w:rsid w:val="002B7CCD"/>
    <w:rsid w:val="002B7DD6"/>
    <w:rsid w:val="002B7F89"/>
    <w:rsid w:val="002C001F"/>
    <w:rsid w:val="002C00B6"/>
    <w:rsid w:val="002C0115"/>
    <w:rsid w:val="002C01E8"/>
    <w:rsid w:val="002C01F8"/>
    <w:rsid w:val="002C0383"/>
    <w:rsid w:val="002C052C"/>
    <w:rsid w:val="002C0589"/>
    <w:rsid w:val="002C0859"/>
    <w:rsid w:val="002C0868"/>
    <w:rsid w:val="002C08CD"/>
    <w:rsid w:val="002C0944"/>
    <w:rsid w:val="002C0971"/>
    <w:rsid w:val="002C099C"/>
    <w:rsid w:val="002C0A3E"/>
    <w:rsid w:val="002C0A4B"/>
    <w:rsid w:val="002C0A71"/>
    <w:rsid w:val="002C0B5D"/>
    <w:rsid w:val="002C0BE3"/>
    <w:rsid w:val="002C0D09"/>
    <w:rsid w:val="002C0D29"/>
    <w:rsid w:val="002C0D84"/>
    <w:rsid w:val="002C0E35"/>
    <w:rsid w:val="002C0E5C"/>
    <w:rsid w:val="002C0E79"/>
    <w:rsid w:val="002C11B2"/>
    <w:rsid w:val="002C11BD"/>
    <w:rsid w:val="002C12B3"/>
    <w:rsid w:val="002C12B8"/>
    <w:rsid w:val="002C12C6"/>
    <w:rsid w:val="002C12E1"/>
    <w:rsid w:val="002C13B5"/>
    <w:rsid w:val="002C14F4"/>
    <w:rsid w:val="002C1563"/>
    <w:rsid w:val="002C156A"/>
    <w:rsid w:val="002C1589"/>
    <w:rsid w:val="002C15AD"/>
    <w:rsid w:val="002C15EF"/>
    <w:rsid w:val="002C161C"/>
    <w:rsid w:val="002C170D"/>
    <w:rsid w:val="002C1764"/>
    <w:rsid w:val="002C17CA"/>
    <w:rsid w:val="002C1810"/>
    <w:rsid w:val="002C1822"/>
    <w:rsid w:val="002C182C"/>
    <w:rsid w:val="002C187A"/>
    <w:rsid w:val="002C18D1"/>
    <w:rsid w:val="002C1950"/>
    <w:rsid w:val="002C198A"/>
    <w:rsid w:val="002C1AB9"/>
    <w:rsid w:val="002C1CE2"/>
    <w:rsid w:val="002C1D08"/>
    <w:rsid w:val="002C1D14"/>
    <w:rsid w:val="002C1E05"/>
    <w:rsid w:val="002C1E6C"/>
    <w:rsid w:val="002C1E74"/>
    <w:rsid w:val="002C1EEB"/>
    <w:rsid w:val="002C1EF1"/>
    <w:rsid w:val="002C2312"/>
    <w:rsid w:val="002C2316"/>
    <w:rsid w:val="002C23EC"/>
    <w:rsid w:val="002C2425"/>
    <w:rsid w:val="002C2480"/>
    <w:rsid w:val="002C24AC"/>
    <w:rsid w:val="002C24C6"/>
    <w:rsid w:val="002C2548"/>
    <w:rsid w:val="002C25FD"/>
    <w:rsid w:val="002C2667"/>
    <w:rsid w:val="002C26B8"/>
    <w:rsid w:val="002C26DD"/>
    <w:rsid w:val="002C274B"/>
    <w:rsid w:val="002C279B"/>
    <w:rsid w:val="002C27FB"/>
    <w:rsid w:val="002C280B"/>
    <w:rsid w:val="002C2873"/>
    <w:rsid w:val="002C297B"/>
    <w:rsid w:val="002C2994"/>
    <w:rsid w:val="002C29E5"/>
    <w:rsid w:val="002C2A98"/>
    <w:rsid w:val="002C2AAE"/>
    <w:rsid w:val="002C2BCC"/>
    <w:rsid w:val="002C2C4D"/>
    <w:rsid w:val="002C2D34"/>
    <w:rsid w:val="002C2DA8"/>
    <w:rsid w:val="002C2DF2"/>
    <w:rsid w:val="002C2DFB"/>
    <w:rsid w:val="002C2EAF"/>
    <w:rsid w:val="002C2F20"/>
    <w:rsid w:val="002C3012"/>
    <w:rsid w:val="002C311D"/>
    <w:rsid w:val="002C328F"/>
    <w:rsid w:val="002C335B"/>
    <w:rsid w:val="002C3385"/>
    <w:rsid w:val="002C34E3"/>
    <w:rsid w:val="002C355A"/>
    <w:rsid w:val="002C3585"/>
    <w:rsid w:val="002C3595"/>
    <w:rsid w:val="002C35F9"/>
    <w:rsid w:val="002C3641"/>
    <w:rsid w:val="002C366C"/>
    <w:rsid w:val="002C369D"/>
    <w:rsid w:val="002C36C7"/>
    <w:rsid w:val="002C3749"/>
    <w:rsid w:val="002C37CB"/>
    <w:rsid w:val="002C3829"/>
    <w:rsid w:val="002C386B"/>
    <w:rsid w:val="002C3A06"/>
    <w:rsid w:val="002C3A09"/>
    <w:rsid w:val="002C3B1B"/>
    <w:rsid w:val="002C3BEB"/>
    <w:rsid w:val="002C3C36"/>
    <w:rsid w:val="002C3D18"/>
    <w:rsid w:val="002C4017"/>
    <w:rsid w:val="002C407D"/>
    <w:rsid w:val="002C409C"/>
    <w:rsid w:val="002C4123"/>
    <w:rsid w:val="002C419C"/>
    <w:rsid w:val="002C41E8"/>
    <w:rsid w:val="002C4233"/>
    <w:rsid w:val="002C4366"/>
    <w:rsid w:val="002C43B3"/>
    <w:rsid w:val="002C43ED"/>
    <w:rsid w:val="002C4434"/>
    <w:rsid w:val="002C446B"/>
    <w:rsid w:val="002C44BC"/>
    <w:rsid w:val="002C44E7"/>
    <w:rsid w:val="002C451C"/>
    <w:rsid w:val="002C4553"/>
    <w:rsid w:val="002C4599"/>
    <w:rsid w:val="002C462E"/>
    <w:rsid w:val="002C467E"/>
    <w:rsid w:val="002C46C2"/>
    <w:rsid w:val="002C46C3"/>
    <w:rsid w:val="002C4715"/>
    <w:rsid w:val="002C48A7"/>
    <w:rsid w:val="002C48EA"/>
    <w:rsid w:val="002C4976"/>
    <w:rsid w:val="002C49D6"/>
    <w:rsid w:val="002C49F8"/>
    <w:rsid w:val="002C4BE0"/>
    <w:rsid w:val="002C4CBC"/>
    <w:rsid w:val="002C4D87"/>
    <w:rsid w:val="002C4EE3"/>
    <w:rsid w:val="002C4F62"/>
    <w:rsid w:val="002C4F6F"/>
    <w:rsid w:val="002C4FC1"/>
    <w:rsid w:val="002C5037"/>
    <w:rsid w:val="002C506A"/>
    <w:rsid w:val="002C50FD"/>
    <w:rsid w:val="002C51FD"/>
    <w:rsid w:val="002C5221"/>
    <w:rsid w:val="002C525C"/>
    <w:rsid w:val="002C5358"/>
    <w:rsid w:val="002C538A"/>
    <w:rsid w:val="002C5427"/>
    <w:rsid w:val="002C5443"/>
    <w:rsid w:val="002C5482"/>
    <w:rsid w:val="002C5518"/>
    <w:rsid w:val="002C5647"/>
    <w:rsid w:val="002C56DC"/>
    <w:rsid w:val="002C56E0"/>
    <w:rsid w:val="002C5808"/>
    <w:rsid w:val="002C5989"/>
    <w:rsid w:val="002C59D3"/>
    <w:rsid w:val="002C5AB3"/>
    <w:rsid w:val="002C5ACF"/>
    <w:rsid w:val="002C5ADE"/>
    <w:rsid w:val="002C5B2C"/>
    <w:rsid w:val="002C5C2B"/>
    <w:rsid w:val="002C5C6A"/>
    <w:rsid w:val="002C5CD9"/>
    <w:rsid w:val="002C5DE1"/>
    <w:rsid w:val="002C5DE2"/>
    <w:rsid w:val="002C5E31"/>
    <w:rsid w:val="002C5E4B"/>
    <w:rsid w:val="002C6017"/>
    <w:rsid w:val="002C60EE"/>
    <w:rsid w:val="002C619E"/>
    <w:rsid w:val="002C6226"/>
    <w:rsid w:val="002C623C"/>
    <w:rsid w:val="002C62F3"/>
    <w:rsid w:val="002C66FD"/>
    <w:rsid w:val="002C67A6"/>
    <w:rsid w:val="002C6907"/>
    <w:rsid w:val="002C6A27"/>
    <w:rsid w:val="002C6A6D"/>
    <w:rsid w:val="002C6AD5"/>
    <w:rsid w:val="002C6C26"/>
    <w:rsid w:val="002C6CC1"/>
    <w:rsid w:val="002C6D0A"/>
    <w:rsid w:val="002C6D34"/>
    <w:rsid w:val="002C6E0E"/>
    <w:rsid w:val="002C6F45"/>
    <w:rsid w:val="002C6F56"/>
    <w:rsid w:val="002C7256"/>
    <w:rsid w:val="002C7259"/>
    <w:rsid w:val="002C72A2"/>
    <w:rsid w:val="002C739A"/>
    <w:rsid w:val="002C739F"/>
    <w:rsid w:val="002C7465"/>
    <w:rsid w:val="002C74B9"/>
    <w:rsid w:val="002C7674"/>
    <w:rsid w:val="002C76C2"/>
    <w:rsid w:val="002C76F4"/>
    <w:rsid w:val="002C776D"/>
    <w:rsid w:val="002C786D"/>
    <w:rsid w:val="002C78DB"/>
    <w:rsid w:val="002C79B7"/>
    <w:rsid w:val="002C79E9"/>
    <w:rsid w:val="002C7A67"/>
    <w:rsid w:val="002C7B7A"/>
    <w:rsid w:val="002C7C86"/>
    <w:rsid w:val="002C7DD6"/>
    <w:rsid w:val="002C7E9B"/>
    <w:rsid w:val="002C7F44"/>
    <w:rsid w:val="002C7FF9"/>
    <w:rsid w:val="002D0197"/>
    <w:rsid w:val="002D01F6"/>
    <w:rsid w:val="002D0229"/>
    <w:rsid w:val="002D031D"/>
    <w:rsid w:val="002D04E9"/>
    <w:rsid w:val="002D05E7"/>
    <w:rsid w:val="002D067F"/>
    <w:rsid w:val="002D068B"/>
    <w:rsid w:val="002D06EB"/>
    <w:rsid w:val="002D0896"/>
    <w:rsid w:val="002D0ACD"/>
    <w:rsid w:val="002D0BC0"/>
    <w:rsid w:val="002D0C2E"/>
    <w:rsid w:val="002D0CC9"/>
    <w:rsid w:val="002D0D39"/>
    <w:rsid w:val="002D0EE4"/>
    <w:rsid w:val="002D0FAE"/>
    <w:rsid w:val="002D1011"/>
    <w:rsid w:val="002D101B"/>
    <w:rsid w:val="002D106F"/>
    <w:rsid w:val="002D1294"/>
    <w:rsid w:val="002D13FD"/>
    <w:rsid w:val="002D1409"/>
    <w:rsid w:val="002D14A6"/>
    <w:rsid w:val="002D14D8"/>
    <w:rsid w:val="002D14DF"/>
    <w:rsid w:val="002D1511"/>
    <w:rsid w:val="002D171F"/>
    <w:rsid w:val="002D17EE"/>
    <w:rsid w:val="002D18CD"/>
    <w:rsid w:val="002D199F"/>
    <w:rsid w:val="002D19C5"/>
    <w:rsid w:val="002D1AF5"/>
    <w:rsid w:val="002D1B6C"/>
    <w:rsid w:val="002D1BBD"/>
    <w:rsid w:val="002D1BE6"/>
    <w:rsid w:val="002D1C96"/>
    <w:rsid w:val="002D1CD9"/>
    <w:rsid w:val="002D1D4C"/>
    <w:rsid w:val="002D1D9A"/>
    <w:rsid w:val="002D1DCC"/>
    <w:rsid w:val="002D1E5C"/>
    <w:rsid w:val="002D1F41"/>
    <w:rsid w:val="002D1F68"/>
    <w:rsid w:val="002D206D"/>
    <w:rsid w:val="002D220D"/>
    <w:rsid w:val="002D244B"/>
    <w:rsid w:val="002D24BB"/>
    <w:rsid w:val="002D24C5"/>
    <w:rsid w:val="002D2513"/>
    <w:rsid w:val="002D26E7"/>
    <w:rsid w:val="002D26FE"/>
    <w:rsid w:val="002D2771"/>
    <w:rsid w:val="002D27BD"/>
    <w:rsid w:val="002D2807"/>
    <w:rsid w:val="002D280F"/>
    <w:rsid w:val="002D2934"/>
    <w:rsid w:val="002D295F"/>
    <w:rsid w:val="002D2961"/>
    <w:rsid w:val="002D2976"/>
    <w:rsid w:val="002D2A5E"/>
    <w:rsid w:val="002D2A61"/>
    <w:rsid w:val="002D2AAE"/>
    <w:rsid w:val="002D2B8A"/>
    <w:rsid w:val="002D2D02"/>
    <w:rsid w:val="002D2D20"/>
    <w:rsid w:val="002D2E9E"/>
    <w:rsid w:val="002D2EF9"/>
    <w:rsid w:val="002D2F80"/>
    <w:rsid w:val="002D2FB2"/>
    <w:rsid w:val="002D2FDA"/>
    <w:rsid w:val="002D30BF"/>
    <w:rsid w:val="002D30FE"/>
    <w:rsid w:val="002D312B"/>
    <w:rsid w:val="002D312D"/>
    <w:rsid w:val="002D31EA"/>
    <w:rsid w:val="002D3244"/>
    <w:rsid w:val="002D3287"/>
    <w:rsid w:val="002D3295"/>
    <w:rsid w:val="002D3339"/>
    <w:rsid w:val="002D33B7"/>
    <w:rsid w:val="002D33EB"/>
    <w:rsid w:val="002D3592"/>
    <w:rsid w:val="002D3620"/>
    <w:rsid w:val="002D3635"/>
    <w:rsid w:val="002D3644"/>
    <w:rsid w:val="002D375A"/>
    <w:rsid w:val="002D3976"/>
    <w:rsid w:val="002D39A4"/>
    <w:rsid w:val="002D39BD"/>
    <w:rsid w:val="002D39DE"/>
    <w:rsid w:val="002D3A36"/>
    <w:rsid w:val="002D3A61"/>
    <w:rsid w:val="002D3B76"/>
    <w:rsid w:val="002D3BCC"/>
    <w:rsid w:val="002D3E22"/>
    <w:rsid w:val="002D3F40"/>
    <w:rsid w:val="002D3F47"/>
    <w:rsid w:val="002D3FEC"/>
    <w:rsid w:val="002D420D"/>
    <w:rsid w:val="002D421D"/>
    <w:rsid w:val="002D42D9"/>
    <w:rsid w:val="002D442F"/>
    <w:rsid w:val="002D44CD"/>
    <w:rsid w:val="002D44CF"/>
    <w:rsid w:val="002D4570"/>
    <w:rsid w:val="002D46DE"/>
    <w:rsid w:val="002D4735"/>
    <w:rsid w:val="002D47B5"/>
    <w:rsid w:val="002D4923"/>
    <w:rsid w:val="002D4B45"/>
    <w:rsid w:val="002D4B92"/>
    <w:rsid w:val="002D4C57"/>
    <w:rsid w:val="002D4C5A"/>
    <w:rsid w:val="002D4D2B"/>
    <w:rsid w:val="002D4DB2"/>
    <w:rsid w:val="002D4F42"/>
    <w:rsid w:val="002D4F99"/>
    <w:rsid w:val="002D4FA5"/>
    <w:rsid w:val="002D4FD1"/>
    <w:rsid w:val="002D50F1"/>
    <w:rsid w:val="002D5116"/>
    <w:rsid w:val="002D5174"/>
    <w:rsid w:val="002D51F0"/>
    <w:rsid w:val="002D522F"/>
    <w:rsid w:val="002D524B"/>
    <w:rsid w:val="002D529E"/>
    <w:rsid w:val="002D5309"/>
    <w:rsid w:val="002D5310"/>
    <w:rsid w:val="002D5337"/>
    <w:rsid w:val="002D535F"/>
    <w:rsid w:val="002D53F5"/>
    <w:rsid w:val="002D5466"/>
    <w:rsid w:val="002D555A"/>
    <w:rsid w:val="002D55BB"/>
    <w:rsid w:val="002D5700"/>
    <w:rsid w:val="002D578C"/>
    <w:rsid w:val="002D5809"/>
    <w:rsid w:val="002D58EF"/>
    <w:rsid w:val="002D59A9"/>
    <w:rsid w:val="002D5A6F"/>
    <w:rsid w:val="002D5A81"/>
    <w:rsid w:val="002D5AEB"/>
    <w:rsid w:val="002D5B77"/>
    <w:rsid w:val="002D5B96"/>
    <w:rsid w:val="002D5C94"/>
    <w:rsid w:val="002D5CA4"/>
    <w:rsid w:val="002D5CBB"/>
    <w:rsid w:val="002D5DA7"/>
    <w:rsid w:val="002D5DB6"/>
    <w:rsid w:val="002D5FFC"/>
    <w:rsid w:val="002D6004"/>
    <w:rsid w:val="002D60E2"/>
    <w:rsid w:val="002D6119"/>
    <w:rsid w:val="002D629C"/>
    <w:rsid w:val="002D62B3"/>
    <w:rsid w:val="002D6353"/>
    <w:rsid w:val="002D6431"/>
    <w:rsid w:val="002D6443"/>
    <w:rsid w:val="002D646B"/>
    <w:rsid w:val="002D656C"/>
    <w:rsid w:val="002D657A"/>
    <w:rsid w:val="002D65FD"/>
    <w:rsid w:val="002D660C"/>
    <w:rsid w:val="002D6786"/>
    <w:rsid w:val="002D67EC"/>
    <w:rsid w:val="002D6875"/>
    <w:rsid w:val="002D68AC"/>
    <w:rsid w:val="002D6930"/>
    <w:rsid w:val="002D6939"/>
    <w:rsid w:val="002D6B07"/>
    <w:rsid w:val="002D6CCD"/>
    <w:rsid w:val="002D6EC1"/>
    <w:rsid w:val="002D6F33"/>
    <w:rsid w:val="002D70E0"/>
    <w:rsid w:val="002D71AD"/>
    <w:rsid w:val="002D73DB"/>
    <w:rsid w:val="002D7415"/>
    <w:rsid w:val="002D74C8"/>
    <w:rsid w:val="002D75E3"/>
    <w:rsid w:val="002D778D"/>
    <w:rsid w:val="002D77A8"/>
    <w:rsid w:val="002D77C6"/>
    <w:rsid w:val="002D77F8"/>
    <w:rsid w:val="002D784B"/>
    <w:rsid w:val="002D785B"/>
    <w:rsid w:val="002D78DE"/>
    <w:rsid w:val="002D78E0"/>
    <w:rsid w:val="002D793F"/>
    <w:rsid w:val="002D7A1B"/>
    <w:rsid w:val="002D7A57"/>
    <w:rsid w:val="002D7B10"/>
    <w:rsid w:val="002D7BD4"/>
    <w:rsid w:val="002D7BF8"/>
    <w:rsid w:val="002D7C13"/>
    <w:rsid w:val="002D7C24"/>
    <w:rsid w:val="002D7CA6"/>
    <w:rsid w:val="002D7D2E"/>
    <w:rsid w:val="002D7D87"/>
    <w:rsid w:val="002D7DF4"/>
    <w:rsid w:val="002D7E49"/>
    <w:rsid w:val="002D7FE1"/>
    <w:rsid w:val="002E001C"/>
    <w:rsid w:val="002E002F"/>
    <w:rsid w:val="002E00AE"/>
    <w:rsid w:val="002E00C6"/>
    <w:rsid w:val="002E00FB"/>
    <w:rsid w:val="002E01A3"/>
    <w:rsid w:val="002E022D"/>
    <w:rsid w:val="002E028F"/>
    <w:rsid w:val="002E029E"/>
    <w:rsid w:val="002E037E"/>
    <w:rsid w:val="002E0403"/>
    <w:rsid w:val="002E046C"/>
    <w:rsid w:val="002E05D1"/>
    <w:rsid w:val="002E06E1"/>
    <w:rsid w:val="002E0840"/>
    <w:rsid w:val="002E08F0"/>
    <w:rsid w:val="002E0952"/>
    <w:rsid w:val="002E099E"/>
    <w:rsid w:val="002E0A88"/>
    <w:rsid w:val="002E0ABE"/>
    <w:rsid w:val="002E0AD5"/>
    <w:rsid w:val="002E0B0A"/>
    <w:rsid w:val="002E0B89"/>
    <w:rsid w:val="002E0BE3"/>
    <w:rsid w:val="002E0C8B"/>
    <w:rsid w:val="002E0C8F"/>
    <w:rsid w:val="002E0E2A"/>
    <w:rsid w:val="002E0E6C"/>
    <w:rsid w:val="002E0EB5"/>
    <w:rsid w:val="002E0FB9"/>
    <w:rsid w:val="002E1044"/>
    <w:rsid w:val="002E1090"/>
    <w:rsid w:val="002E1097"/>
    <w:rsid w:val="002E1138"/>
    <w:rsid w:val="002E11EB"/>
    <w:rsid w:val="002E1252"/>
    <w:rsid w:val="002E12C8"/>
    <w:rsid w:val="002E12CB"/>
    <w:rsid w:val="002E135B"/>
    <w:rsid w:val="002E1763"/>
    <w:rsid w:val="002E17D0"/>
    <w:rsid w:val="002E1941"/>
    <w:rsid w:val="002E1972"/>
    <w:rsid w:val="002E1992"/>
    <w:rsid w:val="002E1A33"/>
    <w:rsid w:val="002E1A60"/>
    <w:rsid w:val="002E1AA4"/>
    <w:rsid w:val="002E1ADF"/>
    <w:rsid w:val="002E1B06"/>
    <w:rsid w:val="002E1B80"/>
    <w:rsid w:val="002E1BEC"/>
    <w:rsid w:val="002E1C5D"/>
    <w:rsid w:val="002E1C61"/>
    <w:rsid w:val="002E1D81"/>
    <w:rsid w:val="002E1EF8"/>
    <w:rsid w:val="002E21AD"/>
    <w:rsid w:val="002E21E3"/>
    <w:rsid w:val="002E22D3"/>
    <w:rsid w:val="002E231A"/>
    <w:rsid w:val="002E232E"/>
    <w:rsid w:val="002E23B3"/>
    <w:rsid w:val="002E24B3"/>
    <w:rsid w:val="002E24EC"/>
    <w:rsid w:val="002E24EF"/>
    <w:rsid w:val="002E24F7"/>
    <w:rsid w:val="002E24FE"/>
    <w:rsid w:val="002E258C"/>
    <w:rsid w:val="002E25D2"/>
    <w:rsid w:val="002E25FD"/>
    <w:rsid w:val="002E2658"/>
    <w:rsid w:val="002E28CC"/>
    <w:rsid w:val="002E28CF"/>
    <w:rsid w:val="002E2B76"/>
    <w:rsid w:val="002E2C32"/>
    <w:rsid w:val="002E2C5B"/>
    <w:rsid w:val="002E2C7D"/>
    <w:rsid w:val="002E2CDB"/>
    <w:rsid w:val="002E2D9C"/>
    <w:rsid w:val="002E2DFE"/>
    <w:rsid w:val="002E2E90"/>
    <w:rsid w:val="002E2EA1"/>
    <w:rsid w:val="002E2EB8"/>
    <w:rsid w:val="002E304D"/>
    <w:rsid w:val="002E3220"/>
    <w:rsid w:val="002E3248"/>
    <w:rsid w:val="002E3318"/>
    <w:rsid w:val="002E347B"/>
    <w:rsid w:val="002E35A4"/>
    <w:rsid w:val="002E3642"/>
    <w:rsid w:val="002E3732"/>
    <w:rsid w:val="002E375F"/>
    <w:rsid w:val="002E3769"/>
    <w:rsid w:val="002E3944"/>
    <w:rsid w:val="002E3AFD"/>
    <w:rsid w:val="002E3B69"/>
    <w:rsid w:val="002E3BFD"/>
    <w:rsid w:val="002E3C45"/>
    <w:rsid w:val="002E3CA9"/>
    <w:rsid w:val="002E3CD3"/>
    <w:rsid w:val="002E3D7C"/>
    <w:rsid w:val="002E3DE4"/>
    <w:rsid w:val="002E3DF5"/>
    <w:rsid w:val="002E3FC8"/>
    <w:rsid w:val="002E4109"/>
    <w:rsid w:val="002E4168"/>
    <w:rsid w:val="002E41CD"/>
    <w:rsid w:val="002E423C"/>
    <w:rsid w:val="002E4246"/>
    <w:rsid w:val="002E43CA"/>
    <w:rsid w:val="002E4406"/>
    <w:rsid w:val="002E44A9"/>
    <w:rsid w:val="002E45EC"/>
    <w:rsid w:val="002E4670"/>
    <w:rsid w:val="002E4690"/>
    <w:rsid w:val="002E4853"/>
    <w:rsid w:val="002E485A"/>
    <w:rsid w:val="002E4865"/>
    <w:rsid w:val="002E4AC2"/>
    <w:rsid w:val="002E4AF8"/>
    <w:rsid w:val="002E4BBA"/>
    <w:rsid w:val="002E4DDD"/>
    <w:rsid w:val="002E4E34"/>
    <w:rsid w:val="002E50D2"/>
    <w:rsid w:val="002E50EA"/>
    <w:rsid w:val="002E51C3"/>
    <w:rsid w:val="002E5228"/>
    <w:rsid w:val="002E5242"/>
    <w:rsid w:val="002E5385"/>
    <w:rsid w:val="002E5392"/>
    <w:rsid w:val="002E53AE"/>
    <w:rsid w:val="002E547C"/>
    <w:rsid w:val="002E5622"/>
    <w:rsid w:val="002E562E"/>
    <w:rsid w:val="002E570E"/>
    <w:rsid w:val="002E5757"/>
    <w:rsid w:val="002E57C7"/>
    <w:rsid w:val="002E57D8"/>
    <w:rsid w:val="002E582A"/>
    <w:rsid w:val="002E5862"/>
    <w:rsid w:val="002E58DB"/>
    <w:rsid w:val="002E58E4"/>
    <w:rsid w:val="002E58E5"/>
    <w:rsid w:val="002E5901"/>
    <w:rsid w:val="002E597A"/>
    <w:rsid w:val="002E59D0"/>
    <w:rsid w:val="002E5A66"/>
    <w:rsid w:val="002E5B84"/>
    <w:rsid w:val="002E5B99"/>
    <w:rsid w:val="002E5BC5"/>
    <w:rsid w:val="002E5CFF"/>
    <w:rsid w:val="002E5D66"/>
    <w:rsid w:val="002E5D93"/>
    <w:rsid w:val="002E5DE4"/>
    <w:rsid w:val="002E5ED5"/>
    <w:rsid w:val="002E5F19"/>
    <w:rsid w:val="002E5F8C"/>
    <w:rsid w:val="002E6101"/>
    <w:rsid w:val="002E6133"/>
    <w:rsid w:val="002E61EB"/>
    <w:rsid w:val="002E61FC"/>
    <w:rsid w:val="002E61FD"/>
    <w:rsid w:val="002E6216"/>
    <w:rsid w:val="002E6242"/>
    <w:rsid w:val="002E63A5"/>
    <w:rsid w:val="002E63AD"/>
    <w:rsid w:val="002E6451"/>
    <w:rsid w:val="002E647A"/>
    <w:rsid w:val="002E657C"/>
    <w:rsid w:val="002E6593"/>
    <w:rsid w:val="002E6609"/>
    <w:rsid w:val="002E6751"/>
    <w:rsid w:val="002E684C"/>
    <w:rsid w:val="002E68B8"/>
    <w:rsid w:val="002E68C6"/>
    <w:rsid w:val="002E6998"/>
    <w:rsid w:val="002E6A0F"/>
    <w:rsid w:val="002E6B49"/>
    <w:rsid w:val="002E6BD5"/>
    <w:rsid w:val="002E6C5B"/>
    <w:rsid w:val="002E6C63"/>
    <w:rsid w:val="002E6CC2"/>
    <w:rsid w:val="002E6CD1"/>
    <w:rsid w:val="002E6CF1"/>
    <w:rsid w:val="002E6CF2"/>
    <w:rsid w:val="002E6F20"/>
    <w:rsid w:val="002E6F59"/>
    <w:rsid w:val="002E70F6"/>
    <w:rsid w:val="002E728B"/>
    <w:rsid w:val="002E73D1"/>
    <w:rsid w:val="002E7495"/>
    <w:rsid w:val="002E74AF"/>
    <w:rsid w:val="002E75A1"/>
    <w:rsid w:val="002E75E3"/>
    <w:rsid w:val="002E75FD"/>
    <w:rsid w:val="002E7622"/>
    <w:rsid w:val="002E768D"/>
    <w:rsid w:val="002E77AC"/>
    <w:rsid w:val="002E7900"/>
    <w:rsid w:val="002E7954"/>
    <w:rsid w:val="002E797E"/>
    <w:rsid w:val="002E7986"/>
    <w:rsid w:val="002E7989"/>
    <w:rsid w:val="002E7BB0"/>
    <w:rsid w:val="002E7BEF"/>
    <w:rsid w:val="002E7C21"/>
    <w:rsid w:val="002E7CF2"/>
    <w:rsid w:val="002E7EE4"/>
    <w:rsid w:val="002E7F50"/>
    <w:rsid w:val="002E7FA3"/>
    <w:rsid w:val="002F003A"/>
    <w:rsid w:val="002F008A"/>
    <w:rsid w:val="002F0158"/>
    <w:rsid w:val="002F016F"/>
    <w:rsid w:val="002F018F"/>
    <w:rsid w:val="002F020F"/>
    <w:rsid w:val="002F02A7"/>
    <w:rsid w:val="002F0366"/>
    <w:rsid w:val="002F0390"/>
    <w:rsid w:val="002F0409"/>
    <w:rsid w:val="002F0469"/>
    <w:rsid w:val="002F046B"/>
    <w:rsid w:val="002F0499"/>
    <w:rsid w:val="002F0573"/>
    <w:rsid w:val="002F0586"/>
    <w:rsid w:val="002F05A9"/>
    <w:rsid w:val="002F0626"/>
    <w:rsid w:val="002F06E7"/>
    <w:rsid w:val="002F0791"/>
    <w:rsid w:val="002F07DD"/>
    <w:rsid w:val="002F08A1"/>
    <w:rsid w:val="002F095F"/>
    <w:rsid w:val="002F0A38"/>
    <w:rsid w:val="002F0B40"/>
    <w:rsid w:val="002F0EB6"/>
    <w:rsid w:val="002F1244"/>
    <w:rsid w:val="002F1369"/>
    <w:rsid w:val="002F13D3"/>
    <w:rsid w:val="002F150A"/>
    <w:rsid w:val="002F158E"/>
    <w:rsid w:val="002F1591"/>
    <w:rsid w:val="002F159F"/>
    <w:rsid w:val="002F1617"/>
    <w:rsid w:val="002F16FA"/>
    <w:rsid w:val="002F171B"/>
    <w:rsid w:val="002F1784"/>
    <w:rsid w:val="002F18DB"/>
    <w:rsid w:val="002F1900"/>
    <w:rsid w:val="002F1945"/>
    <w:rsid w:val="002F1948"/>
    <w:rsid w:val="002F199E"/>
    <w:rsid w:val="002F1A67"/>
    <w:rsid w:val="002F1AB1"/>
    <w:rsid w:val="002F1AB3"/>
    <w:rsid w:val="002F1B4A"/>
    <w:rsid w:val="002F1D08"/>
    <w:rsid w:val="002F1D70"/>
    <w:rsid w:val="002F1D78"/>
    <w:rsid w:val="002F1E0A"/>
    <w:rsid w:val="002F1F00"/>
    <w:rsid w:val="002F1F71"/>
    <w:rsid w:val="002F1FB4"/>
    <w:rsid w:val="002F1FBA"/>
    <w:rsid w:val="002F2074"/>
    <w:rsid w:val="002F20FD"/>
    <w:rsid w:val="002F21B1"/>
    <w:rsid w:val="002F2236"/>
    <w:rsid w:val="002F2440"/>
    <w:rsid w:val="002F2491"/>
    <w:rsid w:val="002F24AD"/>
    <w:rsid w:val="002F2537"/>
    <w:rsid w:val="002F255D"/>
    <w:rsid w:val="002F2676"/>
    <w:rsid w:val="002F278E"/>
    <w:rsid w:val="002F282D"/>
    <w:rsid w:val="002F28B5"/>
    <w:rsid w:val="002F290D"/>
    <w:rsid w:val="002F2A66"/>
    <w:rsid w:val="002F2AB8"/>
    <w:rsid w:val="002F2B62"/>
    <w:rsid w:val="002F2B80"/>
    <w:rsid w:val="002F2C03"/>
    <w:rsid w:val="002F2C68"/>
    <w:rsid w:val="002F2C89"/>
    <w:rsid w:val="002F2C8D"/>
    <w:rsid w:val="002F2C9D"/>
    <w:rsid w:val="002F2D4C"/>
    <w:rsid w:val="002F2DCD"/>
    <w:rsid w:val="002F2DF7"/>
    <w:rsid w:val="002F2DF9"/>
    <w:rsid w:val="002F2E2F"/>
    <w:rsid w:val="002F2E8C"/>
    <w:rsid w:val="002F3043"/>
    <w:rsid w:val="002F3092"/>
    <w:rsid w:val="002F30A4"/>
    <w:rsid w:val="002F31D4"/>
    <w:rsid w:val="002F31D8"/>
    <w:rsid w:val="002F31E4"/>
    <w:rsid w:val="002F3339"/>
    <w:rsid w:val="002F33C6"/>
    <w:rsid w:val="002F343A"/>
    <w:rsid w:val="002F34D1"/>
    <w:rsid w:val="002F364A"/>
    <w:rsid w:val="002F3661"/>
    <w:rsid w:val="002F36CA"/>
    <w:rsid w:val="002F36DC"/>
    <w:rsid w:val="002F38CC"/>
    <w:rsid w:val="002F3992"/>
    <w:rsid w:val="002F399F"/>
    <w:rsid w:val="002F3A13"/>
    <w:rsid w:val="002F3A3E"/>
    <w:rsid w:val="002F3B23"/>
    <w:rsid w:val="002F3B45"/>
    <w:rsid w:val="002F3BBE"/>
    <w:rsid w:val="002F3C0F"/>
    <w:rsid w:val="002F3D52"/>
    <w:rsid w:val="002F3DE0"/>
    <w:rsid w:val="002F3E79"/>
    <w:rsid w:val="002F3F7E"/>
    <w:rsid w:val="002F401E"/>
    <w:rsid w:val="002F40FC"/>
    <w:rsid w:val="002F4172"/>
    <w:rsid w:val="002F4266"/>
    <w:rsid w:val="002F42EA"/>
    <w:rsid w:val="002F4384"/>
    <w:rsid w:val="002F43F9"/>
    <w:rsid w:val="002F440A"/>
    <w:rsid w:val="002F4441"/>
    <w:rsid w:val="002F4464"/>
    <w:rsid w:val="002F450F"/>
    <w:rsid w:val="002F46BE"/>
    <w:rsid w:val="002F46C5"/>
    <w:rsid w:val="002F47AE"/>
    <w:rsid w:val="002F47B4"/>
    <w:rsid w:val="002F47F3"/>
    <w:rsid w:val="002F4850"/>
    <w:rsid w:val="002F4938"/>
    <w:rsid w:val="002F4962"/>
    <w:rsid w:val="002F4993"/>
    <w:rsid w:val="002F4B05"/>
    <w:rsid w:val="002F4BA8"/>
    <w:rsid w:val="002F4DED"/>
    <w:rsid w:val="002F4E69"/>
    <w:rsid w:val="002F4EFF"/>
    <w:rsid w:val="002F4F09"/>
    <w:rsid w:val="002F4F0F"/>
    <w:rsid w:val="002F4F3A"/>
    <w:rsid w:val="002F4F96"/>
    <w:rsid w:val="002F4F9C"/>
    <w:rsid w:val="002F5272"/>
    <w:rsid w:val="002F52BA"/>
    <w:rsid w:val="002F52E7"/>
    <w:rsid w:val="002F53DB"/>
    <w:rsid w:val="002F5412"/>
    <w:rsid w:val="002F55DB"/>
    <w:rsid w:val="002F5623"/>
    <w:rsid w:val="002F580F"/>
    <w:rsid w:val="002F589C"/>
    <w:rsid w:val="002F5928"/>
    <w:rsid w:val="002F5955"/>
    <w:rsid w:val="002F5BED"/>
    <w:rsid w:val="002F5F65"/>
    <w:rsid w:val="002F5F6E"/>
    <w:rsid w:val="002F5FD4"/>
    <w:rsid w:val="002F61EB"/>
    <w:rsid w:val="002F629F"/>
    <w:rsid w:val="002F62C5"/>
    <w:rsid w:val="002F62D9"/>
    <w:rsid w:val="002F6302"/>
    <w:rsid w:val="002F64FA"/>
    <w:rsid w:val="002F651C"/>
    <w:rsid w:val="002F6571"/>
    <w:rsid w:val="002F65E1"/>
    <w:rsid w:val="002F6860"/>
    <w:rsid w:val="002F68BE"/>
    <w:rsid w:val="002F69C0"/>
    <w:rsid w:val="002F6ADB"/>
    <w:rsid w:val="002F6AE5"/>
    <w:rsid w:val="002F6C10"/>
    <w:rsid w:val="002F6D7C"/>
    <w:rsid w:val="002F6DED"/>
    <w:rsid w:val="002F6E8B"/>
    <w:rsid w:val="002F6E9A"/>
    <w:rsid w:val="002F6EBE"/>
    <w:rsid w:val="002F6EDD"/>
    <w:rsid w:val="002F6FF6"/>
    <w:rsid w:val="002F716D"/>
    <w:rsid w:val="002F72AE"/>
    <w:rsid w:val="002F72C3"/>
    <w:rsid w:val="002F7417"/>
    <w:rsid w:val="002F74D5"/>
    <w:rsid w:val="002F74F4"/>
    <w:rsid w:val="002F75A4"/>
    <w:rsid w:val="002F75A5"/>
    <w:rsid w:val="002F75B4"/>
    <w:rsid w:val="002F76D8"/>
    <w:rsid w:val="002F76FC"/>
    <w:rsid w:val="002F7757"/>
    <w:rsid w:val="002F78A1"/>
    <w:rsid w:val="002F7A21"/>
    <w:rsid w:val="002F7A48"/>
    <w:rsid w:val="002F7A9A"/>
    <w:rsid w:val="002F7AF5"/>
    <w:rsid w:val="002F7B8A"/>
    <w:rsid w:val="002F7CA0"/>
    <w:rsid w:val="002F7D18"/>
    <w:rsid w:val="002F7E08"/>
    <w:rsid w:val="002F7E76"/>
    <w:rsid w:val="002F7F49"/>
    <w:rsid w:val="002F7F74"/>
    <w:rsid w:val="002F7F88"/>
    <w:rsid w:val="003000AF"/>
    <w:rsid w:val="00300142"/>
    <w:rsid w:val="003002DF"/>
    <w:rsid w:val="00300384"/>
    <w:rsid w:val="0030044B"/>
    <w:rsid w:val="003004C7"/>
    <w:rsid w:val="00300508"/>
    <w:rsid w:val="003005F9"/>
    <w:rsid w:val="00300657"/>
    <w:rsid w:val="00300688"/>
    <w:rsid w:val="00300733"/>
    <w:rsid w:val="00300743"/>
    <w:rsid w:val="0030074B"/>
    <w:rsid w:val="003007E5"/>
    <w:rsid w:val="003008D0"/>
    <w:rsid w:val="00300B80"/>
    <w:rsid w:val="00300B94"/>
    <w:rsid w:val="00300BD1"/>
    <w:rsid w:val="00300C19"/>
    <w:rsid w:val="00300D5E"/>
    <w:rsid w:val="00300DD1"/>
    <w:rsid w:val="00300E7B"/>
    <w:rsid w:val="00300EAC"/>
    <w:rsid w:val="00301206"/>
    <w:rsid w:val="00301264"/>
    <w:rsid w:val="003013DB"/>
    <w:rsid w:val="00301525"/>
    <w:rsid w:val="003015A7"/>
    <w:rsid w:val="003015EC"/>
    <w:rsid w:val="00301606"/>
    <w:rsid w:val="00301702"/>
    <w:rsid w:val="0030176F"/>
    <w:rsid w:val="003018C0"/>
    <w:rsid w:val="003018D0"/>
    <w:rsid w:val="00301A8B"/>
    <w:rsid w:val="00301B1A"/>
    <w:rsid w:val="00301B2A"/>
    <w:rsid w:val="00301B2C"/>
    <w:rsid w:val="00301BE6"/>
    <w:rsid w:val="00301C3F"/>
    <w:rsid w:val="00301CC9"/>
    <w:rsid w:val="00301E5F"/>
    <w:rsid w:val="00301EA8"/>
    <w:rsid w:val="00301ECE"/>
    <w:rsid w:val="00301F39"/>
    <w:rsid w:val="00302012"/>
    <w:rsid w:val="003021AA"/>
    <w:rsid w:val="003022D2"/>
    <w:rsid w:val="00302399"/>
    <w:rsid w:val="0030239C"/>
    <w:rsid w:val="003023CC"/>
    <w:rsid w:val="003024D7"/>
    <w:rsid w:val="003024FF"/>
    <w:rsid w:val="00302595"/>
    <w:rsid w:val="00302596"/>
    <w:rsid w:val="00302749"/>
    <w:rsid w:val="0030274E"/>
    <w:rsid w:val="003027F3"/>
    <w:rsid w:val="00302A76"/>
    <w:rsid w:val="00302ACC"/>
    <w:rsid w:val="00302B4C"/>
    <w:rsid w:val="00302B6A"/>
    <w:rsid w:val="00302B7E"/>
    <w:rsid w:val="00302B91"/>
    <w:rsid w:val="00302BC4"/>
    <w:rsid w:val="003030F2"/>
    <w:rsid w:val="00303128"/>
    <w:rsid w:val="0030319A"/>
    <w:rsid w:val="003031B5"/>
    <w:rsid w:val="00303272"/>
    <w:rsid w:val="003033C7"/>
    <w:rsid w:val="00303401"/>
    <w:rsid w:val="0030341E"/>
    <w:rsid w:val="003034D0"/>
    <w:rsid w:val="0030359B"/>
    <w:rsid w:val="0030360A"/>
    <w:rsid w:val="003036B4"/>
    <w:rsid w:val="003036D0"/>
    <w:rsid w:val="003038B1"/>
    <w:rsid w:val="003039D5"/>
    <w:rsid w:val="00303B24"/>
    <w:rsid w:val="00303B39"/>
    <w:rsid w:val="00303B68"/>
    <w:rsid w:val="00303BF2"/>
    <w:rsid w:val="00303C5C"/>
    <w:rsid w:val="00303CA9"/>
    <w:rsid w:val="00303DEF"/>
    <w:rsid w:val="00303E0D"/>
    <w:rsid w:val="00303E2B"/>
    <w:rsid w:val="00303ED3"/>
    <w:rsid w:val="00303EF1"/>
    <w:rsid w:val="00303F22"/>
    <w:rsid w:val="00303F50"/>
    <w:rsid w:val="00303F5D"/>
    <w:rsid w:val="00303FB1"/>
    <w:rsid w:val="0030406E"/>
    <w:rsid w:val="00304087"/>
    <w:rsid w:val="003040CD"/>
    <w:rsid w:val="00304194"/>
    <w:rsid w:val="00304197"/>
    <w:rsid w:val="003041A5"/>
    <w:rsid w:val="003041EF"/>
    <w:rsid w:val="0030423C"/>
    <w:rsid w:val="003043A0"/>
    <w:rsid w:val="003043CC"/>
    <w:rsid w:val="00304487"/>
    <w:rsid w:val="0030450F"/>
    <w:rsid w:val="00304539"/>
    <w:rsid w:val="0030467C"/>
    <w:rsid w:val="00304707"/>
    <w:rsid w:val="00304715"/>
    <w:rsid w:val="0030472E"/>
    <w:rsid w:val="00304798"/>
    <w:rsid w:val="0030480E"/>
    <w:rsid w:val="00304866"/>
    <w:rsid w:val="0030492F"/>
    <w:rsid w:val="003049E1"/>
    <w:rsid w:val="00304B61"/>
    <w:rsid w:val="00304B91"/>
    <w:rsid w:val="00304CC4"/>
    <w:rsid w:val="00304DD0"/>
    <w:rsid w:val="00304E9F"/>
    <w:rsid w:val="00304EB2"/>
    <w:rsid w:val="00304F05"/>
    <w:rsid w:val="00304F25"/>
    <w:rsid w:val="00304F6D"/>
    <w:rsid w:val="003050B7"/>
    <w:rsid w:val="00305106"/>
    <w:rsid w:val="00305115"/>
    <w:rsid w:val="003051E6"/>
    <w:rsid w:val="00305247"/>
    <w:rsid w:val="00305256"/>
    <w:rsid w:val="003052B7"/>
    <w:rsid w:val="003053F4"/>
    <w:rsid w:val="003053FF"/>
    <w:rsid w:val="00305473"/>
    <w:rsid w:val="003054AC"/>
    <w:rsid w:val="0030552F"/>
    <w:rsid w:val="0030553D"/>
    <w:rsid w:val="003055BF"/>
    <w:rsid w:val="003055D2"/>
    <w:rsid w:val="00305668"/>
    <w:rsid w:val="0030567E"/>
    <w:rsid w:val="003056F2"/>
    <w:rsid w:val="003056FF"/>
    <w:rsid w:val="00305769"/>
    <w:rsid w:val="003057CC"/>
    <w:rsid w:val="0030580E"/>
    <w:rsid w:val="00305937"/>
    <w:rsid w:val="00305ACD"/>
    <w:rsid w:val="00305C2B"/>
    <w:rsid w:val="00305C36"/>
    <w:rsid w:val="00305C53"/>
    <w:rsid w:val="00305F1F"/>
    <w:rsid w:val="00306063"/>
    <w:rsid w:val="003062EF"/>
    <w:rsid w:val="0030632C"/>
    <w:rsid w:val="003063CE"/>
    <w:rsid w:val="00306455"/>
    <w:rsid w:val="00306515"/>
    <w:rsid w:val="0030659A"/>
    <w:rsid w:val="003066CE"/>
    <w:rsid w:val="00306787"/>
    <w:rsid w:val="003067CA"/>
    <w:rsid w:val="003067E3"/>
    <w:rsid w:val="003068C0"/>
    <w:rsid w:val="003068C7"/>
    <w:rsid w:val="00306902"/>
    <w:rsid w:val="00306A6A"/>
    <w:rsid w:val="00306B4E"/>
    <w:rsid w:val="00306B69"/>
    <w:rsid w:val="00306B78"/>
    <w:rsid w:val="00306BAC"/>
    <w:rsid w:val="00306BB7"/>
    <w:rsid w:val="00306C0B"/>
    <w:rsid w:val="00306CEC"/>
    <w:rsid w:val="00306DC0"/>
    <w:rsid w:val="00306DD2"/>
    <w:rsid w:val="00306E7E"/>
    <w:rsid w:val="00306EFD"/>
    <w:rsid w:val="00306FEE"/>
    <w:rsid w:val="003070BF"/>
    <w:rsid w:val="00307147"/>
    <w:rsid w:val="0030736E"/>
    <w:rsid w:val="003073FA"/>
    <w:rsid w:val="0030740F"/>
    <w:rsid w:val="0030742D"/>
    <w:rsid w:val="00307465"/>
    <w:rsid w:val="003074B3"/>
    <w:rsid w:val="003074C8"/>
    <w:rsid w:val="00307548"/>
    <w:rsid w:val="003077D5"/>
    <w:rsid w:val="003077E2"/>
    <w:rsid w:val="0030783F"/>
    <w:rsid w:val="00307841"/>
    <w:rsid w:val="00307887"/>
    <w:rsid w:val="00307950"/>
    <w:rsid w:val="00307955"/>
    <w:rsid w:val="0030799F"/>
    <w:rsid w:val="003079BA"/>
    <w:rsid w:val="003079FD"/>
    <w:rsid w:val="00307A8F"/>
    <w:rsid w:val="00307B49"/>
    <w:rsid w:val="00307B69"/>
    <w:rsid w:val="00307BDA"/>
    <w:rsid w:val="00307BE2"/>
    <w:rsid w:val="00307C1D"/>
    <w:rsid w:val="00307D86"/>
    <w:rsid w:val="00307DA3"/>
    <w:rsid w:val="00307DF8"/>
    <w:rsid w:val="00307E19"/>
    <w:rsid w:val="00307E86"/>
    <w:rsid w:val="00307FC0"/>
    <w:rsid w:val="00310377"/>
    <w:rsid w:val="00310411"/>
    <w:rsid w:val="003104CA"/>
    <w:rsid w:val="00310563"/>
    <w:rsid w:val="00310608"/>
    <w:rsid w:val="0031061B"/>
    <w:rsid w:val="00310680"/>
    <w:rsid w:val="0031069E"/>
    <w:rsid w:val="003107EB"/>
    <w:rsid w:val="00310831"/>
    <w:rsid w:val="00310956"/>
    <w:rsid w:val="00310A17"/>
    <w:rsid w:val="00310B56"/>
    <w:rsid w:val="00310B8D"/>
    <w:rsid w:val="00310C1A"/>
    <w:rsid w:val="00310CB5"/>
    <w:rsid w:val="00310CEB"/>
    <w:rsid w:val="00310D04"/>
    <w:rsid w:val="00310DF0"/>
    <w:rsid w:val="00310EDE"/>
    <w:rsid w:val="003110DA"/>
    <w:rsid w:val="0031140C"/>
    <w:rsid w:val="00311421"/>
    <w:rsid w:val="00311500"/>
    <w:rsid w:val="0031153E"/>
    <w:rsid w:val="003115B7"/>
    <w:rsid w:val="003116C2"/>
    <w:rsid w:val="0031170B"/>
    <w:rsid w:val="00311744"/>
    <w:rsid w:val="0031178B"/>
    <w:rsid w:val="003117DD"/>
    <w:rsid w:val="0031180C"/>
    <w:rsid w:val="00311A1D"/>
    <w:rsid w:val="00311AD3"/>
    <w:rsid w:val="00311B04"/>
    <w:rsid w:val="00311B76"/>
    <w:rsid w:val="00311D67"/>
    <w:rsid w:val="00311DF5"/>
    <w:rsid w:val="00311E12"/>
    <w:rsid w:val="00311E13"/>
    <w:rsid w:val="00311E7B"/>
    <w:rsid w:val="00311F08"/>
    <w:rsid w:val="00311F95"/>
    <w:rsid w:val="00312092"/>
    <w:rsid w:val="003121E7"/>
    <w:rsid w:val="003122A1"/>
    <w:rsid w:val="0031236E"/>
    <w:rsid w:val="00312479"/>
    <w:rsid w:val="00312485"/>
    <w:rsid w:val="003124F8"/>
    <w:rsid w:val="0031255F"/>
    <w:rsid w:val="00312609"/>
    <w:rsid w:val="0031263F"/>
    <w:rsid w:val="00312691"/>
    <w:rsid w:val="00312766"/>
    <w:rsid w:val="0031277B"/>
    <w:rsid w:val="0031280A"/>
    <w:rsid w:val="0031282D"/>
    <w:rsid w:val="003128EA"/>
    <w:rsid w:val="003128EE"/>
    <w:rsid w:val="0031296D"/>
    <w:rsid w:val="00312974"/>
    <w:rsid w:val="00312998"/>
    <w:rsid w:val="003129B0"/>
    <w:rsid w:val="00312A5C"/>
    <w:rsid w:val="00312A64"/>
    <w:rsid w:val="00312AAB"/>
    <w:rsid w:val="00312AAE"/>
    <w:rsid w:val="00312AC5"/>
    <w:rsid w:val="00312AD8"/>
    <w:rsid w:val="00312B47"/>
    <w:rsid w:val="00312B52"/>
    <w:rsid w:val="00312C04"/>
    <w:rsid w:val="00312C2F"/>
    <w:rsid w:val="00312CBD"/>
    <w:rsid w:val="00312DD5"/>
    <w:rsid w:val="00312E50"/>
    <w:rsid w:val="00312E69"/>
    <w:rsid w:val="00312F84"/>
    <w:rsid w:val="003130FB"/>
    <w:rsid w:val="0031343D"/>
    <w:rsid w:val="003134A8"/>
    <w:rsid w:val="0031350A"/>
    <w:rsid w:val="00313549"/>
    <w:rsid w:val="003135A3"/>
    <w:rsid w:val="003135F2"/>
    <w:rsid w:val="00313675"/>
    <w:rsid w:val="00313797"/>
    <w:rsid w:val="003137BB"/>
    <w:rsid w:val="00313836"/>
    <w:rsid w:val="0031383C"/>
    <w:rsid w:val="00313A06"/>
    <w:rsid w:val="00313AF0"/>
    <w:rsid w:val="00313B78"/>
    <w:rsid w:val="00313D23"/>
    <w:rsid w:val="00313D74"/>
    <w:rsid w:val="00313D85"/>
    <w:rsid w:val="00313D87"/>
    <w:rsid w:val="00313EE2"/>
    <w:rsid w:val="0031409F"/>
    <w:rsid w:val="00314281"/>
    <w:rsid w:val="00314369"/>
    <w:rsid w:val="00314390"/>
    <w:rsid w:val="003145E4"/>
    <w:rsid w:val="00314803"/>
    <w:rsid w:val="00314905"/>
    <w:rsid w:val="003149EA"/>
    <w:rsid w:val="003149F2"/>
    <w:rsid w:val="00314A19"/>
    <w:rsid w:val="00314B19"/>
    <w:rsid w:val="00314BDA"/>
    <w:rsid w:val="00314C51"/>
    <w:rsid w:val="00314CC0"/>
    <w:rsid w:val="00314D01"/>
    <w:rsid w:val="00314D23"/>
    <w:rsid w:val="00314DA7"/>
    <w:rsid w:val="00314DEE"/>
    <w:rsid w:val="00314E28"/>
    <w:rsid w:val="00314E31"/>
    <w:rsid w:val="00314E61"/>
    <w:rsid w:val="00314F8A"/>
    <w:rsid w:val="00314F92"/>
    <w:rsid w:val="00314FD2"/>
    <w:rsid w:val="00314FEF"/>
    <w:rsid w:val="00315066"/>
    <w:rsid w:val="00315178"/>
    <w:rsid w:val="003153D3"/>
    <w:rsid w:val="003153D6"/>
    <w:rsid w:val="0031554C"/>
    <w:rsid w:val="0031555F"/>
    <w:rsid w:val="00315590"/>
    <w:rsid w:val="0031567F"/>
    <w:rsid w:val="00315796"/>
    <w:rsid w:val="003157BE"/>
    <w:rsid w:val="00315875"/>
    <w:rsid w:val="00315B49"/>
    <w:rsid w:val="00315BC2"/>
    <w:rsid w:val="00315BE2"/>
    <w:rsid w:val="00315E42"/>
    <w:rsid w:val="00315E51"/>
    <w:rsid w:val="00315E8F"/>
    <w:rsid w:val="00315FC6"/>
    <w:rsid w:val="0031600D"/>
    <w:rsid w:val="00316086"/>
    <w:rsid w:val="003161B2"/>
    <w:rsid w:val="003161DB"/>
    <w:rsid w:val="0031637C"/>
    <w:rsid w:val="003163B2"/>
    <w:rsid w:val="003163DC"/>
    <w:rsid w:val="003163F1"/>
    <w:rsid w:val="00316433"/>
    <w:rsid w:val="0031649C"/>
    <w:rsid w:val="003164BF"/>
    <w:rsid w:val="00316529"/>
    <w:rsid w:val="00316532"/>
    <w:rsid w:val="00316549"/>
    <w:rsid w:val="0031669F"/>
    <w:rsid w:val="003166A2"/>
    <w:rsid w:val="0031679B"/>
    <w:rsid w:val="00316816"/>
    <w:rsid w:val="00316864"/>
    <w:rsid w:val="00316905"/>
    <w:rsid w:val="00316911"/>
    <w:rsid w:val="00316988"/>
    <w:rsid w:val="00316A14"/>
    <w:rsid w:val="00316B7D"/>
    <w:rsid w:val="00316CD0"/>
    <w:rsid w:val="00316CFA"/>
    <w:rsid w:val="00316D09"/>
    <w:rsid w:val="00316DC5"/>
    <w:rsid w:val="00316E32"/>
    <w:rsid w:val="00316F39"/>
    <w:rsid w:val="00316F5B"/>
    <w:rsid w:val="003170A2"/>
    <w:rsid w:val="003170E4"/>
    <w:rsid w:val="00317101"/>
    <w:rsid w:val="00317216"/>
    <w:rsid w:val="00317267"/>
    <w:rsid w:val="00317288"/>
    <w:rsid w:val="0031731D"/>
    <w:rsid w:val="0031741E"/>
    <w:rsid w:val="00317430"/>
    <w:rsid w:val="0031744E"/>
    <w:rsid w:val="003174B1"/>
    <w:rsid w:val="0031756C"/>
    <w:rsid w:val="0031782A"/>
    <w:rsid w:val="00317904"/>
    <w:rsid w:val="00317A4C"/>
    <w:rsid w:val="00317BB5"/>
    <w:rsid w:val="00317C0E"/>
    <w:rsid w:val="00317C2A"/>
    <w:rsid w:val="00317CA7"/>
    <w:rsid w:val="00317DED"/>
    <w:rsid w:val="00317E11"/>
    <w:rsid w:val="00317F95"/>
    <w:rsid w:val="00317FAC"/>
    <w:rsid w:val="00318B6F"/>
    <w:rsid w:val="003201B6"/>
    <w:rsid w:val="003201D2"/>
    <w:rsid w:val="003201E2"/>
    <w:rsid w:val="00320266"/>
    <w:rsid w:val="003202EB"/>
    <w:rsid w:val="0032049E"/>
    <w:rsid w:val="00320580"/>
    <w:rsid w:val="0032064C"/>
    <w:rsid w:val="003206B7"/>
    <w:rsid w:val="003206D3"/>
    <w:rsid w:val="003207C5"/>
    <w:rsid w:val="0032081E"/>
    <w:rsid w:val="0032086E"/>
    <w:rsid w:val="003208C1"/>
    <w:rsid w:val="00320A6C"/>
    <w:rsid w:val="00320AB3"/>
    <w:rsid w:val="00320BF8"/>
    <w:rsid w:val="00320C10"/>
    <w:rsid w:val="00320C14"/>
    <w:rsid w:val="00320CA7"/>
    <w:rsid w:val="00320D7E"/>
    <w:rsid w:val="00320DD2"/>
    <w:rsid w:val="00320E95"/>
    <w:rsid w:val="00320EB8"/>
    <w:rsid w:val="00320F76"/>
    <w:rsid w:val="00321082"/>
    <w:rsid w:val="0032129D"/>
    <w:rsid w:val="003212C9"/>
    <w:rsid w:val="003213B5"/>
    <w:rsid w:val="00321468"/>
    <w:rsid w:val="0032146E"/>
    <w:rsid w:val="003214AE"/>
    <w:rsid w:val="00321531"/>
    <w:rsid w:val="003215A0"/>
    <w:rsid w:val="0032169A"/>
    <w:rsid w:val="003218D3"/>
    <w:rsid w:val="00321940"/>
    <w:rsid w:val="003219A0"/>
    <w:rsid w:val="003219B4"/>
    <w:rsid w:val="00321A5C"/>
    <w:rsid w:val="00321A97"/>
    <w:rsid w:val="00321AA6"/>
    <w:rsid w:val="00321BA6"/>
    <w:rsid w:val="00321BDE"/>
    <w:rsid w:val="00321C5C"/>
    <w:rsid w:val="00321CDB"/>
    <w:rsid w:val="00321D3A"/>
    <w:rsid w:val="00321E1A"/>
    <w:rsid w:val="00321E74"/>
    <w:rsid w:val="00321F24"/>
    <w:rsid w:val="00321F75"/>
    <w:rsid w:val="00321FEB"/>
    <w:rsid w:val="00322026"/>
    <w:rsid w:val="00322028"/>
    <w:rsid w:val="00322105"/>
    <w:rsid w:val="00322187"/>
    <w:rsid w:val="003221C1"/>
    <w:rsid w:val="003221CA"/>
    <w:rsid w:val="003222B8"/>
    <w:rsid w:val="003222CE"/>
    <w:rsid w:val="00322302"/>
    <w:rsid w:val="00322359"/>
    <w:rsid w:val="003224C6"/>
    <w:rsid w:val="00322524"/>
    <w:rsid w:val="0032255E"/>
    <w:rsid w:val="00322628"/>
    <w:rsid w:val="0032263C"/>
    <w:rsid w:val="00322767"/>
    <w:rsid w:val="0032277B"/>
    <w:rsid w:val="00322795"/>
    <w:rsid w:val="00322799"/>
    <w:rsid w:val="0032282C"/>
    <w:rsid w:val="00322993"/>
    <w:rsid w:val="00322AC6"/>
    <w:rsid w:val="00322C8D"/>
    <w:rsid w:val="00322CC7"/>
    <w:rsid w:val="00322D5D"/>
    <w:rsid w:val="00322DB6"/>
    <w:rsid w:val="00322E30"/>
    <w:rsid w:val="00322E8E"/>
    <w:rsid w:val="00322ED4"/>
    <w:rsid w:val="00322F20"/>
    <w:rsid w:val="00322FB8"/>
    <w:rsid w:val="00322FD6"/>
    <w:rsid w:val="00323068"/>
    <w:rsid w:val="00323253"/>
    <w:rsid w:val="003232AB"/>
    <w:rsid w:val="003232C9"/>
    <w:rsid w:val="00323419"/>
    <w:rsid w:val="0032344A"/>
    <w:rsid w:val="0032346E"/>
    <w:rsid w:val="003234A8"/>
    <w:rsid w:val="003234C4"/>
    <w:rsid w:val="0032359A"/>
    <w:rsid w:val="0032365E"/>
    <w:rsid w:val="003236BE"/>
    <w:rsid w:val="00323780"/>
    <w:rsid w:val="00323798"/>
    <w:rsid w:val="003237A0"/>
    <w:rsid w:val="003238A2"/>
    <w:rsid w:val="003239F5"/>
    <w:rsid w:val="00323A5B"/>
    <w:rsid w:val="00323A69"/>
    <w:rsid w:val="00323B09"/>
    <w:rsid w:val="00323B1A"/>
    <w:rsid w:val="00323B5D"/>
    <w:rsid w:val="00323BE2"/>
    <w:rsid w:val="00323BE4"/>
    <w:rsid w:val="00323C03"/>
    <w:rsid w:val="00323E61"/>
    <w:rsid w:val="00323ED3"/>
    <w:rsid w:val="00323EF2"/>
    <w:rsid w:val="00324002"/>
    <w:rsid w:val="0032406A"/>
    <w:rsid w:val="0032412A"/>
    <w:rsid w:val="003241B5"/>
    <w:rsid w:val="00324205"/>
    <w:rsid w:val="00324225"/>
    <w:rsid w:val="0032426B"/>
    <w:rsid w:val="003242AF"/>
    <w:rsid w:val="00324323"/>
    <w:rsid w:val="00324374"/>
    <w:rsid w:val="003243FF"/>
    <w:rsid w:val="00324520"/>
    <w:rsid w:val="00324569"/>
    <w:rsid w:val="00324573"/>
    <w:rsid w:val="00324669"/>
    <w:rsid w:val="0032468A"/>
    <w:rsid w:val="00324692"/>
    <w:rsid w:val="00324778"/>
    <w:rsid w:val="0032482E"/>
    <w:rsid w:val="003248C9"/>
    <w:rsid w:val="0032492A"/>
    <w:rsid w:val="00324BF6"/>
    <w:rsid w:val="00324C7B"/>
    <w:rsid w:val="00324CC6"/>
    <w:rsid w:val="00324D21"/>
    <w:rsid w:val="00324D9C"/>
    <w:rsid w:val="00324DE5"/>
    <w:rsid w:val="00324F31"/>
    <w:rsid w:val="0032504E"/>
    <w:rsid w:val="003250B5"/>
    <w:rsid w:val="00325123"/>
    <w:rsid w:val="00325274"/>
    <w:rsid w:val="00325319"/>
    <w:rsid w:val="00325360"/>
    <w:rsid w:val="0032540F"/>
    <w:rsid w:val="00325530"/>
    <w:rsid w:val="0032568E"/>
    <w:rsid w:val="00325714"/>
    <w:rsid w:val="00325748"/>
    <w:rsid w:val="00325782"/>
    <w:rsid w:val="0032581A"/>
    <w:rsid w:val="003258EA"/>
    <w:rsid w:val="00325912"/>
    <w:rsid w:val="00325942"/>
    <w:rsid w:val="00325B0F"/>
    <w:rsid w:val="00325CF8"/>
    <w:rsid w:val="00325D5E"/>
    <w:rsid w:val="00325DA5"/>
    <w:rsid w:val="00325DED"/>
    <w:rsid w:val="00325E06"/>
    <w:rsid w:val="00325EC5"/>
    <w:rsid w:val="00325F55"/>
    <w:rsid w:val="00325F7E"/>
    <w:rsid w:val="00326018"/>
    <w:rsid w:val="0032602D"/>
    <w:rsid w:val="00326057"/>
    <w:rsid w:val="003260C8"/>
    <w:rsid w:val="003261C4"/>
    <w:rsid w:val="00326214"/>
    <w:rsid w:val="00326265"/>
    <w:rsid w:val="00326327"/>
    <w:rsid w:val="00326383"/>
    <w:rsid w:val="00326526"/>
    <w:rsid w:val="00326586"/>
    <w:rsid w:val="003265B6"/>
    <w:rsid w:val="0032684F"/>
    <w:rsid w:val="00326896"/>
    <w:rsid w:val="0032689A"/>
    <w:rsid w:val="0032689E"/>
    <w:rsid w:val="0032698B"/>
    <w:rsid w:val="003269DD"/>
    <w:rsid w:val="003269FF"/>
    <w:rsid w:val="00326A24"/>
    <w:rsid w:val="00326A58"/>
    <w:rsid w:val="00326A5B"/>
    <w:rsid w:val="00326B0F"/>
    <w:rsid w:val="00326BED"/>
    <w:rsid w:val="00326C81"/>
    <w:rsid w:val="00326CBA"/>
    <w:rsid w:val="00326E85"/>
    <w:rsid w:val="00326EF0"/>
    <w:rsid w:val="0032700C"/>
    <w:rsid w:val="003273E9"/>
    <w:rsid w:val="003273EE"/>
    <w:rsid w:val="0032740E"/>
    <w:rsid w:val="00327424"/>
    <w:rsid w:val="0032763D"/>
    <w:rsid w:val="0032769B"/>
    <w:rsid w:val="003276EA"/>
    <w:rsid w:val="00327748"/>
    <w:rsid w:val="0032776E"/>
    <w:rsid w:val="003277E8"/>
    <w:rsid w:val="00327839"/>
    <w:rsid w:val="00327842"/>
    <w:rsid w:val="003278F5"/>
    <w:rsid w:val="003279B8"/>
    <w:rsid w:val="00327B6E"/>
    <w:rsid w:val="00327B93"/>
    <w:rsid w:val="00327CAA"/>
    <w:rsid w:val="00327FD0"/>
    <w:rsid w:val="00327FEC"/>
    <w:rsid w:val="00330080"/>
    <w:rsid w:val="003300B6"/>
    <w:rsid w:val="0033016C"/>
    <w:rsid w:val="0033026C"/>
    <w:rsid w:val="00330277"/>
    <w:rsid w:val="0033027E"/>
    <w:rsid w:val="00330325"/>
    <w:rsid w:val="00330393"/>
    <w:rsid w:val="0033042C"/>
    <w:rsid w:val="003304BB"/>
    <w:rsid w:val="00330568"/>
    <w:rsid w:val="00330569"/>
    <w:rsid w:val="003305B6"/>
    <w:rsid w:val="0033067A"/>
    <w:rsid w:val="00330810"/>
    <w:rsid w:val="0033087E"/>
    <w:rsid w:val="0033094A"/>
    <w:rsid w:val="0033098A"/>
    <w:rsid w:val="00330997"/>
    <w:rsid w:val="00330AC2"/>
    <w:rsid w:val="00330AD3"/>
    <w:rsid w:val="00330B35"/>
    <w:rsid w:val="00330B6F"/>
    <w:rsid w:val="00330C0C"/>
    <w:rsid w:val="00330C5F"/>
    <w:rsid w:val="00330C63"/>
    <w:rsid w:val="00330D6F"/>
    <w:rsid w:val="00330EE4"/>
    <w:rsid w:val="00330EEA"/>
    <w:rsid w:val="00330F24"/>
    <w:rsid w:val="00330F5D"/>
    <w:rsid w:val="00330FA1"/>
    <w:rsid w:val="00330FCD"/>
    <w:rsid w:val="00331013"/>
    <w:rsid w:val="00331037"/>
    <w:rsid w:val="00331061"/>
    <w:rsid w:val="00331089"/>
    <w:rsid w:val="00331210"/>
    <w:rsid w:val="00331225"/>
    <w:rsid w:val="0033125E"/>
    <w:rsid w:val="00331305"/>
    <w:rsid w:val="0033137E"/>
    <w:rsid w:val="00331471"/>
    <w:rsid w:val="0033154B"/>
    <w:rsid w:val="00331557"/>
    <w:rsid w:val="003316C7"/>
    <w:rsid w:val="00331753"/>
    <w:rsid w:val="00331903"/>
    <w:rsid w:val="00331AC0"/>
    <w:rsid w:val="00331AC4"/>
    <w:rsid w:val="00331AF0"/>
    <w:rsid w:val="00331BD8"/>
    <w:rsid w:val="00331CD0"/>
    <w:rsid w:val="00331D08"/>
    <w:rsid w:val="00331D80"/>
    <w:rsid w:val="00331DBD"/>
    <w:rsid w:val="00331E30"/>
    <w:rsid w:val="00331E57"/>
    <w:rsid w:val="00331E60"/>
    <w:rsid w:val="00331E7C"/>
    <w:rsid w:val="00331E98"/>
    <w:rsid w:val="00331FAB"/>
    <w:rsid w:val="00332095"/>
    <w:rsid w:val="00332142"/>
    <w:rsid w:val="0033222F"/>
    <w:rsid w:val="00332299"/>
    <w:rsid w:val="003323FD"/>
    <w:rsid w:val="00332645"/>
    <w:rsid w:val="003326A3"/>
    <w:rsid w:val="003326EF"/>
    <w:rsid w:val="0033271A"/>
    <w:rsid w:val="0033284D"/>
    <w:rsid w:val="00332888"/>
    <w:rsid w:val="00332890"/>
    <w:rsid w:val="003328E5"/>
    <w:rsid w:val="00332939"/>
    <w:rsid w:val="00332A2A"/>
    <w:rsid w:val="00332BF6"/>
    <w:rsid w:val="00332C05"/>
    <w:rsid w:val="00332E89"/>
    <w:rsid w:val="00332EB4"/>
    <w:rsid w:val="00332F91"/>
    <w:rsid w:val="00332F98"/>
    <w:rsid w:val="00332FB6"/>
    <w:rsid w:val="0033301C"/>
    <w:rsid w:val="00333030"/>
    <w:rsid w:val="0033303A"/>
    <w:rsid w:val="00333073"/>
    <w:rsid w:val="003331A8"/>
    <w:rsid w:val="00333232"/>
    <w:rsid w:val="00333412"/>
    <w:rsid w:val="00333465"/>
    <w:rsid w:val="00333505"/>
    <w:rsid w:val="00333592"/>
    <w:rsid w:val="00333724"/>
    <w:rsid w:val="00333743"/>
    <w:rsid w:val="0033375B"/>
    <w:rsid w:val="0033380D"/>
    <w:rsid w:val="0033387B"/>
    <w:rsid w:val="003339C4"/>
    <w:rsid w:val="003339F2"/>
    <w:rsid w:val="003339F6"/>
    <w:rsid w:val="00333A09"/>
    <w:rsid w:val="00333A0B"/>
    <w:rsid w:val="00333A11"/>
    <w:rsid w:val="00333AFC"/>
    <w:rsid w:val="00333B8F"/>
    <w:rsid w:val="00333BF4"/>
    <w:rsid w:val="00333C01"/>
    <w:rsid w:val="00333C46"/>
    <w:rsid w:val="00333CFD"/>
    <w:rsid w:val="00333D3B"/>
    <w:rsid w:val="00333D78"/>
    <w:rsid w:val="00333DBE"/>
    <w:rsid w:val="00333DC0"/>
    <w:rsid w:val="00333EBC"/>
    <w:rsid w:val="00333F86"/>
    <w:rsid w:val="00333F9B"/>
    <w:rsid w:val="0033402F"/>
    <w:rsid w:val="00334043"/>
    <w:rsid w:val="003340D5"/>
    <w:rsid w:val="00334127"/>
    <w:rsid w:val="003341FA"/>
    <w:rsid w:val="00334203"/>
    <w:rsid w:val="003342B4"/>
    <w:rsid w:val="00334354"/>
    <w:rsid w:val="0033438E"/>
    <w:rsid w:val="003343A9"/>
    <w:rsid w:val="003343DF"/>
    <w:rsid w:val="003344C3"/>
    <w:rsid w:val="0033450A"/>
    <w:rsid w:val="003345B5"/>
    <w:rsid w:val="0033460F"/>
    <w:rsid w:val="00334679"/>
    <w:rsid w:val="00334780"/>
    <w:rsid w:val="003347DA"/>
    <w:rsid w:val="00334823"/>
    <w:rsid w:val="00334862"/>
    <w:rsid w:val="0033488B"/>
    <w:rsid w:val="003348A0"/>
    <w:rsid w:val="003348A7"/>
    <w:rsid w:val="003349F1"/>
    <w:rsid w:val="00334A48"/>
    <w:rsid w:val="00334A90"/>
    <w:rsid w:val="00334BB0"/>
    <w:rsid w:val="00334BB9"/>
    <w:rsid w:val="00334C2D"/>
    <w:rsid w:val="00334C90"/>
    <w:rsid w:val="00334D86"/>
    <w:rsid w:val="00334E11"/>
    <w:rsid w:val="00334E1E"/>
    <w:rsid w:val="00334E97"/>
    <w:rsid w:val="00334E99"/>
    <w:rsid w:val="00334FA0"/>
    <w:rsid w:val="00334FF0"/>
    <w:rsid w:val="00335008"/>
    <w:rsid w:val="0033508B"/>
    <w:rsid w:val="003350BD"/>
    <w:rsid w:val="00335108"/>
    <w:rsid w:val="00335446"/>
    <w:rsid w:val="00335474"/>
    <w:rsid w:val="0033550F"/>
    <w:rsid w:val="00335545"/>
    <w:rsid w:val="00335571"/>
    <w:rsid w:val="0033559E"/>
    <w:rsid w:val="003355D8"/>
    <w:rsid w:val="003356AC"/>
    <w:rsid w:val="00335817"/>
    <w:rsid w:val="0033583D"/>
    <w:rsid w:val="0033585E"/>
    <w:rsid w:val="00335885"/>
    <w:rsid w:val="003358B4"/>
    <w:rsid w:val="0033591D"/>
    <w:rsid w:val="003359DF"/>
    <w:rsid w:val="00335B12"/>
    <w:rsid w:val="00335B43"/>
    <w:rsid w:val="00335B65"/>
    <w:rsid w:val="00335BB4"/>
    <w:rsid w:val="00335BC9"/>
    <w:rsid w:val="00335BCE"/>
    <w:rsid w:val="00335BE1"/>
    <w:rsid w:val="00335C36"/>
    <w:rsid w:val="00335DCB"/>
    <w:rsid w:val="00335F14"/>
    <w:rsid w:val="00335F28"/>
    <w:rsid w:val="00335F8E"/>
    <w:rsid w:val="00335FB4"/>
    <w:rsid w:val="00336036"/>
    <w:rsid w:val="003360BF"/>
    <w:rsid w:val="003360E0"/>
    <w:rsid w:val="00336139"/>
    <w:rsid w:val="00336182"/>
    <w:rsid w:val="003361B2"/>
    <w:rsid w:val="0033625D"/>
    <w:rsid w:val="003364ED"/>
    <w:rsid w:val="003366DE"/>
    <w:rsid w:val="003367BD"/>
    <w:rsid w:val="00336821"/>
    <w:rsid w:val="00336872"/>
    <w:rsid w:val="003368B5"/>
    <w:rsid w:val="00336A1F"/>
    <w:rsid w:val="00336B23"/>
    <w:rsid w:val="00336C6F"/>
    <w:rsid w:val="00336C88"/>
    <w:rsid w:val="00336E03"/>
    <w:rsid w:val="00336E24"/>
    <w:rsid w:val="00336E69"/>
    <w:rsid w:val="00336F7B"/>
    <w:rsid w:val="003370A1"/>
    <w:rsid w:val="00337180"/>
    <w:rsid w:val="00337187"/>
    <w:rsid w:val="00337247"/>
    <w:rsid w:val="0033734E"/>
    <w:rsid w:val="0033742B"/>
    <w:rsid w:val="003374F6"/>
    <w:rsid w:val="003375D2"/>
    <w:rsid w:val="003375E9"/>
    <w:rsid w:val="003375F9"/>
    <w:rsid w:val="0033760E"/>
    <w:rsid w:val="003378E6"/>
    <w:rsid w:val="003378F9"/>
    <w:rsid w:val="003379A1"/>
    <w:rsid w:val="00337B9B"/>
    <w:rsid w:val="00337C10"/>
    <w:rsid w:val="00337C70"/>
    <w:rsid w:val="00337D15"/>
    <w:rsid w:val="00337E5C"/>
    <w:rsid w:val="00337F84"/>
    <w:rsid w:val="00337FD4"/>
    <w:rsid w:val="00340054"/>
    <w:rsid w:val="00340064"/>
    <w:rsid w:val="0034010A"/>
    <w:rsid w:val="003402D5"/>
    <w:rsid w:val="003402EF"/>
    <w:rsid w:val="00340312"/>
    <w:rsid w:val="003404F9"/>
    <w:rsid w:val="0034055D"/>
    <w:rsid w:val="003405B5"/>
    <w:rsid w:val="00340681"/>
    <w:rsid w:val="00340686"/>
    <w:rsid w:val="00340823"/>
    <w:rsid w:val="00340837"/>
    <w:rsid w:val="0034084A"/>
    <w:rsid w:val="0034088E"/>
    <w:rsid w:val="003408C9"/>
    <w:rsid w:val="003409E1"/>
    <w:rsid w:val="00340A76"/>
    <w:rsid w:val="00340C6F"/>
    <w:rsid w:val="00340CFD"/>
    <w:rsid w:val="00340E26"/>
    <w:rsid w:val="00340EB5"/>
    <w:rsid w:val="00340EC6"/>
    <w:rsid w:val="00340EF6"/>
    <w:rsid w:val="00340F12"/>
    <w:rsid w:val="00340F3C"/>
    <w:rsid w:val="00340FD8"/>
    <w:rsid w:val="00341157"/>
    <w:rsid w:val="003413D3"/>
    <w:rsid w:val="00341422"/>
    <w:rsid w:val="00341457"/>
    <w:rsid w:val="00341485"/>
    <w:rsid w:val="003414A2"/>
    <w:rsid w:val="003416E0"/>
    <w:rsid w:val="00341772"/>
    <w:rsid w:val="00341778"/>
    <w:rsid w:val="0034179F"/>
    <w:rsid w:val="003417DE"/>
    <w:rsid w:val="003417F5"/>
    <w:rsid w:val="00341910"/>
    <w:rsid w:val="0034198B"/>
    <w:rsid w:val="00341CE2"/>
    <w:rsid w:val="00341D0D"/>
    <w:rsid w:val="00341D6C"/>
    <w:rsid w:val="00341D7B"/>
    <w:rsid w:val="00341E5C"/>
    <w:rsid w:val="00341FEB"/>
    <w:rsid w:val="00342022"/>
    <w:rsid w:val="003420A2"/>
    <w:rsid w:val="00342153"/>
    <w:rsid w:val="00342216"/>
    <w:rsid w:val="00342241"/>
    <w:rsid w:val="0034231C"/>
    <w:rsid w:val="003423C4"/>
    <w:rsid w:val="003424E8"/>
    <w:rsid w:val="003424F1"/>
    <w:rsid w:val="0034253D"/>
    <w:rsid w:val="00342541"/>
    <w:rsid w:val="0034256E"/>
    <w:rsid w:val="00342578"/>
    <w:rsid w:val="00342605"/>
    <w:rsid w:val="003427AC"/>
    <w:rsid w:val="003429FE"/>
    <w:rsid w:val="00342A63"/>
    <w:rsid w:val="00342B45"/>
    <w:rsid w:val="00342BC5"/>
    <w:rsid w:val="00342BD8"/>
    <w:rsid w:val="00342C13"/>
    <w:rsid w:val="00342C37"/>
    <w:rsid w:val="00342E08"/>
    <w:rsid w:val="00342EE3"/>
    <w:rsid w:val="00343040"/>
    <w:rsid w:val="00343139"/>
    <w:rsid w:val="0034316F"/>
    <w:rsid w:val="003431FF"/>
    <w:rsid w:val="003432A3"/>
    <w:rsid w:val="003432C2"/>
    <w:rsid w:val="0034336C"/>
    <w:rsid w:val="00343522"/>
    <w:rsid w:val="00343524"/>
    <w:rsid w:val="0034361A"/>
    <w:rsid w:val="00343628"/>
    <w:rsid w:val="0034370E"/>
    <w:rsid w:val="0034395E"/>
    <w:rsid w:val="003439AF"/>
    <w:rsid w:val="00343A40"/>
    <w:rsid w:val="00343A82"/>
    <w:rsid w:val="00343AB3"/>
    <w:rsid w:val="00343AEA"/>
    <w:rsid w:val="00343B72"/>
    <w:rsid w:val="00343B96"/>
    <w:rsid w:val="00343BBC"/>
    <w:rsid w:val="00343BCC"/>
    <w:rsid w:val="00343C04"/>
    <w:rsid w:val="00343C8B"/>
    <w:rsid w:val="00343EEC"/>
    <w:rsid w:val="00343F1E"/>
    <w:rsid w:val="00343F75"/>
    <w:rsid w:val="00343FD9"/>
    <w:rsid w:val="00343FF4"/>
    <w:rsid w:val="00344018"/>
    <w:rsid w:val="00344036"/>
    <w:rsid w:val="003440DE"/>
    <w:rsid w:val="00344125"/>
    <w:rsid w:val="00344204"/>
    <w:rsid w:val="00344225"/>
    <w:rsid w:val="0034427F"/>
    <w:rsid w:val="003442AD"/>
    <w:rsid w:val="003443A6"/>
    <w:rsid w:val="003443EF"/>
    <w:rsid w:val="00344457"/>
    <w:rsid w:val="00344478"/>
    <w:rsid w:val="00344483"/>
    <w:rsid w:val="0034449F"/>
    <w:rsid w:val="003444FF"/>
    <w:rsid w:val="0034457E"/>
    <w:rsid w:val="003445CE"/>
    <w:rsid w:val="00344742"/>
    <w:rsid w:val="003447BA"/>
    <w:rsid w:val="003448E3"/>
    <w:rsid w:val="003448F1"/>
    <w:rsid w:val="0034490B"/>
    <w:rsid w:val="00344988"/>
    <w:rsid w:val="00344AD5"/>
    <w:rsid w:val="00344C65"/>
    <w:rsid w:val="00344D32"/>
    <w:rsid w:val="00344DDE"/>
    <w:rsid w:val="00344E55"/>
    <w:rsid w:val="00344E63"/>
    <w:rsid w:val="00344F09"/>
    <w:rsid w:val="00344FCC"/>
    <w:rsid w:val="00344FDC"/>
    <w:rsid w:val="003450EF"/>
    <w:rsid w:val="00345138"/>
    <w:rsid w:val="0034513C"/>
    <w:rsid w:val="00345310"/>
    <w:rsid w:val="00345329"/>
    <w:rsid w:val="003453A3"/>
    <w:rsid w:val="00345509"/>
    <w:rsid w:val="00345517"/>
    <w:rsid w:val="003455B1"/>
    <w:rsid w:val="003455C0"/>
    <w:rsid w:val="003455EC"/>
    <w:rsid w:val="00345666"/>
    <w:rsid w:val="003456A5"/>
    <w:rsid w:val="003456AF"/>
    <w:rsid w:val="00345708"/>
    <w:rsid w:val="003459CA"/>
    <w:rsid w:val="00345B57"/>
    <w:rsid w:val="00345BF9"/>
    <w:rsid w:val="00345CE9"/>
    <w:rsid w:val="00345D22"/>
    <w:rsid w:val="00345D40"/>
    <w:rsid w:val="00345E2D"/>
    <w:rsid w:val="00345EA4"/>
    <w:rsid w:val="00346055"/>
    <w:rsid w:val="00346098"/>
    <w:rsid w:val="00346136"/>
    <w:rsid w:val="0034613D"/>
    <w:rsid w:val="00346219"/>
    <w:rsid w:val="0034630A"/>
    <w:rsid w:val="003463F2"/>
    <w:rsid w:val="00346412"/>
    <w:rsid w:val="00346444"/>
    <w:rsid w:val="00346473"/>
    <w:rsid w:val="003465AE"/>
    <w:rsid w:val="003465AF"/>
    <w:rsid w:val="0034661A"/>
    <w:rsid w:val="00346648"/>
    <w:rsid w:val="00346780"/>
    <w:rsid w:val="0034681B"/>
    <w:rsid w:val="0034682A"/>
    <w:rsid w:val="003468E1"/>
    <w:rsid w:val="003468FF"/>
    <w:rsid w:val="0034695A"/>
    <w:rsid w:val="00346B3C"/>
    <w:rsid w:val="00346BB2"/>
    <w:rsid w:val="00346BF6"/>
    <w:rsid w:val="00346C83"/>
    <w:rsid w:val="00346D32"/>
    <w:rsid w:val="00346EC0"/>
    <w:rsid w:val="00346F2E"/>
    <w:rsid w:val="00346F88"/>
    <w:rsid w:val="00347040"/>
    <w:rsid w:val="00347056"/>
    <w:rsid w:val="0034706D"/>
    <w:rsid w:val="003470DE"/>
    <w:rsid w:val="00347353"/>
    <w:rsid w:val="003473FA"/>
    <w:rsid w:val="00347475"/>
    <w:rsid w:val="0034759D"/>
    <w:rsid w:val="003475CA"/>
    <w:rsid w:val="003476A8"/>
    <w:rsid w:val="0034772C"/>
    <w:rsid w:val="003477B2"/>
    <w:rsid w:val="003478B0"/>
    <w:rsid w:val="00347937"/>
    <w:rsid w:val="00347BAF"/>
    <w:rsid w:val="00347D1C"/>
    <w:rsid w:val="00347D32"/>
    <w:rsid w:val="00347DAD"/>
    <w:rsid w:val="00347DC9"/>
    <w:rsid w:val="00347DDC"/>
    <w:rsid w:val="00347E7F"/>
    <w:rsid w:val="00347E96"/>
    <w:rsid w:val="00347FFB"/>
    <w:rsid w:val="00350070"/>
    <w:rsid w:val="003500AF"/>
    <w:rsid w:val="003500B9"/>
    <w:rsid w:val="003500C3"/>
    <w:rsid w:val="003500E5"/>
    <w:rsid w:val="00350112"/>
    <w:rsid w:val="003501AE"/>
    <w:rsid w:val="00350268"/>
    <w:rsid w:val="003502A5"/>
    <w:rsid w:val="003502D0"/>
    <w:rsid w:val="003502E3"/>
    <w:rsid w:val="00350354"/>
    <w:rsid w:val="003503C0"/>
    <w:rsid w:val="00350443"/>
    <w:rsid w:val="00350483"/>
    <w:rsid w:val="003504B7"/>
    <w:rsid w:val="003505B2"/>
    <w:rsid w:val="003505B4"/>
    <w:rsid w:val="003506D5"/>
    <w:rsid w:val="003506FE"/>
    <w:rsid w:val="003507A0"/>
    <w:rsid w:val="003507DA"/>
    <w:rsid w:val="00350839"/>
    <w:rsid w:val="003509A8"/>
    <w:rsid w:val="003509B9"/>
    <w:rsid w:val="00350C96"/>
    <w:rsid w:val="00350DB0"/>
    <w:rsid w:val="00350DC9"/>
    <w:rsid w:val="00350E74"/>
    <w:rsid w:val="00350FB0"/>
    <w:rsid w:val="00351085"/>
    <w:rsid w:val="003510C4"/>
    <w:rsid w:val="00351207"/>
    <w:rsid w:val="003512A2"/>
    <w:rsid w:val="00351327"/>
    <w:rsid w:val="00351343"/>
    <w:rsid w:val="00351370"/>
    <w:rsid w:val="003513F5"/>
    <w:rsid w:val="003513FC"/>
    <w:rsid w:val="003514D0"/>
    <w:rsid w:val="003514EA"/>
    <w:rsid w:val="0035152C"/>
    <w:rsid w:val="00351556"/>
    <w:rsid w:val="003515C2"/>
    <w:rsid w:val="003515F4"/>
    <w:rsid w:val="00351609"/>
    <w:rsid w:val="00351621"/>
    <w:rsid w:val="0035163C"/>
    <w:rsid w:val="0035167B"/>
    <w:rsid w:val="003516AF"/>
    <w:rsid w:val="00351711"/>
    <w:rsid w:val="00351998"/>
    <w:rsid w:val="00351A0C"/>
    <w:rsid w:val="00351BA5"/>
    <w:rsid w:val="00351BC8"/>
    <w:rsid w:val="00351CE2"/>
    <w:rsid w:val="00351DF7"/>
    <w:rsid w:val="00351F1E"/>
    <w:rsid w:val="00351F38"/>
    <w:rsid w:val="00351FEF"/>
    <w:rsid w:val="0035200A"/>
    <w:rsid w:val="0035225E"/>
    <w:rsid w:val="003522DB"/>
    <w:rsid w:val="00352331"/>
    <w:rsid w:val="00352344"/>
    <w:rsid w:val="0035239D"/>
    <w:rsid w:val="0035243D"/>
    <w:rsid w:val="0035245E"/>
    <w:rsid w:val="003524F1"/>
    <w:rsid w:val="0035250A"/>
    <w:rsid w:val="0035258F"/>
    <w:rsid w:val="00352685"/>
    <w:rsid w:val="00352784"/>
    <w:rsid w:val="003528A8"/>
    <w:rsid w:val="003528E8"/>
    <w:rsid w:val="00352915"/>
    <w:rsid w:val="00352949"/>
    <w:rsid w:val="00352AD6"/>
    <w:rsid w:val="00352B57"/>
    <w:rsid w:val="00352B8C"/>
    <w:rsid w:val="00352BCB"/>
    <w:rsid w:val="00352BED"/>
    <w:rsid w:val="00352C92"/>
    <w:rsid w:val="00352CA1"/>
    <w:rsid w:val="00352CA7"/>
    <w:rsid w:val="00352DA1"/>
    <w:rsid w:val="00352ECB"/>
    <w:rsid w:val="00352F0F"/>
    <w:rsid w:val="00353139"/>
    <w:rsid w:val="0035317A"/>
    <w:rsid w:val="003531D4"/>
    <w:rsid w:val="0035325D"/>
    <w:rsid w:val="003532CF"/>
    <w:rsid w:val="0035341C"/>
    <w:rsid w:val="003534BA"/>
    <w:rsid w:val="0035360A"/>
    <w:rsid w:val="00353634"/>
    <w:rsid w:val="00353719"/>
    <w:rsid w:val="0035375C"/>
    <w:rsid w:val="0035377F"/>
    <w:rsid w:val="003537F8"/>
    <w:rsid w:val="00353879"/>
    <w:rsid w:val="003538EA"/>
    <w:rsid w:val="00353A0B"/>
    <w:rsid w:val="00353A2B"/>
    <w:rsid w:val="00353BB0"/>
    <w:rsid w:val="00353BD8"/>
    <w:rsid w:val="00353C66"/>
    <w:rsid w:val="00353C8C"/>
    <w:rsid w:val="00353CDD"/>
    <w:rsid w:val="00353E0D"/>
    <w:rsid w:val="00353E8B"/>
    <w:rsid w:val="00353F12"/>
    <w:rsid w:val="00353F7D"/>
    <w:rsid w:val="00353F87"/>
    <w:rsid w:val="00354127"/>
    <w:rsid w:val="00354153"/>
    <w:rsid w:val="003541BA"/>
    <w:rsid w:val="0035421E"/>
    <w:rsid w:val="003542FC"/>
    <w:rsid w:val="00354369"/>
    <w:rsid w:val="003543AA"/>
    <w:rsid w:val="00354442"/>
    <w:rsid w:val="0035444D"/>
    <w:rsid w:val="003544B2"/>
    <w:rsid w:val="0035455D"/>
    <w:rsid w:val="00354574"/>
    <w:rsid w:val="0035463E"/>
    <w:rsid w:val="00354695"/>
    <w:rsid w:val="0035471D"/>
    <w:rsid w:val="0035475C"/>
    <w:rsid w:val="00354802"/>
    <w:rsid w:val="003548B2"/>
    <w:rsid w:val="003548C8"/>
    <w:rsid w:val="00354932"/>
    <w:rsid w:val="00354951"/>
    <w:rsid w:val="0035498D"/>
    <w:rsid w:val="00354AF7"/>
    <w:rsid w:val="00354B6A"/>
    <w:rsid w:val="00354BFD"/>
    <w:rsid w:val="00354D56"/>
    <w:rsid w:val="00354EAF"/>
    <w:rsid w:val="00354F2C"/>
    <w:rsid w:val="003551FA"/>
    <w:rsid w:val="003551FD"/>
    <w:rsid w:val="0035520C"/>
    <w:rsid w:val="00355214"/>
    <w:rsid w:val="00355232"/>
    <w:rsid w:val="00355237"/>
    <w:rsid w:val="00355339"/>
    <w:rsid w:val="00355357"/>
    <w:rsid w:val="003553C1"/>
    <w:rsid w:val="003554D5"/>
    <w:rsid w:val="003554FA"/>
    <w:rsid w:val="0035556D"/>
    <w:rsid w:val="0035569A"/>
    <w:rsid w:val="0035571B"/>
    <w:rsid w:val="00355753"/>
    <w:rsid w:val="00355755"/>
    <w:rsid w:val="00355903"/>
    <w:rsid w:val="00355A9F"/>
    <w:rsid w:val="00355B13"/>
    <w:rsid w:val="00355BFE"/>
    <w:rsid w:val="00355CC7"/>
    <w:rsid w:val="00355D30"/>
    <w:rsid w:val="00355E13"/>
    <w:rsid w:val="00355E1D"/>
    <w:rsid w:val="00355E4B"/>
    <w:rsid w:val="00355ED7"/>
    <w:rsid w:val="00356010"/>
    <w:rsid w:val="00356055"/>
    <w:rsid w:val="00356079"/>
    <w:rsid w:val="003560FB"/>
    <w:rsid w:val="00356113"/>
    <w:rsid w:val="0035615B"/>
    <w:rsid w:val="00356189"/>
    <w:rsid w:val="00356301"/>
    <w:rsid w:val="00356412"/>
    <w:rsid w:val="00356557"/>
    <w:rsid w:val="00356661"/>
    <w:rsid w:val="00356674"/>
    <w:rsid w:val="00356696"/>
    <w:rsid w:val="003567B0"/>
    <w:rsid w:val="003567CF"/>
    <w:rsid w:val="00356858"/>
    <w:rsid w:val="00356936"/>
    <w:rsid w:val="00356950"/>
    <w:rsid w:val="00356970"/>
    <w:rsid w:val="00356B8F"/>
    <w:rsid w:val="00356C0E"/>
    <w:rsid w:val="00356EB9"/>
    <w:rsid w:val="00356FF8"/>
    <w:rsid w:val="0035716D"/>
    <w:rsid w:val="0035718C"/>
    <w:rsid w:val="003571C9"/>
    <w:rsid w:val="00357300"/>
    <w:rsid w:val="00357332"/>
    <w:rsid w:val="003573F2"/>
    <w:rsid w:val="003573F4"/>
    <w:rsid w:val="0035740B"/>
    <w:rsid w:val="00357465"/>
    <w:rsid w:val="003574C2"/>
    <w:rsid w:val="003575B4"/>
    <w:rsid w:val="00357638"/>
    <w:rsid w:val="003578DC"/>
    <w:rsid w:val="003578E4"/>
    <w:rsid w:val="00357908"/>
    <w:rsid w:val="00357922"/>
    <w:rsid w:val="00357931"/>
    <w:rsid w:val="00357949"/>
    <w:rsid w:val="0035797B"/>
    <w:rsid w:val="00357A30"/>
    <w:rsid w:val="00357A83"/>
    <w:rsid w:val="00357ADB"/>
    <w:rsid w:val="00357B1E"/>
    <w:rsid w:val="00357B8E"/>
    <w:rsid w:val="00357B9D"/>
    <w:rsid w:val="00357C0E"/>
    <w:rsid w:val="00357D3D"/>
    <w:rsid w:val="00357F2D"/>
    <w:rsid w:val="00360020"/>
    <w:rsid w:val="00360028"/>
    <w:rsid w:val="003600BD"/>
    <w:rsid w:val="0036012A"/>
    <w:rsid w:val="00360164"/>
    <w:rsid w:val="00360200"/>
    <w:rsid w:val="00360266"/>
    <w:rsid w:val="00360273"/>
    <w:rsid w:val="00360298"/>
    <w:rsid w:val="003602ED"/>
    <w:rsid w:val="0036030C"/>
    <w:rsid w:val="0036031C"/>
    <w:rsid w:val="003603C9"/>
    <w:rsid w:val="003603D5"/>
    <w:rsid w:val="00360414"/>
    <w:rsid w:val="00360434"/>
    <w:rsid w:val="00360443"/>
    <w:rsid w:val="003604A8"/>
    <w:rsid w:val="003604E1"/>
    <w:rsid w:val="003604F0"/>
    <w:rsid w:val="003605F6"/>
    <w:rsid w:val="00360651"/>
    <w:rsid w:val="0036066C"/>
    <w:rsid w:val="00360718"/>
    <w:rsid w:val="00360722"/>
    <w:rsid w:val="00360745"/>
    <w:rsid w:val="003607B7"/>
    <w:rsid w:val="00360861"/>
    <w:rsid w:val="003608F6"/>
    <w:rsid w:val="00360A33"/>
    <w:rsid w:val="00360A4F"/>
    <w:rsid w:val="00360C33"/>
    <w:rsid w:val="00360C5B"/>
    <w:rsid w:val="00360C88"/>
    <w:rsid w:val="00360E81"/>
    <w:rsid w:val="00360EAB"/>
    <w:rsid w:val="00360EBD"/>
    <w:rsid w:val="00360F2F"/>
    <w:rsid w:val="00360F41"/>
    <w:rsid w:val="00360FA7"/>
    <w:rsid w:val="003610CA"/>
    <w:rsid w:val="00361138"/>
    <w:rsid w:val="00361190"/>
    <w:rsid w:val="003611FF"/>
    <w:rsid w:val="003612DF"/>
    <w:rsid w:val="00361334"/>
    <w:rsid w:val="003613C9"/>
    <w:rsid w:val="003613FE"/>
    <w:rsid w:val="003614DD"/>
    <w:rsid w:val="00361511"/>
    <w:rsid w:val="00361546"/>
    <w:rsid w:val="003617E6"/>
    <w:rsid w:val="003618B9"/>
    <w:rsid w:val="00361904"/>
    <w:rsid w:val="003619B0"/>
    <w:rsid w:val="00361BA0"/>
    <w:rsid w:val="00361CC8"/>
    <w:rsid w:val="00361D79"/>
    <w:rsid w:val="00361DC0"/>
    <w:rsid w:val="00361E6C"/>
    <w:rsid w:val="00361F4B"/>
    <w:rsid w:val="00361F61"/>
    <w:rsid w:val="00362022"/>
    <w:rsid w:val="00362074"/>
    <w:rsid w:val="00362179"/>
    <w:rsid w:val="003621DE"/>
    <w:rsid w:val="0036223D"/>
    <w:rsid w:val="003622F5"/>
    <w:rsid w:val="00362387"/>
    <w:rsid w:val="0036243F"/>
    <w:rsid w:val="00362469"/>
    <w:rsid w:val="00362591"/>
    <w:rsid w:val="0036260F"/>
    <w:rsid w:val="0036272D"/>
    <w:rsid w:val="00362762"/>
    <w:rsid w:val="0036287F"/>
    <w:rsid w:val="003628C1"/>
    <w:rsid w:val="003628DC"/>
    <w:rsid w:val="0036292C"/>
    <w:rsid w:val="0036293B"/>
    <w:rsid w:val="0036294C"/>
    <w:rsid w:val="003629D0"/>
    <w:rsid w:val="00362A02"/>
    <w:rsid w:val="00362A2C"/>
    <w:rsid w:val="00362B48"/>
    <w:rsid w:val="00362C71"/>
    <w:rsid w:val="00362CCB"/>
    <w:rsid w:val="00362DF3"/>
    <w:rsid w:val="00362E57"/>
    <w:rsid w:val="00362E82"/>
    <w:rsid w:val="00362EB7"/>
    <w:rsid w:val="00362F60"/>
    <w:rsid w:val="00362F83"/>
    <w:rsid w:val="00362FBF"/>
    <w:rsid w:val="00362FC7"/>
    <w:rsid w:val="003630E5"/>
    <w:rsid w:val="00363157"/>
    <w:rsid w:val="003631CC"/>
    <w:rsid w:val="003631FF"/>
    <w:rsid w:val="0036350B"/>
    <w:rsid w:val="00363535"/>
    <w:rsid w:val="0036357E"/>
    <w:rsid w:val="003636AB"/>
    <w:rsid w:val="0036376A"/>
    <w:rsid w:val="003637CC"/>
    <w:rsid w:val="003637FB"/>
    <w:rsid w:val="0036393C"/>
    <w:rsid w:val="00363961"/>
    <w:rsid w:val="00363A18"/>
    <w:rsid w:val="00363A2E"/>
    <w:rsid w:val="00363B0C"/>
    <w:rsid w:val="00363BBC"/>
    <w:rsid w:val="00363C91"/>
    <w:rsid w:val="00363C97"/>
    <w:rsid w:val="00363DE7"/>
    <w:rsid w:val="00363E31"/>
    <w:rsid w:val="00363E35"/>
    <w:rsid w:val="00363E47"/>
    <w:rsid w:val="00363E65"/>
    <w:rsid w:val="00363F3B"/>
    <w:rsid w:val="0036400A"/>
    <w:rsid w:val="00364067"/>
    <w:rsid w:val="0036409A"/>
    <w:rsid w:val="0036410E"/>
    <w:rsid w:val="0036428C"/>
    <w:rsid w:val="003642E5"/>
    <w:rsid w:val="0036437B"/>
    <w:rsid w:val="00364518"/>
    <w:rsid w:val="0036454A"/>
    <w:rsid w:val="003645CC"/>
    <w:rsid w:val="00364602"/>
    <w:rsid w:val="00364684"/>
    <w:rsid w:val="00364757"/>
    <w:rsid w:val="00364781"/>
    <w:rsid w:val="00364814"/>
    <w:rsid w:val="00364915"/>
    <w:rsid w:val="0036493E"/>
    <w:rsid w:val="00364AC7"/>
    <w:rsid w:val="00364B06"/>
    <w:rsid w:val="00364B1E"/>
    <w:rsid w:val="00364B2A"/>
    <w:rsid w:val="00364BD4"/>
    <w:rsid w:val="00364BD5"/>
    <w:rsid w:val="00364D06"/>
    <w:rsid w:val="00364D87"/>
    <w:rsid w:val="00364EC6"/>
    <w:rsid w:val="0036513D"/>
    <w:rsid w:val="0036518D"/>
    <w:rsid w:val="003651AA"/>
    <w:rsid w:val="00365213"/>
    <w:rsid w:val="00365222"/>
    <w:rsid w:val="0036527F"/>
    <w:rsid w:val="003652CB"/>
    <w:rsid w:val="003652DB"/>
    <w:rsid w:val="003652E2"/>
    <w:rsid w:val="00365474"/>
    <w:rsid w:val="003654CE"/>
    <w:rsid w:val="00365594"/>
    <w:rsid w:val="003655DD"/>
    <w:rsid w:val="003655FC"/>
    <w:rsid w:val="00365678"/>
    <w:rsid w:val="00365707"/>
    <w:rsid w:val="00365779"/>
    <w:rsid w:val="00365865"/>
    <w:rsid w:val="003658C3"/>
    <w:rsid w:val="003658CF"/>
    <w:rsid w:val="00365A65"/>
    <w:rsid w:val="00365A76"/>
    <w:rsid w:val="00365B30"/>
    <w:rsid w:val="00365B62"/>
    <w:rsid w:val="00365DA0"/>
    <w:rsid w:val="00365F62"/>
    <w:rsid w:val="00365FA3"/>
    <w:rsid w:val="00366019"/>
    <w:rsid w:val="00366043"/>
    <w:rsid w:val="0036604D"/>
    <w:rsid w:val="003660B6"/>
    <w:rsid w:val="003660F8"/>
    <w:rsid w:val="00366128"/>
    <w:rsid w:val="0036612B"/>
    <w:rsid w:val="00366364"/>
    <w:rsid w:val="003664C9"/>
    <w:rsid w:val="003664E8"/>
    <w:rsid w:val="0036654A"/>
    <w:rsid w:val="00366648"/>
    <w:rsid w:val="0036667F"/>
    <w:rsid w:val="00366746"/>
    <w:rsid w:val="0036678B"/>
    <w:rsid w:val="00366801"/>
    <w:rsid w:val="0036680F"/>
    <w:rsid w:val="00366899"/>
    <w:rsid w:val="003668B7"/>
    <w:rsid w:val="003668E9"/>
    <w:rsid w:val="003669E7"/>
    <w:rsid w:val="00366B7F"/>
    <w:rsid w:val="00366DA1"/>
    <w:rsid w:val="00366EE4"/>
    <w:rsid w:val="00366FEB"/>
    <w:rsid w:val="00367071"/>
    <w:rsid w:val="00367090"/>
    <w:rsid w:val="00367104"/>
    <w:rsid w:val="00367208"/>
    <w:rsid w:val="00367262"/>
    <w:rsid w:val="0036729F"/>
    <w:rsid w:val="00367356"/>
    <w:rsid w:val="00367374"/>
    <w:rsid w:val="0036745E"/>
    <w:rsid w:val="00367569"/>
    <w:rsid w:val="00367739"/>
    <w:rsid w:val="00367760"/>
    <w:rsid w:val="003677A0"/>
    <w:rsid w:val="003677DB"/>
    <w:rsid w:val="0036785F"/>
    <w:rsid w:val="00367860"/>
    <w:rsid w:val="00367861"/>
    <w:rsid w:val="0036787F"/>
    <w:rsid w:val="003678D7"/>
    <w:rsid w:val="00367937"/>
    <w:rsid w:val="0036796D"/>
    <w:rsid w:val="00367996"/>
    <w:rsid w:val="003679B9"/>
    <w:rsid w:val="003679F9"/>
    <w:rsid w:val="00367A29"/>
    <w:rsid w:val="00367ADF"/>
    <w:rsid w:val="00367B31"/>
    <w:rsid w:val="00367B68"/>
    <w:rsid w:val="00367B69"/>
    <w:rsid w:val="00367B99"/>
    <w:rsid w:val="00367BBC"/>
    <w:rsid w:val="00367C69"/>
    <w:rsid w:val="00367C94"/>
    <w:rsid w:val="00367CE9"/>
    <w:rsid w:val="00367D91"/>
    <w:rsid w:val="00367E01"/>
    <w:rsid w:val="00367E50"/>
    <w:rsid w:val="00367E5A"/>
    <w:rsid w:val="00367E91"/>
    <w:rsid w:val="00367F17"/>
    <w:rsid w:val="00367F18"/>
    <w:rsid w:val="00367F7C"/>
    <w:rsid w:val="00370097"/>
    <w:rsid w:val="003700B6"/>
    <w:rsid w:val="0037016C"/>
    <w:rsid w:val="00370311"/>
    <w:rsid w:val="00370374"/>
    <w:rsid w:val="003705E3"/>
    <w:rsid w:val="0037061C"/>
    <w:rsid w:val="00370698"/>
    <w:rsid w:val="00370758"/>
    <w:rsid w:val="00370760"/>
    <w:rsid w:val="00370772"/>
    <w:rsid w:val="00370A1D"/>
    <w:rsid w:val="00370A23"/>
    <w:rsid w:val="00370A39"/>
    <w:rsid w:val="00370A56"/>
    <w:rsid w:val="00370AA7"/>
    <w:rsid w:val="00370B70"/>
    <w:rsid w:val="00370C0E"/>
    <w:rsid w:val="00370C1B"/>
    <w:rsid w:val="00370C54"/>
    <w:rsid w:val="00370CB4"/>
    <w:rsid w:val="00370CF2"/>
    <w:rsid w:val="00370E58"/>
    <w:rsid w:val="00370E9D"/>
    <w:rsid w:val="00370F57"/>
    <w:rsid w:val="00371106"/>
    <w:rsid w:val="00371140"/>
    <w:rsid w:val="00371189"/>
    <w:rsid w:val="003711D6"/>
    <w:rsid w:val="00371234"/>
    <w:rsid w:val="00371328"/>
    <w:rsid w:val="00371339"/>
    <w:rsid w:val="00371360"/>
    <w:rsid w:val="003713A2"/>
    <w:rsid w:val="003713E4"/>
    <w:rsid w:val="0037153B"/>
    <w:rsid w:val="0037160C"/>
    <w:rsid w:val="00371642"/>
    <w:rsid w:val="003716DA"/>
    <w:rsid w:val="0037173C"/>
    <w:rsid w:val="003717DA"/>
    <w:rsid w:val="00371847"/>
    <w:rsid w:val="00371906"/>
    <w:rsid w:val="00371A5D"/>
    <w:rsid w:val="00371A80"/>
    <w:rsid w:val="00371B44"/>
    <w:rsid w:val="00371C88"/>
    <w:rsid w:val="00371E00"/>
    <w:rsid w:val="00371E34"/>
    <w:rsid w:val="00371EFA"/>
    <w:rsid w:val="00371FAD"/>
    <w:rsid w:val="00372044"/>
    <w:rsid w:val="00372046"/>
    <w:rsid w:val="0037212A"/>
    <w:rsid w:val="0037219C"/>
    <w:rsid w:val="003721AC"/>
    <w:rsid w:val="003721B5"/>
    <w:rsid w:val="003721C4"/>
    <w:rsid w:val="0037223E"/>
    <w:rsid w:val="003722BE"/>
    <w:rsid w:val="003723B9"/>
    <w:rsid w:val="00372424"/>
    <w:rsid w:val="0037243A"/>
    <w:rsid w:val="0037243C"/>
    <w:rsid w:val="00372490"/>
    <w:rsid w:val="00372511"/>
    <w:rsid w:val="0037251C"/>
    <w:rsid w:val="003725F5"/>
    <w:rsid w:val="00372620"/>
    <w:rsid w:val="00372660"/>
    <w:rsid w:val="003726E7"/>
    <w:rsid w:val="003726EA"/>
    <w:rsid w:val="00372778"/>
    <w:rsid w:val="003727CE"/>
    <w:rsid w:val="00372936"/>
    <w:rsid w:val="003729E3"/>
    <w:rsid w:val="00372B84"/>
    <w:rsid w:val="00372BB2"/>
    <w:rsid w:val="00372C75"/>
    <w:rsid w:val="00372CA8"/>
    <w:rsid w:val="00372CB6"/>
    <w:rsid w:val="00372CCA"/>
    <w:rsid w:val="00372CF5"/>
    <w:rsid w:val="00372DE5"/>
    <w:rsid w:val="00372DE8"/>
    <w:rsid w:val="00372E9C"/>
    <w:rsid w:val="00372EBE"/>
    <w:rsid w:val="00372F00"/>
    <w:rsid w:val="00372F4F"/>
    <w:rsid w:val="00373041"/>
    <w:rsid w:val="00373271"/>
    <w:rsid w:val="00373366"/>
    <w:rsid w:val="0037338A"/>
    <w:rsid w:val="00373415"/>
    <w:rsid w:val="00373427"/>
    <w:rsid w:val="0037342B"/>
    <w:rsid w:val="0037342C"/>
    <w:rsid w:val="00373508"/>
    <w:rsid w:val="003735E1"/>
    <w:rsid w:val="0037364F"/>
    <w:rsid w:val="0037369C"/>
    <w:rsid w:val="003737BB"/>
    <w:rsid w:val="003737FE"/>
    <w:rsid w:val="00373832"/>
    <w:rsid w:val="00373864"/>
    <w:rsid w:val="00373987"/>
    <w:rsid w:val="00373A72"/>
    <w:rsid w:val="00373A7D"/>
    <w:rsid w:val="00373B73"/>
    <w:rsid w:val="00373B88"/>
    <w:rsid w:val="00373BA6"/>
    <w:rsid w:val="00373C05"/>
    <w:rsid w:val="00373D22"/>
    <w:rsid w:val="00373DBB"/>
    <w:rsid w:val="00373DCC"/>
    <w:rsid w:val="00373DF2"/>
    <w:rsid w:val="00373EC1"/>
    <w:rsid w:val="00373ED0"/>
    <w:rsid w:val="00373F27"/>
    <w:rsid w:val="00373FDC"/>
    <w:rsid w:val="00373FF6"/>
    <w:rsid w:val="00374049"/>
    <w:rsid w:val="0037417A"/>
    <w:rsid w:val="003741AF"/>
    <w:rsid w:val="0037435F"/>
    <w:rsid w:val="0037439A"/>
    <w:rsid w:val="003743ED"/>
    <w:rsid w:val="0037448E"/>
    <w:rsid w:val="003744E0"/>
    <w:rsid w:val="0037456C"/>
    <w:rsid w:val="003745DB"/>
    <w:rsid w:val="00374631"/>
    <w:rsid w:val="00374663"/>
    <w:rsid w:val="00374846"/>
    <w:rsid w:val="00374994"/>
    <w:rsid w:val="00374A1F"/>
    <w:rsid w:val="00374BDC"/>
    <w:rsid w:val="00374D95"/>
    <w:rsid w:val="00374F79"/>
    <w:rsid w:val="003750F6"/>
    <w:rsid w:val="00375141"/>
    <w:rsid w:val="00375166"/>
    <w:rsid w:val="0037516A"/>
    <w:rsid w:val="0037516C"/>
    <w:rsid w:val="0037516E"/>
    <w:rsid w:val="00375199"/>
    <w:rsid w:val="003751E8"/>
    <w:rsid w:val="00375383"/>
    <w:rsid w:val="003753E8"/>
    <w:rsid w:val="003754D9"/>
    <w:rsid w:val="00375593"/>
    <w:rsid w:val="003755AC"/>
    <w:rsid w:val="003756EE"/>
    <w:rsid w:val="003757DB"/>
    <w:rsid w:val="00375825"/>
    <w:rsid w:val="003758C3"/>
    <w:rsid w:val="00375A58"/>
    <w:rsid w:val="00375B10"/>
    <w:rsid w:val="00375B96"/>
    <w:rsid w:val="00375CA8"/>
    <w:rsid w:val="00375D2E"/>
    <w:rsid w:val="00375D95"/>
    <w:rsid w:val="00375E42"/>
    <w:rsid w:val="00375E4B"/>
    <w:rsid w:val="00375EC0"/>
    <w:rsid w:val="00375F5C"/>
    <w:rsid w:val="00375FF3"/>
    <w:rsid w:val="003760C3"/>
    <w:rsid w:val="003760D7"/>
    <w:rsid w:val="00376125"/>
    <w:rsid w:val="003761B5"/>
    <w:rsid w:val="0037638F"/>
    <w:rsid w:val="00376455"/>
    <w:rsid w:val="00376502"/>
    <w:rsid w:val="003765A1"/>
    <w:rsid w:val="00376617"/>
    <w:rsid w:val="003766E6"/>
    <w:rsid w:val="00376747"/>
    <w:rsid w:val="0037684D"/>
    <w:rsid w:val="003768A7"/>
    <w:rsid w:val="003768AA"/>
    <w:rsid w:val="00376990"/>
    <w:rsid w:val="00376A5B"/>
    <w:rsid w:val="00376A74"/>
    <w:rsid w:val="00376ABE"/>
    <w:rsid w:val="00376AD4"/>
    <w:rsid w:val="00376C57"/>
    <w:rsid w:val="00376C59"/>
    <w:rsid w:val="00376C72"/>
    <w:rsid w:val="00376D8E"/>
    <w:rsid w:val="00376DEB"/>
    <w:rsid w:val="00376E67"/>
    <w:rsid w:val="00376F1F"/>
    <w:rsid w:val="003770BE"/>
    <w:rsid w:val="0037722E"/>
    <w:rsid w:val="003772FF"/>
    <w:rsid w:val="0037731A"/>
    <w:rsid w:val="003773E5"/>
    <w:rsid w:val="0037740C"/>
    <w:rsid w:val="00377444"/>
    <w:rsid w:val="003774AC"/>
    <w:rsid w:val="003774AD"/>
    <w:rsid w:val="00377696"/>
    <w:rsid w:val="003776A4"/>
    <w:rsid w:val="00377766"/>
    <w:rsid w:val="00377866"/>
    <w:rsid w:val="0037797D"/>
    <w:rsid w:val="00377A5D"/>
    <w:rsid w:val="00377AF4"/>
    <w:rsid w:val="00377C27"/>
    <w:rsid w:val="00377D85"/>
    <w:rsid w:val="00377E97"/>
    <w:rsid w:val="00377EA4"/>
    <w:rsid w:val="00377EE6"/>
    <w:rsid w:val="00377F09"/>
    <w:rsid w:val="00380018"/>
    <w:rsid w:val="00380092"/>
    <w:rsid w:val="0038017F"/>
    <w:rsid w:val="0038041D"/>
    <w:rsid w:val="00380434"/>
    <w:rsid w:val="00380487"/>
    <w:rsid w:val="003804D0"/>
    <w:rsid w:val="00380592"/>
    <w:rsid w:val="0038059D"/>
    <w:rsid w:val="003805DC"/>
    <w:rsid w:val="0038067E"/>
    <w:rsid w:val="0038069B"/>
    <w:rsid w:val="0038070B"/>
    <w:rsid w:val="00380749"/>
    <w:rsid w:val="00380866"/>
    <w:rsid w:val="00380A15"/>
    <w:rsid w:val="00380A4F"/>
    <w:rsid w:val="00380BF1"/>
    <w:rsid w:val="00380D73"/>
    <w:rsid w:val="00380EF2"/>
    <w:rsid w:val="00380F79"/>
    <w:rsid w:val="00380FED"/>
    <w:rsid w:val="00381083"/>
    <w:rsid w:val="003810BD"/>
    <w:rsid w:val="003811DF"/>
    <w:rsid w:val="00381268"/>
    <w:rsid w:val="0038131D"/>
    <w:rsid w:val="00381359"/>
    <w:rsid w:val="00381375"/>
    <w:rsid w:val="00381395"/>
    <w:rsid w:val="00381398"/>
    <w:rsid w:val="003813A6"/>
    <w:rsid w:val="003813FB"/>
    <w:rsid w:val="00381411"/>
    <w:rsid w:val="003814C5"/>
    <w:rsid w:val="0038150D"/>
    <w:rsid w:val="0038163F"/>
    <w:rsid w:val="0038168E"/>
    <w:rsid w:val="003816E5"/>
    <w:rsid w:val="00381743"/>
    <w:rsid w:val="00381775"/>
    <w:rsid w:val="00381889"/>
    <w:rsid w:val="00381A72"/>
    <w:rsid w:val="00381B38"/>
    <w:rsid w:val="00381BA0"/>
    <w:rsid w:val="00381BCC"/>
    <w:rsid w:val="00381C3F"/>
    <w:rsid w:val="00381CAA"/>
    <w:rsid w:val="00381DA8"/>
    <w:rsid w:val="00381DF8"/>
    <w:rsid w:val="00381E04"/>
    <w:rsid w:val="00381F1A"/>
    <w:rsid w:val="00381F4E"/>
    <w:rsid w:val="00382149"/>
    <w:rsid w:val="00382166"/>
    <w:rsid w:val="0038234F"/>
    <w:rsid w:val="003824AC"/>
    <w:rsid w:val="00382527"/>
    <w:rsid w:val="003825B4"/>
    <w:rsid w:val="003825CA"/>
    <w:rsid w:val="003825CF"/>
    <w:rsid w:val="00382728"/>
    <w:rsid w:val="0038276F"/>
    <w:rsid w:val="0038286D"/>
    <w:rsid w:val="003828B7"/>
    <w:rsid w:val="00382906"/>
    <w:rsid w:val="00382AC6"/>
    <w:rsid w:val="00382B5D"/>
    <w:rsid w:val="00382BA8"/>
    <w:rsid w:val="00382DED"/>
    <w:rsid w:val="00382E10"/>
    <w:rsid w:val="00382E18"/>
    <w:rsid w:val="00382E8D"/>
    <w:rsid w:val="00382F13"/>
    <w:rsid w:val="00382FB7"/>
    <w:rsid w:val="003830A0"/>
    <w:rsid w:val="003830AE"/>
    <w:rsid w:val="003830BA"/>
    <w:rsid w:val="003831B3"/>
    <w:rsid w:val="003831D1"/>
    <w:rsid w:val="00383205"/>
    <w:rsid w:val="00383268"/>
    <w:rsid w:val="003832B8"/>
    <w:rsid w:val="00383335"/>
    <w:rsid w:val="00383360"/>
    <w:rsid w:val="003833C6"/>
    <w:rsid w:val="003833E5"/>
    <w:rsid w:val="003837E7"/>
    <w:rsid w:val="0038382B"/>
    <w:rsid w:val="0038385C"/>
    <w:rsid w:val="00383985"/>
    <w:rsid w:val="003839CF"/>
    <w:rsid w:val="003839E4"/>
    <w:rsid w:val="00383A3A"/>
    <w:rsid w:val="00383A52"/>
    <w:rsid w:val="00383B4B"/>
    <w:rsid w:val="00383B65"/>
    <w:rsid w:val="00383B79"/>
    <w:rsid w:val="00383C58"/>
    <w:rsid w:val="00383D0F"/>
    <w:rsid w:val="00383D7F"/>
    <w:rsid w:val="00383D9E"/>
    <w:rsid w:val="00383F12"/>
    <w:rsid w:val="003841A8"/>
    <w:rsid w:val="00384200"/>
    <w:rsid w:val="003842C9"/>
    <w:rsid w:val="00384421"/>
    <w:rsid w:val="003844A7"/>
    <w:rsid w:val="00384574"/>
    <w:rsid w:val="0038477C"/>
    <w:rsid w:val="003847D8"/>
    <w:rsid w:val="00384875"/>
    <w:rsid w:val="0038487C"/>
    <w:rsid w:val="003848FA"/>
    <w:rsid w:val="003848FD"/>
    <w:rsid w:val="003849E6"/>
    <w:rsid w:val="00384A45"/>
    <w:rsid w:val="00384AF4"/>
    <w:rsid w:val="00384C33"/>
    <w:rsid w:val="00384C57"/>
    <w:rsid w:val="00384CAC"/>
    <w:rsid w:val="00384CE4"/>
    <w:rsid w:val="00384D15"/>
    <w:rsid w:val="00384DFE"/>
    <w:rsid w:val="00384E4B"/>
    <w:rsid w:val="00384EAE"/>
    <w:rsid w:val="00384EC2"/>
    <w:rsid w:val="00384F04"/>
    <w:rsid w:val="0038505F"/>
    <w:rsid w:val="00385130"/>
    <w:rsid w:val="00385358"/>
    <w:rsid w:val="0038541C"/>
    <w:rsid w:val="00385444"/>
    <w:rsid w:val="003854DE"/>
    <w:rsid w:val="00385540"/>
    <w:rsid w:val="00385594"/>
    <w:rsid w:val="003855DB"/>
    <w:rsid w:val="00385610"/>
    <w:rsid w:val="00385666"/>
    <w:rsid w:val="003856C7"/>
    <w:rsid w:val="003856E0"/>
    <w:rsid w:val="00385732"/>
    <w:rsid w:val="00385768"/>
    <w:rsid w:val="003857A3"/>
    <w:rsid w:val="003857BA"/>
    <w:rsid w:val="00385846"/>
    <w:rsid w:val="003858DA"/>
    <w:rsid w:val="00385914"/>
    <w:rsid w:val="003859A9"/>
    <w:rsid w:val="003859D9"/>
    <w:rsid w:val="003859DC"/>
    <w:rsid w:val="003859DE"/>
    <w:rsid w:val="00385A04"/>
    <w:rsid w:val="00385B23"/>
    <w:rsid w:val="00385C29"/>
    <w:rsid w:val="00385C5B"/>
    <w:rsid w:val="00385CB9"/>
    <w:rsid w:val="00385DC7"/>
    <w:rsid w:val="00385EF3"/>
    <w:rsid w:val="00385F93"/>
    <w:rsid w:val="00385FA6"/>
    <w:rsid w:val="00386086"/>
    <w:rsid w:val="0038626A"/>
    <w:rsid w:val="003862B1"/>
    <w:rsid w:val="003862ED"/>
    <w:rsid w:val="00386320"/>
    <w:rsid w:val="0038644A"/>
    <w:rsid w:val="00386493"/>
    <w:rsid w:val="00386654"/>
    <w:rsid w:val="00386661"/>
    <w:rsid w:val="00386729"/>
    <w:rsid w:val="0038675D"/>
    <w:rsid w:val="00386770"/>
    <w:rsid w:val="0038682D"/>
    <w:rsid w:val="003869DD"/>
    <w:rsid w:val="00386AE7"/>
    <w:rsid w:val="00386B37"/>
    <w:rsid w:val="00386B47"/>
    <w:rsid w:val="00386B67"/>
    <w:rsid w:val="00386BFE"/>
    <w:rsid w:val="00386C0A"/>
    <w:rsid w:val="00386E48"/>
    <w:rsid w:val="00386F5B"/>
    <w:rsid w:val="00386FBF"/>
    <w:rsid w:val="00387003"/>
    <w:rsid w:val="0038706F"/>
    <w:rsid w:val="0038712A"/>
    <w:rsid w:val="00387164"/>
    <w:rsid w:val="003871C0"/>
    <w:rsid w:val="003871EF"/>
    <w:rsid w:val="003871FA"/>
    <w:rsid w:val="0038730A"/>
    <w:rsid w:val="0038738C"/>
    <w:rsid w:val="003873E7"/>
    <w:rsid w:val="00387405"/>
    <w:rsid w:val="003874B4"/>
    <w:rsid w:val="003874DB"/>
    <w:rsid w:val="003875FD"/>
    <w:rsid w:val="00387629"/>
    <w:rsid w:val="00387646"/>
    <w:rsid w:val="003876BA"/>
    <w:rsid w:val="00387746"/>
    <w:rsid w:val="0038780B"/>
    <w:rsid w:val="00387873"/>
    <w:rsid w:val="00387889"/>
    <w:rsid w:val="003878A6"/>
    <w:rsid w:val="0038799A"/>
    <w:rsid w:val="003879C3"/>
    <w:rsid w:val="00387A1E"/>
    <w:rsid w:val="00387A20"/>
    <w:rsid w:val="00387A8B"/>
    <w:rsid w:val="00387AD8"/>
    <w:rsid w:val="00387AEA"/>
    <w:rsid w:val="00387BA3"/>
    <w:rsid w:val="00387BFA"/>
    <w:rsid w:val="00387C52"/>
    <w:rsid w:val="00387C8D"/>
    <w:rsid w:val="00387C93"/>
    <w:rsid w:val="00387CA6"/>
    <w:rsid w:val="00387CCC"/>
    <w:rsid w:val="00387CE7"/>
    <w:rsid w:val="00387D08"/>
    <w:rsid w:val="00387DBD"/>
    <w:rsid w:val="00387E3D"/>
    <w:rsid w:val="00387ED8"/>
    <w:rsid w:val="0038EDB8"/>
    <w:rsid w:val="00390025"/>
    <w:rsid w:val="00390053"/>
    <w:rsid w:val="00390265"/>
    <w:rsid w:val="00390272"/>
    <w:rsid w:val="00390317"/>
    <w:rsid w:val="00390396"/>
    <w:rsid w:val="0039046F"/>
    <w:rsid w:val="00390495"/>
    <w:rsid w:val="003904C3"/>
    <w:rsid w:val="00390534"/>
    <w:rsid w:val="00390560"/>
    <w:rsid w:val="003905C3"/>
    <w:rsid w:val="003905F2"/>
    <w:rsid w:val="00390648"/>
    <w:rsid w:val="0039064F"/>
    <w:rsid w:val="003906D7"/>
    <w:rsid w:val="003907AA"/>
    <w:rsid w:val="0039090E"/>
    <w:rsid w:val="00390953"/>
    <w:rsid w:val="00390A49"/>
    <w:rsid w:val="00390B97"/>
    <w:rsid w:val="00390C31"/>
    <w:rsid w:val="00390CAA"/>
    <w:rsid w:val="00390CD4"/>
    <w:rsid w:val="00390CE8"/>
    <w:rsid w:val="00390F7E"/>
    <w:rsid w:val="00390FB3"/>
    <w:rsid w:val="00390FED"/>
    <w:rsid w:val="0039102D"/>
    <w:rsid w:val="003911C1"/>
    <w:rsid w:val="0039127C"/>
    <w:rsid w:val="0039138D"/>
    <w:rsid w:val="0039140D"/>
    <w:rsid w:val="00391464"/>
    <w:rsid w:val="00391573"/>
    <w:rsid w:val="00391744"/>
    <w:rsid w:val="003917D2"/>
    <w:rsid w:val="00391821"/>
    <w:rsid w:val="003918BD"/>
    <w:rsid w:val="003918FC"/>
    <w:rsid w:val="0039195A"/>
    <w:rsid w:val="003919AF"/>
    <w:rsid w:val="00391A31"/>
    <w:rsid w:val="00391AA6"/>
    <w:rsid w:val="00391B9C"/>
    <w:rsid w:val="00391C1F"/>
    <w:rsid w:val="00391CC3"/>
    <w:rsid w:val="00391F3F"/>
    <w:rsid w:val="00391FE6"/>
    <w:rsid w:val="0039209A"/>
    <w:rsid w:val="00392118"/>
    <w:rsid w:val="003921B4"/>
    <w:rsid w:val="00392205"/>
    <w:rsid w:val="00392247"/>
    <w:rsid w:val="0039225C"/>
    <w:rsid w:val="00392336"/>
    <w:rsid w:val="0039233A"/>
    <w:rsid w:val="00392354"/>
    <w:rsid w:val="003923B7"/>
    <w:rsid w:val="003923F9"/>
    <w:rsid w:val="00392473"/>
    <w:rsid w:val="0039247F"/>
    <w:rsid w:val="0039251D"/>
    <w:rsid w:val="003925A4"/>
    <w:rsid w:val="003925D2"/>
    <w:rsid w:val="0039265D"/>
    <w:rsid w:val="00392676"/>
    <w:rsid w:val="0039267E"/>
    <w:rsid w:val="003926C2"/>
    <w:rsid w:val="00392859"/>
    <w:rsid w:val="003928E1"/>
    <w:rsid w:val="00392A2A"/>
    <w:rsid w:val="00392A79"/>
    <w:rsid w:val="00392B2E"/>
    <w:rsid w:val="00392BD9"/>
    <w:rsid w:val="00392C10"/>
    <w:rsid w:val="00392C60"/>
    <w:rsid w:val="00392C88"/>
    <w:rsid w:val="00392D78"/>
    <w:rsid w:val="00392DC3"/>
    <w:rsid w:val="00392EB2"/>
    <w:rsid w:val="00392EE8"/>
    <w:rsid w:val="0039329A"/>
    <w:rsid w:val="003932AF"/>
    <w:rsid w:val="00393324"/>
    <w:rsid w:val="0039337E"/>
    <w:rsid w:val="00393403"/>
    <w:rsid w:val="00393437"/>
    <w:rsid w:val="00393532"/>
    <w:rsid w:val="003935AC"/>
    <w:rsid w:val="003936A2"/>
    <w:rsid w:val="003936BA"/>
    <w:rsid w:val="003936E7"/>
    <w:rsid w:val="00393710"/>
    <w:rsid w:val="003937D3"/>
    <w:rsid w:val="003937E9"/>
    <w:rsid w:val="00393803"/>
    <w:rsid w:val="003938A4"/>
    <w:rsid w:val="003938B1"/>
    <w:rsid w:val="0039396A"/>
    <w:rsid w:val="00393A60"/>
    <w:rsid w:val="00393AC7"/>
    <w:rsid w:val="00393C1D"/>
    <w:rsid w:val="00393C74"/>
    <w:rsid w:val="00393C7A"/>
    <w:rsid w:val="00393CF1"/>
    <w:rsid w:val="00393D39"/>
    <w:rsid w:val="00393DA5"/>
    <w:rsid w:val="00393DB4"/>
    <w:rsid w:val="00393EB3"/>
    <w:rsid w:val="003941C9"/>
    <w:rsid w:val="003941F6"/>
    <w:rsid w:val="00394205"/>
    <w:rsid w:val="0039423F"/>
    <w:rsid w:val="0039437E"/>
    <w:rsid w:val="00394409"/>
    <w:rsid w:val="00394433"/>
    <w:rsid w:val="003944E2"/>
    <w:rsid w:val="00394548"/>
    <w:rsid w:val="0039456E"/>
    <w:rsid w:val="00394598"/>
    <w:rsid w:val="003945CF"/>
    <w:rsid w:val="00394669"/>
    <w:rsid w:val="00394675"/>
    <w:rsid w:val="0039478D"/>
    <w:rsid w:val="003947B4"/>
    <w:rsid w:val="003948DF"/>
    <w:rsid w:val="003948EF"/>
    <w:rsid w:val="00394971"/>
    <w:rsid w:val="003949F2"/>
    <w:rsid w:val="00394A01"/>
    <w:rsid w:val="00394A22"/>
    <w:rsid w:val="00394A82"/>
    <w:rsid w:val="00394AEE"/>
    <w:rsid w:val="00394B34"/>
    <w:rsid w:val="00394B7B"/>
    <w:rsid w:val="00394BCC"/>
    <w:rsid w:val="00394BD5"/>
    <w:rsid w:val="00394BFA"/>
    <w:rsid w:val="00394C04"/>
    <w:rsid w:val="00394CAC"/>
    <w:rsid w:val="00394D17"/>
    <w:rsid w:val="00394D81"/>
    <w:rsid w:val="00394E84"/>
    <w:rsid w:val="00394F1D"/>
    <w:rsid w:val="00394F1E"/>
    <w:rsid w:val="00394F52"/>
    <w:rsid w:val="00394F6D"/>
    <w:rsid w:val="0039505B"/>
    <w:rsid w:val="0039520B"/>
    <w:rsid w:val="0039526E"/>
    <w:rsid w:val="003952C0"/>
    <w:rsid w:val="003953C7"/>
    <w:rsid w:val="003953FA"/>
    <w:rsid w:val="00395487"/>
    <w:rsid w:val="00395664"/>
    <w:rsid w:val="0039574D"/>
    <w:rsid w:val="00395765"/>
    <w:rsid w:val="0039589E"/>
    <w:rsid w:val="003958BB"/>
    <w:rsid w:val="0039590F"/>
    <w:rsid w:val="00395A07"/>
    <w:rsid w:val="00395A55"/>
    <w:rsid w:val="00395B83"/>
    <w:rsid w:val="00395C17"/>
    <w:rsid w:val="00395CA0"/>
    <w:rsid w:val="00395CC3"/>
    <w:rsid w:val="00395D37"/>
    <w:rsid w:val="00395DB9"/>
    <w:rsid w:val="00395DF0"/>
    <w:rsid w:val="00395E37"/>
    <w:rsid w:val="00395E92"/>
    <w:rsid w:val="00395F49"/>
    <w:rsid w:val="00396129"/>
    <w:rsid w:val="0039616E"/>
    <w:rsid w:val="00396270"/>
    <w:rsid w:val="00396272"/>
    <w:rsid w:val="003963A3"/>
    <w:rsid w:val="0039641C"/>
    <w:rsid w:val="00396426"/>
    <w:rsid w:val="0039647B"/>
    <w:rsid w:val="003964B6"/>
    <w:rsid w:val="003964C3"/>
    <w:rsid w:val="00396625"/>
    <w:rsid w:val="00396650"/>
    <w:rsid w:val="003966B9"/>
    <w:rsid w:val="003967A6"/>
    <w:rsid w:val="00396817"/>
    <w:rsid w:val="00396915"/>
    <w:rsid w:val="00396936"/>
    <w:rsid w:val="00396A2F"/>
    <w:rsid w:val="00396AD2"/>
    <w:rsid w:val="00396B15"/>
    <w:rsid w:val="00396BD5"/>
    <w:rsid w:val="00396BEE"/>
    <w:rsid w:val="00396C64"/>
    <w:rsid w:val="00396C7A"/>
    <w:rsid w:val="00396C91"/>
    <w:rsid w:val="00396CF9"/>
    <w:rsid w:val="00396D39"/>
    <w:rsid w:val="00396E0D"/>
    <w:rsid w:val="00396F33"/>
    <w:rsid w:val="00396F91"/>
    <w:rsid w:val="0039706A"/>
    <w:rsid w:val="0039706D"/>
    <w:rsid w:val="00397089"/>
    <w:rsid w:val="00397090"/>
    <w:rsid w:val="003971A5"/>
    <w:rsid w:val="003972F7"/>
    <w:rsid w:val="00397397"/>
    <w:rsid w:val="00397521"/>
    <w:rsid w:val="00397563"/>
    <w:rsid w:val="00397564"/>
    <w:rsid w:val="003976BC"/>
    <w:rsid w:val="00397797"/>
    <w:rsid w:val="003978B2"/>
    <w:rsid w:val="00397904"/>
    <w:rsid w:val="00397919"/>
    <w:rsid w:val="00397A9A"/>
    <w:rsid w:val="00397B56"/>
    <w:rsid w:val="00397C42"/>
    <w:rsid w:val="00397C5B"/>
    <w:rsid w:val="00397C71"/>
    <w:rsid w:val="00397C7D"/>
    <w:rsid w:val="00397CE3"/>
    <w:rsid w:val="00397D53"/>
    <w:rsid w:val="00397E4A"/>
    <w:rsid w:val="00397F50"/>
    <w:rsid w:val="003A0025"/>
    <w:rsid w:val="003A0036"/>
    <w:rsid w:val="003A0099"/>
    <w:rsid w:val="003A024B"/>
    <w:rsid w:val="003A0273"/>
    <w:rsid w:val="003A02AB"/>
    <w:rsid w:val="003A035C"/>
    <w:rsid w:val="003A03AA"/>
    <w:rsid w:val="003A03C9"/>
    <w:rsid w:val="003A053D"/>
    <w:rsid w:val="003A0561"/>
    <w:rsid w:val="003A05E8"/>
    <w:rsid w:val="003A077D"/>
    <w:rsid w:val="003A0784"/>
    <w:rsid w:val="003A078D"/>
    <w:rsid w:val="003A07E1"/>
    <w:rsid w:val="003A08B5"/>
    <w:rsid w:val="003A08EC"/>
    <w:rsid w:val="003A0A45"/>
    <w:rsid w:val="003A0A94"/>
    <w:rsid w:val="003A0AF0"/>
    <w:rsid w:val="003A0B7E"/>
    <w:rsid w:val="003A0D14"/>
    <w:rsid w:val="003A0D7B"/>
    <w:rsid w:val="003A0FB8"/>
    <w:rsid w:val="003A1038"/>
    <w:rsid w:val="003A1059"/>
    <w:rsid w:val="003A1222"/>
    <w:rsid w:val="003A1233"/>
    <w:rsid w:val="003A1244"/>
    <w:rsid w:val="003A1406"/>
    <w:rsid w:val="003A1470"/>
    <w:rsid w:val="003A14DB"/>
    <w:rsid w:val="003A1709"/>
    <w:rsid w:val="003A17BD"/>
    <w:rsid w:val="003A1850"/>
    <w:rsid w:val="003A18A9"/>
    <w:rsid w:val="003A1A76"/>
    <w:rsid w:val="003A1AA8"/>
    <w:rsid w:val="003A1AD7"/>
    <w:rsid w:val="003A1AF1"/>
    <w:rsid w:val="003A1B37"/>
    <w:rsid w:val="003A1BD6"/>
    <w:rsid w:val="003A1D52"/>
    <w:rsid w:val="003A1D61"/>
    <w:rsid w:val="003A1DBE"/>
    <w:rsid w:val="003A1EEB"/>
    <w:rsid w:val="003A20A7"/>
    <w:rsid w:val="003A20D8"/>
    <w:rsid w:val="003A210E"/>
    <w:rsid w:val="003A218C"/>
    <w:rsid w:val="003A2196"/>
    <w:rsid w:val="003A21FE"/>
    <w:rsid w:val="003A2250"/>
    <w:rsid w:val="003A2252"/>
    <w:rsid w:val="003A2276"/>
    <w:rsid w:val="003A2286"/>
    <w:rsid w:val="003A22D2"/>
    <w:rsid w:val="003A22FE"/>
    <w:rsid w:val="003A2355"/>
    <w:rsid w:val="003A2394"/>
    <w:rsid w:val="003A23D8"/>
    <w:rsid w:val="003A240A"/>
    <w:rsid w:val="003A2445"/>
    <w:rsid w:val="003A2479"/>
    <w:rsid w:val="003A254E"/>
    <w:rsid w:val="003A25C7"/>
    <w:rsid w:val="003A268D"/>
    <w:rsid w:val="003A2761"/>
    <w:rsid w:val="003A277E"/>
    <w:rsid w:val="003A27A8"/>
    <w:rsid w:val="003A27DD"/>
    <w:rsid w:val="003A2903"/>
    <w:rsid w:val="003A291B"/>
    <w:rsid w:val="003A2A0F"/>
    <w:rsid w:val="003A2A13"/>
    <w:rsid w:val="003A2A6A"/>
    <w:rsid w:val="003A2AC4"/>
    <w:rsid w:val="003A2B98"/>
    <w:rsid w:val="003A2BA6"/>
    <w:rsid w:val="003A2BC3"/>
    <w:rsid w:val="003A2CD3"/>
    <w:rsid w:val="003A2E98"/>
    <w:rsid w:val="003A2F17"/>
    <w:rsid w:val="003A2F4F"/>
    <w:rsid w:val="003A309C"/>
    <w:rsid w:val="003A30F8"/>
    <w:rsid w:val="003A318E"/>
    <w:rsid w:val="003A31C2"/>
    <w:rsid w:val="003A32B0"/>
    <w:rsid w:val="003A33BA"/>
    <w:rsid w:val="003A3436"/>
    <w:rsid w:val="003A3594"/>
    <w:rsid w:val="003A36CA"/>
    <w:rsid w:val="003A36D5"/>
    <w:rsid w:val="003A378B"/>
    <w:rsid w:val="003A3842"/>
    <w:rsid w:val="003A389F"/>
    <w:rsid w:val="003A3907"/>
    <w:rsid w:val="003A3A04"/>
    <w:rsid w:val="003A3A45"/>
    <w:rsid w:val="003A3B23"/>
    <w:rsid w:val="003A3BB7"/>
    <w:rsid w:val="003A3D12"/>
    <w:rsid w:val="003A3D8E"/>
    <w:rsid w:val="003A3DD8"/>
    <w:rsid w:val="003A3DF8"/>
    <w:rsid w:val="003A3E1D"/>
    <w:rsid w:val="003A3E68"/>
    <w:rsid w:val="003A3E69"/>
    <w:rsid w:val="003A3EA1"/>
    <w:rsid w:val="003A403A"/>
    <w:rsid w:val="003A40B3"/>
    <w:rsid w:val="003A418B"/>
    <w:rsid w:val="003A41AA"/>
    <w:rsid w:val="003A4254"/>
    <w:rsid w:val="003A4304"/>
    <w:rsid w:val="003A437B"/>
    <w:rsid w:val="003A43B7"/>
    <w:rsid w:val="003A4541"/>
    <w:rsid w:val="003A4592"/>
    <w:rsid w:val="003A47E9"/>
    <w:rsid w:val="003A481C"/>
    <w:rsid w:val="003A4847"/>
    <w:rsid w:val="003A4893"/>
    <w:rsid w:val="003A4923"/>
    <w:rsid w:val="003A493E"/>
    <w:rsid w:val="003A498E"/>
    <w:rsid w:val="003A4B71"/>
    <w:rsid w:val="003A4D94"/>
    <w:rsid w:val="003A4EC9"/>
    <w:rsid w:val="003A4EF0"/>
    <w:rsid w:val="003A4F3E"/>
    <w:rsid w:val="003A4FD8"/>
    <w:rsid w:val="003A5011"/>
    <w:rsid w:val="003A508C"/>
    <w:rsid w:val="003A5194"/>
    <w:rsid w:val="003A5243"/>
    <w:rsid w:val="003A534A"/>
    <w:rsid w:val="003A5391"/>
    <w:rsid w:val="003A5454"/>
    <w:rsid w:val="003A54DB"/>
    <w:rsid w:val="003A5699"/>
    <w:rsid w:val="003A56DC"/>
    <w:rsid w:val="003A5984"/>
    <w:rsid w:val="003A59AB"/>
    <w:rsid w:val="003A5ADA"/>
    <w:rsid w:val="003A5B5C"/>
    <w:rsid w:val="003A5B74"/>
    <w:rsid w:val="003A5C5E"/>
    <w:rsid w:val="003A5C94"/>
    <w:rsid w:val="003A5D39"/>
    <w:rsid w:val="003A5DB4"/>
    <w:rsid w:val="003A5E7D"/>
    <w:rsid w:val="003A5EE8"/>
    <w:rsid w:val="003A5FAB"/>
    <w:rsid w:val="003A5FE2"/>
    <w:rsid w:val="003A62C6"/>
    <w:rsid w:val="003A63F1"/>
    <w:rsid w:val="003A64A3"/>
    <w:rsid w:val="003A6532"/>
    <w:rsid w:val="003A67E4"/>
    <w:rsid w:val="003A67F7"/>
    <w:rsid w:val="003A6893"/>
    <w:rsid w:val="003A68AC"/>
    <w:rsid w:val="003A6960"/>
    <w:rsid w:val="003A69A2"/>
    <w:rsid w:val="003A6A2E"/>
    <w:rsid w:val="003A6B97"/>
    <w:rsid w:val="003A6C0B"/>
    <w:rsid w:val="003A6C2D"/>
    <w:rsid w:val="003A6C3D"/>
    <w:rsid w:val="003A6D14"/>
    <w:rsid w:val="003A6DAA"/>
    <w:rsid w:val="003A6E96"/>
    <w:rsid w:val="003A6FF7"/>
    <w:rsid w:val="003A6FFE"/>
    <w:rsid w:val="003A7161"/>
    <w:rsid w:val="003A7247"/>
    <w:rsid w:val="003A7317"/>
    <w:rsid w:val="003A738D"/>
    <w:rsid w:val="003A743D"/>
    <w:rsid w:val="003A745D"/>
    <w:rsid w:val="003A7490"/>
    <w:rsid w:val="003A758D"/>
    <w:rsid w:val="003A767C"/>
    <w:rsid w:val="003A782E"/>
    <w:rsid w:val="003A788E"/>
    <w:rsid w:val="003A7895"/>
    <w:rsid w:val="003A78FE"/>
    <w:rsid w:val="003A7911"/>
    <w:rsid w:val="003A7A1F"/>
    <w:rsid w:val="003A7AEA"/>
    <w:rsid w:val="003A7CBD"/>
    <w:rsid w:val="003A7EA0"/>
    <w:rsid w:val="003A7FAE"/>
    <w:rsid w:val="003A7FC9"/>
    <w:rsid w:val="003A7FE9"/>
    <w:rsid w:val="003B0065"/>
    <w:rsid w:val="003B00F9"/>
    <w:rsid w:val="003B0181"/>
    <w:rsid w:val="003B0224"/>
    <w:rsid w:val="003B022D"/>
    <w:rsid w:val="003B036E"/>
    <w:rsid w:val="003B03D7"/>
    <w:rsid w:val="003B0454"/>
    <w:rsid w:val="003B0477"/>
    <w:rsid w:val="003B048B"/>
    <w:rsid w:val="003B04B4"/>
    <w:rsid w:val="003B05AA"/>
    <w:rsid w:val="003B0778"/>
    <w:rsid w:val="003B088F"/>
    <w:rsid w:val="003B09D8"/>
    <w:rsid w:val="003B09E4"/>
    <w:rsid w:val="003B0A09"/>
    <w:rsid w:val="003B0BB0"/>
    <w:rsid w:val="003B0C20"/>
    <w:rsid w:val="003B0C9C"/>
    <w:rsid w:val="003B0D00"/>
    <w:rsid w:val="003B0D4B"/>
    <w:rsid w:val="003B0D57"/>
    <w:rsid w:val="003B0E9D"/>
    <w:rsid w:val="003B1002"/>
    <w:rsid w:val="003B108C"/>
    <w:rsid w:val="003B10C7"/>
    <w:rsid w:val="003B10DB"/>
    <w:rsid w:val="003B1288"/>
    <w:rsid w:val="003B1301"/>
    <w:rsid w:val="003B130C"/>
    <w:rsid w:val="003B1330"/>
    <w:rsid w:val="003B13C0"/>
    <w:rsid w:val="003B144E"/>
    <w:rsid w:val="003B1465"/>
    <w:rsid w:val="003B1648"/>
    <w:rsid w:val="003B166A"/>
    <w:rsid w:val="003B1673"/>
    <w:rsid w:val="003B194E"/>
    <w:rsid w:val="003B1984"/>
    <w:rsid w:val="003B19C1"/>
    <w:rsid w:val="003B19D5"/>
    <w:rsid w:val="003B1BA7"/>
    <w:rsid w:val="003B1BB8"/>
    <w:rsid w:val="003B1CA6"/>
    <w:rsid w:val="003B1D0E"/>
    <w:rsid w:val="003B1DFA"/>
    <w:rsid w:val="003B1E55"/>
    <w:rsid w:val="003B1E9C"/>
    <w:rsid w:val="003B1EDB"/>
    <w:rsid w:val="003B2021"/>
    <w:rsid w:val="003B2085"/>
    <w:rsid w:val="003B20E1"/>
    <w:rsid w:val="003B222F"/>
    <w:rsid w:val="003B228E"/>
    <w:rsid w:val="003B233D"/>
    <w:rsid w:val="003B23B7"/>
    <w:rsid w:val="003B23E1"/>
    <w:rsid w:val="003B24DA"/>
    <w:rsid w:val="003B253D"/>
    <w:rsid w:val="003B25D8"/>
    <w:rsid w:val="003B2718"/>
    <w:rsid w:val="003B276F"/>
    <w:rsid w:val="003B285E"/>
    <w:rsid w:val="003B286E"/>
    <w:rsid w:val="003B2880"/>
    <w:rsid w:val="003B2882"/>
    <w:rsid w:val="003B291D"/>
    <w:rsid w:val="003B299F"/>
    <w:rsid w:val="003B29C1"/>
    <w:rsid w:val="003B2A1F"/>
    <w:rsid w:val="003B2A7B"/>
    <w:rsid w:val="003B2A8E"/>
    <w:rsid w:val="003B2B2A"/>
    <w:rsid w:val="003B2C0A"/>
    <w:rsid w:val="003B2C2D"/>
    <w:rsid w:val="003B2CE2"/>
    <w:rsid w:val="003B2D9F"/>
    <w:rsid w:val="003B2E22"/>
    <w:rsid w:val="003B2F8E"/>
    <w:rsid w:val="003B3023"/>
    <w:rsid w:val="003B3038"/>
    <w:rsid w:val="003B314A"/>
    <w:rsid w:val="003B31AC"/>
    <w:rsid w:val="003B31C6"/>
    <w:rsid w:val="003B31DE"/>
    <w:rsid w:val="003B32FD"/>
    <w:rsid w:val="003B3328"/>
    <w:rsid w:val="003B3402"/>
    <w:rsid w:val="003B345C"/>
    <w:rsid w:val="003B34EA"/>
    <w:rsid w:val="003B35BA"/>
    <w:rsid w:val="003B363D"/>
    <w:rsid w:val="003B3670"/>
    <w:rsid w:val="003B36D2"/>
    <w:rsid w:val="003B36E2"/>
    <w:rsid w:val="003B386F"/>
    <w:rsid w:val="003B3870"/>
    <w:rsid w:val="003B3891"/>
    <w:rsid w:val="003B38CB"/>
    <w:rsid w:val="003B38F2"/>
    <w:rsid w:val="003B397A"/>
    <w:rsid w:val="003B3B5C"/>
    <w:rsid w:val="003B3CB2"/>
    <w:rsid w:val="003B3D2B"/>
    <w:rsid w:val="003B3DCA"/>
    <w:rsid w:val="003B3F7A"/>
    <w:rsid w:val="003B4011"/>
    <w:rsid w:val="003B4050"/>
    <w:rsid w:val="003B40D6"/>
    <w:rsid w:val="003B410F"/>
    <w:rsid w:val="003B4143"/>
    <w:rsid w:val="003B419F"/>
    <w:rsid w:val="003B422B"/>
    <w:rsid w:val="003B4306"/>
    <w:rsid w:val="003B433E"/>
    <w:rsid w:val="003B4593"/>
    <w:rsid w:val="003B45D5"/>
    <w:rsid w:val="003B47F7"/>
    <w:rsid w:val="003B4838"/>
    <w:rsid w:val="003B4932"/>
    <w:rsid w:val="003B4975"/>
    <w:rsid w:val="003B49B2"/>
    <w:rsid w:val="003B49C5"/>
    <w:rsid w:val="003B4A86"/>
    <w:rsid w:val="003B4B0D"/>
    <w:rsid w:val="003B4B7B"/>
    <w:rsid w:val="003B4CB4"/>
    <w:rsid w:val="003B4CBE"/>
    <w:rsid w:val="003B4D6C"/>
    <w:rsid w:val="003B4D84"/>
    <w:rsid w:val="003B4DB0"/>
    <w:rsid w:val="003B4DD6"/>
    <w:rsid w:val="003B4DD7"/>
    <w:rsid w:val="003B4E04"/>
    <w:rsid w:val="003B4E13"/>
    <w:rsid w:val="003B4E96"/>
    <w:rsid w:val="003B4F04"/>
    <w:rsid w:val="003B4FB8"/>
    <w:rsid w:val="003B4FE4"/>
    <w:rsid w:val="003B4FF2"/>
    <w:rsid w:val="003B507C"/>
    <w:rsid w:val="003B5083"/>
    <w:rsid w:val="003B51B0"/>
    <w:rsid w:val="003B51B6"/>
    <w:rsid w:val="003B51C0"/>
    <w:rsid w:val="003B51ED"/>
    <w:rsid w:val="003B523B"/>
    <w:rsid w:val="003B5258"/>
    <w:rsid w:val="003B528E"/>
    <w:rsid w:val="003B5292"/>
    <w:rsid w:val="003B5309"/>
    <w:rsid w:val="003B5359"/>
    <w:rsid w:val="003B53DF"/>
    <w:rsid w:val="003B5424"/>
    <w:rsid w:val="003B553B"/>
    <w:rsid w:val="003B5547"/>
    <w:rsid w:val="003B5679"/>
    <w:rsid w:val="003B5754"/>
    <w:rsid w:val="003B57A1"/>
    <w:rsid w:val="003B5831"/>
    <w:rsid w:val="003B5854"/>
    <w:rsid w:val="003B5878"/>
    <w:rsid w:val="003B59DD"/>
    <w:rsid w:val="003B5A8B"/>
    <w:rsid w:val="003B5AFD"/>
    <w:rsid w:val="003B5CA6"/>
    <w:rsid w:val="003B5CBA"/>
    <w:rsid w:val="003B5CE9"/>
    <w:rsid w:val="003B5D3E"/>
    <w:rsid w:val="003B5DAC"/>
    <w:rsid w:val="003B5DDD"/>
    <w:rsid w:val="003B5E06"/>
    <w:rsid w:val="003B5EAD"/>
    <w:rsid w:val="003B5FA1"/>
    <w:rsid w:val="003B622C"/>
    <w:rsid w:val="003B62D9"/>
    <w:rsid w:val="003B6326"/>
    <w:rsid w:val="003B633E"/>
    <w:rsid w:val="003B6383"/>
    <w:rsid w:val="003B646D"/>
    <w:rsid w:val="003B64FE"/>
    <w:rsid w:val="003B6563"/>
    <w:rsid w:val="003B668A"/>
    <w:rsid w:val="003B67B3"/>
    <w:rsid w:val="003B681C"/>
    <w:rsid w:val="003B6917"/>
    <w:rsid w:val="003B69AB"/>
    <w:rsid w:val="003B69EB"/>
    <w:rsid w:val="003B6BBC"/>
    <w:rsid w:val="003B6BD0"/>
    <w:rsid w:val="003B6D08"/>
    <w:rsid w:val="003B6D65"/>
    <w:rsid w:val="003B6D76"/>
    <w:rsid w:val="003B6DF9"/>
    <w:rsid w:val="003B6EB6"/>
    <w:rsid w:val="003B6F9D"/>
    <w:rsid w:val="003B708A"/>
    <w:rsid w:val="003B7124"/>
    <w:rsid w:val="003B712F"/>
    <w:rsid w:val="003B7141"/>
    <w:rsid w:val="003B7296"/>
    <w:rsid w:val="003B734D"/>
    <w:rsid w:val="003B738B"/>
    <w:rsid w:val="003B7443"/>
    <w:rsid w:val="003B7481"/>
    <w:rsid w:val="003B755A"/>
    <w:rsid w:val="003B762E"/>
    <w:rsid w:val="003B7661"/>
    <w:rsid w:val="003B7669"/>
    <w:rsid w:val="003B76F2"/>
    <w:rsid w:val="003B7750"/>
    <w:rsid w:val="003B7769"/>
    <w:rsid w:val="003B7800"/>
    <w:rsid w:val="003B7910"/>
    <w:rsid w:val="003B79BF"/>
    <w:rsid w:val="003B7AA4"/>
    <w:rsid w:val="003B7C74"/>
    <w:rsid w:val="003B7CBA"/>
    <w:rsid w:val="003B7D24"/>
    <w:rsid w:val="003B7D7D"/>
    <w:rsid w:val="003B7E7F"/>
    <w:rsid w:val="003B7E9A"/>
    <w:rsid w:val="003B7F3A"/>
    <w:rsid w:val="003B7F43"/>
    <w:rsid w:val="003C01A7"/>
    <w:rsid w:val="003C01F1"/>
    <w:rsid w:val="003C0259"/>
    <w:rsid w:val="003C0333"/>
    <w:rsid w:val="003C0409"/>
    <w:rsid w:val="003C04DD"/>
    <w:rsid w:val="003C055B"/>
    <w:rsid w:val="003C06F8"/>
    <w:rsid w:val="003C0707"/>
    <w:rsid w:val="003C0716"/>
    <w:rsid w:val="003C08C5"/>
    <w:rsid w:val="003C08EA"/>
    <w:rsid w:val="003C0996"/>
    <w:rsid w:val="003C0A57"/>
    <w:rsid w:val="003C0B7E"/>
    <w:rsid w:val="003C0C00"/>
    <w:rsid w:val="003C0C57"/>
    <w:rsid w:val="003C0CAD"/>
    <w:rsid w:val="003C0D53"/>
    <w:rsid w:val="003C0E42"/>
    <w:rsid w:val="003C0E69"/>
    <w:rsid w:val="003C0E81"/>
    <w:rsid w:val="003C10A2"/>
    <w:rsid w:val="003C10DB"/>
    <w:rsid w:val="003C10E2"/>
    <w:rsid w:val="003C113D"/>
    <w:rsid w:val="003C1225"/>
    <w:rsid w:val="003C1271"/>
    <w:rsid w:val="003C131C"/>
    <w:rsid w:val="003C13DD"/>
    <w:rsid w:val="003C1471"/>
    <w:rsid w:val="003C151C"/>
    <w:rsid w:val="003C15BA"/>
    <w:rsid w:val="003C1606"/>
    <w:rsid w:val="003C168C"/>
    <w:rsid w:val="003C16A9"/>
    <w:rsid w:val="003C16B4"/>
    <w:rsid w:val="003C17E6"/>
    <w:rsid w:val="003C1840"/>
    <w:rsid w:val="003C18D8"/>
    <w:rsid w:val="003C1984"/>
    <w:rsid w:val="003C1BB4"/>
    <w:rsid w:val="003C1BDB"/>
    <w:rsid w:val="003C1BF2"/>
    <w:rsid w:val="003C1E0F"/>
    <w:rsid w:val="003C1F14"/>
    <w:rsid w:val="003C1F17"/>
    <w:rsid w:val="003C2091"/>
    <w:rsid w:val="003C21BD"/>
    <w:rsid w:val="003C21F6"/>
    <w:rsid w:val="003C24E7"/>
    <w:rsid w:val="003C25DA"/>
    <w:rsid w:val="003C25DD"/>
    <w:rsid w:val="003C25E6"/>
    <w:rsid w:val="003C27A9"/>
    <w:rsid w:val="003C27BD"/>
    <w:rsid w:val="003C27C0"/>
    <w:rsid w:val="003C2859"/>
    <w:rsid w:val="003C287B"/>
    <w:rsid w:val="003C29E5"/>
    <w:rsid w:val="003C2A79"/>
    <w:rsid w:val="003C2BFB"/>
    <w:rsid w:val="003C2C0F"/>
    <w:rsid w:val="003C2C9F"/>
    <w:rsid w:val="003C2DF9"/>
    <w:rsid w:val="003C2F20"/>
    <w:rsid w:val="003C2F7D"/>
    <w:rsid w:val="003C30EE"/>
    <w:rsid w:val="003C31B9"/>
    <w:rsid w:val="003C32FB"/>
    <w:rsid w:val="003C3511"/>
    <w:rsid w:val="003C36B9"/>
    <w:rsid w:val="003C36D4"/>
    <w:rsid w:val="003C37A5"/>
    <w:rsid w:val="003C3851"/>
    <w:rsid w:val="003C3A9B"/>
    <w:rsid w:val="003C3B45"/>
    <w:rsid w:val="003C3C26"/>
    <w:rsid w:val="003C3C4D"/>
    <w:rsid w:val="003C3C52"/>
    <w:rsid w:val="003C3CFC"/>
    <w:rsid w:val="003C3D1A"/>
    <w:rsid w:val="003C3D71"/>
    <w:rsid w:val="003C3D7C"/>
    <w:rsid w:val="003C3DA4"/>
    <w:rsid w:val="003C3E71"/>
    <w:rsid w:val="003C3E9A"/>
    <w:rsid w:val="003C3EC5"/>
    <w:rsid w:val="003C3EFF"/>
    <w:rsid w:val="003C403A"/>
    <w:rsid w:val="003C40D0"/>
    <w:rsid w:val="003C40DD"/>
    <w:rsid w:val="003C4212"/>
    <w:rsid w:val="003C42AD"/>
    <w:rsid w:val="003C4340"/>
    <w:rsid w:val="003C436F"/>
    <w:rsid w:val="003C43AA"/>
    <w:rsid w:val="003C442E"/>
    <w:rsid w:val="003C447D"/>
    <w:rsid w:val="003C4507"/>
    <w:rsid w:val="003C4555"/>
    <w:rsid w:val="003C457D"/>
    <w:rsid w:val="003C4609"/>
    <w:rsid w:val="003C473C"/>
    <w:rsid w:val="003C4747"/>
    <w:rsid w:val="003C47C5"/>
    <w:rsid w:val="003C4804"/>
    <w:rsid w:val="003C4828"/>
    <w:rsid w:val="003C493F"/>
    <w:rsid w:val="003C49E1"/>
    <w:rsid w:val="003C49EA"/>
    <w:rsid w:val="003C4A3F"/>
    <w:rsid w:val="003C4A6B"/>
    <w:rsid w:val="003C4B29"/>
    <w:rsid w:val="003C4C47"/>
    <w:rsid w:val="003C4C7D"/>
    <w:rsid w:val="003C4CD8"/>
    <w:rsid w:val="003C4E9C"/>
    <w:rsid w:val="003C4E9E"/>
    <w:rsid w:val="003C4EA1"/>
    <w:rsid w:val="003C4EFD"/>
    <w:rsid w:val="003C4F27"/>
    <w:rsid w:val="003C5048"/>
    <w:rsid w:val="003C506F"/>
    <w:rsid w:val="003C50F6"/>
    <w:rsid w:val="003C5195"/>
    <w:rsid w:val="003C51E2"/>
    <w:rsid w:val="003C5253"/>
    <w:rsid w:val="003C5255"/>
    <w:rsid w:val="003C5346"/>
    <w:rsid w:val="003C567C"/>
    <w:rsid w:val="003C56B8"/>
    <w:rsid w:val="003C58CA"/>
    <w:rsid w:val="003C58D0"/>
    <w:rsid w:val="003C58FD"/>
    <w:rsid w:val="003C590D"/>
    <w:rsid w:val="003C591B"/>
    <w:rsid w:val="003C5AA0"/>
    <w:rsid w:val="003C5ABD"/>
    <w:rsid w:val="003C5B1F"/>
    <w:rsid w:val="003C5B83"/>
    <w:rsid w:val="003C5B91"/>
    <w:rsid w:val="003C5C28"/>
    <w:rsid w:val="003C5D4C"/>
    <w:rsid w:val="003C5DB5"/>
    <w:rsid w:val="003C5E58"/>
    <w:rsid w:val="003C5F2D"/>
    <w:rsid w:val="003C5FA2"/>
    <w:rsid w:val="003C608A"/>
    <w:rsid w:val="003C615D"/>
    <w:rsid w:val="003C61C9"/>
    <w:rsid w:val="003C6279"/>
    <w:rsid w:val="003C62B2"/>
    <w:rsid w:val="003C63AC"/>
    <w:rsid w:val="003C6434"/>
    <w:rsid w:val="003C64A9"/>
    <w:rsid w:val="003C64FC"/>
    <w:rsid w:val="003C6583"/>
    <w:rsid w:val="003C663B"/>
    <w:rsid w:val="003C66D5"/>
    <w:rsid w:val="003C6764"/>
    <w:rsid w:val="003C684C"/>
    <w:rsid w:val="003C68A0"/>
    <w:rsid w:val="003C6A17"/>
    <w:rsid w:val="003C6A41"/>
    <w:rsid w:val="003C6A43"/>
    <w:rsid w:val="003C6A62"/>
    <w:rsid w:val="003C6ACE"/>
    <w:rsid w:val="003C6AF1"/>
    <w:rsid w:val="003C6B2F"/>
    <w:rsid w:val="003C6B75"/>
    <w:rsid w:val="003C6BFE"/>
    <w:rsid w:val="003C6C31"/>
    <w:rsid w:val="003C6CD7"/>
    <w:rsid w:val="003C6D32"/>
    <w:rsid w:val="003C6DBC"/>
    <w:rsid w:val="003C6E44"/>
    <w:rsid w:val="003C6E5B"/>
    <w:rsid w:val="003C6F8C"/>
    <w:rsid w:val="003C6F90"/>
    <w:rsid w:val="003C700F"/>
    <w:rsid w:val="003C708C"/>
    <w:rsid w:val="003C7090"/>
    <w:rsid w:val="003C710E"/>
    <w:rsid w:val="003C721B"/>
    <w:rsid w:val="003C7317"/>
    <w:rsid w:val="003C7472"/>
    <w:rsid w:val="003C74DD"/>
    <w:rsid w:val="003C761E"/>
    <w:rsid w:val="003C7856"/>
    <w:rsid w:val="003C7899"/>
    <w:rsid w:val="003C78F2"/>
    <w:rsid w:val="003C79B6"/>
    <w:rsid w:val="003C7A33"/>
    <w:rsid w:val="003C7ADB"/>
    <w:rsid w:val="003C7C17"/>
    <w:rsid w:val="003C7E2C"/>
    <w:rsid w:val="003C7FCF"/>
    <w:rsid w:val="003D0044"/>
    <w:rsid w:val="003D0142"/>
    <w:rsid w:val="003D0177"/>
    <w:rsid w:val="003D0244"/>
    <w:rsid w:val="003D02AC"/>
    <w:rsid w:val="003D038E"/>
    <w:rsid w:val="003D062B"/>
    <w:rsid w:val="003D0632"/>
    <w:rsid w:val="003D0774"/>
    <w:rsid w:val="003D07D8"/>
    <w:rsid w:val="003D07FD"/>
    <w:rsid w:val="003D0863"/>
    <w:rsid w:val="003D08A0"/>
    <w:rsid w:val="003D08CD"/>
    <w:rsid w:val="003D091E"/>
    <w:rsid w:val="003D092E"/>
    <w:rsid w:val="003D0966"/>
    <w:rsid w:val="003D0A03"/>
    <w:rsid w:val="003D0B82"/>
    <w:rsid w:val="003D0C32"/>
    <w:rsid w:val="003D0D6F"/>
    <w:rsid w:val="003D0DB5"/>
    <w:rsid w:val="003D0E7A"/>
    <w:rsid w:val="003D0F5E"/>
    <w:rsid w:val="003D0FAF"/>
    <w:rsid w:val="003D0FF4"/>
    <w:rsid w:val="003D1059"/>
    <w:rsid w:val="003D1189"/>
    <w:rsid w:val="003D1241"/>
    <w:rsid w:val="003D132D"/>
    <w:rsid w:val="003D1349"/>
    <w:rsid w:val="003D13D2"/>
    <w:rsid w:val="003D1447"/>
    <w:rsid w:val="003D1573"/>
    <w:rsid w:val="003D15B8"/>
    <w:rsid w:val="003D15D3"/>
    <w:rsid w:val="003D15E5"/>
    <w:rsid w:val="003D1614"/>
    <w:rsid w:val="003D1630"/>
    <w:rsid w:val="003D1648"/>
    <w:rsid w:val="003D178A"/>
    <w:rsid w:val="003D17D2"/>
    <w:rsid w:val="003D197C"/>
    <w:rsid w:val="003D1D26"/>
    <w:rsid w:val="003D1D7E"/>
    <w:rsid w:val="003D1E33"/>
    <w:rsid w:val="003D1F34"/>
    <w:rsid w:val="003D2064"/>
    <w:rsid w:val="003D211D"/>
    <w:rsid w:val="003D22E0"/>
    <w:rsid w:val="003D24AC"/>
    <w:rsid w:val="003D2594"/>
    <w:rsid w:val="003D262F"/>
    <w:rsid w:val="003D2721"/>
    <w:rsid w:val="003D27EB"/>
    <w:rsid w:val="003D2969"/>
    <w:rsid w:val="003D29A1"/>
    <w:rsid w:val="003D29B8"/>
    <w:rsid w:val="003D2A01"/>
    <w:rsid w:val="003D2A3B"/>
    <w:rsid w:val="003D2A9D"/>
    <w:rsid w:val="003D2B1D"/>
    <w:rsid w:val="003D2BEE"/>
    <w:rsid w:val="003D2C02"/>
    <w:rsid w:val="003D2CA2"/>
    <w:rsid w:val="003D2D34"/>
    <w:rsid w:val="003D2E26"/>
    <w:rsid w:val="003D2E9B"/>
    <w:rsid w:val="003D2FAE"/>
    <w:rsid w:val="003D2FB5"/>
    <w:rsid w:val="003D3005"/>
    <w:rsid w:val="003D30C2"/>
    <w:rsid w:val="003D30D1"/>
    <w:rsid w:val="003D30F6"/>
    <w:rsid w:val="003D317A"/>
    <w:rsid w:val="003D319A"/>
    <w:rsid w:val="003D3217"/>
    <w:rsid w:val="003D3235"/>
    <w:rsid w:val="003D3276"/>
    <w:rsid w:val="003D32A2"/>
    <w:rsid w:val="003D32DD"/>
    <w:rsid w:val="003D3395"/>
    <w:rsid w:val="003D33B7"/>
    <w:rsid w:val="003D34AE"/>
    <w:rsid w:val="003D34EC"/>
    <w:rsid w:val="003D35DC"/>
    <w:rsid w:val="003D36CF"/>
    <w:rsid w:val="003D36EF"/>
    <w:rsid w:val="003D371E"/>
    <w:rsid w:val="003D3765"/>
    <w:rsid w:val="003D3786"/>
    <w:rsid w:val="003D3806"/>
    <w:rsid w:val="003D38B1"/>
    <w:rsid w:val="003D3954"/>
    <w:rsid w:val="003D3A17"/>
    <w:rsid w:val="003D3A4D"/>
    <w:rsid w:val="003D3A5D"/>
    <w:rsid w:val="003D3A9D"/>
    <w:rsid w:val="003D3BF9"/>
    <w:rsid w:val="003D3C05"/>
    <w:rsid w:val="003D3D1C"/>
    <w:rsid w:val="003D3E56"/>
    <w:rsid w:val="003D3E92"/>
    <w:rsid w:val="003D3E98"/>
    <w:rsid w:val="003D3EAF"/>
    <w:rsid w:val="003D3EC2"/>
    <w:rsid w:val="003D3F6C"/>
    <w:rsid w:val="003D3F89"/>
    <w:rsid w:val="003D3F8D"/>
    <w:rsid w:val="003D4172"/>
    <w:rsid w:val="003D418A"/>
    <w:rsid w:val="003D41E5"/>
    <w:rsid w:val="003D42E8"/>
    <w:rsid w:val="003D4319"/>
    <w:rsid w:val="003D4457"/>
    <w:rsid w:val="003D448B"/>
    <w:rsid w:val="003D44C9"/>
    <w:rsid w:val="003D4576"/>
    <w:rsid w:val="003D461C"/>
    <w:rsid w:val="003D46C6"/>
    <w:rsid w:val="003D46DF"/>
    <w:rsid w:val="003D47C6"/>
    <w:rsid w:val="003D47F2"/>
    <w:rsid w:val="003D4840"/>
    <w:rsid w:val="003D48B7"/>
    <w:rsid w:val="003D4965"/>
    <w:rsid w:val="003D4B41"/>
    <w:rsid w:val="003D4C09"/>
    <w:rsid w:val="003D4C2C"/>
    <w:rsid w:val="003D4CBF"/>
    <w:rsid w:val="003D4EB8"/>
    <w:rsid w:val="003D4F16"/>
    <w:rsid w:val="003D4F3F"/>
    <w:rsid w:val="003D5008"/>
    <w:rsid w:val="003D5088"/>
    <w:rsid w:val="003D50C3"/>
    <w:rsid w:val="003D50EF"/>
    <w:rsid w:val="003D517B"/>
    <w:rsid w:val="003D52C1"/>
    <w:rsid w:val="003D5313"/>
    <w:rsid w:val="003D534C"/>
    <w:rsid w:val="003D54B8"/>
    <w:rsid w:val="003D54C8"/>
    <w:rsid w:val="003D55FE"/>
    <w:rsid w:val="003D560F"/>
    <w:rsid w:val="003D562D"/>
    <w:rsid w:val="003D5749"/>
    <w:rsid w:val="003D574F"/>
    <w:rsid w:val="003D575F"/>
    <w:rsid w:val="003D5781"/>
    <w:rsid w:val="003D57A6"/>
    <w:rsid w:val="003D58E0"/>
    <w:rsid w:val="003D597B"/>
    <w:rsid w:val="003D597C"/>
    <w:rsid w:val="003D59EB"/>
    <w:rsid w:val="003D5B0A"/>
    <w:rsid w:val="003D5B64"/>
    <w:rsid w:val="003D5C48"/>
    <w:rsid w:val="003D5CED"/>
    <w:rsid w:val="003D5D9C"/>
    <w:rsid w:val="003D5F3B"/>
    <w:rsid w:val="003D5FC3"/>
    <w:rsid w:val="003D5FE2"/>
    <w:rsid w:val="003D6032"/>
    <w:rsid w:val="003D604C"/>
    <w:rsid w:val="003D6224"/>
    <w:rsid w:val="003D6307"/>
    <w:rsid w:val="003D6427"/>
    <w:rsid w:val="003D645F"/>
    <w:rsid w:val="003D64AE"/>
    <w:rsid w:val="003D64D0"/>
    <w:rsid w:val="003D6505"/>
    <w:rsid w:val="003D6532"/>
    <w:rsid w:val="003D6583"/>
    <w:rsid w:val="003D6655"/>
    <w:rsid w:val="003D672B"/>
    <w:rsid w:val="003D67D5"/>
    <w:rsid w:val="003D67E4"/>
    <w:rsid w:val="003D697A"/>
    <w:rsid w:val="003D699B"/>
    <w:rsid w:val="003D6A96"/>
    <w:rsid w:val="003D6BA0"/>
    <w:rsid w:val="003D6BE6"/>
    <w:rsid w:val="003D6D5A"/>
    <w:rsid w:val="003D6D8F"/>
    <w:rsid w:val="003D70A9"/>
    <w:rsid w:val="003D71E8"/>
    <w:rsid w:val="003D72D7"/>
    <w:rsid w:val="003D72FD"/>
    <w:rsid w:val="003D73AF"/>
    <w:rsid w:val="003D7437"/>
    <w:rsid w:val="003D74DE"/>
    <w:rsid w:val="003D7615"/>
    <w:rsid w:val="003D7618"/>
    <w:rsid w:val="003D76DB"/>
    <w:rsid w:val="003D77E1"/>
    <w:rsid w:val="003D7809"/>
    <w:rsid w:val="003D787D"/>
    <w:rsid w:val="003D78A9"/>
    <w:rsid w:val="003D793C"/>
    <w:rsid w:val="003D799F"/>
    <w:rsid w:val="003D7A0F"/>
    <w:rsid w:val="003D7A77"/>
    <w:rsid w:val="003D7ACC"/>
    <w:rsid w:val="003D7B59"/>
    <w:rsid w:val="003D7C08"/>
    <w:rsid w:val="003D7C1B"/>
    <w:rsid w:val="003D7C8C"/>
    <w:rsid w:val="003D7D58"/>
    <w:rsid w:val="003D7DAC"/>
    <w:rsid w:val="003D7E60"/>
    <w:rsid w:val="003D7E91"/>
    <w:rsid w:val="003D7F7A"/>
    <w:rsid w:val="003D7F7B"/>
    <w:rsid w:val="003E0010"/>
    <w:rsid w:val="003E0017"/>
    <w:rsid w:val="003E01E9"/>
    <w:rsid w:val="003E0394"/>
    <w:rsid w:val="003E0397"/>
    <w:rsid w:val="003E0621"/>
    <w:rsid w:val="003E0647"/>
    <w:rsid w:val="003E075E"/>
    <w:rsid w:val="003E07F1"/>
    <w:rsid w:val="003E0834"/>
    <w:rsid w:val="003E0898"/>
    <w:rsid w:val="003E089B"/>
    <w:rsid w:val="003E0901"/>
    <w:rsid w:val="003E09BE"/>
    <w:rsid w:val="003E0A62"/>
    <w:rsid w:val="003E0C0B"/>
    <w:rsid w:val="003E0CCB"/>
    <w:rsid w:val="003E0D08"/>
    <w:rsid w:val="003E0DB3"/>
    <w:rsid w:val="003E0E4D"/>
    <w:rsid w:val="003E0F4D"/>
    <w:rsid w:val="003E100C"/>
    <w:rsid w:val="003E10A7"/>
    <w:rsid w:val="003E114F"/>
    <w:rsid w:val="003E11B6"/>
    <w:rsid w:val="003E11E8"/>
    <w:rsid w:val="003E123A"/>
    <w:rsid w:val="003E127F"/>
    <w:rsid w:val="003E129A"/>
    <w:rsid w:val="003E145D"/>
    <w:rsid w:val="003E1671"/>
    <w:rsid w:val="003E1924"/>
    <w:rsid w:val="003E192B"/>
    <w:rsid w:val="003E1A07"/>
    <w:rsid w:val="003E1A73"/>
    <w:rsid w:val="003E1ABA"/>
    <w:rsid w:val="003E1AC8"/>
    <w:rsid w:val="003E1BBB"/>
    <w:rsid w:val="003E1C94"/>
    <w:rsid w:val="003E1DB4"/>
    <w:rsid w:val="003E1DBE"/>
    <w:rsid w:val="003E1ECD"/>
    <w:rsid w:val="003E1EFE"/>
    <w:rsid w:val="003E1F93"/>
    <w:rsid w:val="003E202F"/>
    <w:rsid w:val="003E211E"/>
    <w:rsid w:val="003E217D"/>
    <w:rsid w:val="003E21E4"/>
    <w:rsid w:val="003E21FE"/>
    <w:rsid w:val="003E22CB"/>
    <w:rsid w:val="003E244A"/>
    <w:rsid w:val="003E24F7"/>
    <w:rsid w:val="003E2510"/>
    <w:rsid w:val="003E25B0"/>
    <w:rsid w:val="003E2691"/>
    <w:rsid w:val="003E2702"/>
    <w:rsid w:val="003E2955"/>
    <w:rsid w:val="003E2A05"/>
    <w:rsid w:val="003E2A3E"/>
    <w:rsid w:val="003E2A6A"/>
    <w:rsid w:val="003E2C79"/>
    <w:rsid w:val="003E2C7A"/>
    <w:rsid w:val="003E2D9C"/>
    <w:rsid w:val="003E2E5B"/>
    <w:rsid w:val="003E30B2"/>
    <w:rsid w:val="003E30D7"/>
    <w:rsid w:val="003E314C"/>
    <w:rsid w:val="003E321F"/>
    <w:rsid w:val="003E32C8"/>
    <w:rsid w:val="003E32F9"/>
    <w:rsid w:val="003E333D"/>
    <w:rsid w:val="003E3341"/>
    <w:rsid w:val="003E342E"/>
    <w:rsid w:val="003E3496"/>
    <w:rsid w:val="003E3514"/>
    <w:rsid w:val="003E3583"/>
    <w:rsid w:val="003E35B8"/>
    <w:rsid w:val="003E35BF"/>
    <w:rsid w:val="003E35FD"/>
    <w:rsid w:val="003E3676"/>
    <w:rsid w:val="003E36BA"/>
    <w:rsid w:val="003E37A8"/>
    <w:rsid w:val="003E380F"/>
    <w:rsid w:val="003E384D"/>
    <w:rsid w:val="003E38D6"/>
    <w:rsid w:val="003E3948"/>
    <w:rsid w:val="003E399E"/>
    <w:rsid w:val="003E39C1"/>
    <w:rsid w:val="003E3A1A"/>
    <w:rsid w:val="003E3A2E"/>
    <w:rsid w:val="003E3A92"/>
    <w:rsid w:val="003E3B5C"/>
    <w:rsid w:val="003E3DD7"/>
    <w:rsid w:val="003E3E45"/>
    <w:rsid w:val="003E3ECB"/>
    <w:rsid w:val="003E3F24"/>
    <w:rsid w:val="003E4031"/>
    <w:rsid w:val="003E4178"/>
    <w:rsid w:val="003E41AA"/>
    <w:rsid w:val="003E4282"/>
    <w:rsid w:val="003E4321"/>
    <w:rsid w:val="003E4348"/>
    <w:rsid w:val="003E43A5"/>
    <w:rsid w:val="003E4479"/>
    <w:rsid w:val="003E44AD"/>
    <w:rsid w:val="003E44F9"/>
    <w:rsid w:val="003E450F"/>
    <w:rsid w:val="003E4539"/>
    <w:rsid w:val="003E4543"/>
    <w:rsid w:val="003E4580"/>
    <w:rsid w:val="003E46B1"/>
    <w:rsid w:val="003E4814"/>
    <w:rsid w:val="003E491B"/>
    <w:rsid w:val="003E4AEF"/>
    <w:rsid w:val="003E4B81"/>
    <w:rsid w:val="003E4C0C"/>
    <w:rsid w:val="003E4D3A"/>
    <w:rsid w:val="003E4DCA"/>
    <w:rsid w:val="003E4EFF"/>
    <w:rsid w:val="003E505C"/>
    <w:rsid w:val="003E5063"/>
    <w:rsid w:val="003E5078"/>
    <w:rsid w:val="003E5096"/>
    <w:rsid w:val="003E5098"/>
    <w:rsid w:val="003E510D"/>
    <w:rsid w:val="003E5262"/>
    <w:rsid w:val="003E52FE"/>
    <w:rsid w:val="003E536E"/>
    <w:rsid w:val="003E5407"/>
    <w:rsid w:val="003E54CD"/>
    <w:rsid w:val="003E5588"/>
    <w:rsid w:val="003E55F0"/>
    <w:rsid w:val="003E5663"/>
    <w:rsid w:val="003E56F2"/>
    <w:rsid w:val="003E5876"/>
    <w:rsid w:val="003E588E"/>
    <w:rsid w:val="003E58A4"/>
    <w:rsid w:val="003E5949"/>
    <w:rsid w:val="003E59B2"/>
    <w:rsid w:val="003E5A83"/>
    <w:rsid w:val="003E5AEC"/>
    <w:rsid w:val="003E5B7A"/>
    <w:rsid w:val="003E5BAD"/>
    <w:rsid w:val="003E5BCE"/>
    <w:rsid w:val="003E5CD4"/>
    <w:rsid w:val="003E5CDE"/>
    <w:rsid w:val="003E5D0C"/>
    <w:rsid w:val="003E5D1A"/>
    <w:rsid w:val="003E5DC3"/>
    <w:rsid w:val="003E5FAB"/>
    <w:rsid w:val="003E60BA"/>
    <w:rsid w:val="003E60CB"/>
    <w:rsid w:val="003E6194"/>
    <w:rsid w:val="003E6204"/>
    <w:rsid w:val="003E624C"/>
    <w:rsid w:val="003E6308"/>
    <w:rsid w:val="003E641E"/>
    <w:rsid w:val="003E643A"/>
    <w:rsid w:val="003E6493"/>
    <w:rsid w:val="003E6558"/>
    <w:rsid w:val="003E6582"/>
    <w:rsid w:val="003E65B4"/>
    <w:rsid w:val="003E6768"/>
    <w:rsid w:val="003E680F"/>
    <w:rsid w:val="003E6884"/>
    <w:rsid w:val="003E69BC"/>
    <w:rsid w:val="003E69EB"/>
    <w:rsid w:val="003E6A16"/>
    <w:rsid w:val="003E6A2E"/>
    <w:rsid w:val="003E6B54"/>
    <w:rsid w:val="003E6B5A"/>
    <w:rsid w:val="003E6B73"/>
    <w:rsid w:val="003E6C30"/>
    <w:rsid w:val="003E6C78"/>
    <w:rsid w:val="003E6D92"/>
    <w:rsid w:val="003E6DD2"/>
    <w:rsid w:val="003E6E01"/>
    <w:rsid w:val="003E6E33"/>
    <w:rsid w:val="003E70A4"/>
    <w:rsid w:val="003E70B7"/>
    <w:rsid w:val="003E7144"/>
    <w:rsid w:val="003E7158"/>
    <w:rsid w:val="003E7238"/>
    <w:rsid w:val="003E7240"/>
    <w:rsid w:val="003E724D"/>
    <w:rsid w:val="003E73BA"/>
    <w:rsid w:val="003E7400"/>
    <w:rsid w:val="003E743B"/>
    <w:rsid w:val="003E747B"/>
    <w:rsid w:val="003E75CF"/>
    <w:rsid w:val="003E75F2"/>
    <w:rsid w:val="003E76DD"/>
    <w:rsid w:val="003E77EE"/>
    <w:rsid w:val="003E7864"/>
    <w:rsid w:val="003E786B"/>
    <w:rsid w:val="003E7872"/>
    <w:rsid w:val="003E7888"/>
    <w:rsid w:val="003E78E8"/>
    <w:rsid w:val="003E79D2"/>
    <w:rsid w:val="003E79FF"/>
    <w:rsid w:val="003E7A65"/>
    <w:rsid w:val="003E7A69"/>
    <w:rsid w:val="003E7A78"/>
    <w:rsid w:val="003E7A9A"/>
    <w:rsid w:val="003E7AAA"/>
    <w:rsid w:val="003E7AC3"/>
    <w:rsid w:val="003E7B5E"/>
    <w:rsid w:val="003E7B7F"/>
    <w:rsid w:val="003E7C3D"/>
    <w:rsid w:val="003E7D42"/>
    <w:rsid w:val="003E7EC3"/>
    <w:rsid w:val="003E7F23"/>
    <w:rsid w:val="003E7F2F"/>
    <w:rsid w:val="003F001E"/>
    <w:rsid w:val="003F0057"/>
    <w:rsid w:val="003F0096"/>
    <w:rsid w:val="003F017B"/>
    <w:rsid w:val="003F019A"/>
    <w:rsid w:val="003F027C"/>
    <w:rsid w:val="003F02E6"/>
    <w:rsid w:val="003F02EE"/>
    <w:rsid w:val="003F0329"/>
    <w:rsid w:val="003F0330"/>
    <w:rsid w:val="003F0387"/>
    <w:rsid w:val="003F0401"/>
    <w:rsid w:val="003F0429"/>
    <w:rsid w:val="003F07E5"/>
    <w:rsid w:val="003F0835"/>
    <w:rsid w:val="003F0A44"/>
    <w:rsid w:val="003F0AB0"/>
    <w:rsid w:val="003F0BB4"/>
    <w:rsid w:val="003F0BF3"/>
    <w:rsid w:val="003F0BFD"/>
    <w:rsid w:val="003F0DD7"/>
    <w:rsid w:val="003F0DF7"/>
    <w:rsid w:val="003F0EDB"/>
    <w:rsid w:val="003F0EF7"/>
    <w:rsid w:val="003F100E"/>
    <w:rsid w:val="003F10E3"/>
    <w:rsid w:val="003F11D9"/>
    <w:rsid w:val="003F135A"/>
    <w:rsid w:val="003F13A2"/>
    <w:rsid w:val="003F13FD"/>
    <w:rsid w:val="003F152D"/>
    <w:rsid w:val="003F1539"/>
    <w:rsid w:val="003F159C"/>
    <w:rsid w:val="003F15E3"/>
    <w:rsid w:val="003F165C"/>
    <w:rsid w:val="003F16F5"/>
    <w:rsid w:val="003F176E"/>
    <w:rsid w:val="003F1792"/>
    <w:rsid w:val="003F179A"/>
    <w:rsid w:val="003F1807"/>
    <w:rsid w:val="003F190D"/>
    <w:rsid w:val="003F1913"/>
    <w:rsid w:val="003F19F8"/>
    <w:rsid w:val="003F1A59"/>
    <w:rsid w:val="003F1B06"/>
    <w:rsid w:val="003F1B37"/>
    <w:rsid w:val="003F1B56"/>
    <w:rsid w:val="003F1B70"/>
    <w:rsid w:val="003F1BE5"/>
    <w:rsid w:val="003F1CA0"/>
    <w:rsid w:val="003F1D65"/>
    <w:rsid w:val="003F1D68"/>
    <w:rsid w:val="003F1DD6"/>
    <w:rsid w:val="003F1F66"/>
    <w:rsid w:val="003F1FB0"/>
    <w:rsid w:val="003F2020"/>
    <w:rsid w:val="003F207A"/>
    <w:rsid w:val="003F22A5"/>
    <w:rsid w:val="003F2362"/>
    <w:rsid w:val="003F237C"/>
    <w:rsid w:val="003F2384"/>
    <w:rsid w:val="003F2392"/>
    <w:rsid w:val="003F241D"/>
    <w:rsid w:val="003F2554"/>
    <w:rsid w:val="003F25D6"/>
    <w:rsid w:val="003F2723"/>
    <w:rsid w:val="003F278B"/>
    <w:rsid w:val="003F27E9"/>
    <w:rsid w:val="003F2832"/>
    <w:rsid w:val="003F2889"/>
    <w:rsid w:val="003F28A7"/>
    <w:rsid w:val="003F28FF"/>
    <w:rsid w:val="003F291B"/>
    <w:rsid w:val="003F2952"/>
    <w:rsid w:val="003F29CA"/>
    <w:rsid w:val="003F2B19"/>
    <w:rsid w:val="003F2B49"/>
    <w:rsid w:val="003F2BB1"/>
    <w:rsid w:val="003F2C11"/>
    <w:rsid w:val="003F2C1C"/>
    <w:rsid w:val="003F2C8F"/>
    <w:rsid w:val="003F2D0D"/>
    <w:rsid w:val="003F2D31"/>
    <w:rsid w:val="003F2DA5"/>
    <w:rsid w:val="003F2DC4"/>
    <w:rsid w:val="003F2DCC"/>
    <w:rsid w:val="003F2F1B"/>
    <w:rsid w:val="003F2FF6"/>
    <w:rsid w:val="003F3063"/>
    <w:rsid w:val="003F30AE"/>
    <w:rsid w:val="003F3127"/>
    <w:rsid w:val="003F3161"/>
    <w:rsid w:val="003F316B"/>
    <w:rsid w:val="003F31A9"/>
    <w:rsid w:val="003F3251"/>
    <w:rsid w:val="003F3327"/>
    <w:rsid w:val="003F33F0"/>
    <w:rsid w:val="003F34BF"/>
    <w:rsid w:val="003F351C"/>
    <w:rsid w:val="003F3596"/>
    <w:rsid w:val="003F3641"/>
    <w:rsid w:val="003F37B8"/>
    <w:rsid w:val="003F37C2"/>
    <w:rsid w:val="003F37D0"/>
    <w:rsid w:val="003F38F8"/>
    <w:rsid w:val="003F3931"/>
    <w:rsid w:val="003F3B16"/>
    <w:rsid w:val="003F3B3E"/>
    <w:rsid w:val="003F3BD7"/>
    <w:rsid w:val="003F3BF4"/>
    <w:rsid w:val="003F3DE5"/>
    <w:rsid w:val="003F3E01"/>
    <w:rsid w:val="003F3F0C"/>
    <w:rsid w:val="003F402D"/>
    <w:rsid w:val="003F403E"/>
    <w:rsid w:val="003F4059"/>
    <w:rsid w:val="003F40AB"/>
    <w:rsid w:val="003F40E5"/>
    <w:rsid w:val="003F41D7"/>
    <w:rsid w:val="003F4236"/>
    <w:rsid w:val="003F423A"/>
    <w:rsid w:val="003F42C5"/>
    <w:rsid w:val="003F4337"/>
    <w:rsid w:val="003F43EB"/>
    <w:rsid w:val="003F4404"/>
    <w:rsid w:val="003F44E8"/>
    <w:rsid w:val="003F454F"/>
    <w:rsid w:val="003F45FF"/>
    <w:rsid w:val="003F461F"/>
    <w:rsid w:val="003F462B"/>
    <w:rsid w:val="003F478C"/>
    <w:rsid w:val="003F479C"/>
    <w:rsid w:val="003F482D"/>
    <w:rsid w:val="003F4973"/>
    <w:rsid w:val="003F4AD9"/>
    <w:rsid w:val="003F4BAC"/>
    <w:rsid w:val="003F4C3C"/>
    <w:rsid w:val="003F4C41"/>
    <w:rsid w:val="003F4C68"/>
    <w:rsid w:val="003F4D88"/>
    <w:rsid w:val="003F4DBB"/>
    <w:rsid w:val="003F4DCE"/>
    <w:rsid w:val="003F4E1F"/>
    <w:rsid w:val="003F4EFA"/>
    <w:rsid w:val="003F4F2B"/>
    <w:rsid w:val="003F4F46"/>
    <w:rsid w:val="003F5037"/>
    <w:rsid w:val="003F503B"/>
    <w:rsid w:val="003F5044"/>
    <w:rsid w:val="003F510B"/>
    <w:rsid w:val="003F5133"/>
    <w:rsid w:val="003F5314"/>
    <w:rsid w:val="003F532E"/>
    <w:rsid w:val="003F54D8"/>
    <w:rsid w:val="003F565E"/>
    <w:rsid w:val="003F5716"/>
    <w:rsid w:val="003F5773"/>
    <w:rsid w:val="003F57F9"/>
    <w:rsid w:val="003F5846"/>
    <w:rsid w:val="003F58BC"/>
    <w:rsid w:val="003F58BD"/>
    <w:rsid w:val="003F5910"/>
    <w:rsid w:val="003F5986"/>
    <w:rsid w:val="003F598B"/>
    <w:rsid w:val="003F598C"/>
    <w:rsid w:val="003F59D2"/>
    <w:rsid w:val="003F5A61"/>
    <w:rsid w:val="003F5ABA"/>
    <w:rsid w:val="003F5BED"/>
    <w:rsid w:val="003F5C20"/>
    <w:rsid w:val="003F5C5E"/>
    <w:rsid w:val="003F5E41"/>
    <w:rsid w:val="003F5EB8"/>
    <w:rsid w:val="003F5F08"/>
    <w:rsid w:val="003F60D1"/>
    <w:rsid w:val="003F624B"/>
    <w:rsid w:val="003F6382"/>
    <w:rsid w:val="003F6400"/>
    <w:rsid w:val="003F6492"/>
    <w:rsid w:val="003F64BF"/>
    <w:rsid w:val="003F64C9"/>
    <w:rsid w:val="003F6536"/>
    <w:rsid w:val="003F6769"/>
    <w:rsid w:val="003F67F9"/>
    <w:rsid w:val="003F6959"/>
    <w:rsid w:val="003F697F"/>
    <w:rsid w:val="003F698C"/>
    <w:rsid w:val="003F6BBA"/>
    <w:rsid w:val="003F6C47"/>
    <w:rsid w:val="003F6C61"/>
    <w:rsid w:val="003F6C68"/>
    <w:rsid w:val="003F6D10"/>
    <w:rsid w:val="003F6D5E"/>
    <w:rsid w:val="003F6D61"/>
    <w:rsid w:val="003F6DCD"/>
    <w:rsid w:val="003F6E64"/>
    <w:rsid w:val="003F6EC1"/>
    <w:rsid w:val="003F6EC4"/>
    <w:rsid w:val="003F6F56"/>
    <w:rsid w:val="003F7090"/>
    <w:rsid w:val="003F70C0"/>
    <w:rsid w:val="003F7127"/>
    <w:rsid w:val="003F712A"/>
    <w:rsid w:val="003F71CA"/>
    <w:rsid w:val="003F7274"/>
    <w:rsid w:val="003F727C"/>
    <w:rsid w:val="003F7349"/>
    <w:rsid w:val="003F7540"/>
    <w:rsid w:val="003F756C"/>
    <w:rsid w:val="003F75AB"/>
    <w:rsid w:val="003F7727"/>
    <w:rsid w:val="003F7828"/>
    <w:rsid w:val="003F78ED"/>
    <w:rsid w:val="003F793A"/>
    <w:rsid w:val="003F79E7"/>
    <w:rsid w:val="003F79EE"/>
    <w:rsid w:val="003F7CE1"/>
    <w:rsid w:val="003F7CF4"/>
    <w:rsid w:val="003F7D68"/>
    <w:rsid w:val="003F7ECC"/>
    <w:rsid w:val="003F7F24"/>
    <w:rsid w:val="003F7F3B"/>
    <w:rsid w:val="003F7FD8"/>
    <w:rsid w:val="003F7FDD"/>
    <w:rsid w:val="0040012B"/>
    <w:rsid w:val="004001BE"/>
    <w:rsid w:val="004002D0"/>
    <w:rsid w:val="004002F1"/>
    <w:rsid w:val="00400460"/>
    <w:rsid w:val="00400474"/>
    <w:rsid w:val="004004B4"/>
    <w:rsid w:val="00400554"/>
    <w:rsid w:val="0040055C"/>
    <w:rsid w:val="00400584"/>
    <w:rsid w:val="004005F2"/>
    <w:rsid w:val="0040063F"/>
    <w:rsid w:val="004006CC"/>
    <w:rsid w:val="004007A1"/>
    <w:rsid w:val="004007A2"/>
    <w:rsid w:val="0040088A"/>
    <w:rsid w:val="00400B47"/>
    <w:rsid w:val="00400B66"/>
    <w:rsid w:val="00400B7C"/>
    <w:rsid w:val="00400BD3"/>
    <w:rsid w:val="00400C55"/>
    <w:rsid w:val="00400C5A"/>
    <w:rsid w:val="00400CF0"/>
    <w:rsid w:val="00400D25"/>
    <w:rsid w:val="00400DA2"/>
    <w:rsid w:val="00400DA4"/>
    <w:rsid w:val="00400DE7"/>
    <w:rsid w:val="00400F04"/>
    <w:rsid w:val="00400F5E"/>
    <w:rsid w:val="00400F68"/>
    <w:rsid w:val="0040109B"/>
    <w:rsid w:val="004010F8"/>
    <w:rsid w:val="004010FC"/>
    <w:rsid w:val="00401150"/>
    <w:rsid w:val="00401161"/>
    <w:rsid w:val="004011DF"/>
    <w:rsid w:val="0040125D"/>
    <w:rsid w:val="00401286"/>
    <w:rsid w:val="00401297"/>
    <w:rsid w:val="00401404"/>
    <w:rsid w:val="0040149B"/>
    <w:rsid w:val="004014A5"/>
    <w:rsid w:val="004014B9"/>
    <w:rsid w:val="00401517"/>
    <w:rsid w:val="004015A5"/>
    <w:rsid w:val="004015B1"/>
    <w:rsid w:val="004016E7"/>
    <w:rsid w:val="0040183A"/>
    <w:rsid w:val="00401889"/>
    <w:rsid w:val="00401916"/>
    <w:rsid w:val="00401A64"/>
    <w:rsid w:val="00401AEF"/>
    <w:rsid w:val="00401C42"/>
    <w:rsid w:val="00401DAA"/>
    <w:rsid w:val="0040200B"/>
    <w:rsid w:val="004020F3"/>
    <w:rsid w:val="00402168"/>
    <w:rsid w:val="00402313"/>
    <w:rsid w:val="00402327"/>
    <w:rsid w:val="0040232C"/>
    <w:rsid w:val="00402476"/>
    <w:rsid w:val="00402646"/>
    <w:rsid w:val="00402659"/>
    <w:rsid w:val="0040272B"/>
    <w:rsid w:val="004027E4"/>
    <w:rsid w:val="00402823"/>
    <w:rsid w:val="0040287F"/>
    <w:rsid w:val="0040294E"/>
    <w:rsid w:val="00402A47"/>
    <w:rsid w:val="00402B01"/>
    <w:rsid w:val="00402BEB"/>
    <w:rsid w:val="00402CA8"/>
    <w:rsid w:val="00402CE7"/>
    <w:rsid w:val="00402CEA"/>
    <w:rsid w:val="00402CF0"/>
    <w:rsid w:val="00402D4E"/>
    <w:rsid w:val="00402D8A"/>
    <w:rsid w:val="00402DA8"/>
    <w:rsid w:val="00402EBD"/>
    <w:rsid w:val="00402EF6"/>
    <w:rsid w:val="00402F68"/>
    <w:rsid w:val="00402F73"/>
    <w:rsid w:val="00402F8C"/>
    <w:rsid w:val="00402FF0"/>
    <w:rsid w:val="0040309D"/>
    <w:rsid w:val="004031EA"/>
    <w:rsid w:val="00403333"/>
    <w:rsid w:val="00403388"/>
    <w:rsid w:val="004033F7"/>
    <w:rsid w:val="00403423"/>
    <w:rsid w:val="00403517"/>
    <w:rsid w:val="004035E4"/>
    <w:rsid w:val="00403646"/>
    <w:rsid w:val="0040374E"/>
    <w:rsid w:val="0040392C"/>
    <w:rsid w:val="00403938"/>
    <w:rsid w:val="0040397C"/>
    <w:rsid w:val="0040398D"/>
    <w:rsid w:val="00403A6C"/>
    <w:rsid w:val="00403B1B"/>
    <w:rsid w:val="00403B24"/>
    <w:rsid w:val="00403B2C"/>
    <w:rsid w:val="00403C48"/>
    <w:rsid w:val="00403C61"/>
    <w:rsid w:val="00403C8D"/>
    <w:rsid w:val="00403D76"/>
    <w:rsid w:val="00403EDB"/>
    <w:rsid w:val="00403F16"/>
    <w:rsid w:val="00403F74"/>
    <w:rsid w:val="0040415E"/>
    <w:rsid w:val="00404243"/>
    <w:rsid w:val="004042C4"/>
    <w:rsid w:val="00404301"/>
    <w:rsid w:val="00404333"/>
    <w:rsid w:val="0040435D"/>
    <w:rsid w:val="00404400"/>
    <w:rsid w:val="00404553"/>
    <w:rsid w:val="00404692"/>
    <w:rsid w:val="004046AC"/>
    <w:rsid w:val="00404703"/>
    <w:rsid w:val="00404707"/>
    <w:rsid w:val="00404744"/>
    <w:rsid w:val="00404750"/>
    <w:rsid w:val="004047DB"/>
    <w:rsid w:val="004047F1"/>
    <w:rsid w:val="00404A20"/>
    <w:rsid w:val="00404A27"/>
    <w:rsid w:val="00404A62"/>
    <w:rsid w:val="00404B49"/>
    <w:rsid w:val="00404B74"/>
    <w:rsid w:val="00404C5F"/>
    <w:rsid w:val="00404C93"/>
    <w:rsid w:val="00404C9D"/>
    <w:rsid w:val="00404CC7"/>
    <w:rsid w:val="00404CDD"/>
    <w:rsid w:val="00404D21"/>
    <w:rsid w:val="00404D67"/>
    <w:rsid w:val="00404DAE"/>
    <w:rsid w:val="00404DE0"/>
    <w:rsid w:val="00404E33"/>
    <w:rsid w:val="004050AA"/>
    <w:rsid w:val="004050AC"/>
    <w:rsid w:val="004050C3"/>
    <w:rsid w:val="004051A9"/>
    <w:rsid w:val="00405230"/>
    <w:rsid w:val="0040527E"/>
    <w:rsid w:val="004052C3"/>
    <w:rsid w:val="00405358"/>
    <w:rsid w:val="00405377"/>
    <w:rsid w:val="00405405"/>
    <w:rsid w:val="0040558E"/>
    <w:rsid w:val="00405849"/>
    <w:rsid w:val="0040588E"/>
    <w:rsid w:val="004058C9"/>
    <w:rsid w:val="0040593C"/>
    <w:rsid w:val="0040599C"/>
    <w:rsid w:val="00405A06"/>
    <w:rsid w:val="00405A84"/>
    <w:rsid w:val="00405AE3"/>
    <w:rsid w:val="00405B1D"/>
    <w:rsid w:val="00405C07"/>
    <w:rsid w:val="00405EEE"/>
    <w:rsid w:val="00405F53"/>
    <w:rsid w:val="00405FBE"/>
    <w:rsid w:val="004060D1"/>
    <w:rsid w:val="00406113"/>
    <w:rsid w:val="0040617D"/>
    <w:rsid w:val="004061EA"/>
    <w:rsid w:val="00406227"/>
    <w:rsid w:val="00406240"/>
    <w:rsid w:val="004063FE"/>
    <w:rsid w:val="00406443"/>
    <w:rsid w:val="004064F0"/>
    <w:rsid w:val="00406522"/>
    <w:rsid w:val="004065A3"/>
    <w:rsid w:val="004066C3"/>
    <w:rsid w:val="00406721"/>
    <w:rsid w:val="00406724"/>
    <w:rsid w:val="00406744"/>
    <w:rsid w:val="0040676D"/>
    <w:rsid w:val="00406789"/>
    <w:rsid w:val="0040682E"/>
    <w:rsid w:val="00406837"/>
    <w:rsid w:val="00406841"/>
    <w:rsid w:val="00406BE9"/>
    <w:rsid w:val="00406C88"/>
    <w:rsid w:val="00406C97"/>
    <w:rsid w:val="00406CB5"/>
    <w:rsid w:val="00406CBE"/>
    <w:rsid w:val="00406D7A"/>
    <w:rsid w:val="00406E6B"/>
    <w:rsid w:val="00406F77"/>
    <w:rsid w:val="00407027"/>
    <w:rsid w:val="00407072"/>
    <w:rsid w:val="004070D2"/>
    <w:rsid w:val="004072AF"/>
    <w:rsid w:val="004073F6"/>
    <w:rsid w:val="0040747A"/>
    <w:rsid w:val="004074D2"/>
    <w:rsid w:val="004074DE"/>
    <w:rsid w:val="004074EE"/>
    <w:rsid w:val="0040758C"/>
    <w:rsid w:val="004076F7"/>
    <w:rsid w:val="00407768"/>
    <w:rsid w:val="004077BA"/>
    <w:rsid w:val="004078CA"/>
    <w:rsid w:val="00407958"/>
    <w:rsid w:val="00407A24"/>
    <w:rsid w:val="00407A55"/>
    <w:rsid w:val="00407B38"/>
    <w:rsid w:val="00407B6C"/>
    <w:rsid w:val="00407B97"/>
    <w:rsid w:val="00407BD4"/>
    <w:rsid w:val="00407DA3"/>
    <w:rsid w:val="00407DB0"/>
    <w:rsid w:val="00407E47"/>
    <w:rsid w:val="004100C6"/>
    <w:rsid w:val="00410102"/>
    <w:rsid w:val="0041011A"/>
    <w:rsid w:val="004101E1"/>
    <w:rsid w:val="00410209"/>
    <w:rsid w:val="0041021C"/>
    <w:rsid w:val="00410249"/>
    <w:rsid w:val="004102F1"/>
    <w:rsid w:val="00410336"/>
    <w:rsid w:val="0041048F"/>
    <w:rsid w:val="0041050E"/>
    <w:rsid w:val="00410535"/>
    <w:rsid w:val="00410574"/>
    <w:rsid w:val="004105A5"/>
    <w:rsid w:val="0041064C"/>
    <w:rsid w:val="0041078A"/>
    <w:rsid w:val="0041083E"/>
    <w:rsid w:val="0041087C"/>
    <w:rsid w:val="004108A0"/>
    <w:rsid w:val="004108A8"/>
    <w:rsid w:val="004109CD"/>
    <w:rsid w:val="00410A60"/>
    <w:rsid w:val="00410AD8"/>
    <w:rsid w:val="00410B64"/>
    <w:rsid w:val="00410BB6"/>
    <w:rsid w:val="00410C03"/>
    <w:rsid w:val="00410E59"/>
    <w:rsid w:val="00410EB1"/>
    <w:rsid w:val="00410F25"/>
    <w:rsid w:val="00410F26"/>
    <w:rsid w:val="00410FEE"/>
    <w:rsid w:val="00411052"/>
    <w:rsid w:val="00411186"/>
    <w:rsid w:val="004111AF"/>
    <w:rsid w:val="0041135D"/>
    <w:rsid w:val="0041137B"/>
    <w:rsid w:val="004113A2"/>
    <w:rsid w:val="004113BD"/>
    <w:rsid w:val="004113C2"/>
    <w:rsid w:val="004113D9"/>
    <w:rsid w:val="00411483"/>
    <w:rsid w:val="004114A7"/>
    <w:rsid w:val="0041154A"/>
    <w:rsid w:val="00411577"/>
    <w:rsid w:val="0041162F"/>
    <w:rsid w:val="00411681"/>
    <w:rsid w:val="00411698"/>
    <w:rsid w:val="00411722"/>
    <w:rsid w:val="004117B1"/>
    <w:rsid w:val="004117EA"/>
    <w:rsid w:val="00411850"/>
    <w:rsid w:val="004118C7"/>
    <w:rsid w:val="00411938"/>
    <w:rsid w:val="00411BB9"/>
    <w:rsid w:val="00411CA7"/>
    <w:rsid w:val="00411D12"/>
    <w:rsid w:val="00411D14"/>
    <w:rsid w:val="00411F03"/>
    <w:rsid w:val="00411F0C"/>
    <w:rsid w:val="00411F15"/>
    <w:rsid w:val="00411FB1"/>
    <w:rsid w:val="00411FB3"/>
    <w:rsid w:val="00411FF6"/>
    <w:rsid w:val="0041205E"/>
    <w:rsid w:val="0041213E"/>
    <w:rsid w:val="004123C1"/>
    <w:rsid w:val="00412400"/>
    <w:rsid w:val="004124CF"/>
    <w:rsid w:val="0041257B"/>
    <w:rsid w:val="0041257C"/>
    <w:rsid w:val="004125F5"/>
    <w:rsid w:val="00412607"/>
    <w:rsid w:val="004126C3"/>
    <w:rsid w:val="004128AE"/>
    <w:rsid w:val="004128D5"/>
    <w:rsid w:val="004128E4"/>
    <w:rsid w:val="00412A75"/>
    <w:rsid w:val="00412AB9"/>
    <w:rsid w:val="00412BB4"/>
    <w:rsid w:val="00412CE9"/>
    <w:rsid w:val="00412CF5"/>
    <w:rsid w:val="00412D4F"/>
    <w:rsid w:val="00412EBE"/>
    <w:rsid w:val="00413010"/>
    <w:rsid w:val="004130A9"/>
    <w:rsid w:val="004130BF"/>
    <w:rsid w:val="004130E3"/>
    <w:rsid w:val="0041317F"/>
    <w:rsid w:val="00413267"/>
    <w:rsid w:val="004132A5"/>
    <w:rsid w:val="004132A8"/>
    <w:rsid w:val="004132B2"/>
    <w:rsid w:val="004132B5"/>
    <w:rsid w:val="004133DE"/>
    <w:rsid w:val="004134CD"/>
    <w:rsid w:val="00413503"/>
    <w:rsid w:val="0041359D"/>
    <w:rsid w:val="004135B6"/>
    <w:rsid w:val="00413686"/>
    <w:rsid w:val="00413798"/>
    <w:rsid w:val="004137F7"/>
    <w:rsid w:val="00413836"/>
    <w:rsid w:val="004138D4"/>
    <w:rsid w:val="004139A9"/>
    <w:rsid w:val="00413A00"/>
    <w:rsid w:val="00413A38"/>
    <w:rsid w:val="00413A3F"/>
    <w:rsid w:val="00413ABD"/>
    <w:rsid w:val="00413B1B"/>
    <w:rsid w:val="00413B1C"/>
    <w:rsid w:val="00413B6E"/>
    <w:rsid w:val="00413BD6"/>
    <w:rsid w:val="00413BEA"/>
    <w:rsid w:val="00413BEF"/>
    <w:rsid w:val="00413CE3"/>
    <w:rsid w:val="00413D08"/>
    <w:rsid w:val="00413D37"/>
    <w:rsid w:val="00413D75"/>
    <w:rsid w:val="00413E25"/>
    <w:rsid w:val="00413E7E"/>
    <w:rsid w:val="00413EF4"/>
    <w:rsid w:val="00413F22"/>
    <w:rsid w:val="00414001"/>
    <w:rsid w:val="0041401D"/>
    <w:rsid w:val="0041424B"/>
    <w:rsid w:val="0041451C"/>
    <w:rsid w:val="004146AD"/>
    <w:rsid w:val="0041477C"/>
    <w:rsid w:val="00414811"/>
    <w:rsid w:val="00414876"/>
    <w:rsid w:val="00414975"/>
    <w:rsid w:val="0041498A"/>
    <w:rsid w:val="00414A40"/>
    <w:rsid w:val="00414A45"/>
    <w:rsid w:val="00414AD1"/>
    <w:rsid w:val="00414B6B"/>
    <w:rsid w:val="00414BB4"/>
    <w:rsid w:val="00414BC1"/>
    <w:rsid w:val="00414C15"/>
    <w:rsid w:val="00414C78"/>
    <w:rsid w:val="00414CD5"/>
    <w:rsid w:val="00414D74"/>
    <w:rsid w:val="00414DB3"/>
    <w:rsid w:val="00414E9A"/>
    <w:rsid w:val="00414F00"/>
    <w:rsid w:val="00414F4F"/>
    <w:rsid w:val="00415007"/>
    <w:rsid w:val="0041503B"/>
    <w:rsid w:val="004150AC"/>
    <w:rsid w:val="004150D8"/>
    <w:rsid w:val="00415132"/>
    <w:rsid w:val="004151AC"/>
    <w:rsid w:val="0041522D"/>
    <w:rsid w:val="0041526D"/>
    <w:rsid w:val="0041527E"/>
    <w:rsid w:val="0041545D"/>
    <w:rsid w:val="00415467"/>
    <w:rsid w:val="00415550"/>
    <w:rsid w:val="0041574F"/>
    <w:rsid w:val="00415750"/>
    <w:rsid w:val="00415790"/>
    <w:rsid w:val="00415873"/>
    <w:rsid w:val="004158B6"/>
    <w:rsid w:val="004158BE"/>
    <w:rsid w:val="00415904"/>
    <w:rsid w:val="00415905"/>
    <w:rsid w:val="00415A1F"/>
    <w:rsid w:val="00415A20"/>
    <w:rsid w:val="00415B0A"/>
    <w:rsid w:val="00415B43"/>
    <w:rsid w:val="00415BC8"/>
    <w:rsid w:val="00415DAD"/>
    <w:rsid w:val="00415DF1"/>
    <w:rsid w:val="00415E47"/>
    <w:rsid w:val="00415EDA"/>
    <w:rsid w:val="00415EDB"/>
    <w:rsid w:val="00415EE9"/>
    <w:rsid w:val="00415F36"/>
    <w:rsid w:val="00415F7F"/>
    <w:rsid w:val="00415FB8"/>
    <w:rsid w:val="00415FEF"/>
    <w:rsid w:val="00416164"/>
    <w:rsid w:val="00416345"/>
    <w:rsid w:val="00416407"/>
    <w:rsid w:val="00416447"/>
    <w:rsid w:val="00416467"/>
    <w:rsid w:val="0041652B"/>
    <w:rsid w:val="0041654B"/>
    <w:rsid w:val="004165E1"/>
    <w:rsid w:val="0041666D"/>
    <w:rsid w:val="00416914"/>
    <w:rsid w:val="00416979"/>
    <w:rsid w:val="00416A11"/>
    <w:rsid w:val="00416A43"/>
    <w:rsid w:val="00416D7C"/>
    <w:rsid w:val="00416EB9"/>
    <w:rsid w:val="00416F52"/>
    <w:rsid w:val="00416FC0"/>
    <w:rsid w:val="00417092"/>
    <w:rsid w:val="0041710C"/>
    <w:rsid w:val="004171A3"/>
    <w:rsid w:val="00417257"/>
    <w:rsid w:val="004173B7"/>
    <w:rsid w:val="0041755A"/>
    <w:rsid w:val="004175F3"/>
    <w:rsid w:val="004176B1"/>
    <w:rsid w:val="004176E1"/>
    <w:rsid w:val="0041771D"/>
    <w:rsid w:val="0041773A"/>
    <w:rsid w:val="00417948"/>
    <w:rsid w:val="00417976"/>
    <w:rsid w:val="004179CF"/>
    <w:rsid w:val="00417B83"/>
    <w:rsid w:val="00417CE2"/>
    <w:rsid w:val="00417D48"/>
    <w:rsid w:val="00417D6C"/>
    <w:rsid w:val="00417E6C"/>
    <w:rsid w:val="00417E9E"/>
    <w:rsid w:val="00417F73"/>
    <w:rsid w:val="00420008"/>
    <w:rsid w:val="00420017"/>
    <w:rsid w:val="004200C2"/>
    <w:rsid w:val="004200E8"/>
    <w:rsid w:val="004201D6"/>
    <w:rsid w:val="00420235"/>
    <w:rsid w:val="0042024D"/>
    <w:rsid w:val="0042028F"/>
    <w:rsid w:val="0042033B"/>
    <w:rsid w:val="00420355"/>
    <w:rsid w:val="00420589"/>
    <w:rsid w:val="0042059E"/>
    <w:rsid w:val="00420B37"/>
    <w:rsid w:val="00420B7C"/>
    <w:rsid w:val="00420BCA"/>
    <w:rsid w:val="00420C5D"/>
    <w:rsid w:val="00420CD7"/>
    <w:rsid w:val="00420D96"/>
    <w:rsid w:val="00420DF2"/>
    <w:rsid w:val="00420E0C"/>
    <w:rsid w:val="00420E13"/>
    <w:rsid w:val="00420E3E"/>
    <w:rsid w:val="0042107F"/>
    <w:rsid w:val="00421315"/>
    <w:rsid w:val="00421455"/>
    <w:rsid w:val="00421479"/>
    <w:rsid w:val="00421570"/>
    <w:rsid w:val="004215A8"/>
    <w:rsid w:val="004215DC"/>
    <w:rsid w:val="00421612"/>
    <w:rsid w:val="0042168B"/>
    <w:rsid w:val="00421720"/>
    <w:rsid w:val="00421858"/>
    <w:rsid w:val="00421947"/>
    <w:rsid w:val="0042195C"/>
    <w:rsid w:val="00421981"/>
    <w:rsid w:val="00421A7D"/>
    <w:rsid w:val="00421B7B"/>
    <w:rsid w:val="00421BA3"/>
    <w:rsid w:val="00421BFC"/>
    <w:rsid w:val="00421C4C"/>
    <w:rsid w:val="00421CAC"/>
    <w:rsid w:val="00421CCC"/>
    <w:rsid w:val="00421DD0"/>
    <w:rsid w:val="00421DE8"/>
    <w:rsid w:val="00421E4F"/>
    <w:rsid w:val="00421E8D"/>
    <w:rsid w:val="00421F76"/>
    <w:rsid w:val="004220BC"/>
    <w:rsid w:val="00422204"/>
    <w:rsid w:val="004222B6"/>
    <w:rsid w:val="00422304"/>
    <w:rsid w:val="0042233C"/>
    <w:rsid w:val="004224BC"/>
    <w:rsid w:val="00422572"/>
    <w:rsid w:val="004225AE"/>
    <w:rsid w:val="00422604"/>
    <w:rsid w:val="004226C8"/>
    <w:rsid w:val="004226D6"/>
    <w:rsid w:val="004226E1"/>
    <w:rsid w:val="004226E3"/>
    <w:rsid w:val="00422866"/>
    <w:rsid w:val="00422A14"/>
    <w:rsid w:val="00422AF5"/>
    <w:rsid w:val="00422B4A"/>
    <w:rsid w:val="00422BD6"/>
    <w:rsid w:val="00422C89"/>
    <w:rsid w:val="00422CDA"/>
    <w:rsid w:val="00422CFB"/>
    <w:rsid w:val="00422F43"/>
    <w:rsid w:val="00422F5A"/>
    <w:rsid w:val="00422F8D"/>
    <w:rsid w:val="0042300F"/>
    <w:rsid w:val="004230B2"/>
    <w:rsid w:val="004231AF"/>
    <w:rsid w:val="00423306"/>
    <w:rsid w:val="00423524"/>
    <w:rsid w:val="00423630"/>
    <w:rsid w:val="0042380A"/>
    <w:rsid w:val="004238C7"/>
    <w:rsid w:val="004238EE"/>
    <w:rsid w:val="004238FB"/>
    <w:rsid w:val="00423916"/>
    <w:rsid w:val="00423973"/>
    <w:rsid w:val="00423A36"/>
    <w:rsid w:val="00423A97"/>
    <w:rsid w:val="00423BA1"/>
    <w:rsid w:val="00423BDF"/>
    <w:rsid w:val="00423C58"/>
    <w:rsid w:val="00423CA8"/>
    <w:rsid w:val="00423E37"/>
    <w:rsid w:val="00423E53"/>
    <w:rsid w:val="00423FFD"/>
    <w:rsid w:val="00424034"/>
    <w:rsid w:val="0042405B"/>
    <w:rsid w:val="00424084"/>
    <w:rsid w:val="0042408D"/>
    <w:rsid w:val="00424176"/>
    <w:rsid w:val="00424178"/>
    <w:rsid w:val="00424262"/>
    <w:rsid w:val="00424285"/>
    <w:rsid w:val="004242D8"/>
    <w:rsid w:val="00424346"/>
    <w:rsid w:val="004243FC"/>
    <w:rsid w:val="0042440C"/>
    <w:rsid w:val="00424454"/>
    <w:rsid w:val="00424551"/>
    <w:rsid w:val="004245A4"/>
    <w:rsid w:val="004245D1"/>
    <w:rsid w:val="004246F7"/>
    <w:rsid w:val="00424717"/>
    <w:rsid w:val="004247B1"/>
    <w:rsid w:val="004247D6"/>
    <w:rsid w:val="0042485B"/>
    <w:rsid w:val="0042492B"/>
    <w:rsid w:val="00424AEE"/>
    <w:rsid w:val="00424B7F"/>
    <w:rsid w:val="00424B8E"/>
    <w:rsid w:val="00424C80"/>
    <w:rsid w:val="00424C93"/>
    <w:rsid w:val="00424CE7"/>
    <w:rsid w:val="00424E27"/>
    <w:rsid w:val="00424EA8"/>
    <w:rsid w:val="00424EB0"/>
    <w:rsid w:val="00424ED6"/>
    <w:rsid w:val="0042501C"/>
    <w:rsid w:val="00425076"/>
    <w:rsid w:val="004250AF"/>
    <w:rsid w:val="00425127"/>
    <w:rsid w:val="0042523D"/>
    <w:rsid w:val="004252A4"/>
    <w:rsid w:val="00425320"/>
    <w:rsid w:val="0042539A"/>
    <w:rsid w:val="004253C0"/>
    <w:rsid w:val="0042542C"/>
    <w:rsid w:val="00425483"/>
    <w:rsid w:val="004254D7"/>
    <w:rsid w:val="00425659"/>
    <w:rsid w:val="004256AE"/>
    <w:rsid w:val="004257BD"/>
    <w:rsid w:val="00425883"/>
    <w:rsid w:val="004258F9"/>
    <w:rsid w:val="004258FE"/>
    <w:rsid w:val="00425983"/>
    <w:rsid w:val="0042599F"/>
    <w:rsid w:val="00425AE5"/>
    <w:rsid w:val="00425B22"/>
    <w:rsid w:val="00425C3D"/>
    <w:rsid w:val="00425C8A"/>
    <w:rsid w:val="00425CD8"/>
    <w:rsid w:val="00425D91"/>
    <w:rsid w:val="00425E54"/>
    <w:rsid w:val="00425EB2"/>
    <w:rsid w:val="00425EE7"/>
    <w:rsid w:val="00426045"/>
    <w:rsid w:val="004260E1"/>
    <w:rsid w:val="004260EC"/>
    <w:rsid w:val="0042613A"/>
    <w:rsid w:val="0042618A"/>
    <w:rsid w:val="0042629F"/>
    <w:rsid w:val="004262AA"/>
    <w:rsid w:val="00426382"/>
    <w:rsid w:val="004263E3"/>
    <w:rsid w:val="004264D1"/>
    <w:rsid w:val="00426522"/>
    <w:rsid w:val="00426693"/>
    <w:rsid w:val="00426746"/>
    <w:rsid w:val="0042680A"/>
    <w:rsid w:val="00426868"/>
    <w:rsid w:val="0042686A"/>
    <w:rsid w:val="004268BB"/>
    <w:rsid w:val="004269B7"/>
    <w:rsid w:val="004269C8"/>
    <w:rsid w:val="00426A0F"/>
    <w:rsid w:val="00426AD9"/>
    <w:rsid w:val="00426B03"/>
    <w:rsid w:val="00426B55"/>
    <w:rsid w:val="00426C77"/>
    <w:rsid w:val="00426CB7"/>
    <w:rsid w:val="00426CDB"/>
    <w:rsid w:val="00426D55"/>
    <w:rsid w:val="00426D7E"/>
    <w:rsid w:val="00426DBB"/>
    <w:rsid w:val="00426DC2"/>
    <w:rsid w:val="00426F8D"/>
    <w:rsid w:val="00426FFD"/>
    <w:rsid w:val="00427016"/>
    <w:rsid w:val="004270B5"/>
    <w:rsid w:val="0042712B"/>
    <w:rsid w:val="0042717C"/>
    <w:rsid w:val="00427201"/>
    <w:rsid w:val="00427210"/>
    <w:rsid w:val="0042723E"/>
    <w:rsid w:val="00427258"/>
    <w:rsid w:val="004272BE"/>
    <w:rsid w:val="004273B6"/>
    <w:rsid w:val="00427409"/>
    <w:rsid w:val="004274E4"/>
    <w:rsid w:val="004275D6"/>
    <w:rsid w:val="00427715"/>
    <w:rsid w:val="00427799"/>
    <w:rsid w:val="004277AD"/>
    <w:rsid w:val="004277E2"/>
    <w:rsid w:val="0042786E"/>
    <w:rsid w:val="00427898"/>
    <w:rsid w:val="004278E9"/>
    <w:rsid w:val="00427904"/>
    <w:rsid w:val="00427916"/>
    <w:rsid w:val="00427965"/>
    <w:rsid w:val="004279BB"/>
    <w:rsid w:val="00427A54"/>
    <w:rsid w:val="00427AEA"/>
    <w:rsid w:val="00427AFA"/>
    <w:rsid w:val="00427B95"/>
    <w:rsid w:val="00427C31"/>
    <w:rsid w:val="00427CDA"/>
    <w:rsid w:val="00427D05"/>
    <w:rsid w:val="00427D67"/>
    <w:rsid w:val="00427DD5"/>
    <w:rsid w:val="00427E24"/>
    <w:rsid w:val="00427F36"/>
    <w:rsid w:val="004300E2"/>
    <w:rsid w:val="00430165"/>
    <w:rsid w:val="004301F6"/>
    <w:rsid w:val="00430283"/>
    <w:rsid w:val="0043036B"/>
    <w:rsid w:val="00430496"/>
    <w:rsid w:val="0043058C"/>
    <w:rsid w:val="004306A5"/>
    <w:rsid w:val="00430707"/>
    <w:rsid w:val="0043078F"/>
    <w:rsid w:val="004307C1"/>
    <w:rsid w:val="00430851"/>
    <w:rsid w:val="004308B3"/>
    <w:rsid w:val="004309DD"/>
    <w:rsid w:val="00430A43"/>
    <w:rsid w:val="00430B44"/>
    <w:rsid w:val="00430B91"/>
    <w:rsid w:val="00430CE6"/>
    <w:rsid w:val="00430D21"/>
    <w:rsid w:val="00430D4A"/>
    <w:rsid w:val="00430E5A"/>
    <w:rsid w:val="00430EBE"/>
    <w:rsid w:val="0043108C"/>
    <w:rsid w:val="00431192"/>
    <w:rsid w:val="00431251"/>
    <w:rsid w:val="0043126E"/>
    <w:rsid w:val="00431275"/>
    <w:rsid w:val="004312AB"/>
    <w:rsid w:val="00431300"/>
    <w:rsid w:val="00431559"/>
    <w:rsid w:val="004315DF"/>
    <w:rsid w:val="00431605"/>
    <w:rsid w:val="00431693"/>
    <w:rsid w:val="004316A4"/>
    <w:rsid w:val="004316B9"/>
    <w:rsid w:val="0043183F"/>
    <w:rsid w:val="0043189E"/>
    <w:rsid w:val="00431964"/>
    <w:rsid w:val="004319D5"/>
    <w:rsid w:val="004319F3"/>
    <w:rsid w:val="00431A14"/>
    <w:rsid w:val="00431B1D"/>
    <w:rsid w:val="00431C27"/>
    <w:rsid w:val="00431C88"/>
    <w:rsid w:val="00431CD9"/>
    <w:rsid w:val="00431EB6"/>
    <w:rsid w:val="00431F3D"/>
    <w:rsid w:val="00432099"/>
    <w:rsid w:val="004320A2"/>
    <w:rsid w:val="004320A5"/>
    <w:rsid w:val="0043215B"/>
    <w:rsid w:val="004321F5"/>
    <w:rsid w:val="0043227C"/>
    <w:rsid w:val="00432339"/>
    <w:rsid w:val="00432459"/>
    <w:rsid w:val="0043247F"/>
    <w:rsid w:val="0043264E"/>
    <w:rsid w:val="004326AE"/>
    <w:rsid w:val="00432806"/>
    <w:rsid w:val="00432881"/>
    <w:rsid w:val="004328AD"/>
    <w:rsid w:val="0043298A"/>
    <w:rsid w:val="00432A68"/>
    <w:rsid w:val="00432A6D"/>
    <w:rsid w:val="00432A81"/>
    <w:rsid w:val="00432A9A"/>
    <w:rsid w:val="00432CEA"/>
    <w:rsid w:val="00432D63"/>
    <w:rsid w:val="00432DA9"/>
    <w:rsid w:val="00432DD2"/>
    <w:rsid w:val="00432E3E"/>
    <w:rsid w:val="00432EE6"/>
    <w:rsid w:val="00432FC0"/>
    <w:rsid w:val="0043305C"/>
    <w:rsid w:val="00433065"/>
    <w:rsid w:val="00433239"/>
    <w:rsid w:val="0043323C"/>
    <w:rsid w:val="004332A4"/>
    <w:rsid w:val="004332AF"/>
    <w:rsid w:val="004332BF"/>
    <w:rsid w:val="004332ED"/>
    <w:rsid w:val="004332FC"/>
    <w:rsid w:val="0043348A"/>
    <w:rsid w:val="004334DE"/>
    <w:rsid w:val="004334E0"/>
    <w:rsid w:val="00433662"/>
    <w:rsid w:val="0043387B"/>
    <w:rsid w:val="00433A00"/>
    <w:rsid w:val="00433AC5"/>
    <w:rsid w:val="00433BD2"/>
    <w:rsid w:val="00433CE5"/>
    <w:rsid w:val="00433CEA"/>
    <w:rsid w:val="00433D83"/>
    <w:rsid w:val="00433F21"/>
    <w:rsid w:val="00433FA4"/>
    <w:rsid w:val="004340A0"/>
    <w:rsid w:val="004340C0"/>
    <w:rsid w:val="004340F2"/>
    <w:rsid w:val="00434255"/>
    <w:rsid w:val="0043426D"/>
    <w:rsid w:val="004342C7"/>
    <w:rsid w:val="004344E1"/>
    <w:rsid w:val="00434519"/>
    <w:rsid w:val="00434527"/>
    <w:rsid w:val="00434536"/>
    <w:rsid w:val="0043456E"/>
    <w:rsid w:val="00434725"/>
    <w:rsid w:val="004347DE"/>
    <w:rsid w:val="0043480A"/>
    <w:rsid w:val="0043498E"/>
    <w:rsid w:val="004349AD"/>
    <w:rsid w:val="00434A4B"/>
    <w:rsid w:val="00434A77"/>
    <w:rsid w:val="00434AC3"/>
    <w:rsid w:val="00434ACB"/>
    <w:rsid w:val="00434B35"/>
    <w:rsid w:val="00434BFA"/>
    <w:rsid w:val="00434C5D"/>
    <w:rsid w:val="00434C8E"/>
    <w:rsid w:val="00434DA3"/>
    <w:rsid w:val="00434DD5"/>
    <w:rsid w:val="00434DF7"/>
    <w:rsid w:val="0043504D"/>
    <w:rsid w:val="00435210"/>
    <w:rsid w:val="0043524D"/>
    <w:rsid w:val="004352AB"/>
    <w:rsid w:val="0043534B"/>
    <w:rsid w:val="004354D4"/>
    <w:rsid w:val="00435567"/>
    <w:rsid w:val="004356E9"/>
    <w:rsid w:val="004356F8"/>
    <w:rsid w:val="00435718"/>
    <w:rsid w:val="00435722"/>
    <w:rsid w:val="004357C9"/>
    <w:rsid w:val="004358A7"/>
    <w:rsid w:val="004358E3"/>
    <w:rsid w:val="0043592A"/>
    <w:rsid w:val="004359A7"/>
    <w:rsid w:val="00435A20"/>
    <w:rsid w:val="00435B13"/>
    <w:rsid w:val="00435BFD"/>
    <w:rsid w:val="00435D37"/>
    <w:rsid w:val="00435D63"/>
    <w:rsid w:val="00435E1C"/>
    <w:rsid w:val="00435F1B"/>
    <w:rsid w:val="00435F61"/>
    <w:rsid w:val="00436014"/>
    <w:rsid w:val="004360F4"/>
    <w:rsid w:val="00436181"/>
    <w:rsid w:val="00436252"/>
    <w:rsid w:val="004362D0"/>
    <w:rsid w:val="004363A4"/>
    <w:rsid w:val="004363A5"/>
    <w:rsid w:val="004364BC"/>
    <w:rsid w:val="00436549"/>
    <w:rsid w:val="004365B0"/>
    <w:rsid w:val="004365B2"/>
    <w:rsid w:val="004365E5"/>
    <w:rsid w:val="00436602"/>
    <w:rsid w:val="0043666E"/>
    <w:rsid w:val="004367A4"/>
    <w:rsid w:val="004368F6"/>
    <w:rsid w:val="00436BB4"/>
    <w:rsid w:val="00436BD3"/>
    <w:rsid w:val="00436C92"/>
    <w:rsid w:val="00436CAA"/>
    <w:rsid w:val="00436CE5"/>
    <w:rsid w:val="00436D4B"/>
    <w:rsid w:val="00436D63"/>
    <w:rsid w:val="00436D96"/>
    <w:rsid w:val="00436DBC"/>
    <w:rsid w:val="00436E3F"/>
    <w:rsid w:val="00436E6D"/>
    <w:rsid w:val="00436E9F"/>
    <w:rsid w:val="00436F5F"/>
    <w:rsid w:val="00437011"/>
    <w:rsid w:val="0043705F"/>
    <w:rsid w:val="00437067"/>
    <w:rsid w:val="00437068"/>
    <w:rsid w:val="0043712B"/>
    <w:rsid w:val="0043723E"/>
    <w:rsid w:val="00437389"/>
    <w:rsid w:val="00437398"/>
    <w:rsid w:val="004377A0"/>
    <w:rsid w:val="004377A4"/>
    <w:rsid w:val="004377AF"/>
    <w:rsid w:val="0043788D"/>
    <w:rsid w:val="004378F9"/>
    <w:rsid w:val="00437957"/>
    <w:rsid w:val="00437B2A"/>
    <w:rsid w:val="00437C93"/>
    <w:rsid w:val="00437D63"/>
    <w:rsid w:val="00437DA4"/>
    <w:rsid w:val="00437DBC"/>
    <w:rsid w:val="00437E33"/>
    <w:rsid w:val="00437E57"/>
    <w:rsid w:val="00437F51"/>
    <w:rsid w:val="00437FA7"/>
    <w:rsid w:val="00440011"/>
    <w:rsid w:val="004400D0"/>
    <w:rsid w:val="0044014A"/>
    <w:rsid w:val="004402FD"/>
    <w:rsid w:val="0044034D"/>
    <w:rsid w:val="00440364"/>
    <w:rsid w:val="004403D3"/>
    <w:rsid w:val="00440447"/>
    <w:rsid w:val="00440482"/>
    <w:rsid w:val="00440547"/>
    <w:rsid w:val="004405B2"/>
    <w:rsid w:val="00440603"/>
    <w:rsid w:val="00440607"/>
    <w:rsid w:val="0044061A"/>
    <w:rsid w:val="0044075B"/>
    <w:rsid w:val="00440854"/>
    <w:rsid w:val="00440930"/>
    <w:rsid w:val="00440A06"/>
    <w:rsid w:val="00440BB9"/>
    <w:rsid w:val="00440CB0"/>
    <w:rsid w:val="00440D0E"/>
    <w:rsid w:val="00440DE3"/>
    <w:rsid w:val="00440E51"/>
    <w:rsid w:val="00440E99"/>
    <w:rsid w:val="00440F5F"/>
    <w:rsid w:val="00440F70"/>
    <w:rsid w:val="00440FC2"/>
    <w:rsid w:val="0044101E"/>
    <w:rsid w:val="0044113E"/>
    <w:rsid w:val="00441153"/>
    <w:rsid w:val="00441204"/>
    <w:rsid w:val="00441242"/>
    <w:rsid w:val="0044127F"/>
    <w:rsid w:val="00441320"/>
    <w:rsid w:val="00441321"/>
    <w:rsid w:val="00441386"/>
    <w:rsid w:val="0044141B"/>
    <w:rsid w:val="004414C5"/>
    <w:rsid w:val="00441719"/>
    <w:rsid w:val="00441741"/>
    <w:rsid w:val="004417C3"/>
    <w:rsid w:val="00441824"/>
    <w:rsid w:val="0044193F"/>
    <w:rsid w:val="00441C83"/>
    <w:rsid w:val="00441CEF"/>
    <w:rsid w:val="00441D59"/>
    <w:rsid w:val="00441E6F"/>
    <w:rsid w:val="00441F48"/>
    <w:rsid w:val="00442197"/>
    <w:rsid w:val="00442291"/>
    <w:rsid w:val="00442355"/>
    <w:rsid w:val="004425B5"/>
    <w:rsid w:val="00442600"/>
    <w:rsid w:val="00442686"/>
    <w:rsid w:val="004426AE"/>
    <w:rsid w:val="004426EB"/>
    <w:rsid w:val="004427A3"/>
    <w:rsid w:val="00442889"/>
    <w:rsid w:val="004428F3"/>
    <w:rsid w:val="0044292D"/>
    <w:rsid w:val="004429C4"/>
    <w:rsid w:val="00442AB3"/>
    <w:rsid w:val="00442AD6"/>
    <w:rsid w:val="00442B2A"/>
    <w:rsid w:val="00442B82"/>
    <w:rsid w:val="00442BE3"/>
    <w:rsid w:val="00442C60"/>
    <w:rsid w:val="00442CD1"/>
    <w:rsid w:val="00442CDA"/>
    <w:rsid w:val="00442CE2"/>
    <w:rsid w:val="00442CFD"/>
    <w:rsid w:val="00442E66"/>
    <w:rsid w:val="00442EEE"/>
    <w:rsid w:val="0044305A"/>
    <w:rsid w:val="004430A1"/>
    <w:rsid w:val="00443262"/>
    <w:rsid w:val="0044330E"/>
    <w:rsid w:val="00443342"/>
    <w:rsid w:val="00443393"/>
    <w:rsid w:val="004433AA"/>
    <w:rsid w:val="0044340A"/>
    <w:rsid w:val="004435B0"/>
    <w:rsid w:val="004435D6"/>
    <w:rsid w:val="0044361A"/>
    <w:rsid w:val="00443652"/>
    <w:rsid w:val="004436F6"/>
    <w:rsid w:val="004438ED"/>
    <w:rsid w:val="00443958"/>
    <w:rsid w:val="004439C1"/>
    <w:rsid w:val="00443AF0"/>
    <w:rsid w:val="00443AFC"/>
    <w:rsid w:val="00443C8D"/>
    <w:rsid w:val="00443CBF"/>
    <w:rsid w:val="00443CC5"/>
    <w:rsid w:val="00443D52"/>
    <w:rsid w:val="00443D64"/>
    <w:rsid w:val="00443E03"/>
    <w:rsid w:val="00443E91"/>
    <w:rsid w:val="00443F1D"/>
    <w:rsid w:val="00443F4F"/>
    <w:rsid w:val="00443F51"/>
    <w:rsid w:val="00443F5D"/>
    <w:rsid w:val="00443F88"/>
    <w:rsid w:val="00444002"/>
    <w:rsid w:val="0044400E"/>
    <w:rsid w:val="00444088"/>
    <w:rsid w:val="00444129"/>
    <w:rsid w:val="00444154"/>
    <w:rsid w:val="0044419A"/>
    <w:rsid w:val="004441CC"/>
    <w:rsid w:val="00444302"/>
    <w:rsid w:val="0044449C"/>
    <w:rsid w:val="004444A9"/>
    <w:rsid w:val="004444AC"/>
    <w:rsid w:val="0044457D"/>
    <w:rsid w:val="00444723"/>
    <w:rsid w:val="00444797"/>
    <w:rsid w:val="004449AB"/>
    <w:rsid w:val="00444A12"/>
    <w:rsid w:val="00444B7A"/>
    <w:rsid w:val="00444C98"/>
    <w:rsid w:val="00444C9E"/>
    <w:rsid w:val="00444D6B"/>
    <w:rsid w:val="00444E05"/>
    <w:rsid w:val="00444E61"/>
    <w:rsid w:val="00444F03"/>
    <w:rsid w:val="00444FA1"/>
    <w:rsid w:val="00445000"/>
    <w:rsid w:val="00445209"/>
    <w:rsid w:val="004452A3"/>
    <w:rsid w:val="004452B6"/>
    <w:rsid w:val="004452C3"/>
    <w:rsid w:val="00445387"/>
    <w:rsid w:val="00445469"/>
    <w:rsid w:val="0044547D"/>
    <w:rsid w:val="004455AC"/>
    <w:rsid w:val="00445636"/>
    <w:rsid w:val="00445648"/>
    <w:rsid w:val="00445754"/>
    <w:rsid w:val="004457CD"/>
    <w:rsid w:val="004457D2"/>
    <w:rsid w:val="00445850"/>
    <w:rsid w:val="00445878"/>
    <w:rsid w:val="004458EC"/>
    <w:rsid w:val="0044599A"/>
    <w:rsid w:val="004459F6"/>
    <w:rsid w:val="00445A44"/>
    <w:rsid w:val="00445A74"/>
    <w:rsid w:val="00445AA0"/>
    <w:rsid w:val="00445B02"/>
    <w:rsid w:val="00445B08"/>
    <w:rsid w:val="00445B61"/>
    <w:rsid w:val="00445BD2"/>
    <w:rsid w:val="00445D0C"/>
    <w:rsid w:val="00445D46"/>
    <w:rsid w:val="00445E45"/>
    <w:rsid w:val="00445ECC"/>
    <w:rsid w:val="00445FE1"/>
    <w:rsid w:val="004460B3"/>
    <w:rsid w:val="004460DF"/>
    <w:rsid w:val="00446344"/>
    <w:rsid w:val="004465BC"/>
    <w:rsid w:val="0044660D"/>
    <w:rsid w:val="0044664B"/>
    <w:rsid w:val="00446733"/>
    <w:rsid w:val="0044677D"/>
    <w:rsid w:val="004467CF"/>
    <w:rsid w:val="0044683B"/>
    <w:rsid w:val="004468CC"/>
    <w:rsid w:val="004468E5"/>
    <w:rsid w:val="004469AB"/>
    <w:rsid w:val="004469C8"/>
    <w:rsid w:val="004469D1"/>
    <w:rsid w:val="00446AC9"/>
    <w:rsid w:val="00446BBA"/>
    <w:rsid w:val="00446BC0"/>
    <w:rsid w:val="00446DBF"/>
    <w:rsid w:val="00446DC2"/>
    <w:rsid w:val="00446F96"/>
    <w:rsid w:val="00446FA4"/>
    <w:rsid w:val="00446FB2"/>
    <w:rsid w:val="00446FB6"/>
    <w:rsid w:val="0044714B"/>
    <w:rsid w:val="00447188"/>
    <w:rsid w:val="004471B6"/>
    <w:rsid w:val="004471E2"/>
    <w:rsid w:val="004471FD"/>
    <w:rsid w:val="00447349"/>
    <w:rsid w:val="004473F3"/>
    <w:rsid w:val="00447459"/>
    <w:rsid w:val="00447726"/>
    <w:rsid w:val="00447806"/>
    <w:rsid w:val="00447851"/>
    <w:rsid w:val="004478FF"/>
    <w:rsid w:val="004479D9"/>
    <w:rsid w:val="00447A66"/>
    <w:rsid w:val="00447B2F"/>
    <w:rsid w:val="00447BE9"/>
    <w:rsid w:val="00447CB0"/>
    <w:rsid w:val="00447CEE"/>
    <w:rsid w:val="00447E1F"/>
    <w:rsid w:val="00447E9F"/>
    <w:rsid w:val="00447EDE"/>
    <w:rsid w:val="00447F69"/>
    <w:rsid w:val="00447FC8"/>
    <w:rsid w:val="00447FE7"/>
    <w:rsid w:val="00450243"/>
    <w:rsid w:val="00450454"/>
    <w:rsid w:val="004505BA"/>
    <w:rsid w:val="0045060B"/>
    <w:rsid w:val="0045063A"/>
    <w:rsid w:val="004506D6"/>
    <w:rsid w:val="00450725"/>
    <w:rsid w:val="00450893"/>
    <w:rsid w:val="00450920"/>
    <w:rsid w:val="00450A0E"/>
    <w:rsid w:val="00450B36"/>
    <w:rsid w:val="00450B43"/>
    <w:rsid w:val="00450F3E"/>
    <w:rsid w:val="00450F74"/>
    <w:rsid w:val="00450F82"/>
    <w:rsid w:val="00450F89"/>
    <w:rsid w:val="00450F8A"/>
    <w:rsid w:val="00450FE7"/>
    <w:rsid w:val="004510A6"/>
    <w:rsid w:val="004511E4"/>
    <w:rsid w:val="004513C7"/>
    <w:rsid w:val="004514A6"/>
    <w:rsid w:val="0045164F"/>
    <w:rsid w:val="004516BF"/>
    <w:rsid w:val="004516C3"/>
    <w:rsid w:val="004516D2"/>
    <w:rsid w:val="004516E7"/>
    <w:rsid w:val="00451706"/>
    <w:rsid w:val="004517EB"/>
    <w:rsid w:val="004518AB"/>
    <w:rsid w:val="004518E5"/>
    <w:rsid w:val="004519D7"/>
    <w:rsid w:val="00451A83"/>
    <w:rsid w:val="00451C23"/>
    <w:rsid w:val="00451CA5"/>
    <w:rsid w:val="00451CCB"/>
    <w:rsid w:val="00451D3E"/>
    <w:rsid w:val="00451ECF"/>
    <w:rsid w:val="00452340"/>
    <w:rsid w:val="004523A9"/>
    <w:rsid w:val="00452420"/>
    <w:rsid w:val="00452451"/>
    <w:rsid w:val="00452479"/>
    <w:rsid w:val="00452495"/>
    <w:rsid w:val="00452506"/>
    <w:rsid w:val="00452636"/>
    <w:rsid w:val="00452677"/>
    <w:rsid w:val="00452836"/>
    <w:rsid w:val="00452843"/>
    <w:rsid w:val="004528A4"/>
    <w:rsid w:val="00452903"/>
    <w:rsid w:val="00452933"/>
    <w:rsid w:val="00452946"/>
    <w:rsid w:val="00452968"/>
    <w:rsid w:val="00452A13"/>
    <w:rsid w:val="00452AF1"/>
    <w:rsid w:val="00452B72"/>
    <w:rsid w:val="00452C5E"/>
    <w:rsid w:val="00452C7D"/>
    <w:rsid w:val="00452CDA"/>
    <w:rsid w:val="00452D04"/>
    <w:rsid w:val="00452D10"/>
    <w:rsid w:val="00452D93"/>
    <w:rsid w:val="00452D9B"/>
    <w:rsid w:val="00452ECA"/>
    <w:rsid w:val="00452FE1"/>
    <w:rsid w:val="00453047"/>
    <w:rsid w:val="00453095"/>
    <w:rsid w:val="004530EA"/>
    <w:rsid w:val="004530EC"/>
    <w:rsid w:val="00453126"/>
    <w:rsid w:val="00453127"/>
    <w:rsid w:val="00453190"/>
    <w:rsid w:val="004532CF"/>
    <w:rsid w:val="0045341C"/>
    <w:rsid w:val="00453499"/>
    <w:rsid w:val="004534CF"/>
    <w:rsid w:val="0045354A"/>
    <w:rsid w:val="00453684"/>
    <w:rsid w:val="004536C3"/>
    <w:rsid w:val="0045374C"/>
    <w:rsid w:val="004538A8"/>
    <w:rsid w:val="004538DD"/>
    <w:rsid w:val="0045394E"/>
    <w:rsid w:val="00453965"/>
    <w:rsid w:val="00453973"/>
    <w:rsid w:val="004539D2"/>
    <w:rsid w:val="00453A59"/>
    <w:rsid w:val="00453B6F"/>
    <w:rsid w:val="00453BB6"/>
    <w:rsid w:val="00453BFB"/>
    <w:rsid w:val="00453D2B"/>
    <w:rsid w:val="00453D6A"/>
    <w:rsid w:val="00453E3D"/>
    <w:rsid w:val="00453E92"/>
    <w:rsid w:val="00453F17"/>
    <w:rsid w:val="0045407D"/>
    <w:rsid w:val="004540DC"/>
    <w:rsid w:val="00454292"/>
    <w:rsid w:val="00454324"/>
    <w:rsid w:val="004543C9"/>
    <w:rsid w:val="00454400"/>
    <w:rsid w:val="00454462"/>
    <w:rsid w:val="004544BD"/>
    <w:rsid w:val="0045458B"/>
    <w:rsid w:val="00454662"/>
    <w:rsid w:val="00454684"/>
    <w:rsid w:val="00454696"/>
    <w:rsid w:val="00454758"/>
    <w:rsid w:val="0045475E"/>
    <w:rsid w:val="0045476E"/>
    <w:rsid w:val="00454892"/>
    <w:rsid w:val="004548F7"/>
    <w:rsid w:val="004549A4"/>
    <w:rsid w:val="004549A5"/>
    <w:rsid w:val="00454BB3"/>
    <w:rsid w:val="00454BD5"/>
    <w:rsid w:val="00454C78"/>
    <w:rsid w:val="00454C7A"/>
    <w:rsid w:val="00454CC1"/>
    <w:rsid w:val="00454D51"/>
    <w:rsid w:val="00454D66"/>
    <w:rsid w:val="00454F1C"/>
    <w:rsid w:val="00454F46"/>
    <w:rsid w:val="00455046"/>
    <w:rsid w:val="00455068"/>
    <w:rsid w:val="004550D7"/>
    <w:rsid w:val="00455172"/>
    <w:rsid w:val="004551BD"/>
    <w:rsid w:val="004551BF"/>
    <w:rsid w:val="0045527E"/>
    <w:rsid w:val="00455332"/>
    <w:rsid w:val="0045539A"/>
    <w:rsid w:val="004553D0"/>
    <w:rsid w:val="00455511"/>
    <w:rsid w:val="00455537"/>
    <w:rsid w:val="00455588"/>
    <w:rsid w:val="004555B9"/>
    <w:rsid w:val="00455621"/>
    <w:rsid w:val="0045565E"/>
    <w:rsid w:val="004556D6"/>
    <w:rsid w:val="004557BF"/>
    <w:rsid w:val="004557D6"/>
    <w:rsid w:val="004557F8"/>
    <w:rsid w:val="00455852"/>
    <w:rsid w:val="0045589D"/>
    <w:rsid w:val="00455978"/>
    <w:rsid w:val="004559CE"/>
    <w:rsid w:val="004559D6"/>
    <w:rsid w:val="00455E9E"/>
    <w:rsid w:val="00455EA5"/>
    <w:rsid w:val="00455EC8"/>
    <w:rsid w:val="00455EEC"/>
    <w:rsid w:val="00455F70"/>
    <w:rsid w:val="00455FDA"/>
    <w:rsid w:val="0045607C"/>
    <w:rsid w:val="0045607D"/>
    <w:rsid w:val="004560DB"/>
    <w:rsid w:val="0045614E"/>
    <w:rsid w:val="0045615F"/>
    <w:rsid w:val="00456166"/>
    <w:rsid w:val="004561AC"/>
    <w:rsid w:val="004561F7"/>
    <w:rsid w:val="0045629A"/>
    <w:rsid w:val="004562C3"/>
    <w:rsid w:val="004563EB"/>
    <w:rsid w:val="004564BB"/>
    <w:rsid w:val="004564F4"/>
    <w:rsid w:val="004566A1"/>
    <w:rsid w:val="00456A0D"/>
    <w:rsid w:val="00456B86"/>
    <w:rsid w:val="00456C9E"/>
    <w:rsid w:val="00456CBE"/>
    <w:rsid w:val="00456FC7"/>
    <w:rsid w:val="00457022"/>
    <w:rsid w:val="00457031"/>
    <w:rsid w:val="0045704B"/>
    <w:rsid w:val="004570A8"/>
    <w:rsid w:val="004570AC"/>
    <w:rsid w:val="004570B1"/>
    <w:rsid w:val="00457132"/>
    <w:rsid w:val="00457199"/>
    <w:rsid w:val="004571DC"/>
    <w:rsid w:val="00457289"/>
    <w:rsid w:val="0045737A"/>
    <w:rsid w:val="00457480"/>
    <w:rsid w:val="004574D3"/>
    <w:rsid w:val="004574FC"/>
    <w:rsid w:val="004576AC"/>
    <w:rsid w:val="004576E8"/>
    <w:rsid w:val="0045797D"/>
    <w:rsid w:val="004579A0"/>
    <w:rsid w:val="00457A49"/>
    <w:rsid w:val="00457B3F"/>
    <w:rsid w:val="00457C35"/>
    <w:rsid w:val="00457CF2"/>
    <w:rsid w:val="00457D17"/>
    <w:rsid w:val="00457D74"/>
    <w:rsid w:val="00457E61"/>
    <w:rsid w:val="0046003F"/>
    <w:rsid w:val="00460113"/>
    <w:rsid w:val="00460138"/>
    <w:rsid w:val="00460289"/>
    <w:rsid w:val="00460309"/>
    <w:rsid w:val="0046031E"/>
    <w:rsid w:val="00460359"/>
    <w:rsid w:val="0046041D"/>
    <w:rsid w:val="00460441"/>
    <w:rsid w:val="00460446"/>
    <w:rsid w:val="0046045E"/>
    <w:rsid w:val="0046046A"/>
    <w:rsid w:val="0046049F"/>
    <w:rsid w:val="00460596"/>
    <w:rsid w:val="004605CE"/>
    <w:rsid w:val="00460783"/>
    <w:rsid w:val="004607C3"/>
    <w:rsid w:val="00460852"/>
    <w:rsid w:val="00460874"/>
    <w:rsid w:val="004608C1"/>
    <w:rsid w:val="004608FB"/>
    <w:rsid w:val="00460908"/>
    <w:rsid w:val="00460966"/>
    <w:rsid w:val="00460A12"/>
    <w:rsid w:val="00460A7D"/>
    <w:rsid w:val="00460B37"/>
    <w:rsid w:val="00460C01"/>
    <w:rsid w:val="00460D22"/>
    <w:rsid w:val="00460DFC"/>
    <w:rsid w:val="00460E6A"/>
    <w:rsid w:val="00460ECC"/>
    <w:rsid w:val="00460EDE"/>
    <w:rsid w:val="00460EFA"/>
    <w:rsid w:val="00460F10"/>
    <w:rsid w:val="00460F3A"/>
    <w:rsid w:val="00461008"/>
    <w:rsid w:val="004610BC"/>
    <w:rsid w:val="004611E8"/>
    <w:rsid w:val="00461263"/>
    <w:rsid w:val="004612B7"/>
    <w:rsid w:val="004612C1"/>
    <w:rsid w:val="004612DC"/>
    <w:rsid w:val="00461371"/>
    <w:rsid w:val="00461457"/>
    <w:rsid w:val="00461474"/>
    <w:rsid w:val="004615D6"/>
    <w:rsid w:val="004615DA"/>
    <w:rsid w:val="004615DE"/>
    <w:rsid w:val="0046166C"/>
    <w:rsid w:val="0046174F"/>
    <w:rsid w:val="0046178C"/>
    <w:rsid w:val="004617D3"/>
    <w:rsid w:val="004617E5"/>
    <w:rsid w:val="004618BD"/>
    <w:rsid w:val="004618C1"/>
    <w:rsid w:val="004619C1"/>
    <w:rsid w:val="004619CA"/>
    <w:rsid w:val="004619FF"/>
    <w:rsid w:val="00461A0F"/>
    <w:rsid w:val="00461B74"/>
    <w:rsid w:val="00461BFD"/>
    <w:rsid w:val="00461C5A"/>
    <w:rsid w:val="00461C7F"/>
    <w:rsid w:val="00461CBA"/>
    <w:rsid w:val="00461D1B"/>
    <w:rsid w:val="00461D6C"/>
    <w:rsid w:val="00461D78"/>
    <w:rsid w:val="00461D96"/>
    <w:rsid w:val="00461DFE"/>
    <w:rsid w:val="0046206D"/>
    <w:rsid w:val="00462093"/>
    <w:rsid w:val="004620A8"/>
    <w:rsid w:val="0046220A"/>
    <w:rsid w:val="00462234"/>
    <w:rsid w:val="00462250"/>
    <w:rsid w:val="004622A6"/>
    <w:rsid w:val="004622C2"/>
    <w:rsid w:val="004622C3"/>
    <w:rsid w:val="0046233F"/>
    <w:rsid w:val="00462349"/>
    <w:rsid w:val="004623C9"/>
    <w:rsid w:val="0046248A"/>
    <w:rsid w:val="004624A5"/>
    <w:rsid w:val="0046262E"/>
    <w:rsid w:val="00462662"/>
    <w:rsid w:val="004626C9"/>
    <w:rsid w:val="004627D6"/>
    <w:rsid w:val="00462838"/>
    <w:rsid w:val="0046286E"/>
    <w:rsid w:val="004628D0"/>
    <w:rsid w:val="004629B4"/>
    <w:rsid w:val="00462A66"/>
    <w:rsid w:val="00462ADE"/>
    <w:rsid w:val="00462B3B"/>
    <w:rsid w:val="00462B3E"/>
    <w:rsid w:val="00462BFD"/>
    <w:rsid w:val="00462C16"/>
    <w:rsid w:val="00462CC2"/>
    <w:rsid w:val="00462D06"/>
    <w:rsid w:val="00462DC4"/>
    <w:rsid w:val="00462EE5"/>
    <w:rsid w:val="00463240"/>
    <w:rsid w:val="0046326F"/>
    <w:rsid w:val="004633D2"/>
    <w:rsid w:val="0046346D"/>
    <w:rsid w:val="004634B7"/>
    <w:rsid w:val="004635CB"/>
    <w:rsid w:val="004635EA"/>
    <w:rsid w:val="004636F7"/>
    <w:rsid w:val="004637E5"/>
    <w:rsid w:val="00463828"/>
    <w:rsid w:val="00463907"/>
    <w:rsid w:val="00463910"/>
    <w:rsid w:val="00463A27"/>
    <w:rsid w:val="00463B1C"/>
    <w:rsid w:val="00463B27"/>
    <w:rsid w:val="00463C05"/>
    <w:rsid w:val="00463C06"/>
    <w:rsid w:val="00463CAF"/>
    <w:rsid w:val="00463D0B"/>
    <w:rsid w:val="00463DEF"/>
    <w:rsid w:val="00463E1B"/>
    <w:rsid w:val="00463ED3"/>
    <w:rsid w:val="00463F30"/>
    <w:rsid w:val="0046409E"/>
    <w:rsid w:val="004640A9"/>
    <w:rsid w:val="00464114"/>
    <w:rsid w:val="00464134"/>
    <w:rsid w:val="0046413B"/>
    <w:rsid w:val="004641B2"/>
    <w:rsid w:val="00464264"/>
    <w:rsid w:val="00464330"/>
    <w:rsid w:val="004644BF"/>
    <w:rsid w:val="0046451C"/>
    <w:rsid w:val="00464708"/>
    <w:rsid w:val="00464756"/>
    <w:rsid w:val="00464771"/>
    <w:rsid w:val="0046494A"/>
    <w:rsid w:val="00464AD6"/>
    <w:rsid w:val="00464AD8"/>
    <w:rsid w:val="00464B06"/>
    <w:rsid w:val="00464B1C"/>
    <w:rsid w:val="00464B28"/>
    <w:rsid w:val="00464B5F"/>
    <w:rsid w:val="00464BF2"/>
    <w:rsid w:val="00464C30"/>
    <w:rsid w:val="00464C4A"/>
    <w:rsid w:val="00464C67"/>
    <w:rsid w:val="00464CA8"/>
    <w:rsid w:val="00464D6F"/>
    <w:rsid w:val="00464DBA"/>
    <w:rsid w:val="00464DE7"/>
    <w:rsid w:val="00464E73"/>
    <w:rsid w:val="00464F38"/>
    <w:rsid w:val="00464F6A"/>
    <w:rsid w:val="0046500A"/>
    <w:rsid w:val="004650D8"/>
    <w:rsid w:val="004651D6"/>
    <w:rsid w:val="004651DF"/>
    <w:rsid w:val="00465399"/>
    <w:rsid w:val="004653C1"/>
    <w:rsid w:val="00465409"/>
    <w:rsid w:val="0046542B"/>
    <w:rsid w:val="00465432"/>
    <w:rsid w:val="00465515"/>
    <w:rsid w:val="004656F7"/>
    <w:rsid w:val="00465712"/>
    <w:rsid w:val="004657FE"/>
    <w:rsid w:val="00465994"/>
    <w:rsid w:val="004659BB"/>
    <w:rsid w:val="00465B53"/>
    <w:rsid w:val="00465BB3"/>
    <w:rsid w:val="00465C77"/>
    <w:rsid w:val="00465CBC"/>
    <w:rsid w:val="00465CF3"/>
    <w:rsid w:val="00465D1F"/>
    <w:rsid w:val="00465DFC"/>
    <w:rsid w:val="00465E48"/>
    <w:rsid w:val="00465ED4"/>
    <w:rsid w:val="00465F9F"/>
    <w:rsid w:val="00465FB7"/>
    <w:rsid w:val="00466118"/>
    <w:rsid w:val="00466149"/>
    <w:rsid w:val="0046616F"/>
    <w:rsid w:val="004661EC"/>
    <w:rsid w:val="00466206"/>
    <w:rsid w:val="0046631C"/>
    <w:rsid w:val="00466355"/>
    <w:rsid w:val="00466398"/>
    <w:rsid w:val="0046639D"/>
    <w:rsid w:val="004663EC"/>
    <w:rsid w:val="004663F9"/>
    <w:rsid w:val="004664DB"/>
    <w:rsid w:val="00466553"/>
    <w:rsid w:val="00466588"/>
    <w:rsid w:val="004665FA"/>
    <w:rsid w:val="00466619"/>
    <w:rsid w:val="00466623"/>
    <w:rsid w:val="004667F0"/>
    <w:rsid w:val="00466A08"/>
    <w:rsid w:val="00466A97"/>
    <w:rsid w:val="00466AFE"/>
    <w:rsid w:val="00466B19"/>
    <w:rsid w:val="00466B55"/>
    <w:rsid w:val="00466BF5"/>
    <w:rsid w:val="00466C04"/>
    <w:rsid w:val="00466C38"/>
    <w:rsid w:val="00466CF6"/>
    <w:rsid w:val="00466D1F"/>
    <w:rsid w:val="00466E1A"/>
    <w:rsid w:val="00466EFB"/>
    <w:rsid w:val="00466F5B"/>
    <w:rsid w:val="00467036"/>
    <w:rsid w:val="00467118"/>
    <w:rsid w:val="0046711C"/>
    <w:rsid w:val="00467215"/>
    <w:rsid w:val="00467248"/>
    <w:rsid w:val="004672FA"/>
    <w:rsid w:val="0046737E"/>
    <w:rsid w:val="004676AC"/>
    <w:rsid w:val="004677B1"/>
    <w:rsid w:val="004677BB"/>
    <w:rsid w:val="00467939"/>
    <w:rsid w:val="00467A25"/>
    <w:rsid w:val="00467AA9"/>
    <w:rsid w:val="00467AB5"/>
    <w:rsid w:val="00467C59"/>
    <w:rsid w:val="00467CD0"/>
    <w:rsid w:val="00467EE6"/>
    <w:rsid w:val="00467F23"/>
    <w:rsid w:val="00467F30"/>
    <w:rsid w:val="00467F8E"/>
    <w:rsid w:val="004701B5"/>
    <w:rsid w:val="004701E7"/>
    <w:rsid w:val="00470287"/>
    <w:rsid w:val="004702FA"/>
    <w:rsid w:val="00470377"/>
    <w:rsid w:val="0047044E"/>
    <w:rsid w:val="00470463"/>
    <w:rsid w:val="00470481"/>
    <w:rsid w:val="004704C6"/>
    <w:rsid w:val="00470516"/>
    <w:rsid w:val="00470555"/>
    <w:rsid w:val="004705FE"/>
    <w:rsid w:val="0047066B"/>
    <w:rsid w:val="00470742"/>
    <w:rsid w:val="004707D3"/>
    <w:rsid w:val="0047093C"/>
    <w:rsid w:val="00470A91"/>
    <w:rsid w:val="00470ABB"/>
    <w:rsid w:val="00470B6B"/>
    <w:rsid w:val="00470BB7"/>
    <w:rsid w:val="00470BF7"/>
    <w:rsid w:val="00470BFE"/>
    <w:rsid w:val="00470C73"/>
    <w:rsid w:val="00470C88"/>
    <w:rsid w:val="00470CC3"/>
    <w:rsid w:val="00470CCB"/>
    <w:rsid w:val="00470D09"/>
    <w:rsid w:val="00470E27"/>
    <w:rsid w:val="00470E53"/>
    <w:rsid w:val="00470F30"/>
    <w:rsid w:val="00470FC9"/>
    <w:rsid w:val="004710A3"/>
    <w:rsid w:val="0047113E"/>
    <w:rsid w:val="0047114C"/>
    <w:rsid w:val="004711CB"/>
    <w:rsid w:val="004712E4"/>
    <w:rsid w:val="0047133B"/>
    <w:rsid w:val="00471396"/>
    <w:rsid w:val="004713DC"/>
    <w:rsid w:val="004714A5"/>
    <w:rsid w:val="004714CD"/>
    <w:rsid w:val="00471567"/>
    <w:rsid w:val="004715CA"/>
    <w:rsid w:val="004715F5"/>
    <w:rsid w:val="0047167F"/>
    <w:rsid w:val="004716A2"/>
    <w:rsid w:val="0047174C"/>
    <w:rsid w:val="004717FC"/>
    <w:rsid w:val="0047183C"/>
    <w:rsid w:val="00471982"/>
    <w:rsid w:val="00471C1D"/>
    <w:rsid w:val="00471DC4"/>
    <w:rsid w:val="00471F1C"/>
    <w:rsid w:val="00471F5A"/>
    <w:rsid w:val="00471FFE"/>
    <w:rsid w:val="00472041"/>
    <w:rsid w:val="00472109"/>
    <w:rsid w:val="004721E9"/>
    <w:rsid w:val="00472212"/>
    <w:rsid w:val="0047226D"/>
    <w:rsid w:val="00472373"/>
    <w:rsid w:val="00472422"/>
    <w:rsid w:val="004724BF"/>
    <w:rsid w:val="00472564"/>
    <w:rsid w:val="00472585"/>
    <w:rsid w:val="004725DC"/>
    <w:rsid w:val="004725DF"/>
    <w:rsid w:val="0047262E"/>
    <w:rsid w:val="00472640"/>
    <w:rsid w:val="0047268F"/>
    <w:rsid w:val="00472816"/>
    <w:rsid w:val="0047299F"/>
    <w:rsid w:val="00472A23"/>
    <w:rsid w:val="00472AA3"/>
    <w:rsid w:val="00472AAB"/>
    <w:rsid w:val="00472AB8"/>
    <w:rsid w:val="00472CA9"/>
    <w:rsid w:val="00472E16"/>
    <w:rsid w:val="00472E67"/>
    <w:rsid w:val="00472E76"/>
    <w:rsid w:val="00472FD9"/>
    <w:rsid w:val="00473069"/>
    <w:rsid w:val="004730C5"/>
    <w:rsid w:val="0047312B"/>
    <w:rsid w:val="0047314C"/>
    <w:rsid w:val="00473216"/>
    <w:rsid w:val="00473225"/>
    <w:rsid w:val="004732AF"/>
    <w:rsid w:val="004732F4"/>
    <w:rsid w:val="0047332F"/>
    <w:rsid w:val="00473363"/>
    <w:rsid w:val="004733FC"/>
    <w:rsid w:val="004734E1"/>
    <w:rsid w:val="00473529"/>
    <w:rsid w:val="00473629"/>
    <w:rsid w:val="004736A8"/>
    <w:rsid w:val="00473721"/>
    <w:rsid w:val="0047378E"/>
    <w:rsid w:val="004737D2"/>
    <w:rsid w:val="0047383B"/>
    <w:rsid w:val="004738C8"/>
    <w:rsid w:val="0047392C"/>
    <w:rsid w:val="00473999"/>
    <w:rsid w:val="004739B9"/>
    <w:rsid w:val="00473A3D"/>
    <w:rsid w:val="00473B39"/>
    <w:rsid w:val="00473CC1"/>
    <w:rsid w:val="00473CE0"/>
    <w:rsid w:val="00473E3A"/>
    <w:rsid w:val="00473EAF"/>
    <w:rsid w:val="00473F25"/>
    <w:rsid w:val="00473FC7"/>
    <w:rsid w:val="0047403E"/>
    <w:rsid w:val="004740FC"/>
    <w:rsid w:val="0047419B"/>
    <w:rsid w:val="00474320"/>
    <w:rsid w:val="0047436D"/>
    <w:rsid w:val="004745AA"/>
    <w:rsid w:val="00474613"/>
    <w:rsid w:val="0047461F"/>
    <w:rsid w:val="004747DA"/>
    <w:rsid w:val="00474829"/>
    <w:rsid w:val="0047489D"/>
    <w:rsid w:val="004748C8"/>
    <w:rsid w:val="004748E2"/>
    <w:rsid w:val="0047493A"/>
    <w:rsid w:val="0047496A"/>
    <w:rsid w:val="00474976"/>
    <w:rsid w:val="0047497B"/>
    <w:rsid w:val="00474985"/>
    <w:rsid w:val="00474AA2"/>
    <w:rsid w:val="00474AB2"/>
    <w:rsid w:val="00474B55"/>
    <w:rsid w:val="00474B9B"/>
    <w:rsid w:val="00474CD6"/>
    <w:rsid w:val="00474CEB"/>
    <w:rsid w:val="00474D26"/>
    <w:rsid w:val="00474DE7"/>
    <w:rsid w:val="00474EA3"/>
    <w:rsid w:val="00474EF4"/>
    <w:rsid w:val="00474FA2"/>
    <w:rsid w:val="00475098"/>
    <w:rsid w:val="004750AB"/>
    <w:rsid w:val="004750B2"/>
    <w:rsid w:val="004751B6"/>
    <w:rsid w:val="004751EC"/>
    <w:rsid w:val="004752C4"/>
    <w:rsid w:val="00475321"/>
    <w:rsid w:val="00475328"/>
    <w:rsid w:val="004753A3"/>
    <w:rsid w:val="00475461"/>
    <w:rsid w:val="0047548E"/>
    <w:rsid w:val="00475563"/>
    <w:rsid w:val="004757A5"/>
    <w:rsid w:val="004758C9"/>
    <w:rsid w:val="00475A0D"/>
    <w:rsid w:val="00475A37"/>
    <w:rsid w:val="00475A53"/>
    <w:rsid w:val="00475ACD"/>
    <w:rsid w:val="00475B04"/>
    <w:rsid w:val="00475B46"/>
    <w:rsid w:val="00475B57"/>
    <w:rsid w:val="00475B70"/>
    <w:rsid w:val="00475C30"/>
    <w:rsid w:val="00475D90"/>
    <w:rsid w:val="00475E14"/>
    <w:rsid w:val="00475E22"/>
    <w:rsid w:val="00475EF6"/>
    <w:rsid w:val="0047605B"/>
    <w:rsid w:val="004760B6"/>
    <w:rsid w:val="004760DF"/>
    <w:rsid w:val="00476146"/>
    <w:rsid w:val="004761E3"/>
    <w:rsid w:val="00476300"/>
    <w:rsid w:val="00476333"/>
    <w:rsid w:val="00476487"/>
    <w:rsid w:val="00476513"/>
    <w:rsid w:val="00476514"/>
    <w:rsid w:val="0047652A"/>
    <w:rsid w:val="004766D7"/>
    <w:rsid w:val="0047677D"/>
    <w:rsid w:val="00476825"/>
    <w:rsid w:val="00476989"/>
    <w:rsid w:val="00476A2D"/>
    <w:rsid w:val="00476A57"/>
    <w:rsid w:val="00476A80"/>
    <w:rsid w:val="00476AAB"/>
    <w:rsid w:val="00476AE7"/>
    <w:rsid w:val="00476C3B"/>
    <w:rsid w:val="00476D19"/>
    <w:rsid w:val="00476FC9"/>
    <w:rsid w:val="00476FE9"/>
    <w:rsid w:val="00477031"/>
    <w:rsid w:val="00477083"/>
    <w:rsid w:val="0047709B"/>
    <w:rsid w:val="004771D4"/>
    <w:rsid w:val="0047720E"/>
    <w:rsid w:val="0047723C"/>
    <w:rsid w:val="004772D3"/>
    <w:rsid w:val="004773F5"/>
    <w:rsid w:val="00477434"/>
    <w:rsid w:val="00477582"/>
    <w:rsid w:val="004776EC"/>
    <w:rsid w:val="004776EF"/>
    <w:rsid w:val="0047783B"/>
    <w:rsid w:val="00477847"/>
    <w:rsid w:val="00477872"/>
    <w:rsid w:val="004779CA"/>
    <w:rsid w:val="004779F0"/>
    <w:rsid w:val="00477A6A"/>
    <w:rsid w:val="00477B82"/>
    <w:rsid w:val="00477BAF"/>
    <w:rsid w:val="00477BD4"/>
    <w:rsid w:val="00477BDF"/>
    <w:rsid w:val="00477DBC"/>
    <w:rsid w:val="00477EAC"/>
    <w:rsid w:val="00477FE6"/>
    <w:rsid w:val="00480036"/>
    <w:rsid w:val="00480083"/>
    <w:rsid w:val="00480104"/>
    <w:rsid w:val="00480188"/>
    <w:rsid w:val="0048025E"/>
    <w:rsid w:val="0048038F"/>
    <w:rsid w:val="004803DD"/>
    <w:rsid w:val="0048045B"/>
    <w:rsid w:val="004804FE"/>
    <w:rsid w:val="00480556"/>
    <w:rsid w:val="004805D3"/>
    <w:rsid w:val="00480617"/>
    <w:rsid w:val="00480649"/>
    <w:rsid w:val="0048067C"/>
    <w:rsid w:val="004806CA"/>
    <w:rsid w:val="004807A0"/>
    <w:rsid w:val="004807F1"/>
    <w:rsid w:val="004808CB"/>
    <w:rsid w:val="00480957"/>
    <w:rsid w:val="0048097A"/>
    <w:rsid w:val="00480B90"/>
    <w:rsid w:val="00480C24"/>
    <w:rsid w:val="00480C3A"/>
    <w:rsid w:val="00480C92"/>
    <w:rsid w:val="00480E14"/>
    <w:rsid w:val="00480E1A"/>
    <w:rsid w:val="0048102C"/>
    <w:rsid w:val="0048104E"/>
    <w:rsid w:val="00481093"/>
    <w:rsid w:val="004811F0"/>
    <w:rsid w:val="00481232"/>
    <w:rsid w:val="0048128B"/>
    <w:rsid w:val="004812BF"/>
    <w:rsid w:val="004813D3"/>
    <w:rsid w:val="004813D9"/>
    <w:rsid w:val="004813FB"/>
    <w:rsid w:val="004814A0"/>
    <w:rsid w:val="0048153B"/>
    <w:rsid w:val="0048153C"/>
    <w:rsid w:val="00481631"/>
    <w:rsid w:val="00481652"/>
    <w:rsid w:val="004817A0"/>
    <w:rsid w:val="0048194D"/>
    <w:rsid w:val="00481B1D"/>
    <w:rsid w:val="00481B77"/>
    <w:rsid w:val="00481BE9"/>
    <w:rsid w:val="00481C6B"/>
    <w:rsid w:val="00481E14"/>
    <w:rsid w:val="00481E5C"/>
    <w:rsid w:val="00481ED4"/>
    <w:rsid w:val="00481F33"/>
    <w:rsid w:val="00481F65"/>
    <w:rsid w:val="00481FC2"/>
    <w:rsid w:val="00482193"/>
    <w:rsid w:val="004821A7"/>
    <w:rsid w:val="004821AE"/>
    <w:rsid w:val="004821CB"/>
    <w:rsid w:val="004821D6"/>
    <w:rsid w:val="004823A8"/>
    <w:rsid w:val="00482404"/>
    <w:rsid w:val="00482509"/>
    <w:rsid w:val="0048252E"/>
    <w:rsid w:val="004825BD"/>
    <w:rsid w:val="00482788"/>
    <w:rsid w:val="0048278D"/>
    <w:rsid w:val="0048282C"/>
    <w:rsid w:val="00482851"/>
    <w:rsid w:val="004828DA"/>
    <w:rsid w:val="00482A30"/>
    <w:rsid w:val="00482A31"/>
    <w:rsid w:val="00482A72"/>
    <w:rsid w:val="00482B8D"/>
    <w:rsid w:val="00482D68"/>
    <w:rsid w:val="00482E1E"/>
    <w:rsid w:val="00482E7F"/>
    <w:rsid w:val="00482E9C"/>
    <w:rsid w:val="00482EAD"/>
    <w:rsid w:val="00482F17"/>
    <w:rsid w:val="00482FB2"/>
    <w:rsid w:val="00483069"/>
    <w:rsid w:val="0048306E"/>
    <w:rsid w:val="0048317C"/>
    <w:rsid w:val="00483211"/>
    <w:rsid w:val="004833D1"/>
    <w:rsid w:val="00483423"/>
    <w:rsid w:val="0048353F"/>
    <w:rsid w:val="0048359B"/>
    <w:rsid w:val="004835F9"/>
    <w:rsid w:val="00483633"/>
    <w:rsid w:val="004836F4"/>
    <w:rsid w:val="00483712"/>
    <w:rsid w:val="004837FA"/>
    <w:rsid w:val="0048380F"/>
    <w:rsid w:val="004838E9"/>
    <w:rsid w:val="00483956"/>
    <w:rsid w:val="00483AEA"/>
    <w:rsid w:val="00483B43"/>
    <w:rsid w:val="00483BB5"/>
    <w:rsid w:val="00483C9C"/>
    <w:rsid w:val="00483D3D"/>
    <w:rsid w:val="00483D75"/>
    <w:rsid w:val="00483EF0"/>
    <w:rsid w:val="00483EFC"/>
    <w:rsid w:val="00484019"/>
    <w:rsid w:val="0048406C"/>
    <w:rsid w:val="00484070"/>
    <w:rsid w:val="004840A5"/>
    <w:rsid w:val="00484106"/>
    <w:rsid w:val="00484167"/>
    <w:rsid w:val="004841E3"/>
    <w:rsid w:val="0048420E"/>
    <w:rsid w:val="004842CA"/>
    <w:rsid w:val="004842E9"/>
    <w:rsid w:val="004845BB"/>
    <w:rsid w:val="004846B7"/>
    <w:rsid w:val="0048474E"/>
    <w:rsid w:val="004847BC"/>
    <w:rsid w:val="004847C2"/>
    <w:rsid w:val="004847C4"/>
    <w:rsid w:val="0048481A"/>
    <w:rsid w:val="00484870"/>
    <w:rsid w:val="00484889"/>
    <w:rsid w:val="004848CE"/>
    <w:rsid w:val="004849FA"/>
    <w:rsid w:val="00484A8A"/>
    <w:rsid w:val="00484B22"/>
    <w:rsid w:val="00484B96"/>
    <w:rsid w:val="00484BA4"/>
    <w:rsid w:val="00484CBE"/>
    <w:rsid w:val="00484CF6"/>
    <w:rsid w:val="00484D02"/>
    <w:rsid w:val="00484D52"/>
    <w:rsid w:val="00484DA9"/>
    <w:rsid w:val="00484E07"/>
    <w:rsid w:val="00484F15"/>
    <w:rsid w:val="00484F52"/>
    <w:rsid w:val="00485194"/>
    <w:rsid w:val="00485241"/>
    <w:rsid w:val="00485256"/>
    <w:rsid w:val="00485257"/>
    <w:rsid w:val="00485285"/>
    <w:rsid w:val="004853BB"/>
    <w:rsid w:val="00485444"/>
    <w:rsid w:val="004855B7"/>
    <w:rsid w:val="004856CE"/>
    <w:rsid w:val="0048579A"/>
    <w:rsid w:val="0048585E"/>
    <w:rsid w:val="004858D4"/>
    <w:rsid w:val="00485BAB"/>
    <w:rsid w:val="00485C3C"/>
    <w:rsid w:val="00485C44"/>
    <w:rsid w:val="00485C5C"/>
    <w:rsid w:val="00485C86"/>
    <w:rsid w:val="00485CC1"/>
    <w:rsid w:val="00485D05"/>
    <w:rsid w:val="00485D11"/>
    <w:rsid w:val="00485FC3"/>
    <w:rsid w:val="004860DD"/>
    <w:rsid w:val="004863B0"/>
    <w:rsid w:val="00486473"/>
    <w:rsid w:val="004864E9"/>
    <w:rsid w:val="00486548"/>
    <w:rsid w:val="0048657E"/>
    <w:rsid w:val="00486686"/>
    <w:rsid w:val="004866B1"/>
    <w:rsid w:val="00486707"/>
    <w:rsid w:val="00486846"/>
    <w:rsid w:val="0048684C"/>
    <w:rsid w:val="00486855"/>
    <w:rsid w:val="004868DF"/>
    <w:rsid w:val="004868F9"/>
    <w:rsid w:val="00486A33"/>
    <w:rsid w:val="00486A36"/>
    <w:rsid w:val="00486BCE"/>
    <w:rsid w:val="00486CC4"/>
    <w:rsid w:val="00486D0D"/>
    <w:rsid w:val="00486D74"/>
    <w:rsid w:val="00486D96"/>
    <w:rsid w:val="00486E14"/>
    <w:rsid w:val="00486E69"/>
    <w:rsid w:val="00486E8F"/>
    <w:rsid w:val="00486EE8"/>
    <w:rsid w:val="00486F96"/>
    <w:rsid w:val="00487047"/>
    <w:rsid w:val="0048710F"/>
    <w:rsid w:val="004871B7"/>
    <w:rsid w:val="004871CE"/>
    <w:rsid w:val="00487233"/>
    <w:rsid w:val="004872A2"/>
    <w:rsid w:val="00487511"/>
    <w:rsid w:val="0048758C"/>
    <w:rsid w:val="004875C0"/>
    <w:rsid w:val="004875DF"/>
    <w:rsid w:val="004875E3"/>
    <w:rsid w:val="0048770D"/>
    <w:rsid w:val="004877A5"/>
    <w:rsid w:val="004879F0"/>
    <w:rsid w:val="00487A63"/>
    <w:rsid w:val="00487AF1"/>
    <w:rsid w:val="00487AFA"/>
    <w:rsid w:val="00487B0D"/>
    <w:rsid w:val="00487BDC"/>
    <w:rsid w:val="00487C3B"/>
    <w:rsid w:val="00487D1B"/>
    <w:rsid w:val="00487DAC"/>
    <w:rsid w:val="00487F85"/>
    <w:rsid w:val="0048829C"/>
    <w:rsid w:val="0049001C"/>
    <w:rsid w:val="0049011E"/>
    <w:rsid w:val="00490219"/>
    <w:rsid w:val="0049026A"/>
    <w:rsid w:val="004902A2"/>
    <w:rsid w:val="004902F8"/>
    <w:rsid w:val="004903FF"/>
    <w:rsid w:val="004904B6"/>
    <w:rsid w:val="0049050D"/>
    <w:rsid w:val="00490576"/>
    <w:rsid w:val="004906C2"/>
    <w:rsid w:val="00490954"/>
    <w:rsid w:val="0049098C"/>
    <w:rsid w:val="00490A5A"/>
    <w:rsid w:val="00490AC5"/>
    <w:rsid w:val="00490AED"/>
    <w:rsid w:val="00490B38"/>
    <w:rsid w:val="00490C7C"/>
    <w:rsid w:val="00490CAB"/>
    <w:rsid w:val="00490CDB"/>
    <w:rsid w:val="00490D00"/>
    <w:rsid w:val="00490D4E"/>
    <w:rsid w:val="00490D87"/>
    <w:rsid w:val="00490E10"/>
    <w:rsid w:val="00490F50"/>
    <w:rsid w:val="00490F8F"/>
    <w:rsid w:val="00490FB1"/>
    <w:rsid w:val="00490FDF"/>
    <w:rsid w:val="00491034"/>
    <w:rsid w:val="004910BA"/>
    <w:rsid w:val="004910E6"/>
    <w:rsid w:val="0049111E"/>
    <w:rsid w:val="00491171"/>
    <w:rsid w:val="004911AE"/>
    <w:rsid w:val="00491260"/>
    <w:rsid w:val="004913E3"/>
    <w:rsid w:val="004913F2"/>
    <w:rsid w:val="00491469"/>
    <w:rsid w:val="004914B7"/>
    <w:rsid w:val="004914C7"/>
    <w:rsid w:val="004914F2"/>
    <w:rsid w:val="004915D0"/>
    <w:rsid w:val="00491641"/>
    <w:rsid w:val="0049168F"/>
    <w:rsid w:val="0049176D"/>
    <w:rsid w:val="00491895"/>
    <w:rsid w:val="0049190C"/>
    <w:rsid w:val="00491947"/>
    <w:rsid w:val="00491A6D"/>
    <w:rsid w:val="00491B5E"/>
    <w:rsid w:val="00491BDB"/>
    <w:rsid w:val="00491C24"/>
    <w:rsid w:val="00491C4E"/>
    <w:rsid w:val="00491D0E"/>
    <w:rsid w:val="00491D0F"/>
    <w:rsid w:val="00491D17"/>
    <w:rsid w:val="00491D1A"/>
    <w:rsid w:val="00491D38"/>
    <w:rsid w:val="00491D45"/>
    <w:rsid w:val="00491E3A"/>
    <w:rsid w:val="00491F09"/>
    <w:rsid w:val="00491F7C"/>
    <w:rsid w:val="00491FB8"/>
    <w:rsid w:val="00492032"/>
    <w:rsid w:val="0049203D"/>
    <w:rsid w:val="00492089"/>
    <w:rsid w:val="004920DE"/>
    <w:rsid w:val="00492128"/>
    <w:rsid w:val="004921F3"/>
    <w:rsid w:val="00492202"/>
    <w:rsid w:val="00492232"/>
    <w:rsid w:val="00492299"/>
    <w:rsid w:val="00492307"/>
    <w:rsid w:val="00492339"/>
    <w:rsid w:val="0049233E"/>
    <w:rsid w:val="0049236A"/>
    <w:rsid w:val="004924F0"/>
    <w:rsid w:val="004925B2"/>
    <w:rsid w:val="004925F2"/>
    <w:rsid w:val="00492610"/>
    <w:rsid w:val="00492699"/>
    <w:rsid w:val="004926BA"/>
    <w:rsid w:val="00492710"/>
    <w:rsid w:val="00492795"/>
    <w:rsid w:val="004927AE"/>
    <w:rsid w:val="00492812"/>
    <w:rsid w:val="004929AD"/>
    <w:rsid w:val="004929AE"/>
    <w:rsid w:val="004929EC"/>
    <w:rsid w:val="004929F9"/>
    <w:rsid w:val="00492A2F"/>
    <w:rsid w:val="00492A98"/>
    <w:rsid w:val="00492B0F"/>
    <w:rsid w:val="00492B1E"/>
    <w:rsid w:val="00492B3D"/>
    <w:rsid w:val="00492CF7"/>
    <w:rsid w:val="00492DB7"/>
    <w:rsid w:val="00492EA3"/>
    <w:rsid w:val="00492EFB"/>
    <w:rsid w:val="00492F14"/>
    <w:rsid w:val="00492FC2"/>
    <w:rsid w:val="0049301A"/>
    <w:rsid w:val="0049311D"/>
    <w:rsid w:val="004931C6"/>
    <w:rsid w:val="004931D2"/>
    <w:rsid w:val="00493359"/>
    <w:rsid w:val="00493402"/>
    <w:rsid w:val="00493444"/>
    <w:rsid w:val="004934E0"/>
    <w:rsid w:val="004937BC"/>
    <w:rsid w:val="0049386F"/>
    <w:rsid w:val="004938CE"/>
    <w:rsid w:val="0049398B"/>
    <w:rsid w:val="00493A73"/>
    <w:rsid w:val="00493B16"/>
    <w:rsid w:val="00493B55"/>
    <w:rsid w:val="00493C08"/>
    <w:rsid w:val="00493C24"/>
    <w:rsid w:val="00493C37"/>
    <w:rsid w:val="00493C50"/>
    <w:rsid w:val="00493D29"/>
    <w:rsid w:val="00493D2E"/>
    <w:rsid w:val="00493E20"/>
    <w:rsid w:val="004940CF"/>
    <w:rsid w:val="0049439F"/>
    <w:rsid w:val="00494435"/>
    <w:rsid w:val="004944FF"/>
    <w:rsid w:val="00494581"/>
    <w:rsid w:val="0049460E"/>
    <w:rsid w:val="0049462D"/>
    <w:rsid w:val="00494727"/>
    <w:rsid w:val="004947B9"/>
    <w:rsid w:val="004948DD"/>
    <w:rsid w:val="0049491A"/>
    <w:rsid w:val="00494AF5"/>
    <w:rsid w:val="00494B7F"/>
    <w:rsid w:val="00494B8D"/>
    <w:rsid w:val="00494BCF"/>
    <w:rsid w:val="00494C31"/>
    <w:rsid w:val="00494CCF"/>
    <w:rsid w:val="00494FD4"/>
    <w:rsid w:val="004950C4"/>
    <w:rsid w:val="004950C6"/>
    <w:rsid w:val="00495106"/>
    <w:rsid w:val="0049512C"/>
    <w:rsid w:val="004951BD"/>
    <w:rsid w:val="004952C4"/>
    <w:rsid w:val="0049537B"/>
    <w:rsid w:val="0049539A"/>
    <w:rsid w:val="004953C6"/>
    <w:rsid w:val="004954D4"/>
    <w:rsid w:val="00495505"/>
    <w:rsid w:val="0049555C"/>
    <w:rsid w:val="00495642"/>
    <w:rsid w:val="004958B6"/>
    <w:rsid w:val="004959DB"/>
    <w:rsid w:val="004959E4"/>
    <w:rsid w:val="004959F3"/>
    <w:rsid w:val="00495A27"/>
    <w:rsid w:val="00495A4B"/>
    <w:rsid w:val="00495AB6"/>
    <w:rsid w:val="00495B1E"/>
    <w:rsid w:val="00495BF7"/>
    <w:rsid w:val="00495C9F"/>
    <w:rsid w:val="00495CAE"/>
    <w:rsid w:val="00495D71"/>
    <w:rsid w:val="00495F52"/>
    <w:rsid w:val="00495F71"/>
    <w:rsid w:val="00495FF2"/>
    <w:rsid w:val="00496158"/>
    <w:rsid w:val="004961AB"/>
    <w:rsid w:val="004961AC"/>
    <w:rsid w:val="004961DB"/>
    <w:rsid w:val="00496210"/>
    <w:rsid w:val="004962C0"/>
    <w:rsid w:val="004962E5"/>
    <w:rsid w:val="004962F4"/>
    <w:rsid w:val="00496385"/>
    <w:rsid w:val="004963EA"/>
    <w:rsid w:val="00496457"/>
    <w:rsid w:val="004964BB"/>
    <w:rsid w:val="004964C5"/>
    <w:rsid w:val="004965BD"/>
    <w:rsid w:val="00496641"/>
    <w:rsid w:val="00496828"/>
    <w:rsid w:val="0049690C"/>
    <w:rsid w:val="00496AA6"/>
    <w:rsid w:val="00496CE8"/>
    <w:rsid w:val="00496D31"/>
    <w:rsid w:val="00496D4D"/>
    <w:rsid w:val="00496DF5"/>
    <w:rsid w:val="00496E2B"/>
    <w:rsid w:val="00496EDD"/>
    <w:rsid w:val="00497030"/>
    <w:rsid w:val="00497101"/>
    <w:rsid w:val="0049711F"/>
    <w:rsid w:val="00497153"/>
    <w:rsid w:val="004971BB"/>
    <w:rsid w:val="00497300"/>
    <w:rsid w:val="0049734D"/>
    <w:rsid w:val="00497399"/>
    <w:rsid w:val="004973C9"/>
    <w:rsid w:val="00497450"/>
    <w:rsid w:val="00497464"/>
    <w:rsid w:val="00497497"/>
    <w:rsid w:val="004974B9"/>
    <w:rsid w:val="00497592"/>
    <w:rsid w:val="0049769A"/>
    <w:rsid w:val="004977F3"/>
    <w:rsid w:val="00497870"/>
    <w:rsid w:val="004979F1"/>
    <w:rsid w:val="00497A2C"/>
    <w:rsid w:val="00497A79"/>
    <w:rsid w:val="00497AEE"/>
    <w:rsid w:val="00497B44"/>
    <w:rsid w:val="00497CA6"/>
    <w:rsid w:val="00497D56"/>
    <w:rsid w:val="00497DF3"/>
    <w:rsid w:val="00497ED6"/>
    <w:rsid w:val="00497FA0"/>
    <w:rsid w:val="00497FE6"/>
    <w:rsid w:val="004A008F"/>
    <w:rsid w:val="004A0120"/>
    <w:rsid w:val="004A0211"/>
    <w:rsid w:val="004A028C"/>
    <w:rsid w:val="004A02EE"/>
    <w:rsid w:val="004A0301"/>
    <w:rsid w:val="004A0319"/>
    <w:rsid w:val="004A0489"/>
    <w:rsid w:val="004A0497"/>
    <w:rsid w:val="004A04F4"/>
    <w:rsid w:val="004A0506"/>
    <w:rsid w:val="004A0530"/>
    <w:rsid w:val="004A0574"/>
    <w:rsid w:val="004A0581"/>
    <w:rsid w:val="004A06C3"/>
    <w:rsid w:val="004A0944"/>
    <w:rsid w:val="004A09B9"/>
    <w:rsid w:val="004A0A79"/>
    <w:rsid w:val="004A0A8D"/>
    <w:rsid w:val="004A0A94"/>
    <w:rsid w:val="004A0AFB"/>
    <w:rsid w:val="004A0BB5"/>
    <w:rsid w:val="004A0C0D"/>
    <w:rsid w:val="004A0CB2"/>
    <w:rsid w:val="004A0D0B"/>
    <w:rsid w:val="004A0D6C"/>
    <w:rsid w:val="004A0E18"/>
    <w:rsid w:val="004A0EB2"/>
    <w:rsid w:val="004A0ECF"/>
    <w:rsid w:val="004A0EFD"/>
    <w:rsid w:val="004A0FAA"/>
    <w:rsid w:val="004A0FC8"/>
    <w:rsid w:val="004A10BC"/>
    <w:rsid w:val="004A1228"/>
    <w:rsid w:val="004A12D8"/>
    <w:rsid w:val="004A1447"/>
    <w:rsid w:val="004A1477"/>
    <w:rsid w:val="004A152B"/>
    <w:rsid w:val="004A157D"/>
    <w:rsid w:val="004A15C3"/>
    <w:rsid w:val="004A178E"/>
    <w:rsid w:val="004A1900"/>
    <w:rsid w:val="004A1924"/>
    <w:rsid w:val="004A19C5"/>
    <w:rsid w:val="004A19CA"/>
    <w:rsid w:val="004A19CE"/>
    <w:rsid w:val="004A1B59"/>
    <w:rsid w:val="004A1B62"/>
    <w:rsid w:val="004A1BC5"/>
    <w:rsid w:val="004A1BDB"/>
    <w:rsid w:val="004A1C0C"/>
    <w:rsid w:val="004A1CC6"/>
    <w:rsid w:val="004A1D81"/>
    <w:rsid w:val="004A1DD3"/>
    <w:rsid w:val="004A1E31"/>
    <w:rsid w:val="004A1E48"/>
    <w:rsid w:val="004A1E91"/>
    <w:rsid w:val="004A1F51"/>
    <w:rsid w:val="004A1F63"/>
    <w:rsid w:val="004A1FB8"/>
    <w:rsid w:val="004A1FC2"/>
    <w:rsid w:val="004A1FFB"/>
    <w:rsid w:val="004A1FFF"/>
    <w:rsid w:val="004A21BC"/>
    <w:rsid w:val="004A21E5"/>
    <w:rsid w:val="004A2220"/>
    <w:rsid w:val="004A222C"/>
    <w:rsid w:val="004A22BA"/>
    <w:rsid w:val="004A23DF"/>
    <w:rsid w:val="004A246F"/>
    <w:rsid w:val="004A258A"/>
    <w:rsid w:val="004A259A"/>
    <w:rsid w:val="004A25E6"/>
    <w:rsid w:val="004A2620"/>
    <w:rsid w:val="004A2621"/>
    <w:rsid w:val="004A2682"/>
    <w:rsid w:val="004A26CB"/>
    <w:rsid w:val="004A27FC"/>
    <w:rsid w:val="004A284F"/>
    <w:rsid w:val="004A2866"/>
    <w:rsid w:val="004A29E2"/>
    <w:rsid w:val="004A29F9"/>
    <w:rsid w:val="004A2A0D"/>
    <w:rsid w:val="004A2A13"/>
    <w:rsid w:val="004A2A5B"/>
    <w:rsid w:val="004A2C7C"/>
    <w:rsid w:val="004A2D32"/>
    <w:rsid w:val="004A2D40"/>
    <w:rsid w:val="004A2D76"/>
    <w:rsid w:val="004A2D8E"/>
    <w:rsid w:val="004A2DC8"/>
    <w:rsid w:val="004A2E30"/>
    <w:rsid w:val="004A2E4F"/>
    <w:rsid w:val="004A2EA1"/>
    <w:rsid w:val="004A32B7"/>
    <w:rsid w:val="004A32E7"/>
    <w:rsid w:val="004A3350"/>
    <w:rsid w:val="004A33A2"/>
    <w:rsid w:val="004A3453"/>
    <w:rsid w:val="004A35BE"/>
    <w:rsid w:val="004A35CB"/>
    <w:rsid w:val="004A362C"/>
    <w:rsid w:val="004A3671"/>
    <w:rsid w:val="004A36D1"/>
    <w:rsid w:val="004A377A"/>
    <w:rsid w:val="004A37E9"/>
    <w:rsid w:val="004A3821"/>
    <w:rsid w:val="004A3841"/>
    <w:rsid w:val="004A3B36"/>
    <w:rsid w:val="004A3B59"/>
    <w:rsid w:val="004A3B63"/>
    <w:rsid w:val="004A3BFE"/>
    <w:rsid w:val="004A3C48"/>
    <w:rsid w:val="004A3C64"/>
    <w:rsid w:val="004A3C6F"/>
    <w:rsid w:val="004A3D86"/>
    <w:rsid w:val="004A3FA2"/>
    <w:rsid w:val="004A40AA"/>
    <w:rsid w:val="004A415C"/>
    <w:rsid w:val="004A4191"/>
    <w:rsid w:val="004A42FD"/>
    <w:rsid w:val="004A4307"/>
    <w:rsid w:val="004A43CF"/>
    <w:rsid w:val="004A4474"/>
    <w:rsid w:val="004A44A2"/>
    <w:rsid w:val="004A467A"/>
    <w:rsid w:val="004A4685"/>
    <w:rsid w:val="004A47C0"/>
    <w:rsid w:val="004A47C7"/>
    <w:rsid w:val="004A488D"/>
    <w:rsid w:val="004A49A2"/>
    <w:rsid w:val="004A49FD"/>
    <w:rsid w:val="004A4AE4"/>
    <w:rsid w:val="004A4B7E"/>
    <w:rsid w:val="004A4B86"/>
    <w:rsid w:val="004A4B93"/>
    <w:rsid w:val="004A4C24"/>
    <w:rsid w:val="004A4C68"/>
    <w:rsid w:val="004A4DF6"/>
    <w:rsid w:val="004A4E36"/>
    <w:rsid w:val="004A4E3D"/>
    <w:rsid w:val="004A4EA2"/>
    <w:rsid w:val="004A4F49"/>
    <w:rsid w:val="004A5081"/>
    <w:rsid w:val="004A5114"/>
    <w:rsid w:val="004A514A"/>
    <w:rsid w:val="004A5365"/>
    <w:rsid w:val="004A53B2"/>
    <w:rsid w:val="004A53F6"/>
    <w:rsid w:val="004A5400"/>
    <w:rsid w:val="004A5499"/>
    <w:rsid w:val="004A54AC"/>
    <w:rsid w:val="004A5527"/>
    <w:rsid w:val="004A556C"/>
    <w:rsid w:val="004A558B"/>
    <w:rsid w:val="004A5649"/>
    <w:rsid w:val="004A5672"/>
    <w:rsid w:val="004A58EA"/>
    <w:rsid w:val="004A58FC"/>
    <w:rsid w:val="004A5968"/>
    <w:rsid w:val="004A5A07"/>
    <w:rsid w:val="004A5A75"/>
    <w:rsid w:val="004A5A89"/>
    <w:rsid w:val="004A5B3D"/>
    <w:rsid w:val="004A5BE1"/>
    <w:rsid w:val="004A5C4E"/>
    <w:rsid w:val="004A5CB6"/>
    <w:rsid w:val="004A5CB8"/>
    <w:rsid w:val="004A5CC1"/>
    <w:rsid w:val="004A5CCA"/>
    <w:rsid w:val="004A5D76"/>
    <w:rsid w:val="004A5E02"/>
    <w:rsid w:val="004A5E13"/>
    <w:rsid w:val="004A5F9B"/>
    <w:rsid w:val="004A60D9"/>
    <w:rsid w:val="004A617B"/>
    <w:rsid w:val="004A619E"/>
    <w:rsid w:val="004A629E"/>
    <w:rsid w:val="004A62CA"/>
    <w:rsid w:val="004A6375"/>
    <w:rsid w:val="004A6386"/>
    <w:rsid w:val="004A64C1"/>
    <w:rsid w:val="004A6603"/>
    <w:rsid w:val="004A667E"/>
    <w:rsid w:val="004A6691"/>
    <w:rsid w:val="004A66AB"/>
    <w:rsid w:val="004A6741"/>
    <w:rsid w:val="004A67B1"/>
    <w:rsid w:val="004A684C"/>
    <w:rsid w:val="004A6895"/>
    <w:rsid w:val="004A6978"/>
    <w:rsid w:val="004A6980"/>
    <w:rsid w:val="004A6A7E"/>
    <w:rsid w:val="004A6B2A"/>
    <w:rsid w:val="004A6BA7"/>
    <w:rsid w:val="004A6C1B"/>
    <w:rsid w:val="004A6C7C"/>
    <w:rsid w:val="004A6CD4"/>
    <w:rsid w:val="004A6CE6"/>
    <w:rsid w:val="004A6EFE"/>
    <w:rsid w:val="004A6F43"/>
    <w:rsid w:val="004A6F5B"/>
    <w:rsid w:val="004A6F5D"/>
    <w:rsid w:val="004A6FD8"/>
    <w:rsid w:val="004A7007"/>
    <w:rsid w:val="004A70E7"/>
    <w:rsid w:val="004A722A"/>
    <w:rsid w:val="004A7287"/>
    <w:rsid w:val="004A732B"/>
    <w:rsid w:val="004A7350"/>
    <w:rsid w:val="004A73B5"/>
    <w:rsid w:val="004A74A3"/>
    <w:rsid w:val="004A753C"/>
    <w:rsid w:val="004A75DF"/>
    <w:rsid w:val="004A7603"/>
    <w:rsid w:val="004A761C"/>
    <w:rsid w:val="004A7674"/>
    <w:rsid w:val="004A7682"/>
    <w:rsid w:val="004A7772"/>
    <w:rsid w:val="004A778A"/>
    <w:rsid w:val="004A77CF"/>
    <w:rsid w:val="004A7837"/>
    <w:rsid w:val="004A7932"/>
    <w:rsid w:val="004A7990"/>
    <w:rsid w:val="004A79AD"/>
    <w:rsid w:val="004A7A39"/>
    <w:rsid w:val="004A7A3C"/>
    <w:rsid w:val="004A7A4F"/>
    <w:rsid w:val="004A7A74"/>
    <w:rsid w:val="004A7E21"/>
    <w:rsid w:val="004A7EF5"/>
    <w:rsid w:val="004B002E"/>
    <w:rsid w:val="004B004E"/>
    <w:rsid w:val="004B00C9"/>
    <w:rsid w:val="004B00D4"/>
    <w:rsid w:val="004B00E0"/>
    <w:rsid w:val="004B016C"/>
    <w:rsid w:val="004B016F"/>
    <w:rsid w:val="004B0221"/>
    <w:rsid w:val="004B0296"/>
    <w:rsid w:val="004B03DA"/>
    <w:rsid w:val="004B062E"/>
    <w:rsid w:val="004B0729"/>
    <w:rsid w:val="004B07F4"/>
    <w:rsid w:val="004B083E"/>
    <w:rsid w:val="004B085B"/>
    <w:rsid w:val="004B087E"/>
    <w:rsid w:val="004B08DE"/>
    <w:rsid w:val="004B0911"/>
    <w:rsid w:val="004B0931"/>
    <w:rsid w:val="004B0A5C"/>
    <w:rsid w:val="004B0A9F"/>
    <w:rsid w:val="004B0ADF"/>
    <w:rsid w:val="004B0B34"/>
    <w:rsid w:val="004B0B9E"/>
    <w:rsid w:val="004B0BCE"/>
    <w:rsid w:val="004B0BDC"/>
    <w:rsid w:val="004B0C3F"/>
    <w:rsid w:val="004B0D1A"/>
    <w:rsid w:val="004B0D51"/>
    <w:rsid w:val="004B0DA6"/>
    <w:rsid w:val="004B0E17"/>
    <w:rsid w:val="004B0E2B"/>
    <w:rsid w:val="004B0E5C"/>
    <w:rsid w:val="004B0E87"/>
    <w:rsid w:val="004B0FAC"/>
    <w:rsid w:val="004B1008"/>
    <w:rsid w:val="004B10EE"/>
    <w:rsid w:val="004B1186"/>
    <w:rsid w:val="004B11A3"/>
    <w:rsid w:val="004B1288"/>
    <w:rsid w:val="004B134F"/>
    <w:rsid w:val="004B1380"/>
    <w:rsid w:val="004B1476"/>
    <w:rsid w:val="004B1482"/>
    <w:rsid w:val="004B153C"/>
    <w:rsid w:val="004B154D"/>
    <w:rsid w:val="004B180C"/>
    <w:rsid w:val="004B181C"/>
    <w:rsid w:val="004B1860"/>
    <w:rsid w:val="004B1863"/>
    <w:rsid w:val="004B1896"/>
    <w:rsid w:val="004B1934"/>
    <w:rsid w:val="004B1A0E"/>
    <w:rsid w:val="004B1BD3"/>
    <w:rsid w:val="004B1C84"/>
    <w:rsid w:val="004B1CC2"/>
    <w:rsid w:val="004B1D1A"/>
    <w:rsid w:val="004B1E3D"/>
    <w:rsid w:val="004B1F85"/>
    <w:rsid w:val="004B1FD2"/>
    <w:rsid w:val="004B20FA"/>
    <w:rsid w:val="004B2319"/>
    <w:rsid w:val="004B2352"/>
    <w:rsid w:val="004B2497"/>
    <w:rsid w:val="004B24C9"/>
    <w:rsid w:val="004B27A2"/>
    <w:rsid w:val="004B2875"/>
    <w:rsid w:val="004B28A3"/>
    <w:rsid w:val="004B2908"/>
    <w:rsid w:val="004B297E"/>
    <w:rsid w:val="004B29FA"/>
    <w:rsid w:val="004B2A17"/>
    <w:rsid w:val="004B2A69"/>
    <w:rsid w:val="004B2BEF"/>
    <w:rsid w:val="004B2C47"/>
    <w:rsid w:val="004B2D1D"/>
    <w:rsid w:val="004B2D8A"/>
    <w:rsid w:val="004B2DAE"/>
    <w:rsid w:val="004B2EA2"/>
    <w:rsid w:val="004B2F60"/>
    <w:rsid w:val="004B30B9"/>
    <w:rsid w:val="004B3294"/>
    <w:rsid w:val="004B3395"/>
    <w:rsid w:val="004B33A6"/>
    <w:rsid w:val="004B33BD"/>
    <w:rsid w:val="004B346D"/>
    <w:rsid w:val="004B3485"/>
    <w:rsid w:val="004B356B"/>
    <w:rsid w:val="004B359D"/>
    <w:rsid w:val="004B36C4"/>
    <w:rsid w:val="004B3806"/>
    <w:rsid w:val="004B384C"/>
    <w:rsid w:val="004B3916"/>
    <w:rsid w:val="004B394C"/>
    <w:rsid w:val="004B39DE"/>
    <w:rsid w:val="004B3B1D"/>
    <w:rsid w:val="004B3CB8"/>
    <w:rsid w:val="004B3CF4"/>
    <w:rsid w:val="004B3DB0"/>
    <w:rsid w:val="004B3DC3"/>
    <w:rsid w:val="004B3F0C"/>
    <w:rsid w:val="004B3F17"/>
    <w:rsid w:val="004B407C"/>
    <w:rsid w:val="004B408E"/>
    <w:rsid w:val="004B40C4"/>
    <w:rsid w:val="004B416A"/>
    <w:rsid w:val="004B421E"/>
    <w:rsid w:val="004B4236"/>
    <w:rsid w:val="004B4276"/>
    <w:rsid w:val="004B42C0"/>
    <w:rsid w:val="004B436A"/>
    <w:rsid w:val="004B4560"/>
    <w:rsid w:val="004B4575"/>
    <w:rsid w:val="004B45E3"/>
    <w:rsid w:val="004B4724"/>
    <w:rsid w:val="004B4732"/>
    <w:rsid w:val="004B47F1"/>
    <w:rsid w:val="004B4867"/>
    <w:rsid w:val="004B4869"/>
    <w:rsid w:val="004B4950"/>
    <w:rsid w:val="004B49CE"/>
    <w:rsid w:val="004B4A76"/>
    <w:rsid w:val="004B4A7C"/>
    <w:rsid w:val="004B4B17"/>
    <w:rsid w:val="004B4B5F"/>
    <w:rsid w:val="004B4CD5"/>
    <w:rsid w:val="004B4D77"/>
    <w:rsid w:val="004B4DD3"/>
    <w:rsid w:val="004B4EC3"/>
    <w:rsid w:val="004B4F52"/>
    <w:rsid w:val="004B4FAD"/>
    <w:rsid w:val="004B502D"/>
    <w:rsid w:val="004B507B"/>
    <w:rsid w:val="004B51A3"/>
    <w:rsid w:val="004B51AA"/>
    <w:rsid w:val="004B528D"/>
    <w:rsid w:val="004B5301"/>
    <w:rsid w:val="004B539B"/>
    <w:rsid w:val="004B53E5"/>
    <w:rsid w:val="004B53E8"/>
    <w:rsid w:val="004B540C"/>
    <w:rsid w:val="004B5431"/>
    <w:rsid w:val="004B54D1"/>
    <w:rsid w:val="004B5564"/>
    <w:rsid w:val="004B55DE"/>
    <w:rsid w:val="004B5601"/>
    <w:rsid w:val="004B5808"/>
    <w:rsid w:val="004B592C"/>
    <w:rsid w:val="004B5999"/>
    <w:rsid w:val="004B59A0"/>
    <w:rsid w:val="004B5AE1"/>
    <w:rsid w:val="004B5B17"/>
    <w:rsid w:val="004B5B18"/>
    <w:rsid w:val="004B5B5A"/>
    <w:rsid w:val="004B5B9A"/>
    <w:rsid w:val="004B5D6A"/>
    <w:rsid w:val="004B5F6D"/>
    <w:rsid w:val="004B5F92"/>
    <w:rsid w:val="004B60BE"/>
    <w:rsid w:val="004B6316"/>
    <w:rsid w:val="004B6354"/>
    <w:rsid w:val="004B63C7"/>
    <w:rsid w:val="004B65C5"/>
    <w:rsid w:val="004B6625"/>
    <w:rsid w:val="004B6792"/>
    <w:rsid w:val="004B684D"/>
    <w:rsid w:val="004B688B"/>
    <w:rsid w:val="004B690A"/>
    <w:rsid w:val="004B6986"/>
    <w:rsid w:val="004B6A52"/>
    <w:rsid w:val="004B6A5A"/>
    <w:rsid w:val="004B6B57"/>
    <w:rsid w:val="004B6B80"/>
    <w:rsid w:val="004B6BE0"/>
    <w:rsid w:val="004B6C11"/>
    <w:rsid w:val="004B6D04"/>
    <w:rsid w:val="004B6D3E"/>
    <w:rsid w:val="004B6D87"/>
    <w:rsid w:val="004B6DC5"/>
    <w:rsid w:val="004B6FD3"/>
    <w:rsid w:val="004B711C"/>
    <w:rsid w:val="004B72BF"/>
    <w:rsid w:val="004B7306"/>
    <w:rsid w:val="004B731E"/>
    <w:rsid w:val="004B7327"/>
    <w:rsid w:val="004B738C"/>
    <w:rsid w:val="004B73CE"/>
    <w:rsid w:val="004B7429"/>
    <w:rsid w:val="004B74F5"/>
    <w:rsid w:val="004B7521"/>
    <w:rsid w:val="004B777E"/>
    <w:rsid w:val="004B77BF"/>
    <w:rsid w:val="004B77DA"/>
    <w:rsid w:val="004B787E"/>
    <w:rsid w:val="004B7929"/>
    <w:rsid w:val="004B79B0"/>
    <w:rsid w:val="004B79BA"/>
    <w:rsid w:val="004B7A1C"/>
    <w:rsid w:val="004B7AA4"/>
    <w:rsid w:val="004B7C4B"/>
    <w:rsid w:val="004B7C70"/>
    <w:rsid w:val="004B7E32"/>
    <w:rsid w:val="004B7E4A"/>
    <w:rsid w:val="004B7E4C"/>
    <w:rsid w:val="004B7FF6"/>
    <w:rsid w:val="004C00BD"/>
    <w:rsid w:val="004C011A"/>
    <w:rsid w:val="004C01C2"/>
    <w:rsid w:val="004C0212"/>
    <w:rsid w:val="004C021B"/>
    <w:rsid w:val="004C0330"/>
    <w:rsid w:val="004C037D"/>
    <w:rsid w:val="004C0394"/>
    <w:rsid w:val="004C03F6"/>
    <w:rsid w:val="004C05A4"/>
    <w:rsid w:val="004C0707"/>
    <w:rsid w:val="004C076D"/>
    <w:rsid w:val="004C081A"/>
    <w:rsid w:val="004C082F"/>
    <w:rsid w:val="004C0885"/>
    <w:rsid w:val="004C0899"/>
    <w:rsid w:val="004C09C8"/>
    <w:rsid w:val="004C0A30"/>
    <w:rsid w:val="004C0A3C"/>
    <w:rsid w:val="004C0A92"/>
    <w:rsid w:val="004C0AB8"/>
    <w:rsid w:val="004C0AB9"/>
    <w:rsid w:val="004C0AD9"/>
    <w:rsid w:val="004C0B11"/>
    <w:rsid w:val="004C0B24"/>
    <w:rsid w:val="004C0B3F"/>
    <w:rsid w:val="004C0BCF"/>
    <w:rsid w:val="004C0BD6"/>
    <w:rsid w:val="004C0C77"/>
    <w:rsid w:val="004C0D3C"/>
    <w:rsid w:val="004C0D6F"/>
    <w:rsid w:val="004C0D72"/>
    <w:rsid w:val="004C0DF7"/>
    <w:rsid w:val="004C0E03"/>
    <w:rsid w:val="004C0E7E"/>
    <w:rsid w:val="004C0F4E"/>
    <w:rsid w:val="004C1121"/>
    <w:rsid w:val="004C1153"/>
    <w:rsid w:val="004C11A9"/>
    <w:rsid w:val="004C120F"/>
    <w:rsid w:val="004C1302"/>
    <w:rsid w:val="004C131E"/>
    <w:rsid w:val="004C1440"/>
    <w:rsid w:val="004C145F"/>
    <w:rsid w:val="004C14E4"/>
    <w:rsid w:val="004C1524"/>
    <w:rsid w:val="004C15B9"/>
    <w:rsid w:val="004C15EA"/>
    <w:rsid w:val="004C1703"/>
    <w:rsid w:val="004C1750"/>
    <w:rsid w:val="004C18D7"/>
    <w:rsid w:val="004C1919"/>
    <w:rsid w:val="004C1A5E"/>
    <w:rsid w:val="004C1A70"/>
    <w:rsid w:val="004C1B84"/>
    <w:rsid w:val="004C1C3A"/>
    <w:rsid w:val="004C1DD7"/>
    <w:rsid w:val="004C1ED6"/>
    <w:rsid w:val="004C1F37"/>
    <w:rsid w:val="004C206D"/>
    <w:rsid w:val="004C2082"/>
    <w:rsid w:val="004C212F"/>
    <w:rsid w:val="004C2187"/>
    <w:rsid w:val="004C21B1"/>
    <w:rsid w:val="004C247E"/>
    <w:rsid w:val="004C25BA"/>
    <w:rsid w:val="004C2615"/>
    <w:rsid w:val="004C2651"/>
    <w:rsid w:val="004C2767"/>
    <w:rsid w:val="004C27E5"/>
    <w:rsid w:val="004C284F"/>
    <w:rsid w:val="004C2861"/>
    <w:rsid w:val="004C2875"/>
    <w:rsid w:val="004C2A0A"/>
    <w:rsid w:val="004C2A4C"/>
    <w:rsid w:val="004C2A56"/>
    <w:rsid w:val="004C2A90"/>
    <w:rsid w:val="004C2AE4"/>
    <w:rsid w:val="004C2AEA"/>
    <w:rsid w:val="004C2B18"/>
    <w:rsid w:val="004C2D79"/>
    <w:rsid w:val="004C2D8D"/>
    <w:rsid w:val="004C2D97"/>
    <w:rsid w:val="004C2DF0"/>
    <w:rsid w:val="004C2E67"/>
    <w:rsid w:val="004C2E91"/>
    <w:rsid w:val="004C2EB5"/>
    <w:rsid w:val="004C2F23"/>
    <w:rsid w:val="004C3080"/>
    <w:rsid w:val="004C30D2"/>
    <w:rsid w:val="004C3262"/>
    <w:rsid w:val="004C3266"/>
    <w:rsid w:val="004C32F9"/>
    <w:rsid w:val="004C3323"/>
    <w:rsid w:val="004C33A0"/>
    <w:rsid w:val="004C3409"/>
    <w:rsid w:val="004C346F"/>
    <w:rsid w:val="004C3631"/>
    <w:rsid w:val="004C36D6"/>
    <w:rsid w:val="004C38A2"/>
    <w:rsid w:val="004C38AF"/>
    <w:rsid w:val="004C3944"/>
    <w:rsid w:val="004C3A16"/>
    <w:rsid w:val="004C3A36"/>
    <w:rsid w:val="004C3A6E"/>
    <w:rsid w:val="004C3AD8"/>
    <w:rsid w:val="004C3C2C"/>
    <w:rsid w:val="004C3D0F"/>
    <w:rsid w:val="004C3D4C"/>
    <w:rsid w:val="004C3E43"/>
    <w:rsid w:val="004C3EE3"/>
    <w:rsid w:val="004C3F71"/>
    <w:rsid w:val="004C3FFC"/>
    <w:rsid w:val="004C4101"/>
    <w:rsid w:val="004C42D6"/>
    <w:rsid w:val="004C450E"/>
    <w:rsid w:val="004C4570"/>
    <w:rsid w:val="004C460D"/>
    <w:rsid w:val="004C468B"/>
    <w:rsid w:val="004C475F"/>
    <w:rsid w:val="004C4976"/>
    <w:rsid w:val="004C4981"/>
    <w:rsid w:val="004C4A06"/>
    <w:rsid w:val="004C4AA5"/>
    <w:rsid w:val="004C4B52"/>
    <w:rsid w:val="004C4B8A"/>
    <w:rsid w:val="004C4B92"/>
    <w:rsid w:val="004C4BD7"/>
    <w:rsid w:val="004C4C52"/>
    <w:rsid w:val="004C4D0C"/>
    <w:rsid w:val="004C4D16"/>
    <w:rsid w:val="004C4D8C"/>
    <w:rsid w:val="004C4E34"/>
    <w:rsid w:val="004C4EDF"/>
    <w:rsid w:val="004C4F67"/>
    <w:rsid w:val="004C5016"/>
    <w:rsid w:val="004C5036"/>
    <w:rsid w:val="004C5064"/>
    <w:rsid w:val="004C5067"/>
    <w:rsid w:val="004C508E"/>
    <w:rsid w:val="004C50FE"/>
    <w:rsid w:val="004C53F0"/>
    <w:rsid w:val="004C5470"/>
    <w:rsid w:val="004C54C3"/>
    <w:rsid w:val="004C5520"/>
    <w:rsid w:val="004C5609"/>
    <w:rsid w:val="004C5750"/>
    <w:rsid w:val="004C589E"/>
    <w:rsid w:val="004C597C"/>
    <w:rsid w:val="004C598D"/>
    <w:rsid w:val="004C59D6"/>
    <w:rsid w:val="004C59E2"/>
    <w:rsid w:val="004C5A2D"/>
    <w:rsid w:val="004C5A36"/>
    <w:rsid w:val="004C5B14"/>
    <w:rsid w:val="004C5B73"/>
    <w:rsid w:val="004C5B89"/>
    <w:rsid w:val="004C5C67"/>
    <w:rsid w:val="004C5C8D"/>
    <w:rsid w:val="004C5CE6"/>
    <w:rsid w:val="004C5CF9"/>
    <w:rsid w:val="004C5EB9"/>
    <w:rsid w:val="004C5EC1"/>
    <w:rsid w:val="004C5FE1"/>
    <w:rsid w:val="004C6032"/>
    <w:rsid w:val="004C6034"/>
    <w:rsid w:val="004C6187"/>
    <w:rsid w:val="004C621D"/>
    <w:rsid w:val="004C6244"/>
    <w:rsid w:val="004C625D"/>
    <w:rsid w:val="004C627C"/>
    <w:rsid w:val="004C6314"/>
    <w:rsid w:val="004C632F"/>
    <w:rsid w:val="004C633F"/>
    <w:rsid w:val="004C6529"/>
    <w:rsid w:val="004C6599"/>
    <w:rsid w:val="004C669F"/>
    <w:rsid w:val="004C66CA"/>
    <w:rsid w:val="004C6798"/>
    <w:rsid w:val="004C6977"/>
    <w:rsid w:val="004C6BB2"/>
    <w:rsid w:val="004C6BE4"/>
    <w:rsid w:val="004C6C13"/>
    <w:rsid w:val="004C6C18"/>
    <w:rsid w:val="004C6C3D"/>
    <w:rsid w:val="004C6CD2"/>
    <w:rsid w:val="004C6CEB"/>
    <w:rsid w:val="004C6E64"/>
    <w:rsid w:val="004C6E92"/>
    <w:rsid w:val="004C706F"/>
    <w:rsid w:val="004C70FC"/>
    <w:rsid w:val="004C7147"/>
    <w:rsid w:val="004C71E9"/>
    <w:rsid w:val="004C72DB"/>
    <w:rsid w:val="004C744B"/>
    <w:rsid w:val="004C75C7"/>
    <w:rsid w:val="004C7619"/>
    <w:rsid w:val="004C76A7"/>
    <w:rsid w:val="004C7801"/>
    <w:rsid w:val="004C79B2"/>
    <w:rsid w:val="004C7A15"/>
    <w:rsid w:val="004C7A9A"/>
    <w:rsid w:val="004C7AE3"/>
    <w:rsid w:val="004C7AF0"/>
    <w:rsid w:val="004C7B91"/>
    <w:rsid w:val="004C7CA7"/>
    <w:rsid w:val="004C7D14"/>
    <w:rsid w:val="004C7D23"/>
    <w:rsid w:val="004C7D7C"/>
    <w:rsid w:val="004C7DC9"/>
    <w:rsid w:val="004C7E44"/>
    <w:rsid w:val="004C7EC4"/>
    <w:rsid w:val="004C7FB0"/>
    <w:rsid w:val="004C7FCD"/>
    <w:rsid w:val="004C9A6E"/>
    <w:rsid w:val="004D0071"/>
    <w:rsid w:val="004D0102"/>
    <w:rsid w:val="004D02E9"/>
    <w:rsid w:val="004D0346"/>
    <w:rsid w:val="004D0358"/>
    <w:rsid w:val="004D03E4"/>
    <w:rsid w:val="004D0462"/>
    <w:rsid w:val="004D04B2"/>
    <w:rsid w:val="004D05A5"/>
    <w:rsid w:val="004D05AB"/>
    <w:rsid w:val="004D05D2"/>
    <w:rsid w:val="004D0696"/>
    <w:rsid w:val="004D08CC"/>
    <w:rsid w:val="004D090E"/>
    <w:rsid w:val="004D0949"/>
    <w:rsid w:val="004D0AAE"/>
    <w:rsid w:val="004D0AEE"/>
    <w:rsid w:val="004D0D04"/>
    <w:rsid w:val="004D0DD2"/>
    <w:rsid w:val="004D0DD3"/>
    <w:rsid w:val="004D0EB9"/>
    <w:rsid w:val="004D0ECB"/>
    <w:rsid w:val="004D0FAD"/>
    <w:rsid w:val="004D0FC9"/>
    <w:rsid w:val="004D0FFC"/>
    <w:rsid w:val="004D1196"/>
    <w:rsid w:val="004D124F"/>
    <w:rsid w:val="004D12C7"/>
    <w:rsid w:val="004D14A0"/>
    <w:rsid w:val="004D1524"/>
    <w:rsid w:val="004D1533"/>
    <w:rsid w:val="004D1534"/>
    <w:rsid w:val="004D153E"/>
    <w:rsid w:val="004D1603"/>
    <w:rsid w:val="004D175F"/>
    <w:rsid w:val="004D1846"/>
    <w:rsid w:val="004D1AD9"/>
    <w:rsid w:val="004D1AE6"/>
    <w:rsid w:val="004D1B1A"/>
    <w:rsid w:val="004D1BAB"/>
    <w:rsid w:val="004D1BFA"/>
    <w:rsid w:val="004D1C06"/>
    <w:rsid w:val="004D1CDF"/>
    <w:rsid w:val="004D1DDC"/>
    <w:rsid w:val="004D1EBE"/>
    <w:rsid w:val="004D1EC3"/>
    <w:rsid w:val="004D1FAC"/>
    <w:rsid w:val="004D201B"/>
    <w:rsid w:val="004D20BC"/>
    <w:rsid w:val="004D20FA"/>
    <w:rsid w:val="004D213F"/>
    <w:rsid w:val="004D218D"/>
    <w:rsid w:val="004D21D3"/>
    <w:rsid w:val="004D2253"/>
    <w:rsid w:val="004D22A6"/>
    <w:rsid w:val="004D22D8"/>
    <w:rsid w:val="004D24B4"/>
    <w:rsid w:val="004D2577"/>
    <w:rsid w:val="004D258F"/>
    <w:rsid w:val="004D2614"/>
    <w:rsid w:val="004D27A7"/>
    <w:rsid w:val="004D27B9"/>
    <w:rsid w:val="004D27FC"/>
    <w:rsid w:val="004D280E"/>
    <w:rsid w:val="004D2933"/>
    <w:rsid w:val="004D2957"/>
    <w:rsid w:val="004D29F6"/>
    <w:rsid w:val="004D2A48"/>
    <w:rsid w:val="004D2A78"/>
    <w:rsid w:val="004D2D08"/>
    <w:rsid w:val="004D2DEB"/>
    <w:rsid w:val="004D2E6C"/>
    <w:rsid w:val="004D2F69"/>
    <w:rsid w:val="004D2FCE"/>
    <w:rsid w:val="004D302C"/>
    <w:rsid w:val="004D30F5"/>
    <w:rsid w:val="004D314E"/>
    <w:rsid w:val="004D3197"/>
    <w:rsid w:val="004D321F"/>
    <w:rsid w:val="004D347D"/>
    <w:rsid w:val="004D361F"/>
    <w:rsid w:val="004D3691"/>
    <w:rsid w:val="004D370A"/>
    <w:rsid w:val="004D38D2"/>
    <w:rsid w:val="004D38EE"/>
    <w:rsid w:val="004D39A1"/>
    <w:rsid w:val="004D39CE"/>
    <w:rsid w:val="004D3B1B"/>
    <w:rsid w:val="004D3B85"/>
    <w:rsid w:val="004D3BC6"/>
    <w:rsid w:val="004D3C57"/>
    <w:rsid w:val="004D3CF8"/>
    <w:rsid w:val="004D3D39"/>
    <w:rsid w:val="004D3E6E"/>
    <w:rsid w:val="004D3EC1"/>
    <w:rsid w:val="004D3EC4"/>
    <w:rsid w:val="004D3F09"/>
    <w:rsid w:val="004D3F45"/>
    <w:rsid w:val="004D408B"/>
    <w:rsid w:val="004D408C"/>
    <w:rsid w:val="004D408F"/>
    <w:rsid w:val="004D4145"/>
    <w:rsid w:val="004D415E"/>
    <w:rsid w:val="004D41ED"/>
    <w:rsid w:val="004D4337"/>
    <w:rsid w:val="004D4340"/>
    <w:rsid w:val="004D43C7"/>
    <w:rsid w:val="004D4468"/>
    <w:rsid w:val="004D45DB"/>
    <w:rsid w:val="004D4694"/>
    <w:rsid w:val="004D472E"/>
    <w:rsid w:val="004D47CB"/>
    <w:rsid w:val="004D47D8"/>
    <w:rsid w:val="004D490D"/>
    <w:rsid w:val="004D49F3"/>
    <w:rsid w:val="004D4ABE"/>
    <w:rsid w:val="004D4BF2"/>
    <w:rsid w:val="004D4C25"/>
    <w:rsid w:val="004D4CFF"/>
    <w:rsid w:val="004D4F00"/>
    <w:rsid w:val="004D4F91"/>
    <w:rsid w:val="004D5049"/>
    <w:rsid w:val="004D50A8"/>
    <w:rsid w:val="004D50BA"/>
    <w:rsid w:val="004D50BB"/>
    <w:rsid w:val="004D521A"/>
    <w:rsid w:val="004D552C"/>
    <w:rsid w:val="004D5789"/>
    <w:rsid w:val="004D58D4"/>
    <w:rsid w:val="004D5A14"/>
    <w:rsid w:val="004D5A8B"/>
    <w:rsid w:val="004D5AEC"/>
    <w:rsid w:val="004D5AFE"/>
    <w:rsid w:val="004D5BF7"/>
    <w:rsid w:val="004D5C15"/>
    <w:rsid w:val="004D5C33"/>
    <w:rsid w:val="004D5CDC"/>
    <w:rsid w:val="004D5CE3"/>
    <w:rsid w:val="004D5D54"/>
    <w:rsid w:val="004D5D61"/>
    <w:rsid w:val="004D5DB9"/>
    <w:rsid w:val="004D5F04"/>
    <w:rsid w:val="004D5FDB"/>
    <w:rsid w:val="004D6056"/>
    <w:rsid w:val="004D6074"/>
    <w:rsid w:val="004D60F4"/>
    <w:rsid w:val="004D6122"/>
    <w:rsid w:val="004D62BC"/>
    <w:rsid w:val="004D652D"/>
    <w:rsid w:val="004D6739"/>
    <w:rsid w:val="004D6745"/>
    <w:rsid w:val="004D676A"/>
    <w:rsid w:val="004D67BF"/>
    <w:rsid w:val="004D6879"/>
    <w:rsid w:val="004D69A8"/>
    <w:rsid w:val="004D6A36"/>
    <w:rsid w:val="004D6B2D"/>
    <w:rsid w:val="004D6BCD"/>
    <w:rsid w:val="004D6C92"/>
    <w:rsid w:val="004D6CF8"/>
    <w:rsid w:val="004D6D2F"/>
    <w:rsid w:val="004D6D37"/>
    <w:rsid w:val="004D6DA9"/>
    <w:rsid w:val="004D6E48"/>
    <w:rsid w:val="004D6E67"/>
    <w:rsid w:val="004D702E"/>
    <w:rsid w:val="004D704E"/>
    <w:rsid w:val="004D70BA"/>
    <w:rsid w:val="004D731C"/>
    <w:rsid w:val="004D740B"/>
    <w:rsid w:val="004D7413"/>
    <w:rsid w:val="004D7486"/>
    <w:rsid w:val="004D7523"/>
    <w:rsid w:val="004D7539"/>
    <w:rsid w:val="004D756A"/>
    <w:rsid w:val="004D7574"/>
    <w:rsid w:val="004D7597"/>
    <w:rsid w:val="004D766E"/>
    <w:rsid w:val="004D7676"/>
    <w:rsid w:val="004D7703"/>
    <w:rsid w:val="004D7808"/>
    <w:rsid w:val="004D7902"/>
    <w:rsid w:val="004D7918"/>
    <w:rsid w:val="004D7BC4"/>
    <w:rsid w:val="004D7BF0"/>
    <w:rsid w:val="004D7BFF"/>
    <w:rsid w:val="004D7CCD"/>
    <w:rsid w:val="004D7CDF"/>
    <w:rsid w:val="004D7CE4"/>
    <w:rsid w:val="004D7DF1"/>
    <w:rsid w:val="004D7E0A"/>
    <w:rsid w:val="004D7EF5"/>
    <w:rsid w:val="004D7F72"/>
    <w:rsid w:val="004D7F93"/>
    <w:rsid w:val="004D7FB3"/>
    <w:rsid w:val="004D864D"/>
    <w:rsid w:val="004E0049"/>
    <w:rsid w:val="004E01A2"/>
    <w:rsid w:val="004E0204"/>
    <w:rsid w:val="004E0306"/>
    <w:rsid w:val="004E0383"/>
    <w:rsid w:val="004E03B4"/>
    <w:rsid w:val="004E0434"/>
    <w:rsid w:val="004E0436"/>
    <w:rsid w:val="004E04A6"/>
    <w:rsid w:val="004E054C"/>
    <w:rsid w:val="004E057C"/>
    <w:rsid w:val="004E0669"/>
    <w:rsid w:val="004E0699"/>
    <w:rsid w:val="004E069B"/>
    <w:rsid w:val="004E0812"/>
    <w:rsid w:val="004E08C8"/>
    <w:rsid w:val="004E090F"/>
    <w:rsid w:val="004E0914"/>
    <w:rsid w:val="004E0AA6"/>
    <w:rsid w:val="004E0B3E"/>
    <w:rsid w:val="004E0B95"/>
    <w:rsid w:val="004E0C0A"/>
    <w:rsid w:val="004E0C55"/>
    <w:rsid w:val="004E0CF5"/>
    <w:rsid w:val="004E0D0A"/>
    <w:rsid w:val="004E0E33"/>
    <w:rsid w:val="004E0E8D"/>
    <w:rsid w:val="004E0EA8"/>
    <w:rsid w:val="004E0F03"/>
    <w:rsid w:val="004E0F1F"/>
    <w:rsid w:val="004E101B"/>
    <w:rsid w:val="004E11F2"/>
    <w:rsid w:val="004E1239"/>
    <w:rsid w:val="004E147F"/>
    <w:rsid w:val="004E14E2"/>
    <w:rsid w:val="004E15C6"/>
    <w:rsid w:val="004E15CE"/>
    <w:rsid w:val="004E1605"/>
    <w:rsid w:val="004E167D"/>
    <w:rsid w:val="004E169B"/>
    <w:rsid w:val="004E16A4"/>
    <w:rsid w:val="004E1757"/>
    <w:rsid w:val="004E17E5"/>
    <w:rsid w:val="004E181F"/>
    <w:rsid w:val="004E184C"/>
    <w:rsid w:val="004E1AD6"/>
    <w:rsid w:val="004E1AE3"/>
    <w:rsid w:val="004E1B10"/>
    <w:rsid w:val="004E1C44"/>
    <w:rsid w:val="004E1DDE"/>
    <w:rsid w:val="004E20E4"/>
    <w:rsid w:val="004E2306"/>
    <w:rsid w:val="004E2369"/>
    <w:rsid w:val="004E23E1"/>
    <w:rsid w:val="004E249B"/>
    <w:rsid w:val="004E267E"/>
    <w:rsid w:val="004E2680"/>
    <w:rsid w:val="004E2831"/>
    <w:rsid w:val="004E286B"/>
    <w:rsid w:val="004E2928"/>
    <w:rsid w:val="004E2933"/>
    <w:rsid w:val="004E2A1E"/>
    <w:rsid w:val="004E2A99"/>
    <w:rsid w:val="004E2AD4"/>
    <w:rsid w:val="004E2D57"/>
    <w:rsid w:val="004E2E19"/>
    <w:rsid w:val="004E304E"/>
    <w:rsid w:val="004E3133"/>
    <w:rsid w:val="004E3193"/>
    <w:rsid w:val="004E31DC"/>
    <w:rsid w:val="004E321B"/>
    <w:rsid w:val="004E3265"/>
    <w:rsid w:val="004E326F"/>
    <w:rsid w:val="004E3276"/>
    <w:rsid w:val="004E32CF"/>
    <w:rsid w:val="004E32F3"/>
    <w:rsid w:val="004E3322"/>
    <w:rsid w:val="004E339B"/>
    <w:rsid w:val="004E33C6"/>
    <w:rsid w:val="004E34CE"/>
    <w:rsid w:val="004E35F1"/>
    <w:rsid w:val="004E3618"/>
    <w:rsid w:val="004E3623"/>
    <w:rsid w:val="004E3662"/>
    <w:rsid w:val="004E3677"/>
    <w:rsid w:val="004E369B"/>
    <w:rsid w:val="004E3780"/>
    <w:rsid w:val="004E3798"/>
    <w:rsid w:val="004E3809"/>
    <w:rsid w:val="004E3827"/>
    <w:rsid w:val="004E383C"/>
    <w:rsid w:val="004E39A8"/>
    <w:rsid w:val="004E39B7"/>
    <w:rsid w:val="004E3B0C"/>
    <w:rsid w:val="004E3BF4"/>
    <w:rsid w:val="004E3C51"/>
    <w:rsid w:val="004E3C5F"/>
    <w:rsid w:val="004E3D7D"/>
    <w:rsid w:val="004E3EBF"/>
    <w:rsid w:val="004E3F3A"/>
    <w:rsid w:val="004E3FB8"/>
    <w:rsid w:val="004E4020"/>
    <w:rsid w:val="004E4067"/>
    <w:rsid w:val="004E4078"/>
    <w:rsid w:val="004E43B7"/>
    <w:rsid w:val="004E43D2"/>
    <w:rsid w:val="004E45B8"/>
    <w:rsid w:val="004E4600"/>
    <w:rsid w:val="004E4672"/>
    <w:rsid w:val="004E4698"/>
    <w:rsid w:val="004E473C"/>
    <w:rsid w:val="004E488C"/>
    <w:rsid w:val="004E4896"/>
    <w:rsid w:val="004E4949"/>
    <w:rsid w:val="004E4987"/>
    <w:rsid w:val="004E498D"/>
    <w:rsid w:val="004E4A95"/>
    <w:rsid w:val="004E4B09"/>
    <w:rsid w:val="004E4B51"/>
    <w:rsid w:val="004E4B6E"/>
    <w:rsid w:val="004E4B8C"/>
    <w:rsid w:val="004E4BC6"/>
    <w:rsid w:val="004E4C31"/>
    <w:rsid w:val="004E4CD3"/>
    <w:rsid w:val="004E4D06"/>
    <w:rsid w:val="004E4F1E"/>
    <w:rsid w:val="004E50B8"/>
    <w:rsid w:val="004E50CE"/>
    <w:rsid w:val="004E518F"/>
    <w:rsid w:val="004E51CC"/>
    <w:rsid w:val="004E51D9"/>
    <w:rsid w:val="004E5236"/>
    <w:rsid w:val="004E532D"/>
    <w:rsid w:val="004E53E9"/>
    <w:rsid w:val="004E546C"/>
    <w:rsid w:val="004E54A7"/>
    <w:rsid w:val="004E5502"/>
    <w:rsid w:val="004E55F1"/>
    <w:rsid w:val="004E5685"/>
    <w:rsid w:val="004E56A5"/>
    <w:rsid w:val="004E56F1"/>
    <w:rsid w:val="004E572F"/>
    <w:rsid w:val="004E57E9"/>
    <w:rsid w:val="004E58DA"/>
    <w:rsid w:val="004E599A"/>
    <w:rsid w:val="004E5A00"/>
    <w:rsid w:val="004E5A05"/>
    <w:rsid w:val="004E5B87"/>
    <w:rsid w:val="004E5C0E"/>
    <w:rsid w:val="004E5C1A"/>
    <w:rsid w:val="004E5CCB"/>
    <w:rsid w:val="004E5CED"/>
    <w:rsid w:val="004E5D0F"/>
    <w:rsid w:val="004E6055"/>
    <w:rsid w:val="004E616A"/>
    <w:rsid w:val="004E6294"/>
    <w:rsid w:val="004E62D4"/>
    <w:rsid w:val="004E6422"/>
    <w:rsid w:val="004E64D9"/>
    <w:rsid w:val="004E650E"/>
    <w:rsid w:val="004E65CD"/>
    <w:rsid w:val="004E6612"/>
    <w:rsid w:val="004E6623"/>
    <w:rsid w:val="004E6661"/>
    <w:rsid w:val="004E6699"/>
    <w:rsid w:val="004E66CC"/>
    <w:rsid w:val="004E66F8"/>
    <w:rsid w:val="004E67D2"/>
    <w:rsid w:val="004E68C9"/>
    <w:rsid w:val="004E68DD"/>
    <w:rsid w:val="004E6A91"/>
    <w:rsid w:val="004E6B28"/>
    <w:rsid w:val="004E6B6C"/>
    <w:rsid w:val="004E6C54"/>
    <w:rsid w:val="004E6CB1"/>
    <w:rsid w:val="004E6CCE"/>
    <w:rsid w:val="004E6D1B"/>
    <w:rsid w:val="004E6D47"/>
    <w:rsid w:val="004E6DAE"/>
    <w:rsid w:val="004E6DDA"/>
    <w:rsid w:val="004E6E19"/>
    <w:rsid w:val="004E6E51"/>
    <w:rsid w:val="004E6EAA"/>
    <w:rsid w:val="004E6EDA"/>
    <w:rsid w:val="004E707A"/>
    <w:rsid w:val="004E70D1"/>
    <w:rsid w:val="004E7163"/>
    <w:rsid w:val="004E7171"/>
    <w:rsid w:val="004E71D5"/>
    <w:rsid w:val="004E71D6"/>
    <w:rsid w:val="004E7277"/>
    <w:rsid w:val="004E741F"/>
    <w:rsid w:val="004E746A"/>
    <w:rsid w:val="004E74AA"/>
    <w:rsid w:val="004E74E8"/>
    <w:rsid w:val="004E74EA"/>
    <w:rsid w:val="004E74EE"/>
    <w:rsid w:val="004E74FA"/>
    <w:rsid w:val="004E75ED"/>
    <w:rsid w:val="004E7629"/>
    <w:rsid w:val="004E7841"/>
    <w:rsid w:val="004E78C8"/>
    <w:rsid w:val="004E78D3"/>
    <w:rsid w:val="004E7943"/>
    <w:rsid w:val="004E7953"/>
    <w:rsid w:val="004E79BA"/>
    <w:rsid w:val="004E79DA"/>
    <w:rsid w:val="004E7A2B"/>
    <w:rsid w:val="004E7C0C"/>
    <w:rsid w:val="004E7C98"/>
    <w:rsid w:val="004E7D1C"/>
    <w:rsid w:val="004E7D45"/>
    <w:rsid w:val="004E7DDD"/>
    <w:rsid w:val="004E7F1A"/>
    <w:rsid w:val="004E7F1D"/>
    <w:rsid w:val="004F000E"/>
    <w:rsid w:val="004F00B1"/>
    <w:rsid w:val="004F01B3"/>
    <w:rsid w:val="004F0230"/>
    <w:rsid w:val="004F029B"/>
    <w:rsid w:val="004F0540"/>
    <w:rsid w:val="004F0608"/>
    <w:rsid w:val="004F06B5"/>
    <w:rsid w:val="004F06B8"/>
    <w:rsid w:val="004F06D9"/>
    <w:rsid w:val="004F072B"/>
    <w:rsid w:val="004F076C"/>
    <w:rsid w:val="004F0933"/>
    <w:rsid w:val="004F095D"/>
    <w:rsid w:val="004F0971"/>
    <w:rsid w:val="004F0BC0"/>
    <w:rsid w:val="004F0BD0"/>
    <w:rsid w:val="004F0C03"/>
    <w:rsid w:val="004F0D00"/>
    <w:rsid w:val="004F0F89"/>
    <w:rsid w:val="004F0FA1"/>
    <w:rsid w:val="004F1032"/>
    <w:rsid w:val="004F10DF"/>
    <w:rsid w:val="004F1123"/>
    <w:rsid w:val="004F116E"/>
    <w:rsid w:val="004F11B4"/>
    <w:rsid w:val="004F1233"/>
    <w:rsid w:val="004F130D"/>
    <w:rsid w:val="004F134F"/>
    <w:rsid w:val="004F1416"/>
    <w:rsid w:val="004F14AD"/>
    <w:rsid w:val="004F15B8"/>
    <w:rsid w:val="004F1684"/>
    <w:rsid w:val="004F16C4"/>
    <w:rsid w:val="004F16F4"/>
    <w:rsid w:val="004F1860"/>
    <w:rsid w:val="004F187E"/>
    <w:rsid w:val="004F1A70"/>
    <w:rsid w:val="004F1ABF"/>
    <w:rsid w:val="004F1B63"/>
    <w:rsid w:val="004F1BCF"/>
    <w:rsid w:val="004F1DD3"/>
    <w:rsid w:val="004F1E41"/>
    <w:rsid w:val="004F1E93"/>
    <w:rsid w:val="004F1EC8"/>
    <w:rsid w:val="004F1F10"/>
    <w:rsid w:val="004F2090"/>
    <w:rsid w:val="004F2233"/>
    <w:rsid w:val="004F225C"/>
    <w:rsid w:val="004F26F2"/>
    <w:rsid w:val="004F286E"/>
    <w:rsid w:val="004F287A"/>
    <w:rsid w:val="004F292B"/>
    <w:rsid w:val="004F296E"/>
    <w:rsid w:val="004F29F6"/>
    <w:rsid w:val="004F2AE8"/>
    <w:rsid w:val="004F2B84"/>
    <w:rsid w:val="004F2BBC"/>
    <w:rsid w:val="004F2BD2"/>
    <w:rsid w:val="004F2C2E"/>
    <w:rsid w:val="004F2C63"/>
    <w:rsid w:val="004F2D8A"/>
    <w:rsid w:val="004F2E3B"/>
    <w:rsid w:val="004F2E90"/>
    <w:rsid w:val="004F2F10"/>
    <w:rsid w:val="004F2F33"/>
    <w:rsid w:val="004F3117"/>
    <w:rsid w:val="004F3217"/>
    <w:rsid w:val="004F3288"/>
    <w:rsid w:val="004F3348"/>
    <w:rsid w:val="004F33AD"/>
    <w:rsid w:val="004F3455"/>
    <w:rsid w:val="004F34FE"/>
    <w:rsid w:val="004F3582"/>
    <w:rsid w:val="004F36D9"/>
    <w:rsid w:val="004F372E"/>
    <w:rsid w:val="004F37E0"/>
    <w:rsid w:val="004F3848"/>
    <w:rsid w:val="004F38F8"/>
    <w:rsid w:val="004F3934"/>
    <w:rsid w:val="004F3985"/>
    <w:rsid w:val="004F3A55"/>
    <w:rsid w:val="004F3A67"/>
    <w:rsid w:val="004F3A8E"/>
    <w:rsid w:val="004F3B2E"/>
    <w:rsid w:val="004F3BAB"/>
    <w:rsid w:val="004F3C2E"/>
    <w:rsid w:val="004F3C59"/>
    <w:rsid w:val="004F3D0F"/>
    <w:rsid w:val="004F3D5E"/>
    <w:rsid w:val="004F3D6A"/>
    <w:rsid w:val="004F3D8B"/>
    <w:rsid w:val="004F3F62"/>
    <w:rsid w:val="004F41A6"/>
    <w:rsid w:val="004F41ED"/>
    <w:rsid w:val="004F430B"/>
    <w:rsid w:val="004F432E"/>
    <w:rsid w:val="004F4335"/>
    <w:rsid w:val="004F4357"/>
    <w:rsid w:val="004F43C7"/>
    <w:rsid w:val="004F43CC"/>
    <w:rsid w:val="004F4403"/>
    <w:rsid w:val="004F4509"/>
    <w:rsid w:val="004F4525"/>
    <w:rsid w:val="004F454D"/>
    <w:rsid w:val="004F455C"/>
    <w:rsid w:val="004F45A9"/>
    <w:rsid w:val="004F4752"/>
    <w:rsid w:val="004F4780"/>
    <w:rsid w:val="004F47A4"/>
    <w:rsid w:val="004F4916"/>
    <w:rsid w:val="004F491E"/>
    <w:rsid w:val="004F4AB6"/>
    <w:rsid w:val="004F4B23"/>
    <w:rsid w:val="004F4B4A"/>
    <w:rsid w:val="004F4BF1"/>
    <w:rsid w:val="004F4D69"/>
    <w:rsid w:val="004F4D9F"/>
    <w:rsid w:val="004F4DF3"/>
    <w:rsid w:val="004F4FC6"/>
    <w:rsid w:val="004F507A"/>
    <w:rsid w:val="004F5173"/>
    <w:rsid w:val="004F5199"/>
    <w:rsid w:val="004F52C1"/>
    <w:rsid w:val="004F5397"/>
    <w:rsid w:val="004F5489"/>
    <w:rsid w:val="004F548D"/>
    <w:rsid w:val="004F54BD"/>
    <w:rsid w:val="004F5519"/>
    <w:rsid w:val="004F554E"/>
    <w:rsid w:val="004F55AD"/>
    <w:rsid w:val="004F564B"/>
    <w:rsid w:val="004F568B"/>
    <w:rsid w:val="004F56AB"/>
    <w:rsid w:val="004F5707"/>
    <w:rsid w:val="004F57F7"/>
    <w:rsid w:val="004F58C6"/>
    <w:rsid w:val="004F58EB"/>
    <w:rsid w:val="004F59BB"/>
    <w:rsid w:val="004F5B63"/>
    <w:rsid w:val="004F5B74"/>
    <w:rsid w:val="004F5D31"/>
    <w:rsid w:val="004F5D46"/>
    <w:rsid w:val="004F5DBF"/>
    <w:rsid w:val="004F5EDC"/>
    <w:rsid w:val="004F5F04"/>
    <w:rsid w:val="004F5F43"/>
    <w:rsid w:val="004F602A"/>
    <w:rsid w:val="004F60EA"/>
    <w:rsid w:val="004F6220"/>
    <w:rsid w:val="004F6391"/>
    <w:rsid w:val="004F63F6"/>
    <w:rsid w:val="004F6408"/>
    <w:rsid w:val="004F6508"/>
    <w:rsid w:val="004F6535"/>
    <w:rsid w:val="004F654D"/>
    <w:rsid w:val="004F65DE"/>
    <w:rsid w:val="004F6638"/>
    <w:rsid w:val="004F665B"/>
    <w:rsid w:val="004F6667"/>
    <w:rsid w:val="004F67E0"/>
    <w:rsid w:val="004F6868"/>
    <w:rsid w:val="004F693F"/>
    <w:rsid w:val="004F69D1"/>
    <w:rsid w:val="004F6ACA"/>
    <w:rsid w:val="004F6B3C"/>
    <w:rsid w:val="004F6C79"/>
    <w:rsid w:val="004F6C8F"/>
    <w:rsid w:val="004F6C91"/>
    <w:rsid w:val="004F6D0B"/>
    <w:rsid w:val="004F6D39"/>
    <w:rsid w:val="004F6D77"/>
    <w:rsid w:val="004F6D7E"/>
    <w:rsid w:val="004F6DB1"/>
    <w:rsid w:val="004F6E33"/>
    <w:rsid w:val="004F6E49"/>
    <w:rsid w:val="004F6EF7"/>
    <w:rsid w:val="004F6F31"/>
    <w:rsid w:val="004F6F74"/>
    <w:rsid w:val="004F6F87"/>
    <w:rsid w:val="004F6F96"/>
    <w:rsid w:val="004F7025"/>
    <w:rsid w:val="004F7097"/>
    <w:rsid w:val="004F70FB"/>
    <w:rsid w:val="004F7111"/>
    <w:rsid w:val="004F7249"/>
    <w:rsid w:val="004F725C"/>
    <w:rsid w:val="004F72DE"/>
    <w:rsid w:val="004F7427"/>
    <w:rsid w:val="004F746F"/>
    <w:rsid w:val="004F7502"/>
    <w:rsid w:val="004F7523"/>
    <w:rsid w:val="004F757C"/>
    <w:rsid w:val="004F7628"/>
    <w:rsid w:val="004F7644"/>
    <w:rsid w:val="004F7646"/>
    <w:rsid w:val="004F76A8"/>
    <w:rsid w:val="004F774B"/>
    <w:rsid w:val="004F7774"/>
    <w:rsid w:val="004F7800"/>
    <w:rsid w:val="004F78F5"/>
    <w:rsid w:val="004F7A8A"/>
    <w:rsid w:val="004F7B2D"/>
    <w:rsid w:val="004F7B46"/>
    <w:rsid w:val="004F7B4C"/>
    <w:rsid w:val="004F7B70"/>
    <w:rsid w:val="004F7C59"/>
    <w:rsid w:val="004F7C79"/>
    <w:rsid w:val="004F7CB1"/>
    <w:rsid w:val="004F7CCE"/>
    <w:rsid w:val="004F7CE2"/>
    <w:rsid w:val="004F7CF3"/>
    <w:rsid w:val="004F7D9E"/>
    <w:rsid w:val="004F7E89"/>
    <w:rsid w:val="004F7F24"/>
    <w:rsid w:val="004F7FC5"/>
    <w:rsid w:val="00500086"/>
    <w:rsid w:val="00500099"/>
    <w:rsid w:val="00500269"/>
    <w:rsid w:val="005002BB"/>
    <w:rsid w:val="00500384"/>
    <w:rsid w:val="005003EC"/>
    <w:rsid w:val="0050044B"/>
    <w:rsid w:val="0050045C"/>
    <w:rsid w:val="00500577"/>
    <w:rsid w:val="005005F7"/>
    <w:rsid w:val="00500602"/>
    <w:rsid w:val="00500780"/>
    <w:rsid w:val="00500838"/>
    <w:rsid w:val="00500865"/>
    <w:rsid w:val="005008AD"/>
    <w:rsid w:val="005008DE"/>
    <w:rsid w:val="00500945"/>
    <w:rsid w:val="0050098C"/>
    <w:rsid w:val="00500A74"/>
    <w:rsid w:val="00500B30"/>
    <w:rsid w:val="00500BC7"/>
    <w:rsid w:val="00500D00"/>
    <w:rsid w:val="00500DE8"/>
    <w:rsid w:val="00500DF6"/>
    <w:rsid w:val="00500DFB"/>
    <w:rsid w:val="00500E1A"/>
    <w:rsid w:val="00500E20"/>
    <w:rsid w:val="00500E5B"/>
    <w:rsid w:val="00500F1A"/>
    <w:rsid w:val="00501078"/>
    <w:rsid w:val="005010A2"/>
    <w:rsid w:val="005012F1"/>
    <w:rsid w:val="00501394"/>
    <w:rsid w:val="0050139B"/>
    <w:rsid w:val="005013AE"/>
    <w:rsid w:val="005013DA"/>
    <w:rsid w:val="00501678"/>
    <w:rsid w:val="005016A0"/>
    <w:rsid w:val="005016CE"/>
    <w:rsid w:val="005016DD"/>
    <w:rsid w:val="00501752"/>
    <w:rsid w:val="0050176C"/>
    <w:rsid w:val="005017B6"/>
    <w:rsid w:val="005017E1"/>
    <w:rsid w:val="00501800"/>
    <w:rsid w:val="00501840"/>
    <w:rsid w:val="00501846"/>
    <w:rsid w:val="005018B8"/>
    <w:rsid w:val="005018FC"/>
    <w:rsid w:val="0050194C"/>
    <w:rsid w:val="00501A42"/>
    <w:rsid w:val="00501A4B"/>
    <w:rsid w:val="00501A76"/>
    <w:rsid w:val="00501BF6"/>
    <w:rsid w:val="00501C1C"/>
    <w:rsid w:val="00501C81"/>
    <w:rsid w:val="00501CA0"/>
    <w:rsid w:val="00501D1D"/>
    <w:rsid w:val="00501D21"/>
    <w:rsid w:val="00501DE1"/>
    <w:rsid w:val="00501E06"/>
    <w:rsid w:val="00501E4D"/>
    <w:rsid w:val="00501ECA"/>
    <w:rsid w:val="00501F52"/>
    <w:rsid w:val="00501FB9"/>
    <w:rsid w:val="00501FF3"/>
    <w:rsid w:val="00502118"/>
    <w:rsid w:val="00502233"/>
    <w:rsid w:val="005022C6"/>
    <w:rsid w:val="005023C9"/>
    <w:rsid w:val="005023FC"/>
    <w:rsid w:val="005024B3"/>
    <w:rsid w:val="0050262D"/>
    <w:rsid w:val="00502641"/>
    <w:rsid w:val="0050273E"/>
    <w:rsid w:val="00502885"/>
    <w:rsid w:val="00502934"/>
    <w:rsid w:val="00502991"/>
    <w:rsid w:val="005029F2"/>
    <w:rsid w:val="00502A02"/>
    <w:rsid w:val="00502A04"/>
    <w:rsid w:val="00502A08"/>
    <w:rsid w:val="00502ACB"/>
    <w:rsid w:val="00502B02"/>
    <w:rsid w:val="00502B67"/>
    <w:rsid w:val="00502B7B"/>
    <w:rsid w:val="00502BD5"/>
    <w:rsid w:val="00502BF4"/>
    <w:rsid w:val="00502C4B"/>
    <w:rsid w:val="00502CA6"/>
    <w:rsid w:val="00502D37"/>
    <w:rsid w:val="00502E5A"/>
    <w:rsid w:val="00502EFD"/>
    <w:rsid w:val="00502F68"/>
    <w:rsid w:val="00502F77"/>
    <w:rsid w:val="00502F82"/>
    <w:rsid w:val="00502FA2"/>
    <w:rsid w:val="00503106"/>
    <w:rsid w:val="00503255"/>
    <w:rsid w:val="00503324"/>
    <w:rsid w:val="00503377"/>
    <w:rsid w:val="005036CD"/>
    <w:rsid w:val="0050378D"/>
    <w:rsid w:val="005037BC"/>
    <w:rsid w:val="00503838"/>
    <w:rsid w:val="00503930"/>
    <w:rsid w:val="00503A5A"/>
    <w:rsid w:val="00503AE6"/>
    <w:rsid w:val="00503B13"/>
    <w:rsid w:val="00503B7F"/>
    <w:rsid w:val="00503BA2"/>
    <w:rsid w:val="00503BFD"/>
    <w:rsid w:val="00503C96"/>
    <w:rsid w:val="00503CA9"/>
    <w:rsid w:val="00503D40"/>
    <w:rsid w:val="00503D41"/>
    <w:rsid w:val="00503D64"/>
    <w:rsid w:val="00503E19"/>
    <w:rsid w:val="00503F3D"/>
    <w:rsid w:val="00503FA8"/>
    <w:rsid w:val="00504035"/>
    <w:rsid w:val="005040E7"/>
    <w:rsid w:val="00504247"/>
    <w:rsid w:val="0050438F"/>
    <w:rsid w:val="005044B2"/>
    <w:rsid w:val="0050456E"/>
    <w:rsid w:val="005045AA"/>
    <w:rsid w:val="00504703"/>
    <w:rsid w:val="00504715"/>
    <w:rsid w:val="00504719"/>
    <w:rsid w:val="005047B5"/>
    <w:rsid w:val="005047BF"/>
    <w:rsid w:val="005047C6"/>
    <w:rsid w:val="005047F0"/>
    <w:rsid w:val="005048F3"/>
    <w:rsid w:val="005048F9"/>
    <w:rsid w:val="005049A9"/>
    <w:rsid w:val="00504A3A"/>
    <w:rsid w:val="00504A41"/>
    <w:rsid w:val="00504AEB"/>
    <w:rsid w:val="00504BF6"/>
    <w:rsid w:val="00504C0C"/>
    <w:rsid w:val="00504C9C"/>
    <w:rsid w:val="00504D49"/>
    <w:rsid w:val="00504DAC"/>
    <w:rsid w:val="00504E84"/>
    <w:rsid w:val="00504EC4"/>
    <w:rsid w:val="00504EF0"/>
    <w:rsid w:val="00504FA6"/>
    <w:rsid w:val="00505170"/>
    <w:rsid w:val="00505207"/>
    <w:rsid w:val="0050527B"/>
    <w:rsid w:val="005052DC"/>
    <w:rsid w:val="0050531F"/>
    <w:rsid w:val="00505322"/>
    <w:rsid w:val="0050533F"/>
    <w:rsid w:val="0050539E"/>
    <w:rsid w:val="005053DC"/>
    <w:rsid w:val="005053E4"/>
    <w:rsid w:val="0050546E"/>
    <w:rsid w:val="00505480"/>
    <w:rsid w:val="005054C7"/>
    <w:rsid w:val="005054C8"/>
    <w:rsid w:val="0050553E"/>
    <w:rsid w:val="0050554B"/>
    <w:rsid w:val="00505619"/>
    <w:rsid w:val="00505628"/>
    <w:rsid w:val="0050566D"/>
    <w:rsid w:val="0050568C"/>
    <w:rsid w:val="005057B1"/>
    <w:rsid w:val="0050581C"/>
    <w:rsid w:val="005058EC"/>
    <w:rsid w:val="0050590D"/>
    <w:rsid w:val="00505A13"/>
    <w:rsid w:val="00505ADA"/>
    <w:rsid w:val="00505AFE"/>
    <w:rsid w:val="00505B4A"/>
    <w:rsid w:val="00505B6F"/>
    <w:rsid w:val="00505CE7"/>
    <w:rsid w:val="00505EA3"/>
    <w:rsid w:val="0050611B"/>
    <w:rsid w:val="0050613A"/>
    <w:rsid w:val="005061A0"/>
    <w:rsid w:val="005061C9"/>
    <w:rsid w:val="0050633E"/>
    <w:rsid w:val="0050635D"/>
    <w:rsid w:val="005064D1"/>
    <w:rsid w:val="005064E3"/>
    <w:rsid w:val="005064F8"/>
    <w:rsid w:val="005065AD"/>
    <w:rsid w:val="005065FA"/>
    <w:rsid w:val="0050665F"/>
    <w:rsid w:val="00506665"/>
    <w:rsid w:val="0050671D"/>
    <w:rsid w:val="005067D3"/>
    <w:rsid w:val="005069A2"/>
    <w:rsid w:val="005069D0"/>
    <w:rsid w:val="00506AD7"/>
    <w:rsid w:val="00506BDA"/>
    <w:rsid w:val="00506C78"/>
    <w:rsid w:val="00506CF0"/>
    <w:rsid w:val="00506E2A"/>
    <w:rsid w:val="00506E37"/>
    <w:rsid w:val="00506E6C"/>
    <w:rsid w:val="00506E90"/>
    <w:rsid w:val="00506F2A"/>
    <w:rsid w:val="005070D1"/>
    <w:rsid w:val="00507178"/>
    <w:rsid w:val="005071B5"/>
    <w:rsid w:val="00507257"/>
    <w:rsid w:val="00507286"/>
    <w:rsid w:val="00507295"/>
    <w:rsid w:val="005072E1"/>
    <w:rsid w:val="005073CF"/>
    <w:rsid w:val="00507414"/>
    <w:rsid w:val="0050744F"/>
    <w:rsid w:val="005075F8"/>
    <w:rsid w:val="005076C8"/>
    <w:rsid w:val="00507798"/>
    <w:rsid w:val="0050785E"/>
    <w:rsid w:val="005078A6"/>
    <w:rsid w:val="005078D5"/>
    <w:rsid w:val="005079F8"/>
    <w:rsid w:val="00507BA4"/>
    <w:rsid w:val="00507C1F"/>
    <w:rsid w:val="00507D57"/>
    <w:rsid w:val="00507DA3"/>
    <w:rsid w:val="00507DA7"/>
    <w:rsid w:val="00507E76"/>
    <w:rsid w:val="00507EB7"/>
    <w:rsid w:val="00507F84"/>
    <w:rsid w:val="00510007"/>
    <w:rsid w:val="0051000E"/>
    <w:rsid w:val="00510017"/>
    <w:rsid w:val="005100BE"/>
    <w:rsid w:val="00510115"/>
    <w:rsid w:val="00510122"/>
    <w:rsid w:val="0051012D"/>
    <w:rsid w:val="0051034E"/>
    <w:rsid w:val="0051041D"/>
    <w:rsid w:val="00510462"/>
    <w:rsid w:val="005104EC"/>
    <w:rsid w:val="0051054D"/>
    <w:rsid w:val="0051055E"/>
    <w:rsid w:val="00510583"/>
    <w:rsid w:val="005105B7"/>
    <w:rsid w:val="00510642"/>
    <w:rsid w:val="00510837"/>
    <w:rsid w:val="005108AD"/>
    <w:rsid w:val="005108EE"/>
    <w:rsid w:val="00510A9B"/>
    <w:rsid w:val="00510AE5"/>
    <w:rsid w:val="00510B2A"/>
    <w:rsid w:val="00510B36"/>
    <w:rsid w:val="00510BAB"/>
    <w:rsid w:val="00510C0C"/>
    <w:rsid w:val="00510CD7"/>
    <w:rsid w:val="00510D2D"/>
    <w:rsid w:val="00510D4E"/>
    <w:rsid w:val="00510E23"/>
    <w:rsid w:val="00510E68"/>
    <w:rsid w:val="00510EE2"/>
    <w:rsid w:val="00510F79"/>
    <w:rsid w:val="00510FEA"/>
    <w:rsid w:val="00511138"/>
    <w:rsid w:val="005111C3"/>
    <w:rsid w:val="00511230"/>
    <w:rsid w:val="0051134E"/>
    <w:rsid w:val="0051138E"/>
    <w:rsid w:val="005113DD"/>
    <w:rsid w:val="0051151F"/>
    <w:rsid w:val="0051160E"/>
    <w:rsid w:val="005116A4"/>
    <w:rsid w:val="005116E3"/>
    <w:rsid w:val="00511721"/>
    <w:rsid w:val="005119BD"/>
    <w:rsid w:val="005119FC"/>
    <w:rsid w:val="00511A70"/>
    <w:rsid w:val="00511BBE"/>
    <w:rsid w:val="00511C14"/>
    <w:rsid w:val="00511C79"/>
    <w:rsid w:val="00511C9B"/>
    <w:rsid w:val="00511CB9"/>
    <w:rsid w:val="00511D4B"/>
    <w:rsid w:val="00511F1C"/>
    <w:rsid w:val="00511F7C"/>
    <w:rsid w:val="00511FEB"/>
    <w:rsid w:val="0051205E"/>
    <w:rsid w:val="00512088"/>
    <w:rsid w:val="005120D7"/>
    <w:rsid w:val="0051220C"/>
    <w:rsid w:val="00512266"/>
    <w:rsid w:val="0051230F"/>
    <w:rsid w:val="005124F2"/>
    <w:rsid w:val="005125AD"/>
    <w:rsid w:val="00512641"/>
    <w:rsid w:val="005126CB"/>
    <w:rsid w:val="005128FB"/>
    <w:rsid w:val="00512929"/>
    <w:rsid w:val="005129CC"/>
    <w:rsid w:val="005129E7"/>
    <w:rsid w:val="00512A82"/>
    <w:rsid w:val="00512AE1"/>
    <w:rsid w:val="00512C95"/>
    <w:rsid w:val="00512CDA"/>
    <w:rsid w:val="00512CE3"/>
    <w:rsid w:val="00512CFE"/>
    <w:rsid w:val="00512D37"/>
    <w:rsid w:val="00512D97"/>
    <w:rsid w:val="00512E11"/>
    <w:rsid w:val="00512E56"/>
    <w:rsid w:val="00512F8D"/>
    <w:rsid w:val="00512FE0"/>
    <w:rsid w:val="00513046"/>
    <w:rsid w:val="00513051"/>
    <w:rsid w:val="0051309F"/>
    <w:rsid w:val="00513125"/>
    <w:rsid w:val="0051315E"/>
    <w:rsid w:val="00513249"/>
    <w:rsid w:val="0051338C"/>
    <w:rsid w:val="00513423"/>
    <w:rsid w:val="0051348E"/>
    <w:rsid w:val="00513497"/>
    <w:rsid w:val="00513546"/>
    <w:rsid w:val="00513563"/>
    <w:rsid w:val="005135B6"/>
    <w:rsid w:val="00513643"/>
    <w:rsid w:val="0051366D"/>
    <w:rsid w:val="005136B2"/>
    <w:rsid w:val="00513766"/>
    <w:rsid w:val="005137B5"/>
    <w:rsid w:val="00513917"/>
    <w:rsid w:val="005139B3"/>
    <w:rsid w:val="005139EE"/>
    <w:rsid w:val="00513A13"/>
    <w:rsid w:val="00513AA8"/>
    <w:rsid w:val="00513B6B"/>
    <w:rsid w:val="00513B9F"/>
    <w:rsid w:val="00513BF6"/>
    <w:rsid w:val="00513CA9"/>
    <w:rsid w:val="00513E42"/>
    <w:rsid w:val="00513F07"/>
    <w:rsid w:val="00513F43"/>
    <w:rsid w:val="00513F57"/>
    <w:rsid w:val="00513FE1"/>
    <w:rsid w:val="00514025"/>
    <w:rsid w:val="00514047"/>
    <w:rsid w:val="00514111"/>
    <w:rsid w:val="00514182"/>
    <w:rsid w:val="005141DE"/>
    <w:rsid w:val="0051422E"/>
    <w:rsid w:val="0051432A"/>
    <w:rsid w:val="0051435F"/>
    <w:rsid w:val="0051436C"/>
    <w:rsid w:val="005143FB"/>
    <w:rsid w:val="0051440B"/>
    <w:rsid w:val="00514426"/>
    <w:rsid w:val="0051444A"/>
    <w:rsid w:val="005145C4"/>
    <w:rsid w:val="005146F1"/>
    <w:rsid w:val="0051478A"/>
    <w:rsid w:val="00514827"/>
    <w:rsid w:val="00514860"/>
    <w:rsid w:val="005148B4"/>
    <w:rsid w:val="005148CD"/>
    <w:rsid w:val="00514954"/>
    <w:rsid w:val="00514A21"/>
    <w:rsid w:val="00514AC1"/>
    <w:rsid w:val="00514B71"/>
    <w:rsid w:val="00514C08"/>
    <w:rsid w:val="00514CA6"/>
    <w:rsid w:val="00514D67"/>
    <w:rsid w:val="00514E39"/>
    <w:rsid w:val="00514F4C"/>
    <w:rsid w:val="00514FBB"/>
    <w:rsid w:val="005150E5"/>
    <w:rsid w:val="005150F2"/>
    <w:rsid w:val="0051511A"/>
    <w:rsid w:val="0051519E"/>
    <w:rsid w:val="005152BC"/>
    <w:rsid w:val="005153D8"/>
    <w:rsid w:val="005154FA"/>
    <w:rsid w:val="005154FE"/>
    <w:rsid w:val="00515657"/>
    <w:rsid w:val="00515674"/>
    <w:rsid w:val="005156B3"/>
    <w:rsid w:val="005157BB"/>
    <w:rsid w:val="005157F1"/>
    <w:rsid w:val="005157FC"/>
    <w:rsid w:val="0051590F"/>
    <w:rsid w:val="0051599F"/>
    <w:rsid w:val="00515A95"/>
    <w:rsid w:val="00515B66"/>
    <w:rsid w:val="00515C03"/>
    <w:rsid w:val="00515C71"/>
    <w:rsid w:val="00515CC9"/>
    <w:rsid w:val="00515D3F"/>
    <w:rsid w:val="00515E65"/>
    <w:rsid w:val="00515FDC"/>
    <w:rsid w:val="005160B7"/>
    <w:rsid w:val="005160EC"/>
    <w:rsid w:val="0051611E"/>
    <w:rsid w:val="005161C0"/>
    <w:rsid w:val="005161F8"/>
    <w:rsid w:val="00516232"/>
    <w:rsid w:val="00516262"/>
    <w:rsid w:val="0051626C"/>
    <w:rsid w:val="00516279"/>
    <w:rsid w:val="005162C0"/>
    <w:rsid w:val="005163BA"/>
    <w:rsid w:val="005163CB"/>
    <w:rsid w:val="005165C3"/>
    <w:rsid w:val="0051660B"/>
    <w:rsid w:val="00516612"/>
    <w:rsid w:val="00516635"/>
    <w:rsid w:val="005168C9"/>
    <w:rsid w:val="00516927"/>
    <w:rsid w:val="005169EE"/>
    <w:rsid w:val="005169F6"/>
    <w:rsid w:val="00516CA2"/>
    <w:rsid w:val="00516CD2"/>
    <w:rsid w:val="00516DB5"/>
    <w:rsid w:val="00516EF8"/>
    <w:rsid w:val="00516F0E"/>
    <w:rsid w:val="00516F67"/>
    <w:rsid w:val="00516F8B"/>
    <w:rsid w:val="00516FE9"/>
    <w:rsid w:val="00516FFC"/>
    <w:rsid w:val="005170F6"/>
    <w:rsid w:val="005170F9"/>
    <w:rsid w:val="00517168"/>
    <w:rsid w:val="005171C5"/>
    <w:rsid w:val="00517224"/>
    <w:rsid w:val="0051724C"/>
    <w:rsid w:val="0051729C"/>
    <w:rsid w:val="005172DD"/>
    <w:rsid w:val="005173BE"/>
    <w:rsid w:val="00517475"/>
    <w:rsid w:val="005174A5"/>
    <w:rsid w:val="00517534"/>
    <w:rsid w:val="00517543"/>
    <w:rsid w:val="0051758D"/>
    <w:rsid w:val="005176D6"/>
    <w:rsid w:val="005176F2"/>
    <w:rsid w:val="005177EF"/>
    <w:rsid w:val="005177FA"/>
    <w:rsid w:val="00517827"/>
    <w:rsid w:val="00517882"/>
    <w:rsid w:val="005179EC"/>
    <w:rsid w:val="005179ED"/>
    <w:rsid w:val="00517AEB"/>
    <w:rsid w:val="00517B01"/>
    <w:rsid w:val="00517B0C"/>
    <w:rsid w:val="00517CDB"/>
    <w:rsid w:val="00517DAF"/>
    <w:rsid w:val="00517DF3"/>
    <w:rsid w:val="00517E23"/>
    <w:rsid w:val="00517E78"/>
    <w:rsid w:val="00520007"/>
    <w:rsid w:val="00520085"/>
    <w:rsid w:val="005200AE"/>
    <w:rsid w:val="0052012E"/>
    <w:rsid w:val="005202A4"/>
    <w:rsid w:val="005203A2"/>
    <w:rsid w:val="005203A3"/>
    <w:rsid w:val="005203FE"/>
    <w:rsid w:val="00520420"/>
    <w:rsid w:val="005204EE"/>
    <w:rsid w:val="00520507"/>
    <w:rsid w:val="00520811"/>
    <w:rsid w:val="0052082A"/>
    <w:rsid w:val="00520832"/>
    <w:rsid w:val="00520871"/>
    <w:rsid w:val="0052094F"/>
    <w:rsid w:val="0052097E"/>
    <w:rsid w:val="00520A34"/>
    <w:rsid w:val="00520A49"/>
    <w:rsid w:val="00520B45"/>
    <w:rsid w:val="00520EF1"/>
    <w:rsid w:val="00520F13"/>
    <w:rsid w:val="00520F25"/>
    <w:rsid w:val="00521093"/>
    <w:rsid w:val="00521109"/>
    <w:rsid w:val="00521286"/>
    <w:rsid w:val="00521301"/>
    <w:rsid w:val="00521461"/>
    <w:rsid w:val="005216B9"/>
    <w:rsid w:val="005216ED"/>
    <w:rsid w:val="005216EF"/>
    <w:rsid w:val="00521720"/>
    <w:rsid w:val="0052176F"/>
    <w:rsid w:val="005217B7"/>
    <w:rsid w:val="005217E5"/>
    <w:rsid w:val="00521832"/>
    <w:rsid w:val="0052189F"/>
    <w:rsid w:val="005218EB"/>
    <w:rsid w:val="00521973"/>
    <w:rsid w:val="0052199C"/>
    <w:rsid w:val="00521AA2"/>
    <w:rsid w:val="00521AEA"/>
    <w:rsid w:val="00521B82"/>
    <w:rsid w:val="00521B89"/>
    <w:rsid w:val="00521BB2"/>
    <w:rsid w:val="00521BDE"/>
    <w:rsid w:val="00521CA6"/>
    <w:rsid w:val="00521F1F"/>
    <w:rsid w:val="00521F2E"/>
    <w:rsid w:val="00521F8D"/>
    <w:rsid w:val="00521FEB"/>
    <w:rsid w:val="00521FF7"/>
    <w:rsid w:val="0052202B"/>
    <w:rsid w:val="0052205E"/>
    <w:rsid w:val="00522082"/>
    <w:rsid w:val="0052210F"/>
    <w:rsid w:val="0052213F"/>
    <w:rsid w:val="00522195"/>
    <w:rsid w:val="005221FA"/>
    <w:rsid w:val="00522302"/>
    <w:rsid w:val="0052254F"/>
    <w:rsid w:val="005225E8"/>
    <w:rsid w:val="00522724"/>
    <w:rsid w:val="0052273A"/>
    <w:rsid w:val="00522780"/>
    <w:rsid w:val="005228BA"/>
    <w:rsid w:val="00522969"/>
    <w:rsid w:val="00522977"/>
    <w:rsid w:val="00522ADF"/>
    <w:rsid w:val="00522B1E"/>
    <w:rsid w:val="00522BB2"/>
    <w:rsid w:val="00522C6B"/>
    <w:rsid w:val="00522C82"/>
    <w:rsid w:val="00522CC5"/>
    <w:rsid w:val="00522DC6"/>
    <w:rsid w:val="0052307A"/>
    <w:rsid w:val="00523097"/>
    <w:rsid w:val="0052310D"/>
    <w:rsid w:val="00523115"/>
    <w:rsid w:val="005232D3"/>
    <w:rsid w:val="00523333"/>
    <w:rsid w:val="005233D2"/>
    <w:rsid w:val="0052344E"/>
    <w:rsid w:val="00523480"/>
    <w:rsid w:val="00523559"/>
    <w:rsid w:val="00523569"/>
    <w:rsid w:val="005235E7"/>
    <w:rsid w:val="005236B1"/>
    <w:rsid w:val="005236B5"/>
    <w:rsid w:val="005237BA"/>
    <w:rsid w:val="0052383E"/>
    <w:rsid w:val="00523A4F"/>
    <w:rsid w:val="00523A88"/>
    <w:rsid w:val="00523B3F"/>
    <w:rsid w:val="00523B9A"/>
    <w:rsid w:val="00523C38"/>
    <w:rsid w:val="00523C49"/>
    <w:rsid w:val="00523CCE"/>
    <w:rsid w:val="00523CD7"/>
    <w:rsid w:val="00523CF1"/>
    <w:rsid w:val="00523D2A"/>
    <w:rsid w:val="00523D61"/>
    <w:rsid w:val="00523E34"/>
    <w:rsid w:val="00523F72"/>
    <w:rsid w:val="00523F7F"/>
    <w:rsid w:val="00523FB9"/>
    <w:rsid w:val="00523FFE"/>
    <w:rsid w:val="00524028"/>
    <w:rsid w:val="005240A6"/>
    <w:rsid w:val="0052416F"/>
    <w:rsid w:val="00524206"/>
    <w:rsid w:val="005242B1"/>
    <w:rsid w:val="005242B7"/>
    <w:rsid w:val="005242C1"/>
    <w:rsid w:val="005243FC"/>
    <w:rsid w:val="00524429"/>
    <w:rsid w:val="0052444C"/>
    <w:rsid w:val="005244DD"/>
    <w:rsid w:val="00524527"/>
    <w:rsid w:val="00524598"/>
    <w:rsid w:val="005245BD"/>
    <w:rsid w:val="005245D6"/>
    <w:rsid w:val="00524724"/>
    <w:rsid w:val="00524917"/>
    <w:rsid w:val="005249BC"/>
    <w:rsid w:val="00524AA8"/>
    <w:rsid w:val="00524B33"/>
    <w:rsid w:val="00524B74"/>
    <w:rsid w:val="00524BEE"/>
    <w:rsid w:val="00524CDF"/>
    <w:rsid w:val="00524E3A"/>
    <w:rsid w:val="00524E47"/>
    <w:rsid w:val="00524E59"/>
    <w:rsid w:val="00524EB6"/>
    <w:rsid w:val="00524F36"/>
    <w:rsid w:val="00525041"/>
    <w:rsid w:val="0052508A"/>
    <w:rsid w:val="005250CD"/>
    <w:rsid w:val="005251FE"/>
    <w:rsid w:val="00525233"/>
    <w:rsid w:val="00525286"/>
    <w:rsid w:val="005252D3"/>
    <w:rsid w:val="00525320"/>
    <w:rsid w:val="0052538C"/>
    <w:rsid w:val="00525397"/>
    <w:rsid w:val="005254D2"/>
    <w:rsid w:val="00525515"/>
    <w:rsid w:val="00525536"/>
    <w:rsid w:val="0052553F"/>
    <w:rsid w:val="0052558F"/>
    <w:rsid w:val="005255A1"/>
    <w:rsid w:val="00525625"/>
    <w:rsid w:val="005256BA"/>
    <w:rsid w:val="00525735"/>
    <w:rsid w:val="005257A3"/>
    <w:rsid w:val="005257BB"/>
    <w:rsid w:val="00525836"/>
    <w:rsid w:val="005258B5"/>
    <w:rsid w:val="0052593E"/>
    <w:rsid w:val="0052597D"/>
    <w:rsid w:val="00525A15"/>
    <w:rsid w:val="00525A23"/>
    <w:rsid w:val="00525A42"/>
    <w:rsid w:val="00525AE4"/>
    <w:rsid w:val="00525AFA"/>
    <w:rsid w:val="00525AFD"/>
    <w:rsid w:val="00525B6C"/>
    <w:rsid w:val="00525C61"/>
    <w:rsid w:val="00525CB2"/>
    <w:rsid w:val="00525E28"/>
    <w:rsid w:val="00525FD8"/>
    <w:rsid w:val="0052600F"/>
    <w:rsid w:val="0052602B"/>
    <w:rsid w:val="0052605D"/>
    <w:rsid w:val="0052612A"/>
    <w:rsid w:val="0052614B"/>
    <w:rsid w:val="005261A9"/>
    <w:rsid w:val="0052623A"/>
    <w:rsid w:val="005262ED"/>
    <w:rsid w:val="00526468"/>
    <w:rsid w:val="00526482"/>
    <w:rsid w:val="00526679"/>
    <w:rsid w:val="00526781"/>
    <w:rsid w:val="00526854"/>
    <w:rsid w:val="005269A4"/>
    <w:rsid w:val="00526C86"/>
    <w:rsid w:val="00526D41"/>
    <w:rsid w:val="00526FAE"/>
    <w:rsid w:val="00526FFA"/>
    <w:rsid w:val="0052719A"/>
    <w:rsid w:val="005271A8"/>
    <w:rsid w:val="005271FC"/>
    <w:rsid w:val="0052726B"/>
    <w:rsid w:val="005272C3"/>
    <w:rsid w:val="00527308"/>
    <w:rsid w:val="0052735A"/>
    <w:rsid w:val="005274D2"/>
    <w:rsid w:val="005275A3"/>
    <w:rsid w:val="005275D2"/>
    <w:rsid w:val="00527605"/>
    <w:rsid w:val="0052773A"/>
    <w:rsid w:val="00527883"/>
    <w:rsid w:val="005278B5"/>
    <w:rsid w:val="00527917"/>
    <w:rsid w:val="0052795F"/>
    <w:rsid w:val="00527A1A"/>
    <w:rsid w:val="00527A53"/>
    <w:rsid w:val="00527A95"/>
    <w:rsid w:val="00527B69"/>
    <w:rsid w:val="00527BEE"/>
    <w:rsid w:val="00527CE3"/>
    <w:rsid w:val="00527CFC"/>
    <w:rsid w:val="00527DBD"/>
    <w:rsid w:val="00527E00"/>
    <w:rsid w:val="00527ED1"/>
    <w:rsid w:val="00527EDE"/>
    <w:rsid w:val="00527EEF"/>
    <w:rsid w:val="00527F9B"/>
    <w:rsid w:val="00527FBF"/>
    <w:rsid w:val="0053009F"/>
    <w:rsid w:val="005300A8"/>
    <w:rsid w:val="005300B1"/>
    <w:rsid w:val="005302EE"/>
    <w:rsid w:val="00530481"/>
    <w:rsid w:val="005304D3"/>
    <w:rsid w:val="00530591"/>
    <w:rsid w:val="005305C5"/>
    <w:rsid w:val="005306B0"/>
    <w:rsid w:val="00530713"/>
    <w:rsid w:val="00530794"/>
    <w:rsid w:val="005307EB"/>
    <w:rsid w:val="00530865"/>
    <w:rsid w:val="00530A37"/>
    <w:rsid w:val="00530AD2"/>
    <w:rsid w:val="00530B2D"/>
    <w:rsid w:val="00530BCF"/>
    <w:rsid w:val="00530C4D"/>
    <w:rsid w:val="00530C80"/>
    <w:rsid w:val="00530C97"/>
    <w:rsid w:val="00530D3B"/>
    <w:rsid w:val="00530D80"/>
    <w:rsid w:val="00530E2A"/>
    <w:rsid w:val="00530E4C"/>
    <w:rsid w:val="00530EB2"/>
    <w:rsid w:val="00530EC9"/>
    <w:rsid w:val="00530FFB"/>
    <w:rsid w:val="0053103B"/>
    <w:rsid w:val="0053131B"/>
    <w:rsid w:val="00531359"/>
    <w:rsid w:val="005313B8"/>
    <w:rsid w:val="005314A9"/>
    <w:rsid w:val="00531576"/>
    <w:rsid w:val="00531654"/>
    <w:rsid w:val="005316DB"/>
    <w:rsid w:val="00531700"/>
    <w:rsid w:val="0053171C"/>
    <w:rsid w:val="0053176D"/>
    <w:rsid w:val="005317E6"/>
    <w:rsid w:val="005317FD"/>
    <w:rsid w:val="00531819"/>
    <w:rsid w:val="005318E1"/>
    <w:rsid w:val="0053196C"/>
    <w:rsid w:val="00531990"/>
    <w:rsid w:val="00531999"/>
    <w:rsid w:val="005319C5"/>
    <w:rsid w:val="005319F9"/>
    <w:rsid w:val="00531A3C"/>
    <w:rsid w:val="00531AB4"/>
    <w:rsid w:val="00531B05"/>
    <w:rsid w:val="00531C79"/>
    <w:rsid w:val="00531D92"/>
    <w:rsid w:val="00531E63"/>
    <w:rsid w:val="00531EE7"/>
    <w:rsid w:val="00531EEC"/>
    <w:rsid w:val="00531F25"/>
    <w:rsid w:val="00531F2B"/>
    <w:rsid w:val="00531F59"/>
    <w:rsid w:val="00531FF4"/>
    <w:rsid w:val="00531FFA"/>
    <w:rsid w:val="005321B5"/>
    <w:rsid w:val="005321BF"/>
    <w:rsid w:val="00532266"/>
    <w:rsid w:val="0053229A"/>
    <w:rsid w:val="00532308"/>
    <w:rsid w:val="0053240A"/>
    <w:rsid w:val="00532411"/>
    <w:rsid w:val="0053245A"/>
    <w:rsid w:val="00532488"/>
    <w:rsid w:val="005324AC"/>
    <w:rsid w:val="005325CC"/>
    <w:rsid w:val="0053267A"/>
    <w:rsid w:val="005326DA"/>
    <w:rsid w:val="0053271F"/>
    <w:rsid w:val="005328F8"/>
    <w:rsid w:val="0053295C"/>
    <w:rsid w:val="005329DA"/>
    <w:rsid w:val="00532A47"/>
    <w:rsid w:val="00532AE5"/>
    <w:rsid w:val="00532B2C"/>
    <w:rsid w:val="00532B6E"/>
    <w:rsid w:val="00532BB0"/>
    <w:rsid w:val="00532E56"/>
    <w:rsid w:val="00532E81"/>
    <w:rsid w:val="00532E9B"/>
    <w:rsid w:val="00532ECC"/>
    <w:rsid w:val="00532EED"/>
    <w:rsid w:val="00532FE2"/>
    <w:rsid w:val="0053305D"/>
    <w:rsid w:val="0053309D"/>
    <w:rsid w:val="0053326E"/>
    <w:rsid w:val="00533278"/>
    <w:rsid w:val="00533508"/>
    <w:rsid w:val="0053364A"/>
    <w:rsid w:val="0053367F"/>
    <w:rsid w:val="005336C4"/>
    <w:rsid w:val="0053386A"/>
    <w:rsid w:val="00533895"/>
    <w:rsid w:val="00533917"/>
    <w:rsid w:val="00533927"/>
    <w:rsid w:val="00533A5E"/>
    <w:rsid w:val="00533AE0"/>
    <w:rsid w:val="00533AEC"/>
    <w:rsid w:val="00533B8B"/>
    <w:rsid w:val="00533BDA"/>
    <w:rsid w:val="00533D2C"/>
    <w:rsid w:val="00533DEF"/>
    <w:rsid w:val="00533E22"/>
    <w:rsid w:val="00533E85"/>
    <w:rsid w:val="0053404D"/>
    <w:rsid w:val="00534083"/>
    <w:rsid w:val="005340BA"/>
    <w:rsid w:val="005340CF"/>
    <w:rsid w:val="005341D6"/>
    <w:rsid w:val="005342A3"/>
    <w:rsid w:val="00534338"/>
    <w:rsid w:val="005343AD"/>
    <w:rsid w:val="005343C1"/>
    <w:rsid w:val="00534491"/>
    <w:rsid w:val="00534505"/>
    <w:rsid w:val="00534513"/>
    <w:rsid w:val="00534587"/>
    <w:rsid w:val="0053459D"/>
    <w:rsid w:val="005346B4"/>
    <w:rsid w:val="00534718"/>
    <w:rsid w:val="00534842"/>
    <w:rsid w:val="00534874"/>
    <w:rsid w:val="0053491A"/>
    <w:rsid w:val="005349CB"/>
    <w:rsid w:val="00534AA5"/>
    <w:rsid w:val="00534BAD"/>
    <w:rsid w:val="00534C87"/>
    <w:rsid w:val="00534CC3"/>
    <w:rsid w:val="00534D0B"/>
    <w:rsid w:val="00534D23"/>
    <w:rsid w:val="00534E7C"/>
    <w:rsid w:val="00534ED8"/>
    <w:rsid w:val="00534FE3"/>
    <w:rsid w:val="00534FF7"/>
    <w:rsid w:val="005350B1"/>
    <w:rsid w:val="00535194"/>
    <w:rsid w:val="005351A5"/>
    <w:rsid w:val="005351FA"/>
    <w:rsid w:val="0053525D"/>
    <w:rsid w:val="005352DC"/>
    <w:rsid w:val="005352FF"/>
    <w:rsid w:val="00535325"/>
    <w:rsid w:val="00535340"/>
    <w:rsid w:val="005353D3"/>
    <w:rsid w:val="00535403"/>
    <w:rsid w:val="00535553"/>
    <w:rsid w:val="005355D0"/>
    <w:rsid w:val="005355F3"/>
    <w:rsid w:val="0053565E"/>
    <w:rsid w:val="00535676"/>
    <w:rsid w:val="005356FC"/>
    <w:rsid w:val="005358FD"/>
    <w:rsid w:val="0053595B"/>
    <w:rsid w:val="005359AA"/>
    <w:rsid w:val="00535A4B"/>
    <w:rsid w:val="00535A74"/>
    <w:rsid w:val="00535AF4"/>
    <w:rsid w:val="00535B68"/>
    <w:rsid w:val="00535C01"/>
    <w:rsid w:val="00535C36"/>
    <w:rsid w:val="00535C67"/>
    <w:rsid w:val="00535C7A"/>
    <w:rsid w:val="00535D69"/>
    <w:rsid w:val="00535D6B"/>
    <w:rsid w:val="00535DC1"/>
    <w:rsid w:val="00535E22"/>
    <w:rsid w:val="00535ED2"/>
    <w:rsid w:val="00535F4F"/>
    <w:rsid w:val="0053605F"/>
    <w:rsid w:val="005360BB"/>
    <w:rsid w:val="005360C8"/>
    <w:rsid w:val="00536106"/>
    <w:rsid w:val="005361C7"/>
    <w:rsid w:val="00536278"/>
    <w:rsid w:val="005362E1"/>
    <w:rsid w:val="00536342"/>
    <w:rsid w:val="00536422"/>
    <w:rsid w:val="005364DF"/>
    <w:rsid w:val="0053656B"/>
    <w:rsid w:val="005365C7"/>
    <w:rsid w:val="005365F1"/>
    <w:rsid w:val="00536654"/>
    <w:rsid w:val="00536673"/>
    <w:rsid w:val="005366DD"/>
    <w:rsid w:val="005366E1"/>
    <w:rsid w:val="00536715"/>
    <w:rsid w:val="005367BE"/>
    <w:rsid w:val="00536901"/>
    <w:rsid w:val="00536955"/>
    <w:rsid w:val="0053696D"/>
    <w:rsid w:val="00536B2D"/>
    <w:rsid w:val="00536BA2"/>
    <w:rsid w:val="00536FD5"/>
    <w:rsid w:val="0053701E"/>
    <w:rsid w:val="005370C3"/>
    <w:rsid w:val="005370DC"/>
    <w:rsid w:val="0053727D"/>
    <w:rsid w:val="005372D1"/>
    <w:rsid w:val="00537345"/>
    <w:rsid w:val="00537392"/>
    <w:rsid w:val="00537408"/>
    <w:rsid w:val="00537485"/>
    <w:rsid w:val="005374A6"/>
    <w:rsid w:val="005374C8"/>
    <w:rsid w:val="005374F7"/>
    <w:rsid w:val="0053756D"/>
    <w:rsid w:val="00537622"/>
    <w:rsid w:val="00537655"/>
    <w:rsid w:val="0053765F"/>
    <w:rsid w:val="005376A9"/>
    <w:rsid w:val="0053781A"/>
    <w:rsid w:val="0053784E"/>
    <w:rsid w:val="0053785F"/>
    <w:rsid w:val="0053786A"/>
    <w:rsid w:val="00537A06"/>
    <w:rsid w:val="00537A41"/>
    <w:rsid w:val="00537A77"/>
    <w:rsid w:val="00537ACE"/>
    <w:rsid w:val="00537AF6"/>
    <w:rsid w:val="00537C3F"/>
    <w:rsid w:val="00537CA0"/>
    <w:rsid w:val="00537CB1"/>
    <w:rsid w:val="00537CEE"/>
    <w:rsid w:val="00537D47"/>
    <w:rsid w:val="00537E9F"/>
    <w:rsid w:val="00537EFC"/>
    <w:rsid w:val="005400A1"/>
    <w:rsid w:val="005400E8"/>
    <w:rsid w:val="00540103"/>
    <w:rsid w:val="005401C6"/>
    <w:rsid w:val="0054035A"/>
    <w:rsid w:val="0054035F"/>
    <w:rsid w:val="005403BB"/>
    <w:rsid w:val="005403CF"/>
    <w:rsid w:val="0054040D"/>
    <w:rsid w:val="00540477"/>
    <w:rsid w:val="00540486"/>
    <w:rsid w:val="005404F2"/>
    <w:rsid w:val="00540538"/>
    <w:rsid w:val="005406A2"/>
    <w:rsid w:val="005406C5"/>
    <w:rsid w:val="00540798"/>
    <w:rsid w:val="0054079F"/>
    <w:rsid w:val="005407AB"/>
    <w:rsid w:val="005407AE"/>
    <w:rsid w:val="0054083B"/>
    <w:rsid w:val="005409BF"/>
    <w:rsid w:val="00540A74"/>
    <w:rsid w:val="00540AB5"/>
    <w:rsid w:val="00540B8A"/>
    <w:rsid w:val="00540C94"/>
    <w:rsid w:val="00540C98"/>
    <w:rsid w:val="00540CAC"/>
    <w:rsid w:val="00540D29"/>
    <w:rsid w:val="00540D97"/>
    <w:rsid w:val="00540DC9"/>
    <w:rsid w:val="00540DFD"/>
    <w:rsid w:val="00540E37"/>
    <w:rsid w:val="00541021"/>
    <w:rsid w:val="00541060"/>
    <w:rsid w:val="0054109E"/>
    <w:rsid w:val="005410EA"/>
    <w:rsid w:val="00541181"/>
    <w:rsid w:val="0054125D"/>
    <w:rsid w:val="00541276"/>
    <w:rsid w:val="005412B2"/>
    <w:rsid w:val="0054131D"/>
    <w:rsid w:val="00541366"/>
    <w:rsid w:val="005414AB"/>
    <w:rsid w:val="0054150A"/>
    <w:rsid w:val="0054153A"/>
    <w:rsid w:val="0054193B"/>
    <w:rsid w:val="0054193C"/>
    <w:rsid w:val="0054197E"/>
    <w:rsid w:val="005419CC"/>
    <w:rsid w:val="00541A8D"/>
    <w:rsid w:val="00541BFE"/>
    <w:rsid w:val="00541DFD"/>
    <w:rsid w:val="00541E28"/>
    <w:rsid w:val="00541E65"/>
    <w:rsid w:val="00541E93"/>
    <w:rsid w:val="00541E9B"/>
    <w:rsid w:val="00541EC6"/>
    <w:rsid w:val="00541EFA"/>
    <w:rsid w:val="00541FDB"/>
    <w:rsid w:val="00541FED"/>
    <w:rsid w:val="00542001"/>
    <w:rsid w:val="005420F3"/>
    <w:rsid w:val="00542100"/>
    <w:rsid w:val="005421B0"/>
    <w:rsid w:val="00542371"/>
    <w:rsid w:val="00542542"/>
    <w:rsid w:val="00542626"/>
    <w:rsid w:val="0054265F"/>
    <w:rsid w:val="00542816"/>
    <w:rsid w:val="00542845"/>
    <w:rsid w:val="00542896"/>
    <w:rsid w:val="005428B0"/>
    <w:rsid w:val="00542959"/>
    <w:rsid w:val="0054298A"/>
    <w:rsid w:val="00542B65"/>
    <w:rsid w:val="00542BB5"/>
    <w:rsid w:val="00542C55"/>
    <w:rsid w:val="00542C93"/>
    <w:rsid w:val="00542CA6"/>
    <w:rsid w:val="00542CAC"/>
    <w:rsid w:val="00542CFD"/>
    <w:rsid w:val="00542DDC"/>
    <w:rsid w:val="00542E74"/>
    <w:rsid w:val="00542EDA"/>
    <w:rsid w:val="00542EED"/>
    <w:rsid w:val="00542F71"/>
    <w:rsid w:val="00542FE1"/>
    <w:rsid w:val="00542FF3"/>
    <w:rsid w:val="0054302D"/>
    <w:rsid w:val="00543148"/>
    <w:rsid w:val="005431FA"/>
    <w:rsid w:val="00543203"/>
    <w:rsid w:val="0054327B"/>
    <w:rsid w:val="0054328C"/>
    <w:rsid w:val="005432C3"/>
    <w:rsid w:val="0054347C"/>
    <w:rsid w:val="00543549"/>
    <w:rsid w:val="005435ED"/>
    <w:rsid w:val="00543602"/>
    <w:rsid w:val="005436B2"/>
    <w:rsid w:val="00543749"/>
    <w:rsid w:val="005437CA"/>
    <w:rsid w:val="00543842"/>
    <w:rsid w:val="00543892"/>
    <w:rsid w:val="005439F8"/>
    <w:rsid w:val="00543BF8"/>
    <w:rsid w:val="00543C31"/>
    <w:rsid w:val="00543CAA"/>
    <w:rsid w:val="00543CC7"/>
    <w:rsid w:val="00543DCB"/>
    <w:rsid w:val="00543E45"/>
    <w:rsid w:val="00543EA1"/>
    <w:rsid w:val="00543EC6"/>
    <w:rsid w:val="0054409D"/>
    <w:rsid w:val="005441BA"/>
    <w:rsid w:val="005442AF"/>
    <w:rsid w:val="005442CB"/>
    <w:rsid w:val="00544373"/>
    <w:rsid w:val="00544475"/>
    <w:rsid w:val="005444D7"/>
    <w:rsid w:val="005445E8"/>
    <w:rsid w:val="005446E5"/>
    <w:rsid w:val="00544757"/>
    <w:rsid w:val="00544781"/>
    <w:rsid w:val="005449D4"/>
    <w:rsid w:val="00544A84"/>
    <w:rsid w:val="00544BFA"/>
    <w:rsid w:val="00544CA0"/>
    <w:rsid w:val="00544D39"/>
    <w:rsid w:val="00544E66"/>
    <w:rsid w:val="00544EF5"/>
    <w:rsid w:val="00544F89"/>
    <w:rsid w:val="00545003"/>
    <w:rsid w:val="00545036"/>
    <w:rsid w:val="0054504E"/>
    <w:rsid w:val="005450AF"/>
    <w:rsid w:val="005450BA"/>
    <w:rsid w:val="00545106"/>
    <w:rsid w:val="0054512D"/>
    <w:rsid w:val="0054522C"/>
    <w:rsid w:val="00545398"/>
    <w:rsid w:val="005453A1"/>
    <w:rsid w:val="005453A3"/>
    <w:rsid w:val="00545573"/>
    <w:rsid w:val="005455AC"/>
    <w:rsid w:val="005457BC"/>
    <w:rsid w:val="00545998"/>
    <w:rsid w:val="005459FF"/>
    <w:rsid w:val="00545A5D"/>
    <w:rsid w:val="00545A73"/>
    <w:rsid w:val="00545A79"/>
    <w:rsid w:val="00545A85"/>
    <w:rsid w:val="00545B21"/>
    <w:rsid w:val="00545B58"/>
    <w:rsid w:val="00545B66"/>
    <w:rsid w:val="00545B95"/>
    <w:rsid w:val="00545C89"/>
    <w:rsid w:val="00546129"/>
    <w:rsid w:val="0054620A"/>
    <w:rsid w:val="00546215"/>
    <w:rsid w:val="0054624A"/>
    <w:rsid w:val="00546282"/>
    <w:rsid w:val="005462EC"/>
    <w:rsid w:val="00546329"/>
    <w:rsid w:val="00546463"/>
    <w:rsid w:val="00546471"/>
    <w:rsid w:val="005464EC"/>
    <w:rsid w:val="0054651E"/>
    <w:rsid w:val="0054652F"/>
    <w:rsid w:val="00546621"/>
    <w:rsid w:val="00546648"/>
    <w:rsid w:val="005466E0"/>
    <w:rsid w:val="00546713"/>
    <w:rsid w:val="00546739"/>
    <w:rsid w:val="0054679A"/>
    <w:rsid w:val="00546809"/>
    <w:rsid w:val="00546989"/>
    <w:rsid w:val="00546A0B"/>
    <w:rsid w:val="00546A37"/>
    <w:rsid w:val="00546A50"/>
    <w:rsid w:val="00546A88"/>
    <w:rsid w:val="00546B8A"/>
    <w:rsid w:val="00546BA1"/>
    <w:rsid w:val="00546BB9"/>
    <w:rsid w:val="00546BD7"/>
    <w:rsid w:val="00546CDD"/>
    <w:rsid w:val="00546CEF"/>
    <w:rsid w:val="00546D70"/>
    <w:rsid w:val="00546E66"/>
    <w:rsid w:val="00546EC2"/>
    <w:rsid w:val="00546F6B"/>
    <w:rsid w:val="0054700F"/>
    <w:rsid w:val="005470C6"/>
    <w:rsid w:val="0054717B"/>
    <w:rsid w:val="005471B0"/>
    <w:rsid w:val="00547231"/>
    <w:rsid w:val="0054725D"/>
    <w:rsid w:val="005472F3"/>
    <w:rsid w:val="00547317"/>
    <w:rsid w:val="0054752B"/>
    <w:rsid w:val="00547548"/>
    <w:rsid w:val="00547554"/>
    <w:rsid w:val="00547572"/>
    <w:rsid w:val="00547597"/>
    <w:rsid w:val="00547662"/>
    <w:rsid w:val="0054768A"/>
    <w:rsid w:val="00547957"/>
    <w:rsid w:val="00547A2C"/>
    <w:rsid w:val="00547B5D"/>
    <w:rsid w:val="00547B6C"/>
    <w:rsid w:val="00547D10"/>
    <w:rsid w:val="00547DF3"/>
    <w:rsid w:val="00547E30"/>
    <w:rsid w:val="00547EE3"/>
    <w:rsid w:val="00547F82"/>
    <w:rsid w:val="00547F8A"/>
    <w:rsid w:val="00547FAA"/>
    <w:rsid w:val="00547FB9"/>
    <w:rsid w:val="00550028"/>
    <w:rsid w:val="0055005F"/>
    <w:rsid w:val="00550114"/>
    <w:rsid w:val="00550177"/>
    <w:rsid w:val="00550183"/>
    <w:rsid w:val="0055019E"/>
    <w:rsid w:val="005501A4"/>
    <w:rsid w:val="00550272"/>
    <w:rsid w:val="00550291"/>
    <w:rsid w:val="005502DD"/>
    <w:rsid w:val="005503AB"/>
    <w:rsid w:val="00550440"/>
    <w:rsid w:val="005504C2"/>
    <w:rsid w:val="0055062E"/>
    <w:rsid w:val="00550720"/>
    <w:rsid w:val="00550738"/>
    <w:rsid w:val="00550762"/>
    <w:rsid w:val="00550785"/>
    <w:rsid w:val="00550892"/>
    <w:rsid w:val="00550967"/>
    <w:rsid w:val="00550996"/>
    <w:rsid w:val="005509A8"/>
    <w:rsid w:val="00550A8A"/>
    <w:rsid w:val="00550AB3"/>
    <w:rsid w:val="00550ADC"/>
    <w:rsid w:val="00550B7F"/>
    <w:rsid w:val="00550BEA"/>
    <w:rsid w:val="00550CCB"/>
    <w:rsid w:val="00550CE6"/>
    <w:rsid w:val="00550D23"/>
    <w:rsid w:val="00550D81"/>
    <w:rsid w:val="00550DB7"/>
    <w:rsid w:val="00550F09"/>
    <w:rsid w:val="0055108F"/>
    <w:rsid w:val="005511AE"/>
    <w:rsid w:val="00551225"/>
    <w:rsid w:val="00551498"/>
    <w:rsid w:val="005514B0"/>
    <w:rsid w:val="0055156F"/>
    <w:rsid w:val="00551581"/>
    <w:rsid w:val="0055160F"/>
    <w:rsid w:val="0055169A"/>
    <w:rsid w:val="005517B8"/>
    <w:rsid w:val="00551A3F"/>
    <w:rsid w:val="00551ADE"/>
    <w:rsid w:val="00551B15"/>
    <w:rsid w:val="00551B40"/>
    <w:rsid w:val="00551B5A"/>
    <w:rsid w:val="00551BF9"/>
    <w:rsid w:val="00551BFD"/>
    <w:rsid w:val="00551CAE"/>
    <w:rsid w:val="00551CC6"/>
    <w:rsid w:val="00551CFC"/>
    <w:rsid w:val="00551D10"/>
    <w:rsid w:val="00551D20"/>
    <w:rsid w:val="00551D3C"/>
    <w:rsid w:val="00551D67"/>
    <w:rsid w:val="00551D6B"/>
    <w:rsid w:val="00551E6D"/>
    <w:rsid w:val="0055207F"/>
    <w:rsid w:val="00552269"/>
    <w:rsid w:val="0055227B"/>
    <w:rsid w:val="00552389"/>
    <w:rsid w:val="0055239E"/>
    <w:rsid w:val="005523A2"/>
    <w:rsid w:val="00552498"/>
    <w:rsid w:val="0055258C"/>
    <w:rsid w:val="005525DC"/>
    <w:rsid w:val="00552692"/>
    <w:rsid w:val="005526A8"/>
    <w:rsid w:val="005526EC"/>
    <w:rsid w:val="005527D2"/>
    <w:rsid w:val="005528AA"/>
    <w:rsid w:val="00552902"/>
    <w:rsid w:val="00552917"/>
    <w:rsid w:val="00552992"/>
    <w:rsid w:val="005529C6"/>
    <w:rsid w:val="005529D8"/>
    <w:rsid w:val="005529D9"/>
    <w:rsid w:val="005529FC"/>
    <w:rsid w:val="00552B71"/>
    <w:rsid w:val="00552BF8"/>
    <w:rsid w:val="00552C1C"/>
    <w:rsid w:val="00552C91"/>
    <w:rsid w:val="00552D0C"/>
    <w:rsid w:val="00552D1C"/>
    <w:rsid w:val="00552E53"/>
    <w:rsid w:val="00552F16"/>
    <w:rsid w:val="00552F87"/>
    <w:rsid w:val="00553177"/>
    <w:rsid w:val="0055317F"/>
    <w:rsid w:val="00553266"/>
    <w:rsid w:val="00553269"/>
    <w:rsid w:val="005536C2"/>
    <w:rsid w:val="005536EC"/>
    <w:rsid w:val="00553770"/>
    <w:rsid w:val="005537A7"/>
    <w:rsid w:val="005537F8"/>
    <w:rsid w:val="00553915"/>
    <w:rsid w:val="00553924"/>
    <w:rsid w:val="00553A6C"/>
    <w:rsid w:val="00553B99"/>
    <w:rsid w:val="00553C20"/>
    <w:rsid w:val="00553C6C"/>
    <w:rsid w:val="00553C7A"/>
    <w:rsid w:val="00553C9A"/>
    <w:rsid w:val="00553CF5"/>
    <w:rsid w:val="00553D25"/>
    <w:rsid w:val="00553D36"/>
    <w:rsid w:val="00553D79"/>
    <w:rsid w:val="00553DF8"/>
    <w:rsid w:val="00553EDE"/>
    <w:rsid w:val="00553F60"/>
    <w:rsid w:val="00554019"/>
    <w:rsid w:val="0055403D"/>
    <w:rsid w:val="0055407D"/>
    <w:rsid w:val="005540F9"/>
    <w:rsid w:val="0055412E"/>
    <w:rsid w:val="0055413E"/>
    <w:rsid w:val="005541F6"/>
    <w:rsid w:val="0055420C"/>
    <w:rsid w:val="0055420F"/>
    <w:rsid w:val="00554260"/>
    <w:rsid w:val="00554265"/>
    <w:rsid w:val="0055429A"/>
    <w:rsid w:val="005542D8"/>
    <w:rsid w:val="005542ED"/>
    <w:rsid w:val="00554367"/>
    <w:rsid w:val="0055437D"/>
    <w:rsid w:val="00554385"/>
    <w:rsid w:val="00554595"/>
    <w:rsid w:val="005545FA"/>
    <w:rsid w:val="00554692"/>
    <w:rsid w:val="00554776"/>
    <w:rsid w:val="0055483B"/>
    <w:rsid w:val="005548E0"/>
    <w:rsid w:val="005549C4"/>
    <w:rsid w:val="005549D7"/>
    <w:rsid w:val="00554C8E"/>
    <w:rsid w:val="00554CA2"/>
    <w:rsid w:val="00554DEB"/>
    <w:rsid w:val="00554DEC"/>
    <w:rsid w:val="00554E0E"/>
    <w:rsid w:val="00554E63"/>
    <w:rsid w:val="00554E6A"/>
    <w:rsid w:val="00554EAC"/>
    <w:rsid w:val="00554FB3"/>
    <w:rsid w:val="0055504E"/>
    <w:rsid w:val="005551B1"/>
    <w:rsid w:val="005551E4"/>
    <w:rsid w:val="005551E8"/>
    <w:rsid w:val="005551F6"/>
    <w:rsid w:val="005552C5"/>
    <w:rsid w:val="00555328"/>
    <w:rsid w:val="0055532F"/>
    <w:rsid w:val="005553FC"/>
    <w:rsid w:val="0055551F"/>
    <w:rsid w:val="00555548"/>
    <w:rsid w:val="00555563"/>
    <w:rsid w:val="00555726"/>
    <w:rsid w:val="00555758"/>
    <w:rsid w:val="00555799"/>
    <w:rsid w:val="0055587B"/>
    <w:rsid w:val="00555945"/>
    <w:rsid w:val="005559C8"/>
    <w:rsid w:val="00555A7C"/>
    <w:rsid w:val="00555B0C"/>
    <w:rsid w:val="00555B51"/>
    <w:rsid w:val="00555B81"/>
    <w:rsid w:val="00555BA6"/>
    <w:rsid w:val="00555C37"/>
    <w:rsid w:val="00555C48"/>
    <w:rsid w:val="00555C6C"/>
    <w:rsid w:val="00555CD6"/>
    <w:rsid w:val="00555D07"/>
    <w:rsid w:val="00555D29"/>
    <w:rsid w:val="00555D64"/>
    <w:rsid w:val="00555E94"/>
    <w:rsid w:val="00555EF6"/>
    <w:rsid w:val="00555EFE"/>
    <w:rsid w:val="00555F28"/>
    <w:rsid w:val="00555F47"/>
    <w:rsid w:val="00555F88"/>
    <w:rsid w:val="0055604C"/>
    <w:rsid w:val="0055606D"/>
    <w:rsid w:val="0055613A"/>
    <w:rsid w:val="00556171"/>
    <w:rsid w:val="005561BE"/>
    <w:rsid w:val="0055626A"/>
    <w:rsid w:val="0055629E"/>
    <w:rsid w:val="005562BA"/>
    <w:rsid w:val="005562D9"/>
    <w:rsid w:val="005563F5"/>
    <w:rsid w:val="005563F8"/>
    <w:rsid w:val="00556542"/>
    <w:rsid w:val="0055655E"/>
    <w:rsid w:val="005566FB"/>
    <w:rsid w:val="00556713"/>
    <w:rsid w:val="005567D5"/>
    <w:rsid w:val="005568F3"/>
    <w:rsid w:val="0055695F"/>
    <w:rsid w:val="00556967"/>
    <w:rsid w:val="00556985"/>
    <w:rsid w:val="00556A68"/>
    <w:rsid w:val="00556B27"/>
    <w:rsid w:val="00556BB2"/>
    <w:rsid w:val="00556C12"/>
    <w:rsid w:val="00556CB8"/>
    <w:rsid w:val="00556D3A"/>
    <w:rsid w:val="00556E00"/>
    <w:rsid w:val="00556E4F"/>
    <w:rsid w:val="00556F3C"/>
    <w:rsid w:val="00556F5B"/>
    <w:rsid w:val="005570AC"/>
    <w:rsid w:val="00557162"/>
    <w:rsid w:val="00557178"/>
    <w:rsid w:val="005572AE"/>
    <w:rsid w:val="005572EA"/>
    <w:rsid w:val="00557474"/>
    <w:rsid w:val="005576B8"/>
    <w:rsid w:val="005576E2"/>
    <w:rsid w:val="005576E7"/>
    <w:rsid w:val="005576EE"/>
    <w:rsid w:val="005576F2"/>
    <w:rsid w:val="005576F8"/>
    <w:rsid w:val="005576FD"/>
    <w:rsid w:val="00557992"/>
    <w:rsid w:val="00557A4E"/>
    <w:rsid w:val="00557AA4"/>
    <w:rsid w:val="00557B18"/>
    <w:rsid w:val="00557B84"/>
    <w:rsid w:val="00557B9E"/>
    <w:rsid w:val="00557C1E"/>
    <w:rsid w:val="00557C71"/>
    <w:rsid w:val="00557CA6"/>
    <w:rsid w:val="00557D2B"/>
    <w:rsid w:val="00557D33"/>
    <w:rsid w:val="00557E58"/>
    <w:rsid w:val="00557E96"/>
    <w:rsid w:val="00557F2E"/>
    <w:rsid w:val="00557F5A"/>
    <w:rsid w:val="00557F8C"/>
    <w:rsid w:val="0056001A"/>
    <w:rsid w:val="0056006D"/>
    <w:rsid w:val="005600BA"/>
    <w:rsid w:val="005600FF"/>
    <w:rsid w:val="005601D3"/>
    <w:rsid w:val="0056027A"/>
    <w:rsid w:val="00560405"/>
    <w:rsid w:val="005604A7"/>
    <w:rsid w:val="005604B7"/>
    <w:rsid w:val="00560526"/>
    <w:rsid w:val="00560592"/>
    <w:rsid w:val="00560851"/>
    <w:rsid w:val="005608E4"/>
    <w:rsid w:val="00560A6F"/>
    <w:rsid w:val="00560AE3"/>
    <w:rsid w:val="00560C1C"/>
    <w:rsid w:val="00560D2F"/>
    <w:rsid w:val="00560E7F"/>
    <w:rsid w:val="00560F12"/>
    <w:rsid w:val="00560F1F"/>
    <w:rsid w:val="00561009"/>
    <w:rsid w:val="0056107B"/>
    <w:rsid w:val="005611E0"/>
    <w:rsid w:val="005611E2"/>
    <w:rsid w:val="005611FC"/>
    <w:rsid w:val="005613CF"/>
    <w:rsid w:val="00561469"/>
    <w:rsid w:val="005614B0"/>
    <w:rsid w:val="005614BC"/>
    <w:rsid w:val="0056151E"/>
    <w:rsid w:val="00561589"/>
    <w:rsid w:val="00561727"/>
    <w:rsid w:val="00561770"/>
    <w:rsid w:val="00561790"/>
    <w:rsid w:val="00561842"/>
    <w:rsid w:val="00561892"/>
    <w:rsid w:val="005618C3"/>
    <w:rsid w:val="00561974"/>
    <w:rsid w:val="00561985"/>
    <w:rsid w:val="00561998"/>
    <w:rsid w:val="005619CC"/>
    <w:rsid w:val="00561A5E"/>
    <w:rsid w:val="00561ADF"/>
    <w:rsid w:val="00561C94"/>
    <w:rsid w:val="00561C98"/>
    <w:rsid w:val="00561CCD"/>
    <w:rsid w:val="00561E34"/>
    <w:rsid w:val="00561F98"/>
    <w:rsid w:val="00561FA6"/>
    <w:rsid w:val="00561FF8"/>
    <w:rsid w:val="00562008"/>
    <w:rsid w:val="0056206C"/>
    <w:rsid w:val="005622AE"/>
    <w:rsid w:val="005622EA"/>
    <w:rsid w:val="00562313"/>
    <w:rsid w:val="005623DC"/>
    <w:rsid w:val="005624B1"/>
    <w:rsid w:val="005624FB"/>
    <w:rsid w:val="00562588"/>
    <w:rsid w:val="0056258E"/>
    <w:rsid w:val="0056269E"/>
    <w:rsid w:val="005626F0"/>
    <w:rsid w:val="00562741"/>
    <w:rsid w:val="005627B7"/>
    <w:rsid w:val="005627E8"/>
    <w:rsid w:val="005628C0"/>
    <w:rsid w:val="00562930"/>
    <w:rsid w:val="005629FB"/>
    <w:rsid w:val="00562A69"/>
    <w:rsid w:val="00562BB2"/>
    <w:rsid w:val="00562CAB"/>
    <w:rsid w:val="00562D10"/>
    <w:rsid w:val="00562D2A"/>
    <w:rsid w:val="00562D7F"/>
    <w:rsid w:val="00562E8B"/>
    <w:rsid w:val="00562EF1"/>
    <w:rsid w:val="005630E9"/>
    <w:rsid w:val="005632C5"/>
    <w:rsid w:val="0056345D"/>
    <w:rsid w:val="00563593"/>
    <w:rsid w:val="00563676"/>
    <w:rsid w:val="0056370E"/>
    <w:rsid w:val="005638B6"/>
    <w:rsid w:val="005638BE"/>
    <w:rsid w:val="005638DD"/>
    <w:rsid w:val="00563A83"/>
    <w:rsid w:val="00563A9F"/>
    <w:rsid w:val="00563AAD"/>
    <w:rsid w:val="00563BD5"/>
    <w:rsid w:val="00563BFA"/>
    <w:rsid w:val="00563CAD"/>
    <w:rsid w:val="00563DDA"/>
    <w:rsid w:val="00563E19"/>
    <w:rsid w:val="00563F40"/>
    <w:rsid w:val="00563FF6"/>
    <w:rsid w:val="00563FF8"/>
    <w:rsid w:val="00564041"/>
    <w:rsid w:val="00564150"/>
    <w:rsid w:val="00564191"/>
    <w:rsid w:val="005641A5"/>
    <w:rsid w:val="005641C9"/>
    <w:rsid w:val="005641D1"/>
    <w:rsid w:val="005641E6"/>
    <w:rsid w:val="005641EE"/>
    <w:rsid w:val="0056425D"/>
    <w:rsid w:val="0056444C"/>
    <w:rsid w:val="00564583"/>
    <w:rsid w:val="00564642"/>
    <w:rsid w:val="00564659"/>
    <w:rsid w:val="0056468B"/>
    <w:rsid w:val="00564763"/>
    <w:rsid w:val="0056477B"/>
    <w:rsid w:val="005648D8"/>
    <w:rsid w:val="00564921"/>
    <w:rsid w:val="00564995"/>
    <w:rsid w:val="00564B2E"/>
    <w:rsid w:val="00564B40"/>
    <w:rsid w:val="00564B66"/>
    <w:rsid w:val="00564B89"/>
    <w:rsid w:val="00564B98"/>
    <w:rsid w:val="00564CD0"/>
    <w:rsid w:val="00564DD8"/>
    <w:rsid w:val="00564E19"/>
    <w:rsid w:val="00564F3A"/>
    <w:rsid w:val="00564F82"/>
    <w:rsid w:val="00565045"/>
    <w:rsid w:val="00565047"/>
    <w:rsid w:val="0056509F"/>
    <w:rsid w:val="005652AF"/>
    <w:rsid w:val="005652DA"/>
    <w:rsid w:val="00565330"/>
    <w:rsid w:val="0056552D"/>
    <w:rsid w:val="005655FA"/>
    <w:rsid w:val="00565641"/>
    <w:rsid w:val="005657C6"/>
    <w:rsid w:val="00565819"/>
    <w:rsid w:val="00565894"/>
    <w:rsid w:val="00565964"/>
    <w:rsid w:val="00565969"/>
    <w:rsid w:val="0056596F"/>
    <w:rsid w:val="00565A01"/>
    <w:rsid w:val="00565AB1"/>
    <w:rsid w:val="00565B1B"/>
    <w:rsid w:val="00565B2A"/>
    <w:rsid w:val="00565BD4"/>
    <w:rsid w:val="00565C93"/>
    <w:rsid w:val="00565E20"/>
    <w:rsid w:val="00565E53"/>
    <w:rsid w:val="00565E69"/>
    <w:rsid w:val="00565FC2"/>
    <w:rsid w:val="00565FD4"/>
    <w:rsid w:val="0056600F"/>
    <w:rsid w:val="005661CF"/>
    <w:rsid w:val="00566329"/>
    <w:rsid w:val="0056634A"/>
    <w:rsid w:val="005663F2"/>
    <w:rsid w:val="005664E5"/>
    <w:rsid w:val="005665EA"/>
    <w:rsid w:val="0056673E"/>
    <w:rsid w:val="005667E9"/>
    <w:rsid w:val="00566823"/>
    <w:rsid w:val="00566891"/>
    <w:rsid w:val="005668C5"/>
    <w:rsid w:val="0056692A"/>
    <w:rsid w:val="00566A0A"/>
    <w:rsid w:val="00566B2A"/>
    <w:rsid w:val="00566BF0"/>
    <w:rsid w:val="00566D07"/>
    <w:rsid w:val="00566D4A"/>
    <w:rsid w:val="00566EAF"/>
    <w:rsid w:val="00566EFC"/>
    <w:rsid w:val="00566F10"/>
    <w:rsid w:val="00566F24"/>
    <w:rsid w:val="0056709E"/>
    <w:rsid w:val="00567237"/>
    <w:rsid w:val="0056724F"/>
    <w:rsid w:val="00567277"/>
    <w:rsid w:val="00567278"/>
    <w:rsid w:val="005672ED"/>
    <w:rsid w:val="005672F7"/>
    <w:rsid w:val="005672FC"/>
    <w:rsid w:val="00567340"/>
    <w:rsid w:val="00567432"/>
    <w:rsid w:val="0056744B"/>
    <w:rsid w:val="0056745F"/>
    <w:rsid w:val="0056748D"/>
    <w:rsid w:val="005674FE"/>
    <w:rsid w:val="00567517"/>
    <w:rsid w:val="0056752A"/>
    <w:rsid w:val="0056755F"/>
    <w:rsid w:val="0056759E"/>
    <w:rsid w:val="005675AC"/>
    <w:rsid w:val="005675BF"/>
    <w:rsid w:val="00567600"/>
    <w:rsid w:val="005677C6"/>
    <w:rsid w:val="005678E1"/>
    <w:rsid w:val="00567A0F"/>
    <w:rsid w:val="00567A6A"/>
    <w:rsid w:val="00567C76"/>
    <w:rsid w:val="00567D5F"/>
    <w:rsid w:val="00567F9C"/>
    <w:rsid w:val="00570099"/>
    <w:rsid w:val="0057009E"/>
    <w:rsid w:val="005700E7"/>
    <w:rsid w:val="00570107"/>
    <w:rsid w:val="0057032C"/>
    <w:rsid w:val="00570364"/>
    <w:rsid w:val="005703CD"/>
    <w:rsid w:val="0057055F"/>
    <w:rsid w:val="005705BF"/>
    <w:rsid w:val="005705CA"/>
    <w:rsid w:val="005706B5"/>
    <w:rsid w:val="0057075F"/>
    <w:rsid w:val="0057078D"/>
    <w:rsid w:val="005707CD"/>
    <w:rsid w:val="005707D8"/>
    <w:rsid w:val="0057085B"/>
    <w:rsid w:val="00570968"/>
    <w:rsid w:val="00570974"/>
    <w:rsid w:val="00570AC3"/>
    <w:rsid w:val="00570DBD"/>
    <w:rsid w:val="00570DCB"/>
    <w:rsid w:val="00570E31"/>
    <w:rsid w:val="00570E81"/>
    <w:rsid w:val="00570EB0"/>
    <w:rsid w:val="00570F08"/>
    <w:rsid w:val="00570F3A"/>
    <w:rsid w:val="0057106A"/>
    <w:rsid w:val="00571108"/>
    <w:rsid w:val="005712C0"/>
    <w:rsid w:val="0057135D"/>
    <w:rsid w:val="00571410"/>
    <w:rsid w:val="00571418"/>
    <w:rsid w:val="0057148A"/>
    <w:rsid w:val="00571497"/>
    <w:rsid w:val="005714BE"/>
    <w:rsid w:val="005714E9"/>
    <w:rsid w:val="00571504"/>
    <w:rsid w:val="005716D9"/>
    <w:rsid w:val="005717BB"/>
    <w:rsid w:val="0057181E"/>
    <w:rsid w:val="0057182C"/>
    <w:rsid w:val="00571864"/>
    <w:rsid w:val="00571996"/>
    <w:rsid w:val="00571AAD"/>
    <w:rsid w:val="00571AEE"/>
    <w:rsid w:val="00571B12"/>
    <w:rsid w:val="00571B18"/>
    <w:rsid w:val="00571BE9"/>
    <w:rsid w:val="00571DA3"/>
    <w:rsid w:val="00571FA5"/>
    <w:rsid w:val="005720A7"/>
    <w:rsid w:val="00572118"/>
    <w:rsid w:val="00572330"/>
    <w:rsid w:val="00572391"/>
    <w:rsid w:val="0057245F"/>
    <w:rsid w:val="005724AD"/>
    <w:rsid w:val="00572507"/>
    <w:rsid w:val="00572576"/>
    <w:rsid w:val="00572581"/>
    <w:rsid w:val="005725A4"/>
    <w:rsid w:val="0057261C"/>
    <w:rsid w:val="00572665"/>
    <w:rsid w:val="005726D7"/>
    <w:rsid w:val="00572738"/>
    <w:rsid w:val="0057276E"/>
    <w:rsid w:val="0057281F"/>
    <w:rsid w:val="005728F4"/>
    <w:rsid w:val="005728FA"/>
    <w:rsid w:val="0057294F"/>
    <w:rsid w:val="00572AB6"/>
    <w:rsid w:val="00572B3E"/>
    <w:rsid w:val="00572C38"/>
    <w:rsid w:val="00572C80"/>
    <w:rsid w:val="00572D5F"/>
    <w:rsid w:val="00572D60"/>
    <w:rsid w:val="00572D81"/>
    <w:rsid w:val="00572E53"/>
    <w:rsid w:val="00572EAA"/>
    <w:rsid w:val="00572EF3"/>
    <w:rsid w:val="00572F7F"/>
    <w:rsid w:val="00573008"/>
    <w:rsid w:val="0057321C"/>
    <w:rsid w:val="0057324C"/>
    <w:rsid w:val="005732A2"/>
    <w:rsid w:val="005732CF"/>
    <w:rsid w:val="005732E8"/>
    <w:rsid w:val="00573314"/>
    <w:rsid w:val="0057333F"/>
    <w:rsid w:val="00573353"/>
    <w:rsid w:val="00573457"/>
    <w:rsid w:val="005737A4"/>
    <w:rsid w:val="00573851"/>
    <w:rsid w:val="00573874"/>
    <w:rsid w:val="005738E6"/>
    <w:rsid w:val="00573AE7"/>
    <w:rsid w:val="00573AF2"/>
    <w:rsid w:val="00573B1F"/>
    <w:rsid w:val="00573BCE"/>
    <w:rsid w:val="00573BD3"/>
    <w:rsid w:val="00573C1E"/>
    <w:rsid w:val="00573C3F"/>
    <w:rsid w:val="00573C68"/>
    <w:rsid w:val="00573C82"/>
    <w:rsid w:val="00573CA0"/>
    <w:rsid w:val="00573CE7"/>
    <w:rsid w:val="00573CFB"/>
    <w:rsid w:val="00573D0B"/>
    <w:rsid w:val="00573DE3"/>
    <w:rsid w:val="00573F6C"/>
    <w:rsid w:val="00574136"/>
    <w:rsid w:val="0057414F"/>
    <w:rsid w:val="00574154"/>
    <w:rsid w:val="005741DD"/>
    <w:rsid w:val="00574364"/>
    <w:rsid w:val="0057436D"/>
    <w:rsid w:val="00574442"/>
    <w:rsid w:val="005744BA"/>
    <w:rsid w:val="00574585"/>
    <w:rsid w:val="005745A8"/>
    <w:rsid w:val="005746D9"/>
    <w:rsid w:val="00574734"/>
    <w:rsid w:val="00574775"/>
    <w:rsid w:val="0057478C"/>
    <w:rsid w:val="00574822"/>
    <w:rsid w:val="005748A2"/>
    <w:rsid w:val="005748CC"/>
    <w:rsid w:val="005748CF"/>
    <w:rsid w:val="0057499B"/>
    <w:rsid w:val="00574A89"/>
    <w:rsid w:val="00574BD1"/>
    <w:rsid w:val="00574D84"/>
    <w:rsid w:val="00574DBD"/>
    <w:rsid w:val="00574E29"/>
    <w:rsid w:val="00574F62"/>
    <w:rsid w:val="00575032"/>
    <w:rsid w:val="005750D8"/>
    <w:rsid w:val="0057516F"/>
    <w:rsid w:val="005751CC"/>
    <w:rsid w:val="00575327"/>
    <w:rsid w:val="0057538A"/>
    <w:rsid w:val="00575417"/>
    <w:rsid w:val="005754A7"/>
    <w:rsid w:val="005755CD"/>
    <w:rsid w:val="0057577D"/>
    <w:rsid w:val="00575810"/>
    <w:rsid w:val="0057582B"/>
    <w:rsid w:val="00575862"/>
    <w:rsid w:val="00575899"/>
    <w:rsid w:val="00575909"/>
    <w:rsid w:val="00575920"/>
    <w:rsid w:val="005759AB"/>
    <w:rsid w:val="00575A4C"/>
    <w:rsid w:val="00575BA5"/>
    <w:rsid w:val="00575CCC"/>
    <w:rsid w:val="00575CDA"/>
    <w:rsid w:val="00575E43"/>
    <w:rsid w:val="00575F10"/>
    <w:rsid w:val="00575F47"/>
    <w:rsid w:val="00575FE7"/>
    <w:rsid w:val="00576019"/>
    <w:rsid w:val="00576095"/>
    <w:rsid w:val="005760DA"/>
    <w:rsid w:val="00576116"/>
    <w:rsid w:val="005761EE"/>
    <w:rsid w:val="00576220"/>
    <w:rsid w:val="005762CB"/>
    <w:rsid w:val="00576467"/>
    <w:rsid w:val="005768EC"/>
    <w:rsid w:val="005769B1"/>
    <w:rsid w:val="00576BE4"/>
    <w:rsid w:val="00576C94"/>
    <w:rsid w:val="00576CD5"/>
    <w:rsid w:val="00576CED"/>
    <w:rsid w:val="00576DE4"/>
    <w:rsid w:val="00576F80"/>
    <w:rsid w:val="00576FE2"/>
    <w:rsid w:val="00576FFD"/>
    <w:rsid w:val="005770B5"/>
    <w:rsid w:val="00577134"/>
    <w:rsid w:val="00577152"/>
    <w:rsid w:val="00577268"/>
    <w:rsid w:val="005772EB"/>
    <w:rsid w:val="0057737D"/>
    <w:rsid w:val="0057740B"/>
    <w:rsid w:val="005774E0"/>
    <w:rsid w:val="005775C5"/>
    <w:rsid w:val="005776BF"/>
    <w:rsid w:val="00577779"/>
    <w:rsid w:val="0057779D"/>
    <w:rsid w:val="005777EA"/>
    <w:rsid w:val="00577845"/>
    <w:rsid w:val="005778C0"/>
    <w:rsid w:val="005778D5"/>
    <w:rsid w:val="00577A18"/>
    <w:rsid w:val="00577A23"/>
    <w:rsid w:val="00577A5E"/>
    <w:rsid w:val="00577AA2"/>
    <w:rsid w:val="00577B25"/>
    <w:rsid w:val="00577B38"/>
    <w:rsid w:val="00577C07"/>
    <w:rsid w:val="00577CC5"/>
    <w:rsid w:val="00577D15"/>
    <w:rsid w:val="00577D33"/>
    <w:rsid w:val="00580050"/>
    <w:rsid w:val="00580087"/>
    <w:rsid w:val="00580117"/>
    <w:rsid w:val="0058013A"/>
    <w:rsid w:val="005801B3"/>
    <w:rsid w:val="0058025B"/>
    <w:rsid w:val="005802FE"/>
    <w:rsid w:val="00580444"/>
    <w:rsid w:val="00580525"/>
    <w:rsid w:val="0058055B"/>
    <w:rsid w:val="00580585"/>
    <w:rsid w:val="0058060C"/>
    <w:rsid w:val="0058063D"/>
    <w:rsid w:val="005807E7"/>
    <w:rsid w:val="00580A46"/>
    <w:rsid w:val="00580AC6"/>
    <w:rsid w:val="00580BE9"/>
    <w:rsid w:val="00580C07"/>
    <w:rsid w:val="00580CBF"/>
    <w:rsid w:val="00580CD1"/>
    <w:rsid w:val="00580D87"/>
    <w:rsid w:val="0058120D"/>
    <w:rsid w:val="005813E9"/>
    <w:rsid w:val="00581512"/>
    <w:rsid w:val="00581594"/>
    <w:rsid w:val="0058161F"/>
    <w:rsid w:val="00581631"/>
    <w:rsid w:val="0058167B"/>
    <w:rsid w:val="0058167F"/>
    <w:rsid w:val="0058172D"/>
    <w:rsid w:val="00581753"/>
    <w:rsid w:val="005817CA"/>
    <w:rsid w:val="00581864"/>
    <w:rsid w:val="00581897"/>
    <w:rsid w:val="0058189D"/>
    <w:rsid w:val="00581942"/>
    <w:rsid w:val="00581A00"/>
    <w:rsid w:val="00581B05"/>
    <w:rsid w:val="00581B5C"/>
    <w:rsid w:val="00581BC0"/>
    <w:rsid w:val="00581BF6"/>
    <w:rsid w:val="00581D00"/>
    <w:rsid w:val="00581F16"/>
    <w:rsid w:val="00581F2B"/>
    <w:rsid w:val="00581F35"/>
    <w:rsid w:val="00582073"/>
    <w:rsid w:val="005820E8"/>
    <w:rsid w:val="005820F8"/>
    <w:rsid w:val="0058218A"/>
    <w:rsid w:val="005821D6"/>
    <w:rsid w:val="005823FE"/>
    <w:rsid w:val="00582423"/>
    <w:rsid w:val="0058245F"/>
    <w:rsid w:val="005824AE"/>
    <w:rsid w:val="0058253A"/>
    <w:rsid w:val="005825A2"/>
    <w:rsid w:val="005825EE"/>
    <w:rsid w:val="0058269A"/>
    <w:rsid w:val="0058269B"/>
    <w:rsid w:val="0058269D"/>
    <w:rsid w:val="00582712"/>
    <w:rsid w:val="005828AB"/>
    <w:rsid w:val="0058293B"/>
    <w:rsid w:val="00582945"/>
    <w:rsid w:val="00582956"/>
    <w:rsid w:val="00582968"/>
    <w:rsid w:val="00582A32"/>
    <w:rsid w:val="00582BCB"/>
    <w:rsid w:val="00582D35"/>
    <w:rsid w:val="00582F71"/>
    <w:rsid w:val="00582FE1"/>
    <w:rsid w:val="0058301A"/>
    <w:rsid w:val="005830FB"/>
    <w:rsid w:val="00583169"/>
    <w:rsid w:val="00583179"/>
    <w:rsid w:val="005832D7"/>
    <w:rsid w:val="0058336C"/>
    <w:rsid w:val="00583443"/>
    <w:rsid w:val="005834DA"/>
    <w:rsid w:val="005835A5"/>
    <w:rsid w:val="005835CD"/>
    <w:rsid w:val="005835F4"/>
    <w:rsid w:val="0058362A"/>
    <w:rsid w:val="005836CB"/>
    <w:rsid w:val="00583800"/>
    <w:rsid w:val="00583916"/>
    <w:rsid w:val="00583928"/>
    <w:rsid w:val="00583938"/>
    <w:rsid w:val="00583954"/>
    <w:rsid w:val="00583A68"/>
    <w:rsid w:val="00583BCD"/>
    <w:rsid w:val="00583C0C"/>
    <w:rsid w:val="00583CA3"/>
    <w:rsid w:val="00583DAA"/>
    <w:rsid w:val="00583DF3"/>
    <w:rsid w:val="00583E29"/>
    <w:rsid w:val="00583F15"/>
    <w:rsid w:val="00583F56"/>
    <w:rsid w:val="00583FB0"/>
    <w:rsid w:val="00583FF3"/>
    <w:rsid w:val="0058407E"/>
    <w:rsid w:val="0058424C"/>
    <w:rsid w:val="005842E8"/>
    <w:rsid w:val="00584371"/>
    <w:rsid w:val="005844CC"/>
    <w:rsid w:val="005845CD"/>
    <w:rsid w:val="005846DF"/>
    <w:rsid w:val="005847A8"/>
    <w:rsid w:val="005848B9"/>
    <w:rsid w:val="005848D6"/>
    <w:rsid w:val="005848E9"/>
    <w:rsid w:val="00584919"/>
    <w:rsid w:val="0058496B"/>
    <w:rsid w:val="00584B37"/>
    <w:rsid w:val="00584B76"/>
    <w:rsid w:val="00584BA2"/>
    <w:rsid w:val="00584BD9"/>
    <w:rsid w:val="00584CE8"/>
    <w:rsid w:val="00584D7E"/>
    <w:rsid w:val="00584EE4"/>
    <w:rsid w:val="00584F20"/>
    <w:rsid w:val="00584F6B"/>
    <w:rsid w:val="00584F9D"/>
    <w:rsid w:val="00585015"/>
    <w:rsid w:val="0058507D"/>
    <w:rsid w:val="005850C1"/>
    <w:rsid w:val="00585128"/>
    <w:rsid w:val="00585157"/>
    <w:rsid w:val="00585162"/>
    <w:rsid w:val="0058536E"/>
    <w:rsid w:val="005853F7"/>
    <w:rsid w:val="005854E8"/>
    <w:rsid w:val="00585514"/>
    <w:rsid w:val="00585555"/>
    <w:rsid w:val="0058560B"/>
    <w:rsid w:val="005856DD"/>
    <w:rsid w:val="00585759"/>
    <w:rsid w:val="005857EF"/>
    <w:rsid w:val="0058583E"/>
    <w:rsid w:val="00585879"/>
    <w:rsid w:val="005858DC"/>
    <w:rsid w:val="00585978"/>
    <w:rsid w:val="00585999"/>
    <w:rsid w:val="00585AAD"/>
    <w:rsid w:val="00585B8A"/>
    <w:rsid w:val="00585BD7"/>
    <w:rsid w:val="00585BFB"/>
    <w:rsid w:val="00585DA4"/>
    <w:rsid w:val="00585DBF"/>
    <w:rsid w:val="00585DCD"/>
    <w:rsid w:val="00585DD3"/>
    <w:rsid w:val="00585E58"/>
    <w:rsid w:val="00585EE8"/>
    <w:rsid w:val="00585F6C"/>
    <w:rsid w:val="00585FEF"/>
    <w:rsid w:val="00586034"/>
    <w:rsid w:val="0058606E"/>
    <w:rsid w:val="00586204"/>
    <w:rsid w:val="005862B3"/>
    <w:rsid w:val="0058634E"/>
    <w:rsid w:val="005863BD"/>
    <w:rsid w:val="005863E0"/>
    <w:rsid w:val="005863E1"/>
    <w:rsid w:val="005863FA"/>
    <w:rsid w:val="00586427"/>
    <w:rsid w:val="005865EB"/>
    <w:rsid w:val="0058667C"/>
    <w:rsid w:val="00586739"/>
    <w:rsid w:val="005867C3"/>
    <w:rsid w:val="00586815"/>
    <w:rsid w:val="005869DD"/>
    <w:rsid w:val="00586A63"/>
    <w:rsid w:val="00586BC7"/>
    <w:rsid w:val="00586C7D"/>
    <w:rsid w:val="00586C8E"/>
    <w:rsid w:val="00586CA2"/>
    <w:rsid w:val="00586CA9"/>
    <w:rsid w:val="00586DA6"/>
    <w:rsid w:val="00586E5E"/>
    <w:rsid w:val="00587008"/>
    <w:rsid w:val="005871F0"/>
    <w:rsid w:val="00587246"/>
    <w:rsid w:val="00587259"/>
    <w:rsid w:val="00587286"/>
    <w:rsid w:val="00587298"/>
    <w:rsid w:val="005872D5"/>
    <w:rsid w:val="0058735C"/>
    <w:rsid w:val="005873F1"/>
    <w:rsid w:val="005874B8"/>
    <w:rsid w:val="0058755E"/>
    <w:rsid w:val="00587668"/>
    <w:rsid w:val="00587682"/>
    <w:rsid w:val="00587736"/>
    <w:rsid w:val="0058773E"/>
    <w:rsid w:val="005877E0"/>
    <w:rsid w:val="005877E1"/>
    <w:rsid w:val="00587805"/>
    <w:rsid w:val="00587890"/>
    <w:rsid w:val="005878FE"/>
    <w:rsid w:val="00587949"/>
    <w:rsid w:val="00587B4E"/>
    <w:rsid w:val="00587BD2"/>
    <w:rsid w:val="00587ECB"/>
    <w:rsid w:val="00587ED2"/>
    <w:rsid w:val="00587F22"/>
    <w:rsid w:val="00587FDA"/>
    <w:rsid w:val="00590035"/>
    <w:rsid w:val="00590160"/>
    <w:rsid w:val="00590261"/>
    <w:rsid w:val="005902EA"/>
    <w:rsid w:val="00590346"/>
    <w:rsid w:val="00590405"/>
    <w:rsid w:val="00590456"/>
    <w:rsid w:val="00590459"/>
    <w:rsid w:val="00590604"/>
    <w:rsid w:val="00590642"/>
    <w:rsid w:val="00590652"/>
    <w:rsid w:val="005906C1"/>
    <w:rsid w:val="00590787"/>
    <w:rsid w:val="00590913"/>
    <w:rsid w:val="00590954"/>
    <w:rsid w:val="00590C80"/>
    <w:rsid w:val="00590D2F"/>
    <w:rsid w:val="00590D34"/>
    <w:rsid w:val="00590D45"/>
    <w:rsid w:val="00590D50"/>
    <w:rsid w:val="00590D62"/>
    <w:rsid w:val="00590EC9"/>
    <w:rsid w:val="00590ECB"/>
    <w:rsid w:val="0059106F"/>
    <w:rsid w:val="005910B0"/>
    <w:rsid w:val="005910B7"/>
    <w:rsid w:val="005910E5"/>
    <w:rsid w:val="00591107"/>
    <w:rsid w:val="00591157"/>
    <w:rsid w:val="005911B9"/>
    <w:rsid w:val="005912BF"/>
    <w:rsid w:val="00591312"/>
    <w:rsid w:val="0059132C"/>
    <w:rsid w:val="005913CE"/>
    <w:rsid w:val="005913E4"/>
    <w:rsid w:val="00591402"/>
    <w:rsid w:val="00591416"/>
    <w:rsid w:val="00591495"/>
    <w:rsid w:val="00591587"/>
    <w:rsid w:val="005915D3"/>
    <w:rsid w:val="00591620"/>
    <w:rsid w:val="005917F0"/>
    <w:rsid w:val="00591A24"/>
    <w:rsid w:val="00591AC4"/>
    <w:rsid w:val="00591B32"/>
    <w:rsid w:val="00591C51"/>
    <w:rsid w:val="00591C7A"/>
    <w:rsid w:val="00591D30"/>
    <w:rsid w:val="00591D73"/>
    <w:rsid w:val="00591E0E"/>
    <w:rsid w:val="00591E18"/>
    <w:rsid w:val="00591ED7"/>
    <w:rsid w:val="00591F3A"/>
    <w:rsid w:val="00591F4A"/>
    <w:rsid w:val="00592057"/>
    <w:rsid w:val="00592087"/>
    <w:rsid w:val="0059214B"/>
    <w:rsid w:val="005921A9"/>
    <w:rsid w:val="00592210"/>
    <w:rsid w:val="00592396"/>
    <w:rsid w:val="0059239E"/>
    <w:rsid w:val="00592487"/>
    <w:rsid w:val="005924E0"/>
    <w:rsid w:val="00592529"/>
    <w:rsid w:val="0059256D"/>
    <w:rsid w:val="005926C7"/>
    <w:rsid w:val="005926DD"/>
    <w:rsid w:val="00592707"/>
    <w:rsid w:val="0059270D"/>
    <w:rsid w:val="0059272A"/>
    <w:rsid w:val="005927B4"/>
    <w:rsid w:val="00592926"/>
    <w:rsid w:val="00592945"/>
    <w:rsid w:val="0059296E"/>
    <w:rsid w:val="005929A4"/>
    <w:rsid w:val="00592B06"/>
    <w:rsid w:val="00592C41"/>
    <w:rsid w:val="00592D68"/>
    <w:rsid w:val="00592DD2"/>
    <w:rsid w:val="00592DEC"/>
    <w:rsid w:val="00592E10"/>
    <w:rsid w:val="00592EAC"/>
    <w:rsid w:val="00592F66"/>
    <w:rsid w:val="00592FA9"/>
    <w:rsid w:val="00592FCB"/>
    <w:rsid w:val="00593055"/>
    <w:rsid w:val="0059316B"/>
    <w:rsid w:val="00593289"/>
    <w:rsid w:val="0059336C"/>
    <w:rsid w:val="00593481"/>
    <w:rsid w:val="005934C3"/>
    <w:rsid w:val="005934E2"/>
    <w:rsid w:val="005935C4"/>
    <w:rsid w:val="0059367F"/>
    <w:rsid w:val="0059383E"/>
    <w:rsid w:val="005938CA"/>
    <w:rsid w:val="00593A6C"/>
    <w:rsid w:val="00593AA0"/>
    <w:rsid w:val="00593AF3"/>
    <w:rsid w:val="00593B81"/>
    <w:rsid w:val="00593BB6"/>
    <w:rsid w:val="00593C7E"/>
    <w:rsid w:val="00593CA3"/>
    <w:rsid w:val="00593D53"/>
    <w:rsid w:val="00593D65"/>
    <w:rsid w:val="00593DCE"/>
    <w:rsid w:val="00593E36"/>
    <w:rsid w:val="00593E89"/>
    <w:rsid w:val="0059400A"/>
    <w:rsid w:val="00594021"/>
    <w:rsid w:val="00594031"/>
    <w:rsid w:val="0059405B"/>
    <w:rsid w:val="00594075"/>
    <w:rsid w:val="0059409F"/>
    <w:rsid w:val="005941EF"/>
    <w:rsid w:val="00594233"/>
    <w:rsid w:val="0059426A"/>
    <w:rsid w:val="005942AD"/>
    <w:rsid w:val="00594357"/>
    <w:rsid w:val="0059437D"/>
    <w:rsid w:val="005943CB"/>
    <w:rsid w:val="00594465"/>
    <w:rsid w:val="00594510"/>
    <w:rsid w:val="00594543"/>
    <w:rsid w:val="005945BB"/>
    <w:rsid w:val="005945C9"/>
    <w:rsid w:val="00594609"/>
    <w:rsid w:val="00594625"/>
    <w:rsid w:val="0059462B"/>
    <w:rsid w:val="005946E2"/>
    <w:rsid w:val="005947BD"/>
    <w:rsid w:val="00594827"/>
    <w:rsid w:val="00594867"/>
    <w:rsid w:val="00594870"/>
    <w:rsid w:val="0059487C"/>
    <w:rsid w:val="00594884"/>
    <w:rsid w:val="00594998"/>
    <w:rsid w:val="00594AA0"/>
    <w:rsid w:val="00594AE9"/>
    <w:rsid w:val="00594B96"/>
    <w:rsid w:val="00594BF9"/>
    <w:rsid w:val="00594C19"/>
    <w:rsid w:val="00594E0D"/>
    <w:rsid w:val="00594EC6"/>
    <w:rsid w:val="005950D9"/>
    <w:rsid w:val="00595124"/>
    <w:rsid w:val="00595272"/>
    <w:rsid w:val="005952E4"/>
    <w:rsid w:val="00595311"/>
    <w:rsid w:val="00595345"/>
    <w:rsid w:val="005953C3"/>
    <w:rsid w:val="0059566D"/>
    <w:rsid w:val="0059568E"/>
    <w:rsid w:val="005956D9"/>
    <w:rsid w:val="0059582C"/>
    <w:rsid w:val="005958C9"/>
    <w:rsid w:val="005958F4"/>
    <w:rsid w:val="00595BE4"/>
    <w:rsid w:val="00595C74"/>
    <w:rsid w:val="00595C83"/>
    <w:rsid w:val="00595CC2"/>
    <w:rsid w:val="00595D4A"/>
    <w:rsid w:val="00595D91"/>
    <w:rsid w:val="00595DCB"/>
    <w:rsid w:val="00595E36"/>
    <w:rsid w:val="00595E98"/>
    <w:rsid w:val="00595F1F"/>
    <w:rsid w:val="00596136"/>
    <w:rsid w:val="00596138"/>
    <w:rsid w:val="00596171"/>
    <w:rsid w:val="0059618E"/>
    <w:rsid w:val="005961C3"/>
    <w:rsid w:val="0059621A"/>
    <w:rsid w:val="0059623C"/>
    <w:rsid w:val="00596278"/>
    <w:rsid w:val="005962BC"/>
    <w:rsid w:val="00596329"/>
    <w:rsid w:val="005963FA"/>
    <w:rsid w:val="0059646D"/>
    <w:rsid w:val="0059651B"/>
    <w:rsid w:val="00596624"/>
    <w:rsid w:val="005966A8"/>
    <w:rsid w:val="00596710"/>
    <w:rsid w:val="005967B8"/>
    <w:rsid w:val="005967FC"/>
    <w:rsid w:val="00596867"/>
    <w:rsid w:val="00596901"/>
    <w:rsid w:val="00596953"/>
    <w:rsid w:val="00596A77"/>
    <w:rsid w:val="00596BBE"/>
    <w:rsid w:val="00596BD4"/>
    <w:rsid w:val="00596C01"/>
    <w:rsid w:val="00596C48"/>
    <w:rsid w:val="00596F3B"/>
    <w:rsid w:val="00596F76"/>
    <w:rsid w:val="00596FDA"/>
    <w:rsid w:val="005970AA"/>
    <w:rsid w:val="00597190"/>
    <w:rsid w:val="005972F9"/>
    <w:rsid w:val="0059732D"/>
    <w:rsid w:val="0059736C"/>
    <w:rsid w:val="00597388"/>
    <w:rsid w:val="005973C7"/>
    <w:rsid w:val="0059740D"/>
    <w:rsid w:val="00597464"/>
    <w:rsid w:val="00597497"/>
    <w:rsid w:val="00597505"/>
    <w:rsid w:val="005975AF"/>
    <w:rsid w:val="005975E6"/>
    <w:rsid w:val="0059765C"/>
    <w:rsid w:val="005976B5"/>
    <w:rsid w:val="0059772E"/>
    <w:rsid w:val="005977D5"/>
    <w:rsid w:val="0059789A"/>
    <w:rsid w:val="005978CC"/>
    <w:rsid w:val="0059791A"/>
    <w:rsid w:val="005979D2"/>
    <w:rsid w:val="00597A02"/>
    <w:rsid w:val="00597ADA"/>
    <w:rsid w:val="00597CC0"/>
    <w:rsid w:val="00597D8B"/>
    <w:rsid w:val="00597E81"/>
    <w:rsid w:val="00597ED9"/>
    <w:rsid w:val="00597F36"/>
    <w:rsid w:val="005A0059"/>
    <w:rsid w:val="005A017F"/>
    <w:rsid w:val="005A0323"/>
    <w:rsid w:val="005A034E"/>
    <w:rsid w:val="005A04C3"/>
    <w:rsid w:val="005A04D8"/>
    <w:rsid w:val="005A0515"/>
    <w:rsid w:val="005A0524"/>
    <w:rsid w:val="005A066D"/>
    <w:rsid w:val="005A0717"/>
    <w:rsid w:val="005A0759"/>
    <w:rsid w:val="005A0938"/>
    <w:rsid w:val="005A0ACB"/>
    <w:rsid w:val="005A0B6A"/>
    <w:rsid w:val="005A0B8D"/>
    <w:rsid w:val="005A0D88"/>
    <w:rsid w:val="005A0E89"/>
    <w:rsid w:val="005A0EC0"/>
    <w:rsid w:val="005A0EE6"/>
    <w:rsid w:val="005A0F4C"/>
    <w:rsid w:val="005A108B"/>
    <w:rsid w:val="005A1173"/>
    <w:rsid w:val="005A124F"/>
    <w:rsid w:val="005A1374"/>
    <w:rsid w:val="005A1389"/>
    <w:rsid w:val="005A13A7"/>
    <w:rsid w:val="005A1494"/>
    <w:rsid w:val="005A14A0"/>
    <w:rsid w:val="005A15CA"/>
    <w:rsid w:val="005A15F0"/>
    <w:rsid w:val="005A169B"/>
    <w:rsid w:val="005A16F5"/>
    <w:rsid w:val="005A18AE"/>
    <w:rsid w:val="005A18B5"/>
    <w:rsid w:val="005A19A9"/>
    <w:rsid w:val="005A1A10"/>
    <w:rsid w:val="005A1A4F"/>
    <w:rsid w:val="005A1A59"/>
    <w:rsid w:val="005A1A68"/>
    <w:rsid w:val="005A1ABF"/>
    <w:rsid w:val="005A1C3A"/>
    <w:rsid w:val="005A1D1C"/>
    <w:rsid w:val="005A1DB5"/>
    <w:rsid w:val="005A1F4E"/>
    <w:rsid w:val="005A1F58"/>
    <w:rsid w:val="005A20F5"/>
    <w:rsid w:val="005A220A"/>
    <w:rsid w:val="005A2467"/>
    <w:rsid w:val="005A2605"/>
    <w:rsid w:val="005A276A"/>
    <w:rsid w:val="005A27C5"/>
    <w:rsid w:val="005A2870"/>
    <w:rsid w:val="005A293C"/>
    <w:rsid w:val="005A29AB"/>
    <w:rsid w:val="005A2A36"/>
    <w:rsid w:val="005A2A62"/>
    <w:rsid w:val="005A2AF8"/>
    <w:rsid w:val="005A2B25"/>
    <w:rsid w:val="005A2B90"/>
    <w:rsid w:val="005A2BEE"/>
    <w:rsid w:val="005A2C34"/>
    <w:rsid w:val="005A2D71"/>
    <w:rsid w:val="005A2D79"/>
    <w:rsid w:val="005A2D95"/>
    <w:rsid w:val="005A2DD3"/>
    <w:rsid w:val="005A2F15"/>
    <w:rsid w:val="005A2F28"/>
    <w:rsid w:val="005A30B9"/>
    <w:rsid w:val="005A31CB"/>
    <w:rsid w:val="005A332B"/>
    <w:rsid w:val="005A359E"/>
    <w:rsid w:val="005A36C3"/>
    <w:rsid w:val="005A3AD4"/>
    <w:rsid w:val="005A3AED"/>
    <w:rsid w:val="005A3B0C"/>
    <w:rsid w:val="005A3C77"/>
    <w:rsid w:val="005A3C88"/>
    <w:rsid w:val="005A3D7A"/>
    <w:rsid w:val="005A3DB6"/>
    <w:rsid w:val="005A3DBB"/>
    <w:rsid w:val="005A3E5A"/>
    <w:rsid w:val="005A3E5E"/>
    <w:rsid w:val="005A3EA2"/>
    <w:rsid w:val="005A3F19"/>
    <w:rsid w:val="005A3F85"/>
    <w:rsid w:val="005A3FF3"/>
    <w:rsid w:val="005A401D"/>
    <w:rsid w:val="005A41FD"/>
    <w:rsid w:val="005A4241"/>
    <w:rsid w:val="005A425F"/>
    <w:rsid w:val="005A42DD"/>
    <w:rsid w:val="005A4403"/>
    <w:rsid w:val="005A4450"/>
    <w:rsid w:val="005A4509"/>
    <w:rsid w:val="005A4563"/>
    <w:rsid w:val="005A45FC"/>
    <w:rsid w:val="005A4620"/>
    <w:rsid w:val="005A4773"/>
    <w:rsid w:val="005A477B"/>
    <w:rsid w:val="005A493A"/>
    <w:rsid w:val="005A49E4"/>
    <w:rsid w:val="005A4A86"/>
    <w:rsid w:val="005A4A9B"/>
    <w:rsid w:val="005A4AAE"/>
    <w:rsid w:val="005A4AC1"/>
    <w:rsid w:val="005A4CE9"/>
    <w:rsid w:val="005A4D59"/>
    <w:rsid w:val="005A4DA7"/>
    <w:rsid w:val="005A5075"/>
    <w:rsid w:val="005A51DC"/>
    <w:rsid w:val="005A5328"/>
    <w:rsid w:val="005A5332"/>
    <w:rsid w:val="005A5356"/>
    <w:rsid w:val="005A5388"/>
    <w:rsid w:val="005A5417"/>
    <w:rsid w:val="005A566C"/>
    <w:rsid w:val="005A56E0"/>
    <w:rsid w:val="005A570A"/>
    <w:rsid w:val="005A5898"/>
    <w:rsid w:val="005A58D0"/>
    <w:rsid w:val="005A5977"/>
    <w:rsid w:val="005A597E"/>
    <w:rsid w:val="005A5A16"/>
    <w:rsid w:val="005A5AC3"/>
    <w:rsid w:val="005A5AF0"/>
    <w:rsid w:val="005A5AFF"/>
    <w:rsid w:val="005A5B80"/>
    <w:rsid w:val="005A5C46"/>
    <w:rsid w:val="005A5C53"/>
    <w:rsid w:val="005A5CE0"/>
    <w:rsid w:val="005A5EAC"/>
    <w:rsid w:val="005A5ED6"/>
    <w:rsid w:val="005A5F5E"/>
    <w:rsid w:val="005A5FE2"/>
    <w:rsid w:val="005A6046"/>
    <w:rsid w:val="005A6232"/>
    <w:rsid w:val="005A6243"/>
    <w:rsid w:val="005A62BF"/>
    <w:rsid w:val="005A62CF"/>
    <w:rsid w:val="005A64CB"/>
    <w:rsid w:val="005A64D4"/>
    <w:rsid w:val="005A64FE"/>
    <w:rsid w:val="005A661C"/>
    <w:rsid w:val="005A6657"/>
    <w:rsid w:val="005A6695"/>
    <w:rsid w:val="005A66BA"/>
    <w:rsid w:val="005A66BB"/>
    <w:rsid w:val="005A677F"/>
    <w:rsid w:val="005A6799"/>
    <w:rsid w:val="005A6852"/>
    <w:rsid w:val="005A68CD"/>
    <w:rsid w:val="005A6962"/>
    <w:rsid w:val="005A698B"/>
    <w:rsid w:val="005A69E1"/>
    <w:rsid w:val="005A6A76"/>
    <w:rsid w:val="005A6AE8"/>
    <w:rsid w:val="005A6CA5"/>
    <w:rsid w:val="005A6CC1"/>
    <w:rsid w:val="005A6CF1"/>
    <w:rsid w:val="005A6D27"/>
    <w:rsid w:val="005A6DDB"/>
    <w:rsid w:val="005A6E06"/>
    <w:rsid w:val="005A6E66"/>
    <w:rsid w:val="005A6FE8"/>
    <w:rsid w:val="005A7045"/>
    <w:rsid w:val="005A70AE"/>
    <w:rsid w:val="005A70D1"/>
    <w:rsid w:val="005A71A7"/>
    <w:rsid w:val="005A7257"/>
    <w:rsid w:val="005A757B"/>
    <w:rsid w:val="005A7613"/>
    <w:rsid w:val="005A761F"/>
    <w:rsid w:val="005A76FC"/>
    <w:rsid w:val="005A770A"/>
    <w:rsid w:val="005A7741"/>
    <w:rsid w:val="005A77F7"/>
    <w:rsid w:val="005A79C3"/>
    <w:rsid w:val="005A7A9D"/>
    <w:rsid w:val="005A7BFD"/>
    <w:rsid w:val="005A7C56"/>
    <w:rsid w:val="005A7D77"/>
    <w:rsid w:val="005A7DE4"/>
    <w:rsid w:val="005A7EA9"/>
    <w:rsid w:val="005B0053"/>
    <w:rsid w:val="005B0112"/>
    <w:rsid w:val="005B0183"/>
    <w:rsid w:val="005B025D"/>
    <w:rsid w:val="005B0398"/>
    <w:rsid w:val="005B0459"/>
    <w:rsid w:val="005B04AA"/>
    <w:rsid w:val="005B04CE"/>
    <w:rsid w:val="005B0501"/>
    <w:rsid w:val="005B053A"/>
    <w:rsid w:val="005B0612"/>
    <w:rsid w:val="005B0615"/>
    <w:rsid w:val="005B0627"/>
    <w:rsid w:val="005B07E9"/>
    <w:rsid w:val="005B0880"/>
    <w:rsid w:val="005B08E4"/>
    <w:rsid w:val="005B0966"/>
    <w:rsid w:val="005B0A72"/>
    <w:rsid w:val="005B0B04"/>
    <w:rsid w:val="005B0B23"/>
    <w:rsid w:val="005B0B57"/>
    <w:rsid w:val="005B0BA7"/>
    <w:rsid w:val="005B0BED"/>
    <w:rsid w:val="005B0D04"/>
    <w:rsid w:val="005B0D69"/>
    <w:rsid w:val="005B0E77"/>
    <w:rsid w:val="005B0ECD"/>
    <w:rsid w:val="005B0FF1"/>
    <w:rsid w:val="005B10EA"/>
    <w:rsid w:val="005B11BE"/>
    <w:rsid w:val="005B11DE"/>
    <w:rsid w:val="005B126C"/>
    <w:rsid w:val="005B12FB"/>
    <w:rsid w:val="005B1324"/>
    <w:rsid w:val="005B1371"/>
    <w:rsid w:val="005B13B8"/>
    <w:rsid w:val="005B14F1"/>
    <w:rsid w:val="005B15B1"/>
    <w:rsid w:val="005B16D3"/>
    <w:rsid w:val="005B170D"/>
    <w:rsid w:val="005B17AC"/>
    <w:rsid w:val="005B1924"/>
    <w:rsid w:val="005B1966"/>
    <w:rsid w:val="005B19C5"/>
    <w:rsid w:val="005B1AC0"/>
    <w:rsid w:val="005B1B29"/>
    <w:rsid w:val="005B1BC4"/>
    <w:rsid w:val="005B1C0D"/>
    <w:rsid w:val="005B1C5F"/>
    <w:rsid w:val="005B1CBC"/>
    <w:rsid w:val="005B1D26"/>
    <w:rsid w:val="005B1DA7"/>
    <w:rsid w:val="005B1DCD"/>
    <w:rsid w:val="005B1E05"/>
    <w:rsid w:val="005B1E1A"/>
    <w:rsid w:val="005B1E30"/>
    <w:rsid w:val="005B1FDF"/>
    <w:rsid w:val="005B2064"/>
    <w:rsid w:val="005B20F8"/>
    <w:rsid w:val="005B2127"/>
    <w:rsid w:val="005B2128"/>
    <w:rsid w:val="005B212C"/>
    <w:rsid w:val="005B21C0"/>
    <w:rsid w:val="005B2259"/>
    <w:rsid w:val="005B2323"/>
    <w:rsid w:val="005B2387"/>
    <w:rsid w:val="005B23B0"/>
    <w:rsid w:val="005B2562"/>
    <w:rsid w:val="005B25C3"/>
    <w:rsid w:val="005B25DC"/>
    <w:rsid w:val="005B26E1"/>
    <w:rsid w:val="005B2768"/>
    <w:rsid w:val="005B2891"/>
    <w:rsid w:val="005B290F"/>
    <w:rsid w:val="005B2956"/>
    <w:rsid w:val="005B2A95"/>
    <w:rsid w:val="005B2C9B"/>
    <w:rsid w:val="005B2D96"/>
    <w:rsid w:val="005B2E16"/>
    <w:rsid w:val="005B2E68"/>
    <w:rsid w:val="005B2F92"/>
    <w:rsid w:val="005B3007"/>
    <w:rsid w:val="005B304B"/>
    <w:rsid w:val="005B3158"/>
    <w:rsid w:val="005B33AD"/>
    <w:rsid w:val="005B3413"/>
    <w:rsid w:val="005B348A"/>
    <w:rsid w:val="005B3588"/>
    <w:rsid w:val="005B35E3"/>
    <w:rsid w:val="005B3726"/>
    <w:rsid w:val="005B375F"/>
    <w:rsid w:val="005B37EB"/>
    <w:rsid w:val="005B39E1"/>
    <w:rsid w:val="005B3A0F"/>
    <w:rsid w:val="005B3A9A"/>
    <w:rsid w:val="005B3B8C"/>
    <w:rsid w:val="005B3BAD"/>
    <w:rsid w:val="005B3BF4"/>
    <w:rsid w:val="005B3C22"/>
    <w:rsid w:val="005B3C26"/>
    <w:rsid w:val="005B3CA0"/>
    <w:rsid w:val="005B3F0F"/>
    <w:rsid w:val="005B3F1C"/>
    <w:rsid w:val="005B3F3E"/>
    <w:rsid w:val="005B403D"/>
    <w:rsid w:val="005B4117"/>
    <w:rsid w:val="005B4194"/>
    <w:rsid w:val="005B41B1"/>
    <w:rsid w:val="005B421D"/>
    <w:rsid w:val="005B42B8"/>
    <w:rsid w:val="005B43A6"/>
    <w:rsid w:val="005B43E6"/>
    <w:rsid w:val="005B43E8"/>
    <w:rsid w:val="005B440C"/>
    <w:rsid w:val="005B4418"/>
    <w:rsid w:val="005B4539"/>
    <w:rsid w:val="005B45DA"/>
    <w:rsid w:val="005B460D"/>
    <w:rsid w:val="005B46FD"/>
    <w:rsid w:val="005B477E"/>
    <w:rsid w:val="005B47B6"/>
    <w:rsid w:val="005B480B"/>
    <w:rsid w:val="005B4812"/>
    <w:rsid w:val="005B4851"/>
    <w:rsid w:val="005B4884"/>
    <w:rsid w:val="005B48B7"/>
    <w:rsid w:val="005B4912"/>
    <w:rsid w:val="005B4995"/>
    <w:rsid w:val="005B49CC"/>
    <w:rsid w:val="005B4A1B"/>
    <w:rsid w:val="005B4A1E"/>
    <w:rsid w:val="005B4AB1"/>
    <w:rsid w:val="005B4BBF"/>
    <w:rsid w:val="005B4C16"/>
    <w:rsid w:val="005B4C28"/>
    <w:rsid w:val="005B4C9C"/>
    <w:rsid w:val="005B4E08"/>
    <w:rsid w:val="005B4EF8"/>
    <w:rsid w:val="005B4F98"/>
    <w:rsid w:val="005B4FF6"/>
    <w:rsid w:val="005B4FF9"/>
    <w:rsid w:val="005B5077"/>
    <w:rsid w:val="005B515B"/>
    <w:rsid w:val="005B5164"/>
    <w:rsid w:val="005B5306"/>
    <w:rsid w:val="005B532E"/>
    <w:rsid w:val="005B532F"/>
    <w:rsid w:val="005B54AD"/>
    <w:rsid w:val="005B5671"/>
    <w:rsid w:val="005B576A"/>
    <w:rsid w:val="005B5777"/>
    <w:rsid w:val="005B583C"/>
    <w:rsid w:val="005B5888"/>
    <w:rsid w:val="005B5898"/>
    <w:rsid w:val="005B58E6"/>
    <w:rsid w:val="005B595C"/>
    <w:rsid w:val="005B59C8"/>
    <w:rsid w:val="005B59E9"/>
    <w:rsid w:val="005B5AF7"/>
    <w:rsid w:val="005B5BA5"/>
    <w:rsid w:val="005B5CD4"/>
    <w:rsid w:val="005B6020"/>
    <w:rsid w:val="005B6037"/>
    <w:rsid w:val="005B611E"/>
    <w:rsid w:val="005B6197"/>
    <w:rsid w:val="005B61A3"/>
    <w:rsid w:val="005B621D"/>
    <w:rsid w:val="005B6267"/>
    <w:rsid w:val="005B63A7"/>
    <w:rsid w:val="005B6582"/>
    <w:rsid w:val="005B65A3"/>
    <w:rsid w:val="005B6627"/>
    <w:rsid w:val="005B6636"/>
    <w:rsid w:val="005B665A"/>
    <w:rsid w:val="005B66DA"/>
    <w:rsid w:val="005B66EF"/>
    <w:rsid w:val="005B679A"/>
    <w:rsid w:val="005B67A7"/>
    <w:rsid w:val="005B688B"/>
    <w:rsid w:val="005B68A1"/>
    <w:rsid w:val="005B69A6"/>
    <w:rsid w:val="005B69CF"/>
    <w:rsid w:val="005B6AA2"/>
    <w:rsid w:val="005B6AB7"/>
    <w:rsid w:val="005B6B63"/>
    <w:rsid w:val="005B6BD8"/>
    <w:rsid w:val="005B6CB8"/>
    <w:rsid w:val="005B6DEB"/>
    <w:rsid w:val="005B6E9B"/>
    <w:rsid w:val="005B6EB5"/>
    <w:rsid w:val="005B6ED2"/>
    <w:rsid w:val="005B6ED6"/>
    <w:rsid w:val="005B701E"/>
    <w:rsid w:val="005B711D"/>
    <w:rsid w:val="005B7121"/>
    <w:rsid w:val="005B7137"/>
    <w:rsid w:val="005B7219"/>
    <w:rsid w:val="005B7259"/>
    <w:rsid w:val="005B727F"/>
    <w:rsid w:val="005B7385"/>
    <w:rsid w:val="005B7608"/>
    <w:rsid w:val="005B768A"/>
    <w:rsid w:val="005B768D"/>
    <w:rsid w:val="005B76D7"/>
    <w:rsid w:val="005B772E"/>
    <w:rsid w:val="005B77A7"/>
    <w:rsid w:val="005B7828"/>
    <w:rsid w:val="005B78F0"/>
    <w:rsid w:val="005B796F"/>
    <w:rsid w:val="005B79C3"/>
    <w:rsid w:val="005B79CA"/>
    <w:rsid w:val="005B79CC"/>
    <w:rsid w:val="005B79E0"/>
    <w:rsid w:val="005B7A6B"/>
    <w:rsid w:val="005B7C21"/>
    <w:rsid w:val="005B7D9F"/>
    <w:rsid w:val="005B7DA1"/>
    <w:rsid w:val="005B7DBF"/>
    <w:rsid w:val="005B7DFB"/>
    <w:rsid w:val="005B7E1F"/>
    <w:rsid w:val="005B7F7A"/>
    <w:rsid w:val="005C000D"/>
    <w:rsid w:val="005C0073"/>
    <w:rsid w:val="005C0101"/>
    <w:rsid w:val="005C0114"/>
    <w:rsid w:val="005C0205"/>
    <w:rsid w:val="005C02B8"/>
    <w:rsid w:val="005C02F3"/>
    <w:rsid w:val="005C0367"/>
    <w:rsid w:val="005C0383"/>
    <w:rsid w:val="005C03B8"/>
    <w:rsid w:val="005C043E"/>
    <w:rsid w:val="005C0524"/>
    <w:rsid w:val="005C05DB"/>
    <w:rsid w:val="005C0695"/>
    <w:rsid w:val="005C0758"/>
    <w:rsid w:val="005C0770"/>
    <w:rsid w:val="005C0777"/>
    <w:rsid w:val="005C07BA"/>
    <w:rsid w:val="005C0915"/>
    <w:rsid w:val="005C0AEF"/>
    <w:rsid w:val="005C0B6B"/>
    <w:rsid w:val="005C0BD5"/>
    <w:rsid w:val="005C0CFD"/>
    <w:rsid w:val="005C0E9A"/>
    <w:rsid w:val="005C0FA3"/>
    <w:rsid w:val="005C101D"/>
    <w:rsid w:val="005C1024"/>
    <w:rsid w:val="005C10A2"/>
    <w:rsid w:val="005C1304"/>
    <w:rsid w:val="005C139F"/>
    <w:rsid w:val="005C13C7"/>
    <w:rsid w:val="005C1513"/>
    <w:rsid w:val="005C1584"/>
    <w:rsid w:val="005C15C0"/>
    <w:rsid w:val="005C16B4"/>
    <w:rsid w:val="005C19F6"/>
    <w:rsid w:val="005C1A20"/>
    <w:rsid w:val="005C1AC9"/>
    <w:rsid w:val="005C1B02"/>
    <w:rsid w:val="005C1B42"/>
    <w:rsid w:val="005C1B94"/>
    <w:rsid w:val="005C1D5D"/>
    <w:rsid w:val="005C1E0B"/>
    <w:rsid w:val="005C1E30"/>
    <w:rsid w:val="005C1E81"/>
    <w:rsid w:val="005C1E96"/>
    <w:rsid w:val="005C1ED8"/>
    <w:rsid w:val="005C1F55"/>
    <w:rsid w:val="005C1F65"/>
    <w:rsid w:val="005C1FD3"/>
    <w:rsid w:val="005C1FF6"/>
    <w:rsid w:val="005C207A"/>
    <w:rsid w:val="005C2184"/>
    <w:rsid w:val="005C221B"/>
    <w:rsid w:val="005C23A5"/>
    <w:rsid w:val="005C2426"/>
    <w:rsid w:val="005C242D"/>
    <w:rsid w:val="005C24AC"/>
    <w:rsid w:val="005C2519"/>
    <w:rsid w:val="005C255B"/>
    <w:rsid w:val="005C25CF"/>
    <w:rsid w:val="005C288D"/>
    <w:rsid w:val="005C2A60"/>
    <w:rsid w:val="005C2B9D"/>
    <w:rsid w:val="005C2E39"/>
    <w:rsid w:val="005C2E9B"/>
    <w:rsid w:val="005C2E9E"/>
    <w:rsid w:val="005C2F01"/>
    <w:rsid w:val="005C3090"/>
    <w:rsid w:val="005C30A3"/>
    <w:rsid w:val="005C3119"/>
    <w:rsid w:val="005C3155"/>
    <w:rsid w:val="005C322A"/>
    <w:rsid w:val="005C3275"/>
    <w:rsid w:val="005C3371"/>
    <w:rsid w:val="005C3381"/>
    <w:rsid w:val="005C34D6"/>
    <w:rsid w:val="005C3517"/>
    <w:rsid w:val="005C35F0"/>
    <w:rsid w:val="005C360F"/>
    <w:rsid w:val="005C371A"/>
    <w:rsid w:val="005C3761"/>
    <w:rsid w:val="005C3830"/>
    <w:rsid w:val="005C393B"/>
    <w:rsid w:val="005C396C"/>
    <w:rsid w:val="005C3991"/>
    <w:rsid w:val="005C3A3E"/>
    <w:rsid w:val="005C3ADB"/>
    <w:rsid w:val="005C3BB7"/>
    <w:rsid w:val="005C3BE2"/>
    <w:rsid w:val="005C3C96"/>
    <w:rsid w:val="005C3D41"/>
    <w:rsid w:val="005C3E5C"/>
    <w:rsid w:val="005C3E76"/>
    <w:rsid w:val="005C3EAA"/>
    <w:rsid w:val="005C3F2D"/>
    <w:rsid w:val="005C3F76"/>
    <w:rsid w:val="005C4005"/>
    <w:rsid w:val="005C40B0"/>
    <w:rsid w:val="005C4158"/>
    <w:rsid w:val="005C4169"/>
    <w:rsid w:val="005C418A"/>
    <w:rsid w:val="005C4192"/>
    <w:rsid w:val="005C4209"/>
    <w:rsid w:val="005C426D"/>
    <w:rsid w:val="005C42C6"/>
    <w:rsid w:val="005C42E6"/>
    <w:rsid w:val="005C4338"/>
    <w:rsid w:val="005C4348"/>
    <w:rsid w:val="005C4378"/>
    <w:rsid w:val="005C43B9"/>
    <w:rsid w:val="005C43D4"/>
    <w:rsid w:val="005C44BA"/>
    <w:rsid w:val="005C46D1"/>
    <w:rsid w:val="005C470B"/>
    <w:rsid w:val="005C477B"/>
    <w:rsid w:val="005C478D"/>
    <w:rsid w:val="005C4795"/>
    <w:rsid w:val="005C49D7"/>
    <w:rsid w:val="005C4B69"/>
    <w:rsid w:val="005C4BE5"/>
    <w:rsid w:val="005C4C97"/>
    <w:rsid w:val="005C4D6B"/>
    <w:rsid w:val="005C4EB0"/>
    <w:rsid w:val="005C4FC0"/>
    <w:rsid w:val="005C50A6"/>
    <w:rsid w:val="005C51AC"/>
    <w:rsid w:val="005C5251"/>
    <w:rsid w:val="005C5274"/>
    <w:rsid w:val="005C5355"/>
    <w:rsid w:val="005C53ED"/>
    <w:rsid w:val="005C5430"/>
    <w:rsid w:val="005C547C"/>
    <w:rsid w:val="005C54F8"/>
    <w:rsid w:val="005C55DB"/>
    <w:rsid w:val="005C5689"/>
    <w:rsid w:val="005C571E"/>
    <w:rsid w:val="005C5812"/>
    <w:rsid w:val="005C584B"/>
    <w:rsid w:val="005C585C"/>
    <w:rsid w:val="005C590D"/>
    <w:rsid w:val="005C5936"/>
    <w:rsid w:val="005C59B2"/>
    <w:rsid w:val="005C5A31"/>
    <w:rsid w:val="005C5A5D"/>
    <w:rsid w:val="005C5BA5"/>
    <w:rsid w:val="005C5C98"/>
    <w:rsid w:val="005C5D2D"/>
    <w:rsid w:val="005C6075"/>
    <w:rsid w:val="005C60AA"/>
    <w:rsid w:val="005C60B9"/>
    <w:rsid w:val="005C60DF"/>
    <w:rsid w:val="005C60EF"/>
    <w:rsid w:val="005C614D"/>
    <w:rsid w:val="005C61B5"/>
    <w:rsid w:val="005C63DF"/>
    <w:rsid w:val="005C6407"/>
    <w:rsid w:val="005C64AC"/>
    <w:rsid w:val="005C64D1"/>
    <w:rsid w:val="005C65BE"/>
    <w:rsid w:val="005C660F"/>
    <w:rsid w:val="005C6636"/>
    <w:rsid w:val="005C6674"/>
    <w:rsid w:val="005C6680"/>
    <w:rsid w:val="005C669E"/>
    <w:rsid w:val="005C66A5"/>
    <w:rsid w:val="005C66B9"/>
    <w:rsid w:val="005C66D5"/>
    <w:rsid w:val="005C6767"/>
    <w:rsid w:val="005C6B78"/>
    <w:rsid w:val="005C6C8C"/>
    <w:rsid w:val="005C6DF6"/>
    <w:rsid w:val="005C6E57"/>
    <w:rsid w:val="005C6FF1"/>
    <w:rsid w:val="005C7020"/>
    <w:rsid w:val="005C7081"/>
    <w:rsid w:val="005C70F6"/>
    <w:rsid w:val="005C7153"/>
    <w:rsid w:val="005C71D8"/>
    <w:rsid w:val="005C71F8"/>
    <w:rsid w:val="005C72FA"/>
    <w:rsid w:val="005C743F"/>
    <w:rsid w:val="005C7489"/>
    <w:rsid w:val="005C75B7"/>
    <w:rsid w:val="005C75E1"/>
    <w:rsid w:val="005C7632"/>
    <w:rsid w:val="005C779D"/>
    <w:rsid w:val="005C7801"/>
    <w:rsid w:val="005C7823"/>
    <w:rsid w:val="005C783E"/>
    <w:rsid w:val="005C78B7"/>
    <w:rsid w:val="005C7912"/>
    <w:rsid w:val="005C7938"/>
    <w:rsid w:val="005C79FA"/>
    <w:rsid w:val="005C7A8E"/>
    <w:rsid w:val="005C7A97"/>
    <w:rsid w:val="005C7B88"/>
    <w:rsid w:val="005C7E54"/>
    <w:rsid w:val="005C7E91"/>
    <w:rsid w:val="005C7EFC"/>
    <w:rsid w:val="005C7F42"/>
    <w:rsid w:val="005D00C8"/>
    <w:rsid w:val="005D013A"/>
    <w:rsid w:val="005D01B2"/>
    <w:rsid w:val="005D0377"/>
    <w:rsid w:val="005D04C0"/>
    <w:rsid w:val="005D04F1"/>
    <w:rsid w:val="005D04F8"/>
    <w:rsid w:val="005D0508"/>
    <w:rsid w:val="005D0525"/>
    <w:rsid w:val="005D053D"/>
    <w:rsid w:val="005D063D"/>
    <w:rsid w:val="005D0660"/>
    <w:rsid w:val="005D07CD"/>
    <w:rsid w:val="005D08A6"/>
    <w:rsid w:val="005D08DB"/>
    <w:rsid w:val="005D09A8"/>
    <w:rsid w:val="005D09B9"/>
    <w:rsid w:val="005D09DF"/>
    <w:rsid w:val="005D0A3B"/>
    <w:rsid w:val="005D0A3F"/>
    <w:rsid w:val="005D0A6C"/>
    <w:rsid w:val="005D0C3F"/>
    <w:rsid w:val="005D0CE0"/>
    <w:rsid w:val="005D0CF1"/>
    <w:rsid w:val="005D0D49"/>
    <w:rsid w:val="005D0D9C"/>
    <w:rsid w:val="005D0DE0"/>
    <w:rsid w:val="005D0E46"/>
    <w:rsid w:val="005D0E99"/>
    <w:rsid w:val="005D102B"/>
    <w:rsid w:val="005D105E"/>
    <w:rsid w:val="005D1060"/>
    <w:rsid w:val="005D10B6"/>
    <w:rsid w:val="005D10C9"/>
    <w:rsid w:val="005D11C6"/>
    <w:rsid w:val="005D11FA"/>
    <w:rsid w:val="005D1244"/>
    <w:rsid w:val="005D1288"/>
    <w:rsid w:val="005D131D"/>
    <w:rsid w:val="005D1337"/>
    <w:rsid w:val="005D137E"/>
    <w:rsid w:val="005D1516"/>
    <w:rsid w:val="005D161F"/>
    <w:rsid w:val="005D17AF"/>
    <w:rsid w:val="005D183D"/>
    <w:rsid w:val="005D189E"/>
    <w:rsid w:val="005D18C4"/>
    <w:rsid w:val="005D1904"/>
    <w:rsid w:val="005D19C9"/>
    <w:rsid w:val="005D1A02"/>
    <w:rsid w:val="005D1A36"/>
    <w:rsid w:val="005D1A4D"/>
    <w:rsid w:val="005D1AB6"/>
    <w:rsid w:val="005D1B19"/>
    <w:rsid w:val="005D1BB8"/>
    <w:rsid w:val="005D1BEC"/>
    <w:rsid w:val="005D1C7D"/>
    <w:rsid w:val="005D1C92"/>
    <w:rsid w:val="005D1D17"/>
    <w:rsid w:val="005D1E80"/>
    <w:rsid w:val="005D1EF1"/>
    <w:rsid w:val="005D2032"/>
    <w:rsid w:val="005D217E"/>
    <w:rsid w:val="005D218A"/>
    <w:rsid w:val="005D221C"/>
    <w:rsid w:val="005D233F"/>
    <w:rsid w:val="005D24AA"/>
    <w:rsid w:val="005D2549"/>
    <w:rsid w:val="005D269F"/>
    <w:rsid w:val="005D26EF"/>
    <w:rsid w:val="005D2813"/>
    <w:rsid w:val="005D2891"/>
    <w:rsid w:val="005D28B5"/>
    <w:rsid w:val="005D28F9"/>
    <w:rsid w:val="005D2995"/>
    <w:rsid w:val="005D29B6"/>
    <w:rsid w:val="005D2A1D"/>
    <w:rsid w:val="005D2A50"/>
    <w:rsid w:val="005D2C69"/>
    <w:rsid w:val="005D2DC7"/>
    <w:rsid w:val="005D2E47"/>
    <w:rsid w:val="005D2EF7"/>
    <w:rsid w:val="005D311F"/>
    <w:rsid w:val="005D31F1"/>
    <w:rsid w:val="005D338F"/>
    <w:rsid w:val="005D351D"/>
    <w:rsid w:val="005D3629"/>
    <w:rsid w:val="005D3637"/>
    <w:rsid w:val="005D3711"/>
    <w:rsid w:val="005D37CF"/>
    <w:rsid w:val="005D37ED"/>
    <w:rsid w:val="005D37EF"/>
    <w:rsid w:val="005D393E"/>
    <w:rsid w:val="005D3964"/>
    <w:rsid w:val="005D39A4"/>
    <w:rsid w:val="005D3A53"/>
    <w:rsid w:val="005D3B40"/>
    <w:rsid w:val="005D3B59"/>
    <w:rsid w:val="005D3B96"/>
    <w:rsid w:val="005D3C3D"/>
    <w:rsid w:val="005D3C4F"/>
    <w:rsid w:val="005D3CC5"/>
    <w:rsid w:val="005D3D88"/>
    <w:rsid w:val="005D3DA8"/>
    <w:rsid w:val="005D3DE6"/>
    <w:rsid w:val="005D3E09"/>
    <w:rsid w:val="005D3F7B"/>
    <w:rsid w:val="005D40E3"/>
    <w:rsid w:val="005D4154"/>
    <w:rsid w:val="005D4537"/>
    <w:rsid w:val="005D45AD"/>
    <w:rsid w:val="005D4602"/>
    <w:rsid w:val="005D4633"/>
    <w:rsid w:val="005D4644"/>
    <w:rsid w:val="005D464C"/>
    <w:rsid w:val="005D46B0"/>
    <w:rsid w:val="005D47AE"/>
    <w:rsid w:val="005D47FD"/>
    <w:rsid w:val="005D4859"/>
    <w:rsid w:val="005D486C"/>
    <w:rsid w:val="005D48EF"/>
    <w:rsid w:val="005D4915"/>
    <w:rsid w:val="005D4980"/>
    <w:rsid w:val="005D49C9"/>
    <w:rsid w:val="005D4A7E"/>
    <w:rsid w:val="005D4B0A"/>
    <w:rsid w:val="005D4BE2"/>
    <w:rsid w:val="005D4DCC"/>
    <w:rsid w:val="005D4EBC"/>
    <w:rsid w:val="005D4F0F"/>
    <w:rsid w:val="005D4F34"/>
    <w:rsid w:val="005D5050"/>
    <w:rsid w:val="005D509B"/>
    <w:rsid w:val="005D516F"/>
    <w:rsid w:val="005D5171"/>
    <w:rsid w:val="005D5238"/>
    <w:rsid w:val="005D5253"/>
    <w:rsid w:val="005D5421"/>
    <w:rsid w:val="005D5539"/>
    <w:rsid w:val="005D56E7"/>
    <w:rsid w:val="005D5743"/>
    <w:rsid w:val="005D574D"/>
    <w:rsid w:val="005D57C3"/>
    <w:rsid w:val="005D582B"/>
    <w:rsid w:val="005D585F"/>
    <w:rsid w:val="005D5AC2"/>
    <w:rsid w:val="005D5B72"/>
    <w:rsid w:val="005D5BA0"/>
    <w:rsid w:val="005D5C07"/>
    <w:rsid w:val="005D5D03"/>
    <w:rsid w:val="005D5D70"/>
    <w:rsid w:val="005D5E75"/>
    <w:rsid w:val="005D5E9C"/>
    <w:rsid w:val="005D5EB1"/>
    <w:rsid w:val="005D5ECE"/>
    <w:rsid w:val="005D5F08"/>
    <w:rsid w:val="005D5F5B"/>
    <w:rsid w:val="005D5F6F"/>
    <w:rsid w:val="005D6037"/>
    <w:rsid w:val="005D60A5"/>
    <w:rsid w:val="005D60ED"/>
    <w:rsid w:val="005D63D6"/>
    <w:rsid w:val="005D63F8"/>
    <w:rsid w:val="005D64A2"/>
    <w:rsid w:val="005D6601"/>
    <w:rsid w:val="005D6646"/>
    <w:rsid w:val="005D66FD"/>
    <w:rsid w:val="005D6751"/>
    <w:rsid w:val="005D6767"/>
    <w:rsid w:val="005D687E"/>
    <w:rsid w:val="005D68AB"/>
    <w:rsid w:val="005D68BE"/>
    <w:rsid w:val="005D6951"/>
    <w:rsid w:val="005D69DC"/>
    <w:rsid w:val="005D6AAC"/>
    <w:rsid w:val="005D6B29"/>
    <w:rsid w:val="005D6B51"/>
    <w:rsid w:val="005D6B75"/>
    <w:rsid w:val="005D6B93"/>
    <w:rsid w:val="005D6BD6"/>
    <w:rsid w:val="005D6C5E"/>
    <w:rsid w:val="005D6CF5"/>
    <w:rsid w:val="005D6DC4"/>
    <w:rsid w:val="005D6DEA"/>
    <w:rsid w:val="005D6E4F"/>
    <w:rsid w:val="005D6F5D"/>
    <w:rsid w:val="005D7189"/>
    <w:rsid w:val="005D71C8"/>
    <w:rsid w:val="005D7232"/>
    <w:rsid w:val="005D72DF"/>
    <w:rsid w:val="005D73B3"/>
    <w:rsid w:val="005D73F5"/>
    <w:rsid w:val="005D75D3"/>
    <w:rsid w:val="005D7652"/>
    <w:rsid w:val="005D770C"/>
    <w:rsid w:val="005D77CB"/>
    <w:rsid w:val="005D786E"/>
    <w:rsid w:val="005D78A9"/>
    <w:rsid w:val="005D7907"/>
    <w:rsid w:val="005D7975"/>
    <w:rsid w:val="005D7A72"/>
    <w:rsid w:val="005D7ACD"/>
    <w:rsid w:val="005D7B6A"/>
    <w:rsid w:val="005D7CC2"/>
    <w:rsid w:val="005D7CDC"/>
    <w:rsid w:val="005D7D07"/>
    <w:rsid w:val="005D7D11"/>
    <w:rsid w:val="005D7DE2"/>
    <w:rsid w:val="005D7E2D"/>
    <w:rsid w:val="005D7E50"/>
    <w:rsid w:val="005D7EC9"/>
    <w:rsid w:val="005D7F60"/>
    <w:rsid w:val="005D7F8F"/>
    <w:rsid w:val="005D7FD0"/>
    <w:rsid w:val="005D7FE3"/>
    <w:rsid w:val="005E0074"/>
    <w:rsid w:val="005E0339"/>
    <w:rsid w:val="005E03FA"/>
    <w:rsid w:val="005E0421"/>
    <w:rsid w:val="005E0483"/>
    <w:rsid w:val="005E0546"/>
    <w:rsid w:val="005E055E"/>
    <w:rsid w:val="005E05D4"/>
    <w:rsid w:val="005E063E"/>
    <w:rsid w:val="005E076D"/>
    <w:rsid w:val="005E09DB"/>
    <w:rsid w:val="005E09EF"/>
    <w:rsid w:val="005E0ADE"/>
    <w:rsid w:val="005E0B3A"/>
    <w:rsid w:val="005E0C12"/>
    <w:rsid w:val="005E0D2F"/>
    <w:rsid w:val="005E0D84"/>
    <w:rsid w:val="005E0DC4"/>
    <w:rsid w:val="005E0DD0"/>
    <w:rsid w:val="005E0E21"/>
    <w:rsid w:val="005E0E82"/>
    <w:rsid w:val="005E0EB2"/>
    <w:rsid w:val="005E0FAC"/>
    <w:rsid w:val="005E10A5"/>
    <w:rsid w:val="005E1186"/>
    <w:rsid w:val="005E11F0"/>
    <w:rsid w:val="005E121D"/>
    <w:rsid w:val="005E13C4"/>
    <w:rsid w:val="005E13CC"/>
    <w:rsid w:val="005E1489"/>
    <w:rsid w:val="005E153D"/>
    <w:rsid w:val="005E1700"/>
    <w:rsid w:val="005E171F"/>
    <w:rsid w:val="005E173D"/>
    <w:rsid w:val="005E1796"/>
    <w:rsid w:val="005E1884"/>
    <w:rsid w:val="005E1887"/>
    <w:rsid w:val="005E1A32"/>
    <w:rsid w:val="005E1B50"/>
    <w:rsid w:val="005E1BD3"/>
    <w:rsid w:val="005E1E92"/>
    <w:rsid w:val="005E1EA0"/>
    <w:rsid w:val="005E1F12"/>
    <w:rsid w:val="005E1FA9"/>
    <w:rsid w:val="005E1FE6"/>
    <w:rsid w:val="005E212D"/>
    <w:rsid w:val="005E2181"/>
    <w:rsid w:val="005E2351"/>
    <w:rsid w:val="005E23F6"/>
    <w:rsid w:val="005E24B9"/>
    <w:rsid w:val="005E24DA"/>
    <w:rsid w:val="005E25C8"/>
    <w:rsid w:val="005E2607"/>
    <w:rsid w:val="005E2639"/>
    <w:rsid w:val="005E2886"/>
    <w:rsid w:val="005E2897"/>
    <w:rsid w:val="005E2964"/>
    <w:rsid w:val="005E2A52"/>
    <w:rsid w:val="005E2A6C"/>
    <w:rsid w:val="005E2A89"/>
    <w:rsid w:val="005E2AEE"/>
    <w:rsid w:val="005E2B5E"/>
    <w:rsid w:val="005E2D17"/>
    <w:rsid w:val="005E2D24"/>
    <w:rsid w:val="005E2D48"/>
    <w:rsid w:val="005E2D9F"/>
    <w:rsid w:val="005E2DD9"/>
    <w:rsid w:val="005E2E83"/>
    <w:rsid w:val="005E2E84"/>
    <w:rsid w:val="005E302F"/>
    <w:rsid w:val="005E31CF"/>
    <w:rsid w:val="005E331C"/>
    <w:rsid w:val="005E335D"/>
    <w:rsid w:val="005E33BD"/>
    <w:rsid w:val="005E33FE"/>
    <w:rsid w:val="005E34CC"/>
    <w:rsid w:val="005E354F"/>
    <w:rsid w:val="005E364A"/>
    <w:rsid w:val="005E36FE"/>
    <w:rsid w:val="005E3758"/>
    <w:rsid w:val="005E382A"/>
    <w:rsid w:val="005E3887"/>
    <w:rsid w:val="005E3909"/>
    <w:rsid w:val="005E3978"/>
    <w:rsid w:val="005E39A7"/>
    <w:rsid w:val="005E3A19"/>
    <w:rsid w:val="005E3A3B"/>
    <w:rsid w:val="005E3A73"/>
    <w:rsid w:val="005E3C35"/>
    <w:rsid w:val="005E3D48"/>
    <w:rsid w:val="005E3E02"/>
    <w:rsid w:val="005E3E43"/>
    <w:rsid w:val="005E3F6B"/>
    <w:rsid w:val="005E3F94"/>
    <w:rsid w:val="005E4003"/>
    <w:rsid w:val="005E4067"/>
    <w:rsid w:val="005E42DD"/>
    <w:rsid w:val="005E42FD"/>
    <w:rsid w:val="005E431F"/>
    <w:rsid w:val="005E455E"/>
    <w:rsid w:val="005E46C2"/>
    <w:rsid w:val="005E4733"/>
    <w:rsid w:val="005E4784"/>
    <w:rsid w:val="005E48CF"/>
    <w:rsid w:val="005E491F"/>
    <w:rsid w:val="005E494F"/>
    <w:rsid w:val="005E49F2"/>
    <w:rsid w:val="005E4B57"/>
    <w:rsid w:val="005E4B64"/>
    <w:rsid w:val="005E4BCC"/>
    <w:rsid w:val="005E4C28"/>
    <w:rsid w:val="005E4CA9"/>
    <w:rsid w:val="005E4CDA"/>
    <w:rsid w:val="005E4D03"/>
    <w:rsid w:val="005E4D0C"/>
    <w:rsid w:val="005E4D94"/>
    <w:rsid w:val="005E4EA7"/>
    <w:rsid w:val="005E4ECF"/>
    <w:rsid w:val="005E4F05"/>
    <w:rsid w:val="005E4FDB"/>
    <w:rsid w:val="005E50A3"/>
    <w:rsid w:val="005E5110"/>
    <w:rsid w:val="005E5169"/>
    <w:rsid w:val="005E520F"/>
    <w:rsid w:val="005E5313"/>
    <w:rsid w:val="005E5408"/>
    <w:rsid w:val="005E5467"/>
    <w:rsid w:val="005E54B2"/>
    <w:rsid w:val="005E54E6"/>
    <w:rsid w:val="005E55EC"/>
    <w:rsid w:val="005E564E"/>
    <w:rsid w:val="005E565C"/>
    <w:rsid w:val="005E56D8"/>
    <w:rsid w:val="005E57BF"/>
    <w:rsid w:val="005E5890"/>
    <w:rsid w:val="005E59A7"/>
    <w:rsid w:val="005E59FA"/>
    <w:rsid w:val="005E5AB2"/>
    <w:rsid w:val="005E5B21"/>
    <w:rsid w:val="005E5C12"/>
    <w:rsid w:val="005E5C15"/>
    <w:rsid w:val="005E5CD7"/>
    <w:rsid w:val="005E5E93"/>
    <w:rsid w:val="005E5EC0"/>
    <w:rsid w:val="005E601D"/>
    <w:rsid w:val="005E6077"/>
    <w:rsid w:val="005E616B"/>
    <w:rsid w:val="005E63C8"/>
    <w:rsid w:val="005E6491"/>
    <w:rsid w:val="005E652C"/>
    <w:rsid w:val="005E6655"/>
    <w:rsid w:val="005E67AE"/>
    <w:rsid w:val="005E67F5"/>
    <w:rsid w:val="005E6931"/>
    <w:rsid w:val="005E6A56"/>
    <w:rsid w:val="005E6BAE"/>
    <w:rsid w:val="005E6BFC"/>
    <w:rsid w:val="005E6C7A"/>
    <w:rsid w:val="005E6D76"/>
    <w:rsid w:val="005E6DDD"/>
    <w:rsid w:val="005E6F12"/>
    <w:rsid w:val="005E6F2B"/>
    <w:rsid w:val="005E7018"/>
    <w:rsid w:val="005E7033"/>
    <w:rsid w:val="005E724B"/>
    <w:rsid w:val="005E7265"/>
    <w:rsid w:val="005E73B3"/>
    <w:rsid w:val="005E744E"/>
    <w:rsid w:val="005E7456"/>
    <w:rsid w:val="005E7490"/>
    <w:rsid w:val="005E7603"/>
    <w:rsid w:val="005E769D"/>
    <w:rsid w:val="005E7780"/>
    <w:rsid w:val="005E7892"/>
    <w:rsid w:val="005E7933"/>
    <w:rsid w:val="005E79DA"/>
    <w:rsid w:val="005E7A2A"/>
    <w:rsid w:val="005E7A9F"/>
    <w:rsid w:val="005E7AC6"/>
    <w:rsid w:val="005E7AF5"/>
    <w:rsid w:val="005E7B47"/>
    <w:rsid w:val="005E7B90"/>
    <w:rsid w:val="005E7BA7"/>
    <w:rsid w:val="005E7DB2"/>
    <w:rsid w:val="005F00C2"/>
    <w:rsid w:val="005F025F"/>
    <w:rsid w:val="005F029E"/>
    <w:rsid w:val="005F03F1"/>
    <w:rsid w:val="005F0400"/>
    <w:rsid w:val="005F058A"/>
    <w:rsid w:val="005F0597"/>
    <w:rsid w:val="005F05B1"/>
    <w:rsid w:val="005F05C4"/>
    <w:rsid w:val="005F077F"/>
    <w:rsid w:val="005F07AE"/>
    <w:rsid w:val="005F07F1"/>
    <w:rsid w:val="005F090C"/>
    <w:rsid w:val="005F0A4C"/>
    <w:rsid w:val="005F0A7A"/>
    <w:rsid w:val="005F0AE3"/>
    <w:rsid w:val="005F0BC3"/>
    <w:rsid w:val="005F0C9A"/>
    <w:rsid w:val="005F0CC3"/>
    <w:rsid w:val="005F0D98"/>
    <w:rsid w:val="005F0E46"/>
    <w:rsid w:val="005F10D1"/>
    <w:rsid w:val="005F10F3"/>
    <w:rsid w:val="005F121A"/>
    <w:rsid w:val="005F122A"/>
    <w:rsid w:val="005F1284"/>
    <w:rsid w:val="005F1373"/>
    <w:rsid w:val="005F1379"/>
    <w:rsid w:val="005F141F"/>
    <w:rsid w:val="005F1689"/>
    <w:rsid w:val="005F16DE"/>
    <w:rsid w:val="005F179D"/>
    <w:rsid w:val="005F1865"/>
    <w:rsid w:val="005F1923"/>
    <w:rsid w:val="005F196C"/>
    <w:rsid w:val="005F19E8"/>
    <w:rsid w:val="005F1A7E"/>
    <w:rsid w:val="005F1A97"/>
    <w:rsid w:val="005F1B9E"/>
    <w:rsid w:val="005F1D71"/>
    <w:rsid w:val="005F1F19"/>
    <w:rsid w:val="005F1FA3"/>
    <w:rsid w:val="005F1FDF"/>
    <w:rsid w:val="005F206A"/>
    <w:rsid w:val="005F206D"/>
    <w:rsid w:val="005F20D2"/>
    <w:rsid w:val="005F219F"/>
    <w:rsid w:val="005F21DC"/>
    <w:rsid w:val="005F2201"/>
    <w:rsid w:val="005F2263"/>
    <w:rsid w:val="005F2292"/>
    <w:rsid w:val="005F2347"/>
    <w:rsid w:val="005F236D"/>
    <w:rsid w:val="005F247B"/>
    <w:rsid w:val="005F24C6"/>
    <w:rsid w:val="005F2625"/>
    <w:rsid w:val="005F26DD"/>
    <w:rsid w:val="005F27AA"/>
    <w:rsid w:val="005F28CB"/>
    <w:rsid w:val="005F2985"/>
    <w:rsid w:val="005F2BC9"/>
    <w:rsid w:val="005F2C3F"/>
    <w:rsid w:val="005F2CDD"/>
    <w:rsid w:val="005F2EAD"/>
    <w:rsid w:val="005F3055"/>
    <w:rsid w:val="005F306E"/>
    <w:rsid w:val="005F309D"/>
    <w:rsid w:val="005F3114"/>
    <w:rsid w:val="005F3125"/>
    <w:rsid w:val="005F3398"/>
    <w:rsid w:val="005F339A"/>
    <w:rsid w:val="005F33D8"/>
    <w:rsid w:val="005F34D1"/>
    <w:rsid w:val="005F34F6"/>
    <w:rsid w:val="005F351D"/>
    <w:rsid w:val="005F3578"/>
    <w:rsid w:val="005F35CE"/>
    <w:rsid w:val="005F35FF"/>
    <w:rsid w:val="005F3723"/>
    <w:rsid w:val="005F3745"/>
    <w:rsid w:val="005F3755"/>
    <w:rsid w:val="005F3A5F"/>
    <w:rsid w:val="005F3A70"/>
    <w:rsid w:val="005F3BE4"/>
    <w:rsid w:val="005F3C28"/>
    <w:rsid w:val="005F3CA3"/>
    <w:rsid w:val="005F3D32"/>
    <w:rsid w:val="005F3DCC"/>
    <w:rsid w:val="005F3E82"/>
    <w:rsid w:val="005F3ED1"/>
    <w:rsid w:val="005F3F7E"/>
    <w:rsid w:val="005F3F95"/>
    <w:rsid w:val="005F3FBF"/>
    <w:rsid w:val="005F3FFE"/>
    <w:rsid w:val="005F40A4"/>
    <w:rsid w:val="005F40C0"/>
    <w:rsid w:val="005F40E3"/>
    <w:rsid w:val="005F42AF"/>
    <w:rsid w:val="005F42B3"/>
    <w:rsid w:val="005F42B8"/>
    <w:rsid w:val="005F4417"/>
    <w:rsid w:val="005F44F4"/>
    <w:rsid w:val="005F45E3"/>
    <w:rsid w:val="005F4678"/>
    <w:rsid w:val="005F47B9"/>
    <w:rsid w:val="005F4821"/>
    <w:rsid w:val="005F4A77"/>
    <w:rsid w:val="005F4AB4"/>
    <w:rsid w:val="005F4AEE"/>
    <w:rsid w:val="005F4B96"/>
    <w:rsid w:val="005F4CAB"/>
    <w:rsid w:val="005F4CAF"/>
    <w:rsid w:val="005F4CEE"/>
    <w:rsid w:val="005F4D58"/>
    <w:rsid w:val="005F4DD2"/>
    <w:rsid w:val="005F4E43"/>
    <w:rsid w:val="005F5012"/>
    <w:rsid w:val="005F5060"/>
    <w:rsid w:val="005F510F"/>
    <w:rsid w:val="005F514A"/>
    <w:rsid w:val="005F51FA"/>
    <w:rsid w:val="005F5345"/>
    <w:rsid w:val="005F55B1"/>
    <w:rsid w:val="005F55F3"/>
    <w:rsid w:val="005F571E"/>
    <w:rsid w:val="005F5781"/>
    <w:rsid w:val="005F5870"/>
    <w:rsid w:val="005F58DF"/>
    <w:rsid w:val="005F5915"/>
    <w:rsid w:val="005F5933"/>
    <w:rsid w:val="005F593F"/>
    <w:rsid w:val="005F59E7"/>
    <w:rsid w:val="005F59F7"/>
    <w:rsid w:val="005F5ABA"/>
    <w:rsid w:val="005F5AF2"/>
    <w:rsid w:val="005F5BB5"/>
    <w:rsid w:val="005F5BF8"/>
    <w:rsid w:val="005F5EBE"/>
    <w:rsid w:val="005F5F59"/>
    <w:rsid w:val="005F6220"/>
    <w:rsid w:val="005F6248"/>
    <w:rsid w:val="005F631B"/>
    <w:rsid w:val="005F641B"/>
    <w:rsid w:val="005F64AC"/>
    <w:rsid w:val="005F6533"/>
    <w:rsid w:val="005F6640"/>
    <w:rsid w:val="005F66D7"/>
    <w:rsid w:val="005F6818"/>
    <w:rsid w:val="005F697D"/>
    <w:rsid w:val="005F6A55"/>
    <w:rsid w:val="005F6A83"/>
    <w:rsid w:val="005F6B84"/>
    <w:rsid w:val="005F6BF1"/>
    <w:rsid w:val="005F6C28"/>
    <w:rsid w:val="005F6DA0"/>
    <w:rsid w:val="005F6DA8"/>
    <w:rsid w:val="005F6EE5"/>
    <w:rsid w:val="005F6F45"/>
    <w:rsid w:val="005F6F75"/>
    <w:rsid w:val="005F6FF7"/>
    <w:rsid w:val="005F7110"/>
    <w:rsid w:val="005F725C"/>
    <w:rsid w:val="005F727C"/>
    <w:rsid w:val="005F743D"/>
    <w:rsid w:val="005F7441"/>
    <w:rsid w:val="005F746C"/>
    <w:rsid w:val="005F74A6"/>
    <w:rsid w:val="005F75C6"/>
    <w:rsid w:val="005F7638"/>
    <w:rsid w:val="005F7759"/>
    <w:rsid w:val="005F7795"/>
    <w:rsid w:val="005F7998"/>
    <w:rsid w:val="005F79A9"/>
    <w:rsid w:val="005F7A1F"/>
    <w:rsid w:val="005F7A54"/>
    <w:rsid w:val="005F7A68"/>
    <w:rsid w:val="005F7C35"/>
    <w:rsid w:val="005F7C65"/>
    <w:rsid w:val="005F7D0E"/>
    <w:rsid w:val="005F7EC8"/>
    <w:rsid w:val="005F7F89"/>
    <w:rsid w:val="006000F9"/>
    <w:rsid w:val="00600111"/>
    <w:rsid w:val="0060015B"/>
    <w:rsid w:val="006001FD"/>
    <w:rsid w:val="00600203"/>
    <w:rsid w:val="00600238"/>
    <w:rsid w:val="00600279"/>
    <w:rsid w:val="00600341"/>
    <w:rsid w:val="0060039D"/>
    <w:rsid w:val="0060039E"/>
    <w:rsid w:val="006003EC"/>
    <w:rsid w:val="0060040D"/>
    <w:rsid w:val="0060054B"/>
    <w:rsid w:val="00600630"/>
    <w:rsid w:val="006007CC"/>
    <w:rsid w:val="0060096B"/>
    <w:rsid w:val="00600A13"/>
    <w:rsid w:val="00600A89"/>
    <w:rsid w:val="00600ABE"/>
    <w:rsid w:val="00600B1D"/>
    <w:rsid w:val="00600C68"/>
    <w:rsid w:val="00600D3E"/>
    <w:rsid w:val="00600D59"/>
    <w:rsid w:val="00600D81"/>
    <w:rsid w:val="00600F25"/>
    <w:rsid w:val="00601028"/>
    <w:rsid w:val="00601181"/>
    <w:rsid w:val="00601198"/>
    <w:rsid w:val="00601247"/>
    <w:rsid w:val="006012A8"/>
    <w:rsid w:val="006012B4"/>
    <w:rsid w:val="00601371"/>
    <w:rsid w:val="006013B4"/>
    <w:rsid w:val="00601461"/>
    <w:rsid w:val="00601485"/>
    <w:rsid w:val="006014DF"/>
    <w:rsid w:val="00601548"/>
    <w:rsid w:val="006015ED"/>
    <w:rsid w:val="00601603"/>
    <w:rsid w:val="006016FA"/>
    <w:rsid w:val="0060177C"/>
    <w:rsid w:val="0060189B"/>
    <w:rsid w:val="006018B6"/>
    <w:rsid w:val="0060197A"/>
    <w:rsid w:val="00601A17"/>
    <w:rsid w:val="00601ADC"/>
    <w:rsid w:val="00601B27"/>
    <w:rsid w:val="00601B86"/>
    <w:rsid w:val="00601C2E"/>
    <w:rsid w:val="00601CF9"/>
    <w:rsid w:val="00601D40"/>
    <w:rsid w:val="00601D61"/>
    <w:rsid w:val="00601F3E"/>
    <w:rsid w:val="00601F57"/>
    <w:rsid w:val="0060211F"/>
    <w:rsid w:val="00602181"/>
    <w:rsid w:val="006021E7"/>
    <w:rsid w:val="00602253"/>
    <w:rsid w:val="00602339"/>
    <w:rsid w:val="006023F8"/>
    <w:rsid w:val="00602421"/>
    <w:rsid w:val="00602476"/>
    <w:rsid w:val="00602499"/>
    <w:rsid w:val="006024BE"/>
    <w:rsid w:val="0060255D"/>
    <w:rsid w:val="00602570"/>
    <w:rsid w:val="0060262F"/>
    <w:rsid w:val="0060273A"/>
    <w:rsid w:val="006027D2"/>
    <w:rsid w:val="006027D6"/>
    <w:rsid w:val="0060284E"/>
    <w:rsid w:val="006029FF"/>
    <w:rsid w:val="00602A11"/>
    <w:rsid w:val="00602A36"/>
    <w:rsid w:val="00602B0C"/>
    <w:rsid w:val="00602B32"/>
    <w:rsid w:val="00602B8F"/>
    <w:rsid w:val="00602C10"/>
    <w:rsid w:val="00602CDA"/>
    <w:rsid w:val="00602D58"/>
    <w:rsid w:val="00602DEF"/>
    <w:rsid w:val="00602E20"/>
    <w:rsid w:val="00602E29"/>
    <w:rsid w:val="00602EE6"/>
    <w:rsid w:val="00603000"/>
    <w:rsid w:val="006030FD"/>
    <w:rsid w:val="0060320D"/>
    <w:rsid w:val="0060322C"/>
    <w:rsid w:val="00603231"/>
    <w:rsid w:val="00603271"/>
    <w:rsid w:val="006032F4"/>
    <w:rsid w:val="0060336E"/>
    <w:rsid w:val="00603376"/>
    <w:rsid w:val="00603497"/>
    <w:rsid w:val="006034C5"/>
    <w:rsid w:val="00603513"/>
    <w:rsid w:val="00603536"/>
    <w:rsid w:val="006036AE"/>
    <w:rsid w:val="006036D8"/>
    <w:rsid w:val="006037DE"/>
    <w:rsid w:val="00603B6C"/>
    <w:rsid w:val="00603BE2"/>
    <w:rsid w:val="00603C42"/>
    <w:rsid w:val="00603DB5"/>
    <w:rsid w:val="00603F58"/>
    <w:rsid w:val="00603F5D"/>
    <w:rsid w:val="006040A8"/>
    <w:rsid w:val="006040AD"/>
    <w:rsid w:val="006040BC"/>
    <w:rsid w:val="006041D4"/>
    <w:rsid w:val="00604297"/>
    <w:rsid w:val="006042A7"/>
    <w:rsid w:val="006042CB"/>
    <w:rsid w:val="006043F3"/>
    <w:rsid w:val="0060459A"/>
    <w:rsid w:val="00604677"/>
    <w:rsid w:val="006046B5"/>
    <w:rsid w:val="006047F2"/>
    <w:rsid w:val="0060485F"/>
    <w:rsid w:val="00604882"/>
    <w:rsid w:val="0060489B"/>
    <w:rsid w:val="006048C5"/>
    <w:rsid w:val="006048CD"/>
    <w:rsid w:val="006048D3"/>
    <w:rsid w:val="006048D9"/>
    <w:rsid w:val="00604914"/>
    <w:rsid w:val="00604915"/>
    <w:rsid w:val="0060491C"/>
    <w:rsid w:val="0060498E"/>
    <w:rsid w:val="00604993"/>
    <w:rsid w:val="00604B66"/>
    <w:rsid w:val="00604BF3"/>
    <w:rsid w:val="00604C32"/>
    <w:rsid w:val="00604C95"/>
    <w:rsid w:val="00604C97"/>
    <w:rsid w:val="00604CCC"/>
    <w:rsid w:val="00604D68"/>
    <w:rsid w:val="00604DD2"/>
    <w:rsid w:val="00604E18"/>
    <w:rsid w:val="00604F53"/>
    <w:rsid w:val="00605038"/>
    <w:rsid w:val="0060507B"/>
    <w:rsid w:val="006050B8"/>
    <w:rsid w:val="006051C1"/>
    <w:rsid w:val="006051E5"/>
    <w:rsid w:val="006051F0"/>
    <w:rsid w:val="00605266"/>
    <w:rsid w:val="006052B5"/>
    <w:rsid w:val="0060530F"/>
    <w:rsid w:val="00605313"/>
    <w:rsid w:val="00605359"/>
    <w:rsid w:val="006053D0"/>
    <w:rsid w:val="0060543D"/>
    <w:rsid w:val="006054D1"/>
    <w:rsid w:val="0060551C"/>
    <w:rsid w:val="0060554B"/>
    <w:rsid w:val="006055D3"/>
    <w:rsid w:val="00605635"/>
    <w:rsid w:val="0060574D"/>
    <w:rsid w:val="006057CB"/>
    <w:rsid w:val="0060584A"/>
    <w:rsid w:val="0060584B"/>
    <w:rsid w:val="006058DB"/>
    <w:rsid w:val="0060597D"/>
    <w:rsid w:val="00605992"/>
    <w:rsid w:val="00605A3F"/>
    <w:rsid w:val="00605AAE"/>
    <w:rsid w:val="00605B77"/>
    <w:rsid w:val="00605BA8"/>
    <w:rsid w:val="00605D42"/>
    <w:rsid w:val="00605D9A"/>
    <w:rsid w:val="00605ED1"/>
    <w:rsid w:val="00605EEE"/>
    <w:rsid w:val="00606064"/>
    <w:rsid w:val="00606238"/>
    <w:rsid w:val="0060624D"/>
    <w:rsid w:val="00606251"/>
    <w:rsid w:val="00606262"/>
    <w:rsid w:val="00606276"/>
    <w:rsid w:val="006062CA"/>
    <w:rsid w:val="006062E7"/>
    <w:rsid w:val="00606377"/>
    <w:rsid w:val="00606481"/>
    <w:rsid w:val="0060665E"/>
    <w:rsid w:val="006066E5"/>
    <w:rsid w:val="00606715"/>
    <w:rsid w:val="006067F2"/>
    <w:rsid w:val="00606833"/>
    <w:rsid w:val="006068E3"/>
    <w:rsid w:val="0060699B"/>
    <w:rsid w:val="006069AE"/>
    <w:rsid w:val="006069D6"/>
    <w:rsid w:val="006069E6"/>
    <w:rsid w:val="006069EA"/>
    <w:rsid w:val="00606A5E"/>
    <w:rsid w:val="00606A96"/>
    <w:rsid w:val="00606ADD"/>
    <w:rsid w:val="00606B21"/>
    <w:rsid w:val="00606B67"/>
    <w:rsid w:val="00606CC2"/>
    <w:rsid w:val="00606CDC"/>
    <w:rsid w:val="00606CE3"/>
    <w:rsid w:val="00606CEC"/>
    <w:rsid w:val="00606DB2"/>
    <w:rsid w:val="00606EE1"/>
    <w:rsid w:val="00606F67"/>
    <w:rsid w:val="006070B0"/>
    <w:rsid w:val="00607217"/>
    <w:rsid w:val="00607235"/>
    <w:rsid w:val="00607287"/>
    <w:rsid w:val="00607318"/>
    <w:rsid w:val="00607327"/>
    <w:rsid w:val="00607379"/>
    <w:rsid w:val="006073E9"/>
    <w:rsid w:val="00607414"/>
    <w:rsid w:val="0060751D"/>
    <w:rsid w:val="006075FA"/>
    <w:rsid w:val="00607678"/>
    <w:rsid w:val="006076A8"/>
    <w:rsid w:val="0060777D"/>
    <w:rsid w:val="0060779C"/>
    <w:rsid w:val="006077AC"/>
    <w:rsid w:val="006077F9"/>
    <w:rsid w:val="00607882"/>
    <w:rsid w:val="006078B4"/>
    <w:rsid w:val="00607920"/>
    <w:rsid w:val="00607924"/>
    <w:rsid w:val="0060793D"/>
    <w:rsid w:val="00607956"/>
    <w:rsid w:val="00607A74"/>
    <w:rsid w:val="00607AE0"/>
    <w:rsid w:val="00607B06"/>
    <w:rsid w:val="00607B30"/>
    <w:rsid w:val="00607BCE"/>
    <w:rsid w:val="00607C62"/>
    <w:rsid w:val="00607CEE"/>
    <w:rsid w:val="00607D26"/>
    <w:rsid w:val="00607D60"/>
    <w:rsid w:val="00607DB8"/>
    <w:rsid w:val="00607E07"/>
    <w:rsid w:val="00607FEB"/>
    <w:rsid w:val="006100B6"/>
    <w:rsid w:val="00610132"/>
    <w:rsid w:val="00610152"/>
    <w:rsid w:val="00610166"/>
    <w:rsid w:val="0061028A"/>
    <w:rsid w:val="006102D6"/>
    <w:rsid w:val="0061031D"/>
    <w:rsid w:val="0061037A"/>
    <w:rsid w:val="00610476"/>
    <w:rsid w:val="006104F4"/>
    <w:rsid w:val="00610509"/>
    <w:rsid w:val="00610518"/>
    <w:rsid w:val="00610577"/>
    <w:rsid w:val="006105D6"/>
    <w:rsid w:val="006105F4"/>
    <w:rsid w:val="00610640"/>
    <w:rsid w:val="006106F5"/>
    <w:rsid w:val="0061072F"/>
    <w:rsid w:val="006108A9"/>
    <w:rsid w:val="006108EE"/>
    <w:rsid w:val="00610926"/>
    <w:rsid w:val="006109B0"/>
    <w:rsid w:val="006109FE"/>
    <w:rsid w:val="00610A21"/>
    <w:rsid w:val="00610BB9"/>
    <w:rsid w:val="00610C16"/>
    <w:rsid w:val="00610C3B"/>
    <w:rsid w:val="00610C65"/>
    <w:rsid w:val="00610D08"/>
    <w:rsid w:val="00610D22"/>
    <w:rsid w:val="00610D95"/>
    <w:rsid w:val="00610DF5"/>
    <w:rsid w:val="00610EB4"/>
    <w:rsid w:val="00610EF4"/>
    <w:rsid w:val="00610FA0"/>
    <w:rsid w:val="0061109D"/>
    <w:rsid w:val="006110D5"/>
    <w:rsid w:val="00611119"/>
    <w:rsid w:val="00611174"/>
    <w:rsid w:val="006113E4"/>
    <w:rsid w:val="00611414"/>
    <w:rsid w:val="0061152D"/>
    <w:rsid w:val="00611543"/>
    <w:rsid w:val="00611603"/>
    <w:rsid w:val="006116FF"/>
    <w:rsid w:val="006118AC"/>
    <w:rsid w:val="006118EE"/>
    <w:rsid w:val="006118F3"/>
    <w:rsid w:val="0061199A"/>
    <w:rsid w:val="006119A0"/>
    <w:rsid w:val="006119C7"/>
    <w:rsid w:val="00611AFA"/>
    <w:rsid w:val="00611B19"/>
    <w:rsid w:val="00611B74"/>
    <w:rsid w:val="00611C43"/>
    <w:rsid w:val="00611C47"/>
    <w:rsid w:val="00611C8F"/>
    <w:rsid w:val="00611CA6"/>
    <w:rsid w:val="00611CAE"/>
    <w:rsid w:val="00611E89"/>
    <w:rsid w:val="00611F37"/>
    <w:rsid w:val="00611FE4"/>
    <w:rsid w:val="006121B1"/>
    <w:rsid w:val="00612238"/>
    <w:rsid w:val="00612267"/>
    <w:rsid w:val="0061230D"/>
    <w:rsid w:val="00612314"/>
    <w:rsid w:val="006123B5"/>
    <w:rsid w:val="0061242E"/>
    <w:rsid w:val="00612558"/>
    <w:rsid w:val="006125A7"/>
    <w:rsid w:val="006126A4"/>
    <w:rsid w:val="0061274D"/>
    <w:rsid w:val="00612751"/>
    <w:rsid w:val="00612785"/>
    <w:rsid w:val="0061278B"/>
    <w:rsid w:val="006128A0"/>
    <w:rsid w:val="00612924"/>
    <w:rsid w:val="00612A1D"/>
    <w:rsid w:val="00612A4B"/>
    <w:rsid w:val="00612B48"/>
    <w:rsid w:val="00612D37"/>
    <w:rsid w:val="00612E1D"/>
    <w:rsid w:val="00612F3C"/>
    <w:rsid w:val="00612FB2"/>
    <w:rsid w:val="00612FBF"/>
    <w:rsid w:val="00612FFA"/>
    <w:rsid w:val="00612FFD"/>
    <w:rsid w:val="00613001"/>
    <w:rsid w:val="006130AA"/>
    <w:rsid w:val="00613206"/>
    <w:rsid w:val="006132C5"/>
    <w:rsid w:val="0061330E"/>
    <w:rsid w:val="0061335E"/>
    <w:rsid w:val="0061339A"/>
    <w:rsid w:val="006133DC"/>
    <w:rsid w:val="00613450"/>
    <w:rsid w:val="00613600"/>
    <w:rsid w:val="006136EC"/>
    <w:rsid w:val="00613886"/>
    <w:rsid w:val="0061389A"/>
    <w:rsid w:val="006138CB"/>
    <w:rsid w:val="00613A92"/>
    <w:rsid w:val="00613A9B"/>
    <w:rsid w:val="00613AA8"/>
    <w:rsid w:val="00613AEC"/>
    <w:rsid w:val="00613B31"/>
    <w:rsid w:val="00613BD6"/>
    <w:rsid w:val="00613C06"/>
    <w:rsid w:val="00613C92"/>
    <w:rsid w:val="00613DD4"/>
    <w:rsid w:val="00613DD5"/>
    <w:rsid w:val="00613DFB"/>
    <w:rsid w:val="00613F7A"/>
    <w:rsid w:val="00614094"/>
    <w:rsid w:val="0061409B"/>
    <w:rsid w:val="0061419C"/>
    <w:rsid w:val="006141B8"/>
    <w:rsid w:val="006142E7"/>
    <w:rsid w:val="006142F2"/>
    <w:rsid w:val="00614372"/>
    <w:rsid w:val="00614433"/>
    <w:rsid w:val="006145C5"/>
    <w:rsid w:val="006145D3"/>
    <w:rsid w:val="006145DF"/>
    <w:rsid w:val="006146B7"/>
    <w:rsid w:val="00614758"/>
    <w:rsid w:val="0061478E"/>
    <w:rsid w:val="006147A8"/>
    <w:rsid w:val="006147E0"/>
    <w:rsid w:val="006147F8"/>
    <w:rsid w:val="006148D8"/>
    <w:rsid w:val="0061497C"/>
    <w:rsid w:val="00614A6B"/>
    <w:rsid w:val="00614A91"/>
    <w:rsid w:val="00614AA7"/>
    <w:rsid w:val="00614BCE"/>
    <w:rsid w:val="00614D01"/>
    <w:rsid w:val="00614D6D"/>
    <w:rsid w:val="00614D8B"/>
    <w:rsid w:val="00614E18"/>
    <w:rsid w:val="00614E46"/>
    <w:rsid w:val="00614E5C"/>
    <w:rsid w:val="00614F28"/>
    <w:rsid w:val="00614F45"/>
    <w:rsid w:val="00614F5B"/>
    <w:rsid w:val="0061505A"/>
    <w:rsid w:val="0061508B"/>
    <w:rsid w:val="00615096"/>
    <w:rsid w:val="006150F2"/>
    <w:rsid w:val="00615117"/>
    <w:rsid w:val="00615260"/>
    <w:rsid w:val="00615299"/>
    <w:rsid w:val="0061530F"/>
    <w:rsid w:val="006154DF"/>
    <w:rsid w:val="00615659"/>
    <w:rsid w:val="00615729"/>
    <w:rsid w:val="006157A0"/>
    <w:rsid w:val="00615991"/>
    <w:rsid w:val="006159D0"/>
    <w:rsid w:val="00615A11"/>
    <w:rsid w:val="00615A31"/>
    <w:rsid w:val="00615A3F"/>
    <w:rsid w:val="00615A95"/>
    <w:rsid w:val="00615B11"/>
    <w:rsid w:val="00615D88"/>
    <w:rsid w:val="00615DB1"/>
    <w:rsid w:val="00615DF5"/>
    <w:rsid w:val="006160CB"/>
    <w:rsid w:val="006160F5"/>
    <w:rsid w:val="00616278"/>
    <w:rsid w:val="0061637F"/>
    <w:rsid w:val="006163FE"/>
    <w:rsid w:val="00616478"/>
    <w:rsid w:val="006166F8"/>
    <w:rsid w:val="00616848"/>
    <w:rsid w:val="00616893"/>
    <w:rsid w:val="00616981"/>
    <w:rsid w:val="0061698D"/>
    <w:rsid w:val="006169B6"/>
    <w:rsid w:val="006169D5"/>
    <w:rsid w:val="00616E45"/>
    <w:rsid w:val="00616EAF"/>
    <w:rsid w:val="00616EB9"/>
    <w:rsid w:val="00617006"/>
    <w:rsid w:val="00617070"/>
    <w:rsid w:val="00617354"/>
    <w:rsid w:val="006173A5"/>
    <w:rsid w:val="00617483"/>
    <w:rsid w:val="006176F3"/>
    <w:rsid w:val="006177EB"/>
    <w:rsid w:val="0061792F"/>
    <w:rsid w:val="006179CB"/>
    <w:rsid w:val="006179F8"/>
    <w:rsid w:val="00617A4E"/>
    <w:rsid w:val="00617AAA"/>
    <w:rsid w:val="00617B1C"/>
    <w:rsid w:val="00617C58"/>
    <w:rsid w:val="00617CAA"/>
    <w:rsid w:val="00617CE4"/>
    <w:rsid w:val="00617D26"/>
    <w:rsid w:val="00617E3C"/>
    <w:rsid w:val="00617E90"/>
    <w:rsid w:val="00617FA3"/>
    <w:rsid w:val="00617FBD"/>
    <w:rsid w:val="00618FE1"/>
    <w:rsid w:val="0062012B"/>
    <w:rsid w:val="00620143"/>
    <w:rsid w:val="00620190"/>
    <w:rsid w:val="006201D7"/>
    <w:rsid w:val="00620211"/>
    <w:rsid w:val="0062021A"/>
    <w:rsid w:val="006202FE"/>
    <w:rsid w:val="0062036F"/>
    <w:rsid w:val="00620397"/>
    <w:rsid w:val="00620501"/>
    <w:rsid w:val="00620537"/>
    <w:rsid w:val="00620641"/>
    <w:rsid w:val="00620764"/>
    <w:rsid w:val="006207DF"/>
    <w:rsid w:val="00620857"/>
    <w:rsid w:val="006208C4"/>
    <w:rsid w:val="006209FE"/>
    <w:rsid w:val="00620A04"/>
    <w:rsid w:val="00620AA6"/>
    <w:rsid w:val="00620AAC"/>
    <w:rsid w:val="00620E79"/>
    <w:rsid w:val="00620FDB"/>
    <w:rsid w:val="0062111D"/>
    <w:rsid w:val="0062121C"/>
    <w:rsid w:val="00621265"/>
    <w:rsid w:val="00621349"/>
    <w:rsid w:val="0062145F"/>
    <w:rsid w:val="00621534"/>
    <w:rsid w:val="00621541"/>
    <w:rsid w:val="0062168A"/>
    <w:rsid w:val="0062195F"/>
    <w:rsid w:val="006219E6"/>
    <w:rsid w:val="00621A45"/>
    <w:rsid w:val="00621ABD"/>
    <w:rsid w:val="00621B04"/>
    <w:rsid w:val="00621B29"/>
    <w:rsid w:val="00621B60"/>
    <w:rsid w:val="00621B86"/>
    <w:rsid w:val="00621BE9"/>
    <w:rsid w:val="00621C25"/>
    <w:rsid w:val="00621CB2"/>
    <w:rsid w:val="00621CF3"/>
    <w:rsid w:val="00621E00"/>
    <w:rsid w:val="00621F54"/>
    <w:rsid w:val="00621F77"/>
    <w:rsid w:val="00621F83"/>
    <w:rsid w:val="00621F90"/>
    <w:rsid w:val="0062200A"/>
    <w:rsid w:val="00622034"/>
    <w:rsid w:val="0062208F"/>
    <w:rsid w:val="0062215E"/>
    <w:rsid w:val="006222AF"/>
    <w:rsid w:val="006222CE"/>
    <w:rsid w:val="006222DD"/>
    <w:rsid w:val="006223C2"/>
    <w:rsid w:val="00622540"/>
    <w:rsid w:val="00622700"/>
    <w:rsid w:val="00622866"/>
    <w:rsid w:val="0062287D"/>
    <w:rsid w:val="00622881"/>
    <w:rsid w:val="00622996"/>
    <w:rsid w:val="006229CC"/>
    <w:rsid w:val="006229FE"/>
    <w:rsid w:val="00622B16"/>
    <w:rsid w:val="00622B47"/>
    <w:rsid w:val="00622C33"/>
    <w:rsid w:val="00622D76"/>
    <w:rsid w:val="00622DAD"/>
    <w:rsid w:val="00622E77"/>
    <w:rsid w:val="00622ED4"/>
    <w:rsid w:val="00622F18"/>
    <w:rsid w:val="006230A1"/>
    <w:rsid w:val="00623154"/>
    <w:rsid w:val="00623160"/>
    <w:rsid w:val="006231B5"/>
    <w:rsid w:val="006232F9"/>
    <w:rsid w:val="00623334"/>
    <w:rsid w:val="0062334F"/>
    <w:rsid w:val="006234D0"/>
    <w:rsid w:val="0062356E"/>
    <w:rsid w:val="006235EA"/>
    <w:rsid w:val="006236AE"/>
    <w:rsid w:val="00623702"/>
    <w:rsid w:val="0062378B"/>
    <w:rsid w:val="0062378D"/>
    <w:rsid w:val="006237D4"/>
    <w:rsid w:val="00623821"/>
    <w:rsid w:val="00623833"/>
    <w:rsid w:val="00623861"/>
    <w:rsid w:val="00623A04"/>
    <w:rsid w:val="00623A13"/>
    <w:rsid w:val="00623A47"/>
    <w:rsid w:val="00623B06"/>
    <w:rsid w:val="00623D4E"/>
    <w:rsid w:val="00623D78"/>
    <w:rsid w:val="00623DF1"/>
    <w:rsid w:val="00623E96"/>
    <w:rsid w:val="0062405A"/>
    <w:rsid w:val="00624101"/>
    <w:rsid w:val="006241B7"/>
    <w:rsid w:val="0062421F"/>
    <w:rsid w:val="006243AF"/>
    <w:rsid w:val="00624685"/>
    <w:rsid w:val="006248A8"/>
    <w:rsid w:val="00624904"/>
    <w:rsid w:val="00624A9B"/>
    <w:rsid w:val="00624BBB"/>
    <w:rsid w:val="00624BC1"/>
    <w:rsid w:val="00624BF5"/>
    <w:rsid w:val="00624C11"/>
    <w:rsid w:val="00624D51"/>
    <w:rsid w:val="00624E57"/>
    <w:rsid w:val="00624F32"/>
    <w:rsid w:val="00625004"/>
    <w:rsid w:val="00625047"/>
    <w:rsid w:val="006250E2"/>
    <w:rsid w:val="0062510F"/>
    <w:rsid w:val="00625127"/>
    <w:rsid w:val="006251A5"/>
    <w:rsid w:val="006251D2"/>
    <w:rsid w:val="00625212"/>
    <w:rsid w:val="00625221"/>
    <w:rsid w:val="0062529C"/>
    <w:rsid w:val="006252B1"/>
    <w:rsid w:val="006252F1"/>
    <w:rsid w:val="0062530C"/>
    <w:rsid w:val="006253A9"/>
    <w:rsid w:val="00625446"/>
    <w:rsid w:val="00625526"/>
    <w:rsid w:val="006255D2"/>
    <w:rsid w:val="00625610"/>
    <w:rsid w:val="00625763"/>
    <w:rsid w:val="006257CB"/>
    <w:rsid w:val="0062585A"/>
    <w:rsid w:val="00625880"/>
    <w:rsid w:val="0062588C"/>
    <w:rsid w:val="0062591E"/>
    <w:rsid w:val="0062596D"/>
    <w:rsid w:val="006259ED"/>
    <w:rsid w:val="00625B35"/>
    <w:rsid w:val="00625BFF"/>
    <w:rsid w:val="00625CD3"/>
    <w:rsid w:val="00625D68"/>
    <w:rsid w:val="00625DC4"/>
    <w:rsid w:val="00625DC6"/>
    <w:rsid w:val="00625E20"/>
    <w:rsid w:val="00625EBC"/>
    <w:rsid w:val="00625F69"/>
    <w:rsid w:val="00625FEB"/>
    <w:rsid w:val="00626071"/>
    <w:rsid w:val="006260A6"/>
    <w:rsid w:val="006263B5"/>
    <w:rsid w:val="006264AB"/>
    <w:rsid w:val="00626550"/>
    <w:rsid w:val="0062659F"/>
    <w:rsid w:val="006265C7"/>
    <w:rsid w:val="00626617"/>
    <w:rsid w:val="0062662F"/>
    <w:rsid w:val="006266FC"/>
    <w:rsid w:val="00626790"/>
    <w:rsid w:val="0062695B"/>
    <w:rsid w:val="00626999"/>
    <w:rsid w:val="006269AF"/>
    <w:rsid w:val="00626A6F"/>
    <w:rsid w:val="00626B92"/>
    <w:rsid w:val="00626CD1"/>
    <w:rsid w:val="00626D55"/>
    <w:rsid w:val="00626FBC"/>
    <w:rsid w:val="00627096"/>
    <w:rsid w:val="006270B4"/>
    <w:rsid w:val="00627137"/>
    <w:rsid w:val="00627170"/>
    <w:rsid w:val="0062742F"/>
    <w:rsid w:val="006274BE"/>
    <w:rsid w:val="00627637"/>
    <w:rsid w:val="00627688"/>
    <w:rsid w:val="00627697"/>
    <w:rsid w:val="0062780E"/>
    <w:rsid w:val="00627833"/>
    <w:rsid w:val="0062799F"/>
    <w:rsid w:val="00627B53"/>
    <w:rsid w:val="00627C04"/>
    <w:rsid w:val="00627C93"/>
    <w:rsid w:val="00627CAC"/>
    <w:rsid w:val="00627CE3"/>
    <w:rsid w:val="00627CFF"/>
    <w:rsid w:val="00627D29"/>
    <w:rsid w:val="00627E3C"/>
    <w:rsid w:val="00627E62"/>
    <w:rsid w:val="00627F51"/>
    <w:rsid w:val="00627F79"/>
    <w:rsid w:val="00627FE5"/>
    <w:rsid w:val="0063001C"/>
    <w:rsid w:val="00630099"/>
    <w:rsid w:val="0063028D"/>
    <w:rsid w:val="006302B8"/>
    <w:rsid w:val="006302CE"/>
    <w:rsid w:val="006302D0"/>
    <w:rsid w:val="00630380"/>
    <w:rsid w:val="00630414"/>
    <w:rsid w:val="006304B7"/>
    <w:rsid w:val="00630532"/>
    <w:rsid w:val="0063063D"/>
    <w:rsid w:val="0063066D"/>
    <w:rsid w:val="0063068D"/>
    <w:rsid w:val="006306BD"/>
    <w:rsid w:val="006307D7"/>
    <w:rsid w:val="006307E8"/>
    <w:rsid w:val="006309ED"/>
    <w:rsid w:val="00630A0B"/>
    <w:rsid w:val="00630AA1"/>
    <w:rsid w:val="00630B82"/>
    <w:rsid w:val="00630B98"/>
    <w:rsid w:val="00630B99"/>
    <w:rsid w:val="00630BBD"/>
    <w:rsid w:val="00630ED7"/>
    <w:rsid w:val="0063137A"/>
    <w:rsid w:val="006313D3"/>
    <w:rsid w:val="0063143E"/>
    <w:rsid w:val="00631558"/>
    <w:rsid w:val="006315D9"/>
    <w:rsid w:val="00631620"/>
    <w:rsid w:val="00631631"/>
    <w:rsid w:val="006316BD"/>
    <w:rsid w:val="0063176D"/>
    <w:rsid w:val="006317C4"/>
    <w:rsid w:val="00631846"/>
    <w:rsid w:val="00631881"/>
    <w:rsid w:val="006319BB"/>
    <w:rsid w:val="00631A78"/>
    <w:rsid w:val="00631B9C"/>
    <w:rsid w:val="00631CC2"/>
    <w:rsid w:val="00631E98"/>
    <w:rsid w:val="00631F1D"/>
    <w:rsid w:val="0063202C"/>
    <w:rsid w:val="006321F0"/>
    <w:rsid w:val="00632277"/>
    <w:rsid w:val="0063228A"/>
    <w:rsid w:val="006322E3"/>
    <w:rsid w:val="00632369"/>
    <w:rsid w:val="00632449"/>
    <w:rsid w:val="00632541"/>
    <w:rsid w:val="00632655"/>
    <w:rsid w:val="0063268F"/>
    <w:rsid w:val="00632BC1"/>
    <w:rsid w:val="00632C28"/>
    <w:rsid w:val="00632D41"/>
    <w:rsid w:val="00632E32"/>
    <w:rsid w:val="00632EA6"/>
    <w:rsid w:val="00632F9B"/>
    <w:rsid w:val="00632FE9"/>
    <w:rsid w:val="00633008"/>
    <w:rsid w:val="00633098"/>
    <w:rsid w:val="006330D5"/>
    <w:rsid w:val="006330E0"/>
    <w:rsid w:val="00633145"/>
    <w:rsid w:val="00633313"/>
    <w:rsid w:val="006334BC"/>
    <w:rsid w:val="006334BE"/>
    <w:rsid w:val="00633547"/>
    <w:rsid w:val="006335FA"/>
    <w:rsid w:val="00633600"/>
    <w:rsid w:val="00633645"/>
    <w:rsid w:val="0063365A"/>
    <w:rsid w:val="00633724"/>
    <w:rsid w:val="0063374E"/>
    <w:rsid w:val="00633757"/>
    <w:rsid w:val="006337C5"/>
    <w:rsid w:val="006337CA"/>
    <w:rsid w:val="00633840"/>
    <w:rsid w:val="00633896"/>
    <w:rsid w:val="00633A19"/>
    <w:rsid w:val="00633A92"/>
    <w:rsid w:val="00633ACC"/>
    <w:rsid w:val="00633B36"/>
    <w:rsid w:val="00633B4B"/>
    <w:rsid w:val="00633DD9"/>
    <w:rsid w:val="00633E77"/>
    <w:rsid w:val="00633F51"/>
    <w:rsid w:val="006340AA"/>
    <w:rsid w:val="006340CF"/>
    <w:rsid w:val="00634128"/>
    <w:rsid w:val="00634142"/>
    <w:rsid w:val="006341CC"/>
    <w:rsid w:val="00634247"/>
    <w:rsid w:val="0063430F"/>
    <w:rsid w:val="00634353"/>
    <w:rsid w:val="006343B5"/>
    <w:rsid w:val="0063442A"/>
    <w:rsid w:val="00634496"/>
    <w:rsid w:val="006344C1"/>
    <w:rsid w:val="006345A6"/>
    <w:rsid w:val="006345DD"/>
    <w:rsid w:val="006346C7"/>
    <w:rsid w:val="00634712"/>
    <w:rsid w:val="0063473D"/>
    <w:rsid w:val="006347E5"/>
    <w:rsid w:val="0063481D"/>
    <w:rsid w:val="0063481E"/>
    <w:rsid w:val="00634A01"/>
    <w:rsid w:val="00634A96"/>
    <w:rsid w:val="00634A9F"/>
    <w:rsid w:val="00634B10"/>
    <w:rsid w:val="00634BCA"/>
    <w:rsid w:val="00634C57"/>
    <w:rsid w:val="00634D74"/>
    <w:rsid w:val="00634D8A"/>
    <w:rsid w:val="00634DDC"/>
    <w:rsid w:val="00634E2A"/>
    <w:rsid w:val="00634E35"/>
    <w:rsid w:val="00634E37"/>
    <w:rsid w:val="00634E53"/>
    <w:rsid w:val="00634E78"/>
    <w:rsid w:val="00634F14"/>
    <w:rsid w:val="00634F42"/>
    <w:rsid w:val="00634F6E"/>
    <w:rsid w:val="00634FAA"/>
    <w:rsid w:val="00634FE1"/>
    <w:rsid w:val="006350A0"/>
    <w:rsid w:val="006350A7"/>
    <w:rsid w:val="00635134"/>
    <w:rsid w:val="0063537E"/>
    <w:rsid w:val="0063540C"/>
    <w:rsid w:val="0063552B"/>
    <w:rsid w:val="00635579"/>
    <w:rsid w:val="00635599"/>
    <w:rsid w:val="00635794"/>
    <w:rsid w:val="006357A4"/>
    <w:rsid w:val="006357BF"/>
    <w:rsid w:val="00635846"/>
    <w:rsid w:val="00635B36"/>
    <w:rsid w:val="00635C4B"/>
    <w:rsid w:val="00635DAE"/>
    <w:rsid w:val="00635DD8"/>
    <w:rsid w:val="00635E55"/>
    <w:rsid w:val="00635F75"/>
    <w:rsid w:val="00635FE4"/>
    <w:rsid w:val="006360F4"/>
    <w:rsid w:val="00636107"/>
    <w:rsid w:val="0063617D"/>
    <w:rsid w:val="00636182"/>
    <w:rsid w:val="0063618B"/>
    <w:rsid w:val="006361F8"/>
    <w:rsid w:val="00636202"/>
    <w:rsid w:val="00636499"/>
    <w:rsid w:val="0063657C"/>
    <w:rsid w:val="00636695"/>
    <w:rsid w:val="00636696"/>
    <w:rsid w:val="006366A3"/>
    <w:rsid w:val="00636738"/>
    <w:rsid w:val="006367E7"/>
    <w:rsid w:val="00636846"/>
    <w:rsid w:val="00636967"/>
    <w:rsid w:val="00636A20"/>
    <w:rsid w:val="00636B01"/>
    <w:rsid w:val="00636B91"/>
    <w:rsid w:val="00636B93"/>
    <w:rsid w:val="00636C46"/>
    <w:rsid w:val="00636CF4"/>
    <w:rsid w:val="00636D3F"/>
    <w:rsid w:val="00636D66"/>
    <w:rsid w:val="00636DA6"/>
    <w:rsid w:val="00636DDA"/>
    <w:rsid w:val="0063718E"/>
    <w:rsid w:val="00637223"/>
    <w:rsid w:val="0063725E"/>
    <w:rsid w:val="00637287"/>
    <w:rsid w:val="006375E1"/>
    <w:rsid w:val="00637699"/>
    <w:rsid w:val="006377D3"/>
    <w:rsid w:val="0063783C"/>
    <w:rsid w:val="0063799E"/>
    <w:rsid w:val="006379BA"/>
    <w:rsid w:val="006379D2"/>
    <w:rsid w:val="00637A13"/>
    <w:rsid w:val="00637AFC"/>
    <w:rsid w:val="00637BAD"/>
    <w:rsid w:val="00637E79"/>
    <w:rsid w:val="00637FA7"/>
    <w:rsid w:val="00637FD2"/>
    <w:rsid w:val="0064004A"/>
    <w:rsid w:val="00640087"/>
    <w:rsid w:val="00640089"/>
    <w:rsid w:val="006400A3"/>
    <w:rsid w:val="006400C9"/>
    <w:rsid w:val="00640129"/>
    <w:rsid w:val="006401FE"/>
    <w:rsid w:val="00640250"/>
    <w:rsid w:val="0064025F"/>
    <w:rsid w:val="006402C2"/>
    <w:rsid w:val="006402D0"/>
    <w:rsid w:val="006403F3"/>
    <w:rsid w:val="00640400"/>
    <w:rsid w:val="006404B9"/>
    <w:rsid w:val="00640529"/>
    <w:rsid w:val="00640601"/>
    <w:rsid w:val="0064069D"/>
    <w:rsid w:val="0064074E"/>
    <w:rsid w:val="006407D3"/>
    <w:rsid w:val="00640850"/>
    <w:rsid w:val="006408E3"/>
    <w:rsid w:val="00640961"/>
    <w:rsid w:val="00640A3E"/>
    <w:rsid w:val="00640A5A"/>
    <w:rsid w:val="00640ADD"/>
    <w:rsid w:val="00640BE6"/>
    <w:rsid w:val="00640E68"/>
    <w:rsid w:val="00640EA2"/>
    <w:rsid w:val="00640F78"/>
    <w:rsid w:val="0064104F"/>
    <w:rsid w:val="00641210"/>
    <w:rsid w:val="00641217"/>
    <w:rsid w:val="0064129A"/>
    <w:rsid w:val="006412CA"/>
    <w:rsid w:val="0064135B"/>
    <w:rsid w:val="006413A5"/>
    <w:rsid w:val="00641470"/>
    <w:rsid w:val="0064147A"/>
    <w:rsid w:val="00641574"/>
    <w:rsid w:val="00641586"/>
    <w:rsid w:val="006417B0"/>
    <w:rsid w:val="006417B8"/>
    <w:rsid w:val="006417FD"/>
    <w:rsid w:val="006418FE"/>
    <w:rsid w:val="0064194A"/>
    <w:rsid w:val="00641B1C"/>
    <w:rsid w:val="00641B70"/>
    <w:rsid w:val="00641BAC"/>
    <w:rsid w:val="00641C1C"/>
    <w:rsid w:val="00641CD8"/>
    <w:rsid w:val="00641D8F"/>
    <w:rsid w:val="00641D9B"/>
    <w:rsid w:val="00641DB5"/>
    <w:rsid w:val="00641DED"/>
    <w:rsid w:val="00641E42"/>
    <w:rsid w:val="00641E48"/>
    <w:rsid w:val="00641F4A"/>
    <w:rsid w:val="00641F98"/>
    <w:rsid w:val="00641FFD"/>
    <w:rsid w:val="00642010"/>
    <w:rsid w:val="00642018"/>
    <w:rsid w:val="00642062"/>
    <w:rsid w:val="006420F5"/>
    <w:rsid w:val="006421D8"/>
    <w:rsid w:val="006422A1"/>
    <w:rsid w:val="006423AD"/>
    <w:rsid w:val="006423B6"/>
    <w:rsid w:val="006423C3"/>
    <w:rsid w:val="006425DD"/>
    <w:rsid w:val="006426CB"/>
    <w:rsid w:val="006428C3"/>
    <w:rsid w:val="006429C2"/>
    <w:rsid w:val="006429EF"/>
    <w:rsid w:val="00642A3B"/>
    <w:rsid w:val="00642A7D"/>
    <w:rsid w:val="00642AE0"/>
    <w:rsid w:val="00642B07"/>
    <w:rsid w:val="00642B24"/>
    <w:rsid w:val="00642BE2"/>
    <w:rsid w:val="00642C60"/>
    <w:rsid w:val="00642E72"/>
    <w:rsid w:val="00642ED2"/>
    <w:rsid w:val="00642F75"/>
    <w:rsid w:val="00642FD0"/>
    <w:rsid w:val="00643023"/>
    <w:rsid w:val="00643126"/>
    <w:rsid w:val="00643131"/>
    <w:rsid w:val="00643140"/>
    <w:rsid w:val="0064322E"/>
    <w:rsid w:val="006432A4"/>
    <w:rsid w:val="006432B7"/>
    <w:rsid w:val="006433FD"/>
    <w:rsid w:val="00643481"/>
    <w:rsid w:val="006434C4"/>
    <w:rsid w:val="00643660"/>
    <w:rsid w:val="0064366B"/>
    <w:rsid w:val="00643779"/>
    <w:rsid w:val="006439BB"/>
    <w:rsid w:val="00643AAF"/>
    <w:rsid w:val="00643C47"/>
    <w:rsid w:val="00643E47"/>
    <w:rsid w:val="00643F00"/>
    <w:rsid w:val="00643F4B"/>
    <w:rsid w:val="00643FA3"/>
    <w:rsid w:val="00643FE2"/>
    <w:rsid w:val="00643FEB"/>
    <w:rsid w:val="00644194"/>
    <w:rsid w:val="006441CA"/>
    <w:rsid w:val="006442EF"/>
    <w:rsid w:val="00644338"/>
    <w:rsid w:val="00644429"/>
    <w:rsid w:val="00644492"/>
    <w:rsid w:val="006444A7"/>
    <w:rsid w:val="00644505"/>
    <w:rsid w:val="0064457A"/>
    <w:rsid w:val="006445F4"/>
    <w:rsid w:val="0064473E"/>
    <w:rsid w:val="00644757"/>
    <w:rsid w:val="006447DA"/>
    <w:rsid w:val="0064481C"/>
    <w:rsid w:val="00644887"/>
    <w:rsid w:val="006448C1"/>
    <w:rsid w:val="0064498D"/>
    <w:rsid w:val="00644A51"/>
    <w:rsid w:val="00644C23"/>
    <w:rsid w:val="00644CDA"/>
    <w:rsid w:val="00644DAB"/>
    <w:rsid w:val="00644DD6"/>
    <w:rsid w:val="00644EAD"/>
    <w:rsid w:val="00644F44"/>
    <w:rsid w:val="00644FBC"/>
    <w:rsid w:val="006450B5"/>
    <w:rsid w:val="006450CB"/>
    <w:rsid w:val="006452BD"/>
    <w:rsid w:val="006452CD"/>
    <w:rsid w:val="006452E2"/>
    <w:rsid w:val="00645305"/>
    <w:rsid w:val="0064539C"/>
    <w:rsid w:val="006453D8"/>
    <w:rsid w:val="0064541D"/>
    <w:rsid w:val="00645434"/>
    <w:rsid w:val="0064546D"/>
    <w:rsid w:val="00645484"/>
    <w:rsid w:val="006454BD"/>
    <w:rsid w:val="006454DC"/>
    <w:rsid w:val="006455E9"/>
    <w:rsid w:val="00645658"/>
    <w:rsid w:val="00645696"/>
    <w:rsid w:val="006457ED"/>
    <w:rsid w:val="00645869"/>
    <w:rsid w:val="00645928"/>
    <w:rsid w:val="00645985"/>
    <w:rsid w:val="006459B1"/>
    <w:rsid w:val="006459D9"/>
    <w:rsid w:val="006459EE"/>
    <w:rsid w:val="00645A4A"/>
    <w:rsid w:val="00645B16"/>
    <w:rsid w:val="00645B87"/>
    <w:rsid w:val="00645C78"/>
    <w:rsid w:val="00645CEE"/>
    <w:rsid w:val="00645D55"/>
    <w:rsid w:val="00645EEC"/>
    <w:rsid w:val="00645F6B"/>
    <w:rsid w:val="00646014"/>
    <w:rsid w:val="00646018"/>
    <w:rsid w:val="0064617E"/>
    <w:rsid w:val="00646260"/>
    <w:rsid w:val="00646279"/>
    <w:rsid w:val="0064634F"/>
    <w:rsid w:val="0064638F"/>
    <w:rsid w:val="006463E8"/>
    <w:rsid w:val="0064645B"/>
    <w:rsid w:val="00646461"/>
    <w:rsid w:val="00646484"/>
    <w:rsid w:val="00646681"/>
    <w:rsid w:val="006466D3"/>
    <w:rsid w:val="00646727"/>
    <w:rsid w:val="00646776"/>
    <w:rsid w:val="006467A7"/>
    <w:rsid w:val="0064681C"/>
    <w:rsid w:val="0064690F"/>
    <w:rsid w:val="00646985"/>
    <w:rsid w:val="006469C7"/>
    <w:rsid w:val="00646A0E"/>
    <w:rsid w:val="00646A25"/>
    <w:rsid w:val="00646BA2"/>
    <w:rsid w:val="00646BAC"/>
    <w:rsid w:val="00646BB7"/>
    <w:rsid w:val="00646BE4"/>
    <w:rsid w:val="00646C7C"/>
    <w:rsid w:val="00646D77"/>
    <w:rsid w:val="00646E02"/>
    <w:rsid w:val="00646E19"/>
    <w:rsid w:val="00646E35"/>
    <w:rsid w:val="00646E7A"/>
    <w:rsid w:val="00646F58"/>
    <w:rsid w:val="006470FB"/>
    <w:rsid w:val="00647102"/>
    <w:rsid w:val="006471AE"/>
    <w:rsid w:val="0064720F"/>
    <w:rsid w:val="0064723B"/>
    <w:rsid w:val="00647329"/>
    <w:rsid w:val="006473C4"/>
    <w:rsid w:val="0064743C"/>
    <w:rsid w:val="00647444"/>
    <w:rsid w:val="00647486"/>
    <w:rsid w:val="00647632"/>
    <w:rsid w:val="00647824"/>
    <w:rsid w:val="00647877"/>
    <w:rsid w:val="006479F8"/>
    <w:rsid w:val="00647B06"/>
    <w:rsid w:val="00647B34"/>
    <w:rsid w:val="00647DB3"/>
    <w:rsid w:val="00647DE6"/>
    <w:rsid w:val="00647DF8"/>
    <w:rsid w:val="00647E93"/>
    <w:rsid w:val="0065008D"/>
    <w:rsid w:val="006500DE"/>
    <w:rsid w:val="00650243"/>
    <w:rsid w:val="0065035D"/>
    <w:rsid w:val="006503C5"/>
    <w:rsid w:val="006503FB"/>
    <w:rsid w:val="006505C6"/>
    <w:rsid w:val="006505F0"/>
    <w:rsid w:val="00650631"/>
    <w:rsid w:val="0065074D"/>
    <w:rsid w:val="00650807"/>
    <w:rsid w:val="006509AB"/>
    <w:rsid w:val="006509D0"/>
    <w:rsid w:val="00650A24"/>
    <w:rsid w:val="00650A44"/>
    <w:rsid w:val="00650C09"/>
    <w:rsid w:val="00650C3C"/>
    <w:rsid w:val="00650C6C"/>
    <w:rsid w:val="00650C77"/>
    <w:rsid w:val="00650C8B"/>
    <w:rsid w:val="00650CCA"/>
    <w:rsid w:val="00650E80"/>
    <w:rsid w:val="00650F74"/>
    <w:rsid w:val="00650FC6"/>
    <w:rsid w:val="00650FE0"/>
    <w:rsid w:val="006510E3"/>
    <w:rsid w:val="006510F8"/>
    <w:rsid w:val="006511BE"/>
    <w:rsid w:val="006512F6"/>
    <w:rsid w:val="00651343"/>
    <w:rsid w:val="006514BB"/>
    <w:rsid w:val="006514D5"/>
    <w:rsid w:val="006514FA"/>
    <w:rsid w:val="00651586"/>
    <w:rsid w:val="006515CC"/>
    <w:rsid w:val="00651716"/>
    <w:rsid w:val="00651767"/>
    <w:rsid w:val="0065180B"/>
    <w:rsid w:val="00651828"/>
    <w:rsid w:val="0065182B"/>
    <w:rsid w:val="0065183D"/>
    <w:rsid w:val="00651859"/>
    <w:rsid w:val="006518C6"/>
    <w:rsid w:val="0065198C"/>
    <w:rsid w:val="00651B11"/>
    <w:rsid w:val="00651B4B"/>
    <w:rsid w:val="00651BAB"/>
    <w:rsid w:val="00651BBC"/>
    <w:rsid w:val="00651BD4"/>
    <w:rsid w:val="00651C80"/>
    <w:rsid w:val="00651D60"/>
    <w:rsid w:val="00651E00"/>
    <w:rsid w:val="00651E71"/>
    <w:rsid w:val="00651E74"/>
    <w:rsid w:val="00651F66"/>
    <w:rsid w:val="00651F84"/>
    <w:rsid w:val="00651F85"/>
    <w:rsid w:val="00651FD2"/>
    <w:rsid w:val="00652006"/>
    <w:rsid w:val="0065201F"/>
    <w:rsid w:val="006520FE"/>
    <w:rsid w:val="00652175"/>
    <w:rsid w:val="00652237"/>
    <w:rsid w:val="0065224A"/>
    <w:rsid w:val="00652275"/>
    <w:rsid w:val="0065228B"/>
    <w:rsid w:val="006522FB"/>
    <w:rsid w:val="0065231E"/>
    <w:rsid w:val="0065234C"/>
    <w:rsid w:val="00652418"/>
    <w:rsid w:val="006524B5"/>
    <w:rsid w:val="006524EA"/>
    <w:rsid w:val="006525F4"/>
    <w:rsid w:val="00652647"/>
    <w:rsid w:val="0065265C"/>
    <w:rsid w:val="00652738"/>
    <w:rsid w:val="00652899"/>
    <w:rsid w:val="006529BA"/>
    <w:rsid w:val="006529D0"/>
    <w:rsid w:val="00652C47"/>
    <w:rsid w:val="00652C63"/>
    <w:rsid w:val="00652C81"/>
    <w:rsid w:val="00652D14"/>
    <w:rsid w:val="00652D26"/>
    <w:rsid w:val="00652D50"/>
    <w:rsid w:val="00652D75"/>
    <w:rsid w:val="00652E06"/>
    <w:rsid w:val="00652E21"/>
    <w:rsid w:val="00652E27"/>
    <w:rsid w:val="00652E37"/>
    <w:rsid w:val="00652FF6"/>
    <w:rsid w:val="00653074"/>
    <w:rsid w:val="00653309"/>
    <w:rsid w:val="00653336"/>
    <w:rsid w:val="00653359"/>
    <w:rsid w:val="006533AF"/>
    <w:rsid w:val="006533D2"/>
    <w:rsid w:val="006534C5"/>
    <w:rsid w:val="006534D3"/>
    <w:rsid w:val="0065372C"/>
    <w:rsid w:val="00653774"/>
    <w:rsid w:val="00653A75"/>
    <w:rsid w:val="00653B3A"/>
    <w:rsid w:val="00653B82"/>
    <w:rsid w:val="00653C7D"/>
    <w:rsid w:val="00653D16"/>
    <w:rsid w:val="00653D38"/>
    <w:rsid w:val="00653E0D"/>
    <w:rsid w:val="00653E17"/>
    <w:rsid w:val="00653EAD"/>
    <w:rsid w:val="0065409E"/>
    <w:rsid w:val="0065416E"/>
    <w:rsid w:val="00654275"/>
    <w:rsid w:val="00654307"/>
    <w:rsid w:val="00654328"/>
    <w:rsid w:val="006543A0"/>
    <w:rsid w:val="00654428"/>
    <w:rsid w:val="00654447"/>
    <w:rsid w:val="0065469B"/>
    <w:rsid w:val="0065471B"/>
    <w:rsid w:val="00654844"/>
    <w:rsid w:val="0065484E"/>
    <w:rsid w:val="00654852"/>
    <w:rsid w:val="00654878"/>
    <w:rsid w:val="00654889"/>
    <w:rsid w:val="0065489F"/>
    <w:rsid w:val="00654927"/>
    <w:rsid w:val="00654B7B"/>
    <w:rsid w:val="00654BF7"/>
    <w:rsid w:val="00654CEA"/>
    <w:rsid w:val="00654E72"/>
    <w:rsid w:val="00654E81"/>
    <w:rsid w:val="0065507E"/>
    <w:rsid w:val="006550AC"/>
    <w:rsid w:val="0065510D"/>
    <w:rsid w:val="006551E3"/>
    <w:rsid w:val="006551E8"/>
    <w:rsid w:val="00655517"/>
    <w:rsid w:val="00655636"/>
    <w:rsid w:val="00655694"/>
    <w:rsid w:val="006556B4"/>
    <w:rsid w:val="006556C5"/>
    <w:rsid w:val="006556EA"/>
    <w:rsid w:val="006557BE"/>
    <w:rsid w:val="006557EA"/>
    <w:rsid w:val="006558B3"/>
    <w:rsid w:val="00655973"/>
    <w:rsid w:val="006559E8"/>
    <w:rsid w:val="00655B41"/>
    <w:rsid w:val="00655C98"/>
    <w:rsid w:val="00655E7F"/>
    <w:rsid w:val="00655E81"/>
    <w:rsid w:val="00655F41"/>
    <w:rsid w:val="00655FA7"/>
    <w:rsid w:val="00656013"/>
    <w:rsid w:val="00656022"/>
    <w:rsid w:val="006560C9"/>
    <w:rsid w:val="00656126"/>
    <w:rsid w:val="00656270"/>
    <w:rsid w:val="00656301"/>
    <w:rsid w:val="00656404"/>
    <w:rsid w:val="0065648E"/>
    <w:rsid w:val="00656589"/>
    <w:rsid w:val="006565DD"/>
    <w:rsid w:val="0065677C"/>
    <w:rsid w:val="0065685F"/>
    <w:rsid w:val="00656939"/>
    <w:rsid w:val="00656A37"/>
    <w:rsid w:val="00656A8C"/>
    <w:rsid w:val="00656ABA"/>
    <w:rsid w:val="00656C1C"/>
    <w:rsid w:val="00656D60"/>
    <w:rsid w:val="00656D7B"/>
    <w:rsid w:val="00656D88"/>
    <w:rsid w:val="00656DA3"/>
    <w:rsid w:val="00656DDD"/>
    <w:rsid w:val="00656EC5"/>
    <w:rsid w:val="00656F58"/>
    <w:rsid w:val="00656F79"/>
    <w:rsid w:val="00656FA6"/>
    <w:rsid w:val="00656FAF"/>
    <w:rsid w:val="0065706D"/>
    <w:rsid w:val="0065707B"/>
    <w:rsid w:val="00657142"/>
    <w:rsid w:val="0065715A"/>
    <w:rsid w:val="00657191"/>
    <w:rsid w:val="006571B1"/>
    <w:rsid w:val="0065735D"/>
    <w:rsid w:val="00657436"/>
    <w:rsid w:val="0065749C"/>
    <w:rsid w:val="006574BD"/>
    <w:rsid w:val="00657661"/>
    <w:rsid w:val="006576A7"/>
    <w:rsid w:val="0065770E"/>
    <w:rsid w:val="0065776D"/>
    <w:rsid w:val="0065784E"/>
    <w:rsid w:val="006578C1"/>
    <w:rsid w:val="006579E2"/>
    <w:rsid w:val="00657A35"/>
    <w:rsid w:val="00657A47"/>
    <w:rsid w:val="00657A6C"/>
    <w:rsid w:val="00657B26"/>
    <w:rsid w:val="00657B3F"/>
    <w:rsid w:val="00657BD2"/>
    <w:rsid w:val="00657DF4"/>
    <w:rsid w:val="00657EE3"/>
    <w:rsid w:val="00657F51"/>
    <w:rsid w:val="00657F74"/>
    <w:rsid w:val="00657F79"/>
    <w:rsid w:val="0065F644"/>
    <w:rsid w:val="00660001"/>
    <w:rsid w:val="0066005E"/>
    <w:rsid w:val="0066007B"/>
    <w:rsid w:val="006600BA"/>
    <w:rsid w:val="006600BD"/>
    <w:rsid w:val="0066014F"/>
    <w:rsid w:val="006602FC"/>
    <w:rsid w:val="00660342"/>
    <w:rsid w:val="0066038A"/>
    <w:rsid w:val="006603A2"/>
    <w:rsid w:val="006603CB"/>
    <w:rsid w:val="00660419"/>
    <w:rsid w:val="00660433"/>
    <w:rsid w:val="006604FB"/>
    <w:rsid w:val="00660549"/>
    <w:rsid w:val="00660639"/>
    <w:rsid w:val="00660868"/>
    <w:rsid w:val="006608FA"/>
    <w:rsid w:val="00660902"/>
    <w:rsid w:val="00660A4B"/>
    <w:rsid w:val="00660B41"/>
    <w:rsid w:val="00660C52"/>
    <w:rsid w:val="00660C80"/>
    <w:rsid w:val="00660E88"/>
    <w:rsid w:val="00660F91"/>
    <w:rsid w:val="00661231"/>
    <w:rsid w:val="006612AC"/>
    <w:rsid w:val="006612CB"/>
    <w:rsid w:val="006612E6"/>
    <w:rsid w:val="006615FE"/>
    <w:rsid w:val="00661678"/>
    <w:rsid w:val="00661696"/>
    <w:rsid w:val="006616B2"/>
    <w:rsid w:val="00661865"/>
    <w:rsid w:val="0066187D"/>
    <w:rsid w:val="00661A73"/>
    <w:rsid w:val="00661BC4"/>
    <w:rsid w:val="00661BC6"/>
    <w:rsid w:val="00661CC6"/>
    <w:rsid w:val="00661E04"/>
    <w:rsid w:val="00661E68"/>
    <w:rsid w:val="00661F7C"/>
    <w:rsid w:val="00662012"/>
    <w:rsid w:val="00662023"/>
    <w:rsid w:val="0066216A"/>
    <w:rsid w:val="00662340"/>
    <w:rsid w:val="006624B2"/>
    <w:rsid w:val="00662588"/>
    <w:rsid w:val="0066281D"/>
    <w:rsid w:val="0066289A"/>
    <w:rsid w:val="006628E7"/>
    <w:rsid w:val="006629ED"/>
    <w:rsid w:val="00662A51"/>
    <w:rsid w:val="00662A99"/>
    <w:rsid w:val="00662B77"/>
    <w:rsid w:val="00662BF6"/>
    <w:rsid w:val="00662C1B"/>
    <w:rsid w:val="00662CC5"/>
    <w:rsid w:val="00662D30"/>
    <w:rsid w:val="00662D48"/>
    <w:rsid w:val="00662D5F"/>
    <w:rsid w:val="00662D68"/>
    <w:rsid w:val="00662E0E"/>
    <w:rsid w:val="00662E6C"/>
    <w:rsid w:val="00662ECF"/>
    <w:rsid w:val="00662EFD"/>
    <w:rsid w:val="00662F28"/>
    <w:rsid w:val="00662FAB"/>
    <w:rsid w:val="00663083"/>
    <w:rsid w:val="0066314C"/>
    <w:rsid w:val="0066326C"/>
    <w:rsid w:val="00663282"/>
    <w:rsid w:val="00663382"/>
    <w:rsid w:val="00663411"/>
    <w:rsid w:val="00663438"/>
    <w:rsid w:val="0066345A"/>
    <w:rsid w:val="0066352C"/>
    <w:rsid w:val="006636A4"/>
    <w:rsid w:val="00663708"/>
    <w:rsid w:val="00663746"/>
    <w:rsid w:val="00663812"/>
    <w:rsid w:val="00663819"/>
    <w:rsid w:val="00663820"/>
    <w:rsid w:val="00663A27"/>
    <w:rsid w:val="00663A68"/>
    <w:rsid w:val="00663B78"/>
    <w:rsid w:val="00663C66"/>
    <w:rsid w:val="00663E62"/>
    <w:rsid w:val="00663E65"/>
    <w:rsid w:val="00663E84"/>
    <w:rsid w:val="00663EC3"/>
    <w:rsid w:val="00663F5D"/>
    <w:rsid w:val="00663FB5"/>
    <w:rsid w:val="00663FEA"/>
    <w:rsid w:val="00663FF0"/>
    <w:rsid w:val="0066403D"/>
    <w:rsid w:val="006640FF"/>
    <w:rsid w:val="006641BF"/>
    <w:rsid w:val="00664254"/>
    <w:rsid w:val="006642F3"/>
    <w:rsid w:val="00664338"/>
    <w:rsid w:val="0066433F"/>
    <w:rsid w:val="00664360"/>
    <w:rsid w:val="0066446B"/>
    <w:rsid w:val="006644C1"/>
    <w:rsid w:val="00664558"/>
    <w:rsid w:val="00664566"/>
    <w:rsid w:val="00664576"/>
    <w:rsid w:val="0066457A"/>
    <w:rsid w:val="006645C7"/>
    <w:rsid w:val="006645EC"/>
    <w:rsid w:val="006645F5"/>
    <w:rsid w:val="006646DA"/>
    <w:rsid w:val="00664793"/>
    <w:rsid w:val="006647F6"/>
    <w:rsid w:val="00664805"/>
    <w:rsid w:val="00664896"/>
    <w:rsid w:val="0066489B"/>
    <w:rsid w:val="0066493A"/>
    <w:rsid w:val="00664941"/>
    <w:rsid w:val="00664AA1"/>
    <w:rsid w:val="00664CE2"/>
    <w:rsid w:val="00664E6F"/>
    <w:rsid w:val="00664EC6"/>
    <w:rsid w:val="00664F3B"/>
    <w:rsid w:val="00664FDD"/>
    <w:rsid w:val="00665002"/>
    <w:rsid w:val="00665064"/>
    <w:rsid w:val="00665071"/>
    <w:rsid w:val="0066511A"/>
    <w:rsid w:val="0066512C"/>
    <w:rsid w:val="00665171"/>
    <w:rsid w:val="006653C0"/>
    <w:rsid w:val="00665454"/>
    <w:rsid w:val="006654EF"/>
    <w:rsid w:val="00665549"/>
    <w:rsid w:val="0066574A"/>
    <w:rsid w:val="0066574B"/>
    <w:rsid w:val="006658C1"/>
    <w:rsid w:val="0066591E"/>
    <w:rsid w:val="00665922"/>
    <w:rsid w:val="00665C74"/>
    <w:rsid w:val="00665C7B"/>
    <w:rsid w:val="00665C86"/>
    <w:rsid w:val="00665D12"/>
    <w:rsid w:val="00665D22"/>
    <w:rsid w:val="00665DA1"/>
    <w:rsid w:val="00665EDF"/>
    <w:rsid w:val="00665EE1"/>
    <w:rsid w:val="00665EE9"/>
    <w:rsid w:val="00665F4C"/>
    <w:rsid w:val="00665F5D"/>
    <w:rsid w:val="00665FAF"/>
    <w:rsid w:val="00665FF0"/>
    <w:rsid w:val="00666023"/>
    <w:rsid w:val="0066618F"/>
    <w:rsid w:val="006661B3"/>
    <w:rsid w:val="00666208"/>
    <w:rsid w:val="00666272"/>
    <w:rsid w:val="00666282"/>
    <w:rsid w:val="0066636B"/>
    <w:rsid w:val="00666380"/>
    <w:rsid w:val="0066638E"/>
    <w:rsid w:val="006663C1"/>
    <w:rsid w:val="006664BC"/>
    <w:rsid w:val="006664E1"/>
    <w:rsid w:val="00666525"/>
    <w:rsid w:val="00666536"/>
    <w:rsid w:val="006665BE"/>
    <w:rsid w:val="006665CF"/>
    <w:rsid w:val="0066664E"/>
    <w:rsid w:val="0066670D"/>
    <w:rsid w:val="006667A6"/>
    <w:rsid w:val="0066682D"/>
    <w:rsid w:val="006668C4"/>
    <w:rsid w:val="00666964"/>
    <w:rsid w:val="006669EF"/>
    <w:rsid w:val="00666A09"/>
    <w:rsid w:val="00666A48"/>
    <w:rsid w:val="00666B17"/>
    <w:rsid w:val="00666B37"/>
    <w:rsid w:val="00666B65"/>
    <w:rsid w:val="00666B6E"/>
    <w:rsid w:val="00666BF3"/>
    <w:rsid w:val="00666C3C"/>
    <w:rsid w:val="00666C96"/>
    <w:rsid w:val="00666CD7"/>
    <w:rsid w:val="00666CF8"/>
    <w:rsid w:val="00666D27"/>
    <w:rsid w:val="00666E2A"/>
    <w:rsid w:val="00666F0D"/>
    <w:rsid w:val="00667006"/>
    <w:rsid w:val="006670B6"/>
    <w:rsid w:val="006671A2"/>
    <w:rsid w:val="0066722D"/>
    <w:rsid w:val="006672B0"/>
    <w:rsid w:val="00667330"/>
    <w:rsid w:val="006673E4"/>
    <w:rsid w:val="006673EC"/>
    <w:rsid w:val="006673F2"/>
    <w:rsid w:val="0066745E"/>
    <w:rsid w:val="00667493"/>
    <w:rsid w:val="0066751F"/>
    <w:rsid w:val="0066755B"/>
    <w:rsid w:val="0066761F"/>
    <w:rsid w:val="0066763C"/>
    <w:rsid w:val="0066775A"/>
    <w:rsid w:val="0066783F"/>
    <w:rsid w:val="00667861"/>
    <w:rsid w:val="00667903"/>
    <w:rsid w:val="00667930"/>
    <w:rsid w:val="00667939"/>
    <w:rsid w:val="006679E2"/>
    <w:rsid w:val="00667A1C"/>
    <w:rsid w:val="00667B51"/>
    <w:rsid w:val="00667B95"/>
    <w:rsid w:val="00667EF0"/>
    <w:rsid w:val="0067003B"/>
    <w:rsid w:val="00670165"/>
    <w:rsid w:val="006701EC"/>
    <w:rsid w:val="006702B2"/>
    <w:rsid w:val="006702DB"/>
    <w:rsid w:val="0067034F"/>
    <w:rsid w:val="00670374"/>
    <w:rsid w:val="0067044E"/>
    <w:rsid w:val="006705B0"/>
    <w:rsid w:val="006705F3"/>
    <w:rsid w:val="00670646"/>
    <w:rsid w:val="0067065E"/>
    <w:rsid w:val="00670674"/>
    <w:rsid w:val="00670690"/>
    <w:rsid w:val="006706AF"/>
    <w:rsid w:val="00670864"/>
    <w:rsid w:val="00670882"/>
    <w:rsid w:val="006708DF"/>
    <w:rsid w:val="0067096A"/>
    <w:rsid w:val="00670A27"/>
    <w:rsid w:val="00670B3E"/>
    <w:rsid w:val="00670BC0"/>
    <w:rsid w:val="00670BD1"/>
    <w:rsid w:val="00670DA1"/>
    <w:rsid w:val="00670DC2"/>
    <w:rsid w:val="00670DEA"/>
    <w:rsid w:val="00670F9B"/>
    <w:rsid w:val="0067101E"/>
    <w:rsid w:val="00671029"/>
    <w:rsid w:val="0067115B"/>
    <w:rsid w:val="006711C0"/>
    <w:rsid w:val="006711F2"/>
    <w:rsid w:val="006712D2"/>
    <w:rsid w:val="0067130D"/>
    <w:rsid w:val="0067131D"/>
    <w:rsid w:val="0067143A"/>
    <w:rsid w:val="00671485"/>
    <w:rsid w:val="00671550"/>
    <w:rsid w:val="0067167C"/>
    <w:rsid w:val="0067173E"/>
    <w:rsid w:val="00671754"/>
    <w:rsid w:val="006717CF"/>
    <w:rsid w:val="00671849"/>
    <w:rsid w:val="00671871"/>
    <w:rsid w:val="0067196B"/>
    <w:rsid w:val="006719A3"/>
    <w:rsid w:val="006719F1"/>
    <w:rsid w:val="00671B24"/>
    <w:rsid w:val="00671C2D"/>
    <w:rsid w:val="00671CC2"/>
    <w:rsid w:val="00671CD2"/>
    <w:rsid w:val="00671D5D"/>
    <w:rsid w:val="00671E24"/>
    <w:rsid w:val="00671FC8"/>
    <w:rsid w:val="00671FE4"/>
    <w:rsid w:val="00672075"/>
    <w:rsid w:val="0067216D"/>
    <w:rsid w:val="0067221B"/>
    <w:rsid w:val="00672223"/>
    <w:rsid w:val="006722A2"/>
    <w:rsid w:val="006723F5"/>
    <w:rsid w:val="0067254E"/>
    <w:rsid w:val="00672567"/>
    <w:rsid w:val="006725B3"/>
    <w:rsid w:val="006725D9"/>
    <w:rsid w:val="00672626"/>
    <w:rsid w:val="00672635"/>
    <w:rsid w:val="00672726"/>
    <w:rsid w:val="00672736"/>
    <w:rsid w:val="006728ED"/>
    <w:rsid w:val="00672925"/>
    <w:rsid w:val="00672931"/>
    <w:rsid w:val="00672A2B"/>
    <w:rsid w:val="00672A31"/>
    <w:rsid w:val="00672A52"/>
    <w:rsid w:val="00672B91"/>
    <w:rsid w:val="00672CF7"/>
    <w:rsid w:val="00672D6C"/>
    <w:rsid w:val="00672DD2"/>
    <w:rsid w:val="00672E63"/>
    <w:rsid w:val="00672ED0"/>
    <w:rsid w:val="00672F1C"/>
    <w:rsid w:val="00673002"/>
    <w:rsid w:val="00673039"/>
    <w:rsid w:val="00673065"/>
    <w:rsid w:val="00673185"/>
    <w:rsid w:val="006731D9"/>
    <w:rsid w:val="00673262"/>
    <w:rsid w:val="00673311"/>
    <w:rsid w:val="00673351"/>
    <w:rsid w:val="0067344A"/>
    <w:rsid w:val="00673502"/>
    <w:rsid w:val="00673551"/>
    <w:rsid w:val="0067356E"/>
    <w:rsid w:val="006735F5"/>
    <w:rsid w:val="00673689"/>
    <w:rsid w:val="006736D1"/>
    <w:rsid w:val="006736E0"/>
    <w:rsid w:val="006736F3"/>
    <w:rsid w:val="00673789"/>
    <w:rsid w:val="006737D3"/>
    <w:rsid w:val="0067395B"/>
    <w:rsid w:val="00673995"/>
    <w:rsid w:val="00673A10"/>
    <w:rsid w:val="00673A32"/>
    <w:rsid w:val="00673A52"/>
    <w:rsid w:val="00673B17"/>
    <w:rsid w:val="00673BC3"/>
    <w:rsid w:val="00673C88"/>
    <w:rsid w:val="00673CE4"/>
    <w:rsid w:val="00673D65"/>
    <w:rsid w:val="00673D79"/>
    <w:rsid w:val="00673DF3"/>
    <w:rsid w:val="00673F17"/>
    <w:rsid w:val="00673F34"/>
    <w:rsid w:val="00673F55"/>
    <w:rsid w:val="00673F93"/>
    <w:rsid w:val="00674088"/>
    <w:rsid w:val="006740C6"/>
    <w:rsid w:val="006740D5"/>
    <w:rsid w:val="00674139"/>
    <w:rsid w:val="006741C2"/>
    <w:rsid w:val="00674251"/>
    <w:rsid w:val="00674272"/>
    <w:rsid w:val="006743F5"/>
    <w:rsid w:val="006744C2"/>
    <w:rsid w:val="006744F9"/>
    <w:rsid w:val="006745A6"/>
    <w:rsid w:val="006745D8"/>
    <w:rsid w:val="0067484F"/>
    <w:rsid w:val="0067491B"/>
    <w:rsid w:val="0067491D"/>
    <w:rsid w:val="0067495F"/>
    <w:rsid w:val="0067496F"/>
    <w:rsid w:val="006749CF"/>
    <w:rsid w:val="00674A4D"/>
    <w:rsid w:val="00674A9F"/>
    <w:rsid w:val="00674B0B"/>
    <w:rsid w:val="00674BF8"/>
    <w:rsid w:val="00674DC3"/>
    <w:rsid w:val="00674F51"/>
    <w:rsid w:val="00674F68"/>
    <w:rsid w:val="0067506E"/>
    <w:rsid w:val="00675149"/>
    <w:rsid w:val="006751E5"/>
    <w:rsid w:val="00675266"/>
    <w:rsid w:val="00675274"/>
    <w:rsid w:val="0067532B"/>
    <w:rsid w:val="00675345"/>
    <w:rsid w:val="00675424"/>
    <w:rsid w:val="006754B1"/>
    <w:rsid w:val="006754BD"/>
    <w:rsid w:val="0067551A"/>
    <w:rsid w:val="0067553F"/>
    <w:rsid w:val="00675540"/>
    <w:rsid w:val="0067555F"/>
    <w:rsid w:val="00675563"/>
    <w:rsid w:val="0067579B"/>
    <w:rsid w:val="006757B1"/>
    <w:rsid w:val="00675865"/>
    <w:rsid w:val="00675A32"/>
    <w:rsid w:val="00675A3B"/>
    <w:rsid w:val="00675C43"/>
    <w:rsid w:val="00675D0C"/>
    <w:rsid w:val="00675DB7"/>
    <w:rsid w:val="00675DBC"/>
    <w:rsid w:val="00675DEE"/>
    <w:rsid w:val="00675DFE"/>
    <w:rsid w:val="00675E88"/>
    <w:rsid w:val="00675EEF"/>
    <w:rsid w:val="00675F1E"/>
    <w:rsid w:val="00676055"/>
    <w:rsid w:val="006760C8"/>
    <w:rsid w:val="00676181"/>
    <w:rsid w:val="006761BE"/>
    <w:rsid w:val="00676298"/>
    <w:rsid w:val="0067637E"/>
    <w:rsid w:val="0067642B"/>
    <w:rsid w:val="00676437"/>
    <w:rsid w:val="0067652F"/>
    <w:rsid w:val="0067667F"/>
    <w:rsid w:val="0067668A"/>
    <w:rsid w:val="00676731"/>
    <w:rsid w:val="0067676E"/>
    <w:rsid w:val="00676872"/>
    <w:rsid w:val="006768AA"/>
    <w:rsid w:val="00676A21"/>
    <w:rsid w:val="00676A6B"/>
    <w:rsid w:val="00676ABB"/>
    <w:rsid w:val="00676AD6"/>
    <w:rsid w:val="00676AF3"/>
    <w:rsid w:val="00676AFC"/>
    <w:rsid w:val="00676AFF"/>
    <w:rsid w:val="00676BA3"/>
    <w:rsid w:val="00676DA9"/>
    <w:rsid w:val="00676F33"/>
    <w:rsid w:val="00676F5D"/>
    <w:rsid w:val="00676FD7"/>
    <w:rsid w:val="00677020"/>
    <w:rsid w:val="006770AC"/>
    <w:rsid w:val="0067712D"/>
    <w:rsid w:val="006771BF"/>
    <w:rsid w:val="006771E7"/>
    <w:rsid w:val="00677240"/>
    <w:rsid w:val="00677269"/>
    <w:rsid w:val="0067729C"/>
    <w:rsid w:val="0067734C"/>
    <w:rsid w:val="0067739F"/>
    <w:rsid w:val="00677616"/>
    <w:rsid w:val="00677654"/>
    <w:rsid w:val="00677666"/>
    <w:rsid w:val="006776A8"/>
    <w:rsid w:val="006777E9"/>
    <w:rsid w:val="00677807"/>
    <w:rsid w:val="00677821"/>
    <w:rsid w:val="006778F0"/>
    <w:rsid w:val="0067791E"/>
    <w:rsid w:val="006779D4"/>
    <w:rsid w:val="00677A21"/>
    <w:rsid w:val="00677A9A"/>
    <w:rsid w:val="00677B6C"/>
    <w:rsid w:val="00677CBA"/>
    <w:rsid w:val="00677D15"/>
    <w:rsid w:val="00677D94"/>
    <w:rsid w:val="00677E07"/>
    <w:rsid w:val="00677E5F"/>
    <w:rsid w:val="00677F1C"/>
    <w:rsid w:val="00677F27"/>
    <w:rsid w:val="00677F31"/>
    <w:rsid w:val="006800B2"/>
    <w:rsid w:val="006803E2"/>
    <w:rsid w:val="006803EA"/>
    <w:rsid w:val="0068046F"/>
    <w:rsid w:val="006804F8"/>
    <w:rsid w:val="00680558"/>
    <w:rsid w:val="006805A0"/>
    <w:rsid w:val="00680698"/>
    <w:rsid w:val="006806AC"/>
    <w:rsid w:val="00680718"/>
    <w:rsid w:val="006807AC"/>
    <w:rsid w:val="00680814"/>
    <w:rsid w:val="00680834"/>
    <w:rsid w:val="0068088A"/>
    <w:rsid w:val="0068095D"/>
    <w:rsid w:val="0068098E"/>
    <w:rsid w:val="00680A3D"/>
    <w:rsid w:val="00680A9C"/>
    <w:rsid w:val="00680BA3"/>
    <w:rsid w:val="00680BF0"/>
    <w:rsid w:val="00680C54"/>
    <w:rsid w:val="00680C77"/>
    <w:rsid w:val="00680CEC"/>
    <w:rsid w:val="00680CFF"/>
    <w:rsid w:val="00680D66"/>
    <w:rsid w:val="00680E3B"/>
    <w:rsid w:val="00680EB2"/>
    <w:rsid w:val="00680F77"/>
    <w:rsid w:val="00680FD3"/>
    <w:rsid w:val="00680FDC"/>
    <w:rsid w:val="00681080"/>
    <w:rsid w:val="00681193"/>
    <w:rsid w:val="00681244"/>
    <w:rsid w:val="00681260"/>
    <w:rsid w:val="0068126C"/>
    <w:rsid w:val="006812BC"/>
    <w:rsid w:val="006814EC"/>
    <w:rsid w:val="006815BB"/>
    <w:rsid w:val="00681619"/>
    <w:rsid w:val="00681728"/>
    <w:rsid w:val="006817DE"/>
    <w:rsid w:val="00681999"/>
    <w:rsid w:val="006819F1"/>
    <w:rsid w:val="006819F5"/>
    <w:rsid w:val="006819F9"/>
    <w:rsid w:val="00681AA4"/>
    <w:rsid w:val="00681BA2"/>
    <w:rsid w:val="00681C0B"/>
    <w:rsid w:val="00681C0C"/>
    <w:rsid w:val="00681D53"/>
    <w:rsid w:val="00681E32"/>
    <w:rsid w:val="00681F26"/>
    <w:rsid w:val="00682088"/>
    <w:rsid w:val="006820EE"/>
    <w:rsid w:val="006821B0"/>
    <w:rsid w:val="006821BB"/>
    <w:rsid w:val="006821E0"/>
    <w:rsid w:val="00682280"/>
    <w:rsid w:val="0068229F"/>
    <w:rsid w:val="00682352"/>
    <w:rsid w:val="006823BC"/>
    <w:rsid w:val="00682415"/>
    <w:rsid w:val="00682523"/>
    <w:rsid w:val="00682661"/>
    <w:rsid w:val="00682800"/>
    <w:rsid w:val="00682A26"/>
    <w:rsid w:val="00682A50"/>
    <w:rsid w:val="00682AC9"/>
    <w:rsid w:val="00682B9A"/>
    <w:rsid w:val="00682C16"/>
    <w:rsid w:val="00682C5D"/>
    <w:rsid w:val="00682E05"/>
    <w:rsid w:val="00682EC1"/>
    <w:rsid w:val="00682F3D"/>
    <w:rsid w:val="00682F49"/>
    <w:rsid w:val="00682F53"/>
    <w:rsid w:val="00682F55"/>
    <w:rsid w:val="00683050"/>
    <w:rsid w:val="00683056"/>
    <w:rsid w:val="006830A0"/>
    <w:rsid w:val="006832A6"/>
    <w:rsid w:val="00683377"/>
    <w:rsid w:val="006834BE"/>
    <w:rsid w:val="00683531"/>
    <w:rsid w:val="0068354D"/>
    <w:rsid w:val="00683567"/>
    <w:rsid w:val="006835E8"/>
    <w:rsid w:val="00683607"/>
    <w:rsid w:val="0068364E"/>
    <w:rsid w:val="0068373F"/>
    <w:rsid w:val="006837B5"/>
    <w:rsid w:val="006838E7"/>
    <w:rsid w:val="006838FD"/>
    <w:rsid w:val="006839CA"/>
    <w:rsid w:val="00683A97"/>
    <w:rsid w:val="00683AEB"/>
    <w:rsid w:val="00683B2F"/>
    <w:rsid w:val="00683B4B"/>
    <w:rsid w:val="00683C42"/>
    <w:rsid w:val="00683DF4"/>
    <w:rsid w:val="00683FA3"/>
    <w:rsid w:val="00684009"/>
    <w:rsid w:val="00684071"/>
    <w:rsid w:val="0068407B"/>
    <w:rsid w:val="006840AE"/>
    <w:rsid w:val="006840F0"/>
    <w:rsid w:val="00684253"/>
    <w:rsid w:val="006842F7"/>
    <w:rsid w:val="00684365"/>
    <w:rsid w:val="0068438B"/>
    <w:rsid w:val="006844E6"/>
    <w:rsid w:val="0068450A"/>
    <w:rsid w:val="00684618"/>
    <w:rsid w:val="0068463C"/>
    <w:rsid w:val="0068469A"/>
    <w:rsid w:val="00684728"/>
    <w:rsid w:val="006847AA"/>
    <w:rsid w:val="00684817"/>
    <w:rsid w:val="00684829"/>
    <w:rsid w:val="006848AF"/>
    <w:rsid w:val="006848E0"/>
    <w:rsid w:val="00684905"/>
    <w:rsid w:val="00684936"/>
    <w:rsid w:val="00684973"/>
    <w:rsid w:val="00684A61"/>
    <w:rsid w:val="00684BC8"/>
    <w:rsid w:val="00684CD5"/>
    <w:rsid w:val="00684D05"/>
    <w:rsid w:val="00684D9C"/>
    <w:rsid w:val="00684DC9"/>
    <w:rsid w:val="00684DE4"/>
    <w:rsid w:val="00684EE1"/>
    <w:rsid w:val="00684F6C"/>
    <w:rsid w:val="006851EF"/>
    <w:rsid w:val="00685201"/>
    <w:rsid w:val="00685252"/>
    <w:rsid w:val="00685256"/>
    <w:rsid w:val="00685297"/>
    <w:rsid w:val="00685300"/>
    <w:rsid w:val="006853F3"/>
    <w:rsid w:val="0068543C"/>
    <w:rsid w:val="0068544F"/>
    <w:rsid w:val="00685492"/>
    <w:rsid w:val="006854C7"/>
    <w:rsid w:val="006854FC"/>
    <w:rsid w:val="006855F7"/>
    <w:rsid w:val="006855FF"/>
    <w:rsid w:val="00685605"/>
    <w:rsid w:val="00685655"/>
    <w:rsid w:val="00685755"/>
    <w:rsid w:val="006857E7"/>
    <w:rsid w:val="006857EC"/>
    <w:rsid w:val="00685874"/>
    <w:rsid w:val="00685925"/>
    <w:rsid w:val="00685975"/>
    <w:rsid w:val="00685AC5"/>
    <w:rsid w:val="00685B03"/>
    <w:rsid w:val="00685BE5"/>
    <w:rsid w:val="00685BF6"/>
    <w:rsid w:val="00685C17"/>
    <w:rsid w:val="00685D6E"/>
    <w:rsid w:val="00685DBA"/>
    <w:rsid w:val="00685DD5"/>
    <w:rsid w:val="00685E17"/>
    <w:rsid w:val="00685E34"/>
    <w:rsid w:val="00685F35"/>
    <w:rsid w:val="00685F88"/>
    <w:rsid w:val="00686061"/>
    <w:rsid w:val="00686097"/>
    <w:rsid w:val="00686168"/>
    <w:rsid w:val="0068623E"/>
    <w:rsid w:val="00686257"/>
    <w:rsid w:val="00686290"/>
    <w:rsid w:val="006862A0"/>
    <w:rsid w:val="006862A1"/>
    <w:rsid w:val="006863A9"/>
    <w:rsid w:val="0068640D"/>
    <w:rsid w:val="00686687"/>
    <w:rsid w:val="006866F5"/>
    <w:rsid w:val="0068678E"/>
    <w:rsid w:val="006867D3"/>
    <w:rsid w:val="006868AB"/>
    <w:rsid w:val="006868AC"/>
    <w:rsid w:val="006869B9"/>
    <w:rsid w:val="006869C0"/>
    <w:rsid w:val="00686A9E"/>
    <w:rsid w:val="00686AE6"/>
    <w:rsid w:val="00686AF4"/>
    <w:rsid w:val="00686BB6"/>
    <w:rsid w:val="00686BFE"/>
    <w:rsid w:val="00686D1F"/>
    <w:rsid w:val="00686E5A"/>
    <w:rsid w:val="00686E9A"/>
    <w:rsid w:val="00687006"/>
    <w:rsid w:val="0068705A"/>
    <w:rsid w:val="00687179"/>
    <w:rsid w:val="0068723A"/>
    <w:rsid w:val="00687249"/>
    <w:rsid w:val="00687269"/>
    <w:rsid w:val="0068733B"/>
    <w:rsid w:val="00687362"/>
    <w:rsid w:val="00687456"/>
    <w:rsid w:val="006874CE"/>
    <w:rsid w:val="0068762D"/>
    <w:rsid w:val="00687696"/>
    <w:rsid w:val="006876AD"/>
    <w:rsid w:val="006876BC"/>
    <w:rsid w:val="006876E9"/>
    <w:rsid w:val="00687765"/>
    <w:rsid w:val="006877DA"/>
    <w:rsid w:val="00687873"/>
    <w:rsid w:val="0068788B"/>
    <w:rsid w:val="006879A1"/>
    <w:rsid w:val="006879C0"/>
    <w:rsid w:val="00687A44"/>
    <w:rsid w:val="00687A69"/>
    <w:rsid w:val="00687AA0"/>
    <w:rsid w:val="00687B2D"/>
    <w:rsid w:val="00687C82"/>
    <w:rsid w:val="00687D39"/>
    <w:rsid w:val="00687DBF"/>
    <w:rsid w:val="00687E26"/>
    <w:rsid w:val="00687F80"/>
    <w:rsid w:val="00687FCE"/>
    <w:rsid w:val="00690057"/>
    <w:rsid w:val="006900C7"/>
    <w:rsid w:val="006900E2"/>
    <w:rsid w:val="00690110"/>
    <w:rsid w:val="0069011E"/>
    <w:rsid w:val="0069015A"/>
    <w:rsid w:val="00690177"/>
    <w:rsid w:val="0069020A"/>
    <w:rsid w:val="0069020F"/>
    <w:rsid w:val="00690240"/>
    <w:rsid w:val="00690317"/>
    <w:rsid w:val="0069036D"/>
    <w:rsid w:val="00690379"/>
    <w:rsid w:val="006903FB"/>
    <w:rsid w:val="00690453"/>
    <w:rsid w:val="00690604"/>
    <w:rsid w:val="0069060B"/>
    <w:rsid w:val="00690626"/>
    <w:rsid w:val="006906A5"/>
    <w:rsid w:val="006906AC"/>
    <w:rsid w:val="006906F7"/>
    <w:rsid w:val="00690808"/>
    <w:rsid w:val="006908B3"/>
    <w:rsid w:val="0069099E"/>
    <w:rsid w:val="006909BF"/>
    <w:rsid w:val="006909E2"/>
    <w:rsid w:val="00690A4C"/>
    <w:rsid w:val="00690A8C"/>
    <w:rsid w:val="00690AD3"/>
    <w:rsid w:val="00690C15"/>
    <w:rsid w:val="00690CF2"/>
    <w:rsid w:val="00690DFC"/>
    <w:rsid w:val="00690E2F"/>
    <w:rsid w:val="00690F27"/>
    <w:rsid w:val="00690FDB"/>
    <w:rsid w:val="00691044"/>
    <w:rsid w:val="00691062"/>
    <w:rsid w:val="006910B4"/>
    <w:rsid w:val="006910CA"/>
    <w:rsid w:val="006910D5"/>
    <w:rsid w:val="0069123E"/>
    <w:rsid w:val="00691446"/>
    <w:rsid w:val="00691604"/>
    <w:rsid w:val="00691661"/>
    <w:rsid w:val="00691874"/>
    <w:rsid w:val="0069188E"/>
    <w:rsid w:val="006919C1"/>
    <w:rsid w:val="00691B1C"/>
    <w:rsid w:val="00691CB3"/>
    <w:rsid w:val="00691E96"/>
    <w:rsid w:val="00691F03"/>
    <w:rsid w:val="00691F19"/>
    <w:rsid w:val="00691F76"/>
    <w:rsid w:val="0069200B"/>
    <w:rsid w:val="0069202A"/>
    <w:rsid w:val="006920B6"/>
    <w:rsid w:val="0069211F"/>
    <w:rsid w:val="006921AD"/>
    <w:rsid w:val="006921BB"/>
    <w:rsid w:val="00692331"/>
    <w:rsid w:val="006923D2"/>
    <w:rsid w:val="006923E6"/>
    <w:rsid w:val="006923F8"/>
    <w:rsid w:val="00692611"/>
    <w:rsid w:val="00692776"/>
    <w:rsid w:val="00692841"/>
    <w:rsid w:val="0069287F"/>
    <w:rsid w:val="006928C9"/>
    <w:rsid w:val="00692921"/>
    <w:rsid w:val="00692A7E"/>
    <w:rsid w:val="00692B4A"/>
    <w:rsid w:val="00692BE4"/>
    <w:rsid w:val="00692C19"/>
    <w:rsid w:val="00692C6E"/>
    <w:rsid w:val="00692CB3"/>
    <w:rsid w:val="00692CD6"/>
    <w:rsid w:val="00692D5B"/>
    <w:rsid w:val="00692E74"/>
    <w:rsid w:val="00692E75"/>
    <w:rsid w:val="00692F3C"/>
    <w:rsid w:val="00692F47"/>
    <w:rsid w:val="00693060"/>
    <w:rsid w:val="00693138"/>
    <w:rsid w:val="0069316E"/>
    <w:rsid w:val="0069318A"/>
    <w:rsid w:val="0069333B"/>
    <w:rsid w:val="006933A1"/>
    <w:rsid w:val="00693478"/>
    <w:rsid w:val="006934AB"/>
    <w:rsid w:val="006936EE"/>
    <w:rsid w:val="00693731"/>
    <w:rsid w:val="00693759"/>
    <w:rsid w:val="00693795"/>
    <w:rsid w:val="00693841"/>
    <w:rsid w:val="0069387B"/>
    <w:rsid w:val="006938C0"/>
    <w:rsid w:val="0069392B"/>
    <w:rsid w:val="00693951"/>
    <w:rsid w:val="00693974"/>
    <w:rsid w:val="006939A9"/>
    <w:rsid w:val="00693A03"/>
    <w:rsid w:val="00693A0E"/>
    <w:rsid w:val="00693A1C"/>
    <w:rsid w:val="00693B1A"/>
    <w:rsid w:val="00693B88"/>
    <w:rsid w:val="00693E3D"/>
    <w:rsid w:val="00693E67"/>
    <w:rsid w:val="00693F7E"/>
    <w:rsid w:val="00693FC7"/>
    <w:rsid w:val="00693FF7"/>
    <w:rsid w:val="00694002"/>
    <w:rsid w:val="00694064"/>
    <w:rsid w:val="00694190"/>
    <w:rsid w:val="006941D4"/>
    <w:rsid w:val="0069437C"/>
    <w:rsid w:val="006943E2"/>
    <w:rsid w:val="00694464"/>
    <w:rsid w:val="00694618"/>
    <w:rsid w:val="0069465C"/>
    <w:rsid w:val="006946C7"/>
    <w:rsid w:val="00694744"/>
    <w:rsid w:val="00694816"/>
    <w:rsid w:val="0069481C"/>
    <w:rsid w:val="00694846"/>
    <w:rsid w:val="0069484B"/>
    <w:rsid w:val="0069487C"/>
    <w:rsid w:val="0069490A"/>
    <w:rsid w:val="0069490C"/>
    <w:rsid w:val="006949C6"/>
    <w:rsid w:val="00694A27"/>
    <w:rsid w:val="00694BC8"/>
    <w:rsid w:val="00694FA4"/>
    <w:rsid w:val="006950D4"/>
    <w:rsid w:val="00695313"/>
    <w:rsid w:val="006954A9"/>
    <w:rsid w:val="006954CA"/>
    <w:rsid w:val="006954D3"/>
    <w:rsid w:val="00695525"/>
    <w:rsid w:val="00695570"/>
    <w:rsid w:val="006955B2"/>
    <w:rsid w:val="00695665"/>
    <w:rsid w:val="00695682"/>
    <w:rsid w:val="006956D8"/>
    <w:rsid w:val="006956FA"/>
    <w:rsid w:val="00695737"/>
    <w:rsid w:val="0069573C"/>
    <w:rsid w:val="0069587D"/>
    <w:rsid w:val="0069597E"/>
    <w:rsid w:val="0069598D"/>
    <w:rsid w:val="006959ED"/>
    <w:rsid w:val="00695BC7"/>
    <w:rsid w:val="00695BEB"/>
    <w:rsid w:val="00695C6C"/>
    <w:rsid w:val="00695D55"/>
    <w:rsid w:val="00695D99"/>
    <w:rsid w:val="00695F79"/>
    <w:rsid w:val="00695F8F"/>
    <w:rsid w:val="00695F98"/>
    <w:rsid w:val="006961B4"/>
    <w:rsid w:val="0069631F"/>
    <w:rsid w:val="00696455"/>
    <w:rsid w:val="00696499"/>
    <w:rsid w:val="00696612"/>
    <w:rsid w:val="0069661F"/>
    <w:rsid w:val="0069669A"/>
    <w:rsid w:val="006966DF"/>
    <w:rsid w:val="006966EB"/>
    <w:rsid w:val="006966F1"/>
    <w:rsid w:val="006966F9"/>
    <w:rsid w:val="006969E0"/>
    <w:rsid w:val="00696A85"/>
    <w:rsid w:val="00696AAB"/>
    <w:rsid w:val="00696BFE"/>
    <w:rsid w:val="00696BFF"/>
    <w:rsid w:val="00696C33"/>
    <w:rsid w:val="00696C9F"/>
    <w:rsid w:val="00696D70"/>
    <w:rsid w:val="00696E5F"/>
    <w:rsid w:val="00696F2A"/>
    <w:rsid w:val="00696F8C"/>
    <w:rsid w:val="006970E6"/>
    <w:rsid w:val="006971AF"/>
    <w:rsid w:val="006971B6"/>
    <w:rsid w:val="00697260"/>
    <w:rsid w:val="00697296"/>
    <w:rsid w:val="0069733A"/>
    <w:rsid w:val="006973C4"/>
    <w:rsid w:val="0069755A"/>
    <w:rsid w:val="00697632"/>
    <w:rsid w:val="006976F0"/>
    <w:rsid w:val="0069779D"/>
    <w:rsid w:val="006977AF"/>
    <w:rsid w:val="00697805"/>
    <w:rsid w:val="006978B7"/>
    <w:rsid w:val="006978D6"/>
    <w:rsid w:val="0069798D"/>
    <w:rsid w:val="00697A38"/>
    <w:rsid w:val="00697A76"/>
    <w:rsid w:val="00697A85"/>
    <w:rsid w:val="00697AD4"/>
    <w:rsid w:val="00697B8F"/>
    <w:rsid w:val="00697BDD"/>
    <w:rsid w:val="00697DB1"/>
    <w:rsid w:val="00697E27"/>
    <w:rsid w:val="00697E91"/>
    <w:rsid w:val="00697EB6"/>
    <w:rsid w:val="00697EE7"/>
    <w:rsid w:val="0069D9C5"/>
    <w:rsid w:val="006A0079"/>
    <w:rsid w:val="006A00EC"/>
    <w:rsid w:val="006A0318"/>
    <w:rsid w:val="006A039D"/>
    <w:rsid w:val="006A0401"/>
    <w:rsid w:val="006A0427"/>
    <w:rsid w:val="006A045F"/>
    <w:rsid w:val="006A0510"/>
    <w:rsid w:val="006A0597"/>
    <w:rsid w:val="006A062C"/>
    <w:rsid w:val="006A070F"/>
    <w:rsid w:val="006A07A1"/>
    <w:rsid w:val="006A07E2"/>
    <w:rsid w:val="006A086E"/>
    <w:rsid w:val="006A08B4"/>
    <w:rsid w:val="006A08D7"/>
    <w:rsid w:val="006A0A80"/>
    <w:rsid w:val="006A0B36"/>
    <w:rsid w:val="006A0BCE"/>
    <w:rsid w:val="006A0C1E"/>
    <w:rsid w:val="006A0C92"/>
    <w:rsid w:val="006A0CCC"/>
    <w:rsid w:val="006A0CE2"/>
    <w:rsid w:val="006A0D6D"/>
    <w:rsid w:val="006A0D70"/>
    <w:rsid w:val="006A0DCB"/>
    <w:rsid w:val="006A0DE1"/>
    <w:rsid w:val="006A0E04"/>
    <w:rsid w:val="006A0E1D"/>
    <w:rsid w:val="006A0EB8"/>
    <w:rsid w:val="006A0EE7"/>
    <w:rsid w:val="006A0F2A"/>
    <w:rsid w:val="006A0F9B"/>
    <w:rsid w:val="006A106A"/>
    <w:rsid w:val="006A10B3"/>
    <w:rsid w:val="006A10D3"/>
    <w:rsid w:val="006A11BC"/>
    <w:rsid w:val="006A121B"/>
    <w:rsid w:val="006A1413"/>
    <w:rsid w:val="006A14DD"/>
    <w:rsid w:val="006A1555"/>
    <w:rsid w:val="006A1683"/>
    <w:rsid w:val="006A1758"/>
    <w:rsid w:val="006A176C"/>
    <w:rsid w:val="006A17F1"/>
    <w:rsid w:val="006A1829"/>
    <w:rsid w:val="006A18A0"/>
    <w:rsid w:val="006A1909"/>
    <w:rsid w:val="006A19B5"/>
    <w:rsid w:val="006A1AC2"/>
    <w:rsid w:val="006A1C5E"/>
    <w:rsid w:val="006A1D35"/>
    <w:rsid w:val="006A1DAF"/>
    <w:rsid w:val="006A1DDF"/>
    <w:rsid w:val="006A1DF9"/>
    <w:rsid w:val="006A1E6A"/>
    <w:rsid w:val="006A1ED4"/>
    <w:rsid w:val="006A1F3A"/>
    <w:rsid w:val="006A1F7A"/>
    <w:rsid w:val="006A206E"/>
    <w:rsid w:val="006A20B4"/>
    <w:rsid w:val="006A20E8"/>
    <w:rsid w:val="006A211D"/>
    <w:rsid w:val="006A21C9"/>
    <w:rsid w:val="006A2286"/>
    <w:rsid w:val="006A2304"/>
    <w:rsid w:val="006A240A"/>
    <w:rsid w:val="006A24E4"/>
    <w:rsid w:val="006A2795"/>
    <w:rsid w:val="006A2839"/>
    <w:rsid w:val="006A2951"/>
    <w:rsid w:val="006A2954"/>
    <w:rsid w:val="006A297B"/>
    <w:rsid w:val="006A2984"/>
    <w:rsid w:val="006A2987"/>
    <w:rsid w:val="006A29A6"/>
    <w:rsid w:val="006A2A25"/>
    <w:rsid w:val="006A2A8C"/>
    <w:rsid w:val="006A2AE5"/>
    <w:rsid w:val="006A2AE8"/>
    <w:rsid w:val="006A2B39"/>
    <w:rsid w:val="006A2C38"/>
    <w:rsid w:val="006A2C62"/>
    <w:rsid w:val="006A2CE5"/>
    <w:rsid w:val="006A2D20"/>
    <w:rsid w:val="006A2E08"/>
    <w:rsid w:val="006A2E35"/>
    <w:rsid w:val="006A2E87"/>
    <w:rsid w:val="006A2ED9"/>
    <w:rsid w:val="006A2F2D"/>
    <w:rsid w:val="006A2FD1"/>
    <w:rsid w:val="006A3066"/>
    <w:rsid w:val="006A3118"/>
    <w:rsid w:val="006A3130"/>
    <w:rsid w:val="006A3162"/>
    <w:rsid w:val="006A32E4"/>
    <w:rsid w:val="006A3347"/>
    <w:rsid w:val="006A343B"/>
    <w:rsid w:val="006A346D"/>
    <w:rsid w:val="006A3688"/>
    <w:rsid w:val="006A36C1"/>
    <w:rsid w:val="006A372C"/>
    <w:rsid w:val="006A3825"/>
    <w:rsid w:val="006A390F"/>
    <w:rsid w:val="006A3954"/>
    <w:rsid w:val="006A397C"/>
    <w:rsid w:val="006A39BE"/>
    <w:rsid w:val="006A39E0"/>
    <w:rsid w:val="006A3A0B"/>
    <w:rsid w:val="006A3A82"/>
    <w:rsid w:val="006A3D47"/>
    <w:rsid w:val="006A3DAA"/>
    <w:rsid w:val="006A3E54"/>
    <w:rsid w:val="006A3F40"/>
    <w:rsid w:val="006A3F81"/>
    <w:rsid w:val="006A41DF"/>
    <w:rsid w:val="006A4397"/>
    <w:rsid w:val="006A43F5"/>
    <w:rsid w:val="006A4432"/>
    <w:rsid w:val="006A444C"/>
    <w:rsid w:val="006A444F"/>
    <w:rsid w:val="006A44DE"/>
    <w:rsid w:val="006A467F"/>
    <w:rsid w:val="006A47CF"/>
    <w:rsid w:val="006A4867"/>
    <w:rsid w:val="006A487E"/>
    <w:rsid w:val="006A4A16"/>
    <w:rsid w:val="006A4A40"/>
    <w:rsid w:val="006A4B75"/>
    <w:rsid w:val="006A4CB6"/>
    <w:rsid w:val="006A4D65"/>
    <w:rsid w:val="006A4DAA"/>
    <w:rsid w:val="006A4E0E"/>
    <w:rsid w:val="006A4F84"/>
    <w:rsid w:val="006A4F9B"/>
    <w:rsid w:val="006A51E8"/>
    <w:rsid w:val="006A52B3"/>
    <w:rsid w:val="006A532A"/>
    <w:rsid w:val="006A53B6"/>
    <w:rsid w:val="006A5412"/>
    <w:rsid w:val="006A546C"/>
    <w:rsid w:val="006A5473"/>
    <w:rsid w:val="006A54A2"/>
    <w:rsid w:val="006A5701"/>
    <w:rsid w:val="006A5734"/>
    <w:rsid w:val="006A574B"/>
    <w:rsid w:val="006A57B1"/>
    <w:rsid w:val="006A590B"/>
    <w:rsid w:val="006A59C7"/>
    <w:rsid w:val="006A5A27"/>
    <w:rsid w:val="006A5A2D"/>
    <w:rsid w:val="006A5AAC"/>
    <w:rsid w:val="006A5ABB"/>
    <w:rsid w:val="006A5B8A"/>
    <w:rsid w:val="006A5C16"/>
    <w:rsid w:val="006A5C4D"/>
    <w:rsid w:val="006A5D51"/>
    <w:rsid w:val="006A5DF8"/>
    <w:rsid w:val="006A5E16"/>
    <w:rsid w:val="006A5EDD"/>
    <w:rsid w:val="006A5EE1"/>
    <w:rsid w:val="006A5F20"/>
    <w:rsid w:val="006A6000"/>
    <w:rsid w:val="006A6037"/>
    <w:rsid w:val="006A6170"/>
    <w:rsid w:val="006A61A6"/>
    <w:rsid w:val="006A61E5"/>
    <w:rsid w:val="006A61FB"/>
    <w:rsid w:val="006A62AF"/>
    <w:rsid w:val="006A638C"/>
    <w:rsid w:val="006A63A1"/>
    <w:rsid w:val="006A657E"/>
    <w:rsid w:val="006A665F"/>
    <w:rsid w:val="006A667E"/>
    <w:rsid w:val="006A6766"/>
    <w:rsid w:val="006A67AE"/>
    <w:rsid w:val="006A685E"/>
    <w:rsid w:val="006A68DD"/>
    <w:rsid w:val="006A6A28"/>
    <w:rsid w:val="006A6AAF"/>
    <w:rsid w:val="006A6AF9"/>
    <w:rsid w:val="006A6B94"/>
    <w:rsid w:val="006A6BB7"/>
    <w:rsid w:val="006A6CBE"/>
    <w:rsid w:val="006A6DA7"/>
    <w:rsid w:val="006A6DB3"/>
    <w:rsid w:val="006A6E3E"/>
    <w:rsid w:val="006A6E4D"/>
    <w:rsid w:val="006A6F11"/>
    <w:rsid w:val="006A6FE8"/>
    <w:rsid w:val="006A707E"/>
    <w:rsid w:val="006A7212"/>
    <w:rsid w:val="006A7256"/>
    <w:rsid w:val="006A727F"/>
    <w:rsid w:val="006A72CF"/>
    <w:rsid w:val="006A730F"/>
    <w:rsid w:val="006A7383"/>
    <w:rsid w:val="006A73B9"/>
    <w:rsid w:val="006A73DE"/>
    <w:rsid w:val="006A75EF"/>
    <w:rsid w:val="006A7765"/>
    <w:rsid w:val="006A778A"/>
    <w:rsid w:val="006A7808"/>
    <w:rsid w:val="006A78BC"/>
    <w:rsid w:val="006A7A61"/>
    <w:rsid w:val="006A7AC0"/>
    <w:rsid w:val="006A7AC5"/>
    <w:rsid w:val="006A7B13"/>
    <w:rsid w:val="006A7B32"/>
    <w:rsid w:val="006A7B3A"/>
    <w:rsid w:val="006A7BB3"/>
    <w:rsid w:val="006A7BEB"/>
    <w:rsid w:val="006A7C28"/>
    <w:rsid w:val="006A7CB0"/>
    <w:rsid w:val="006A7D65"/>
    <w:rsid w:val="006A7D76"/>
    <w:rsid w:val="006A7D8C"/>
    <w:rsid w:val="006A7DC3"/>
    <w:rsid w:val="006A7DC6"/>
    <w:rsid w:val="006A7EC4"/>
    <w:rsid w:val="006B0003"/>
    <w:rsid w:val="006B0035"/>
    <w:rsid w:val="006B0077"/>
    <w:rsid w:val="006B0125"/>
    <w:rsid w:val="006B019D"/>
    <w:rsid w:val="006B0222"/>
    <w:rsid w:val="006B0257"/>
    <w:rsid w:val="006B02AA"/>
    <w:rsid w:val="006B0300"/>
    <w:rsid w:val="006B0328"/>
    <w:rsid w:val="006B04D9"/>
    <w:rsid w:val="006B04E4"/>
    <w:rsid w:val="006B06B0"/>
    <w:rsid w:val="006B0707"/>
    <w:rsid w:val="006B07CF"/>
    <w:rsid w:val="006B08CD"/>
    <w:rsid w:val="006B0942"/>
    <w:rsid w:val="006B09AC"/>
    <w:rsid w:val="006B0A8F"/>
    <w:rsid w:val="006B0AC5"/>
    <w:rsid w:val="006B0B2E"/>
    <w:rsid w:val="006B0C5F"/>
    <w:rsid w:val="006B0D1A"/>
    <w:rsid w:val="006B0E08"/>
    <w:rsid w:val="006B0F5D"/>
    <w:rsid w:val="006B1103"/>
    <w:rsid w:val="006B111A"/>
    <w:rsid w:val="006B1260"/>
    <w:rsid w:val="006B12A5"/>
    <w:rsid w:val="006B12CF"/>
    <w:rsid w:val="006B133D"/>
    <w:rsid w:val="006B13C2"/>
    <w:rsid w:val="006B13C5"/>
    <w:rsid w:val="006B146F"/>
    <w:rsid w:val="006B1515"/>
    <w:rsid w:val="006B15AE"/>
    <w:rsid w:val="006B1747"/>
    <w:rsid w:val="006B1764"/>
    <w:rsid w:val="006B17A7"/>
    <w:rsid w:val="006B17D1"/>
    <w:rsid w:val="006B17E8"/>
    <w:rsid w:val="006B17EA"/>
    <w:rsid w:val="006B197E"/>
    <w:rsid w:val="006B19ED"/>
    <w:rsid w:val="006B1A73"/>
    <w:rsid w:val="006B1B5B"/>
    <w:rsid w:val="006B1D89"/>
    <w:rsid w:val="006B1DBB"/>
    <w:rsid w:val="006B1E0A"/>
    <w:rsid w:val="006B1E2D"/>
    <w:rsid w:val="006B1F3D"/>
    <w:rsid w:val="006B2038"/>
    <w:rsid w:val="006B2134"/>
    <w:rsid w:val="006B215B"/>
    <w:rsid w:val="006B21B0"/>
    <w:rsid w:val="006B221D"/>
    <w:rsid w:val="006B225D"/>
    <w:rsid w:val="006B2296"/>
    <w:rsid w:val="006B237B"/>
    <w:rsid w:val="006B23B3"/>
    <w:rsid w:val="006B24F5"/>
    <w:rsid w:val="006B2527"/>
    <w:rsid w:val="006B2542"/>
    <w:rsid w:val="006B260C"/>
    <w:rsid w:val="006B2818"/>
    <w:rsid w:val="006B28F2"/>
    <w:rsid w:val="006B2940"/>
    <w:rsid w:val="006B296B"/>
    <w:rsid w:val="006B2A6B"/>
    <w:rsid w:val="006B2BCE"/>
    <w:rsid w:val="006B2C0E"/>
    <w:rsid w:val="006B2D7E"/>
    <w:rsid w:val="006B2DFC"/>
    <w:rsid w:val="006B2EA6"/>
    <w:rsid w:val="006B2EA8"/>
    <w:rsid w:val="006B2F04"/>
    <w:rsid w:val="006B2F28"/>
    <w:rsid w:val="006B2FA7"/>
    <w:rsid w:val="006B3036"/>
    <w:rsid w:val="006B305A"/>
    <w:rsid w:val="006B30D3"/>
    <w:rsid w:val="006B321E"/>
    <w:rsid w:val="006B3244"/>
    <w:rsid w:val="006B3384"/>
    <w:rsid w:val="006B33E0"/>
    <w:rsid w:val="006B33F2"/>
    <w:rsid w:val="006B3407"/>
    <w:rsid w:val="006B3495"/>
    <w:rsid w:val="006B3542"/>
    <w:rsid w:val="006B356F"/>
    <w:rsid w:val="006B358B"/>
    <w:rsid w:val="006B35F3"/>
    <w:rsid w:val="006B362D"/>
    <w:rsid w:val="006B37C3"/>
    <w:rsid w:val="006B390C"/>
    <w:rsid w:val="006B39BF"/>
    <w:rsid w:val="006B39DE"/>
    <w:rsid w:val="006B3BC3"/>
    <w:rsid w:val="006B3C06"/>
    <w:rsid w:val="006B3C44"/>
    <w:rsid w:val="006B3CA8"/>
    <w:rsid w:val="006B3CF5"/>
    <w:rsid w:val="006B3CF9"/>
    <w:rsid w:val="006B3E5F"/>
    <w:rsid w:val="006B4008"/>
    <w:rsid w:val="006B41E5"/>
    <w:rsid w:val="006B4242"/>
    <w:rsid w:val="006B429E"/>
    <w:rsid w:val="006B448C"/>
    <w:rsid w:val="006B4515"/>
    <w:rsid w:val="006B4518"/>
    <w:rsid w:val="006B45E9"/>
    <w:rsid w:val="006B45EA"/>
    <w:rsid w:val="006B466B"/>
    <w:rsid w:val="006B46D4"/>
    <w:rsid w:val="006B49DF"/>
    <w:rsid w:val="006B4CF9"/>
    <w:rsid w:val="006B4E42"/>
    <w:rsid w:val="006B4E4E"/>
    <w:rsid w:val="006B4F7D"/>
    <w:rsid w:val="006B4F9D"/>
    <w:rsid w:val="006B50C0"/>
    <w:rsid w:val="006B5193"/>
    <w:rsid w:val="006B52D6"/>
    <w:rsid w:val="006B5335"/>
    <w:rsid w:val="006B53C9"/>
    <w:rsid w:val="006B53D0"/>
    <w:rsid w:val="006B53FD"/>
    <w:rsid w:val="006B5443"/>
    <w:rsid w:val="006B5596"/>
    <w:rsid w:val="006B55CA"/>
    <w:rsid w:val="006B567B"/>
    <w:rsid w:val="006B57A7"/>
    <w:rsid w:val="006B593A"/>
    <w:rsid w:val="006B5967"/>
    <w:rsid w:val="006B59FD"/>
    <w:rsid w:val="006B5A4E"/>
    <w:rsid w:val="006B5AAE"/>
    <w:rsid w:val="006B5B3A"/>
    <w:rsid w:val="006B5B7C"/>
    <w:rsid w:val="006B5BCE"/>
    <w:rsid w:val="006B5CF8"/>
    <w:rsid w:val="006B5DA6"/>
    <w:rsid w:val="006B5E10"/>
    <w:rsid w:val="006B5F74"/>
    <w:rsid w:val="006B5F76"/>
    <w:rsid w:val="006B5F8E"/>
    <w:rsid w:val="006B6008"/>
    <w:rsid w:val="006B6282"/>
    <w:rsid w:val="006B6349"/>
    <w:rsid w:val="006B6612"/>
    <w:rsid w:val="006B667B"/>
    <w:rsid w:val="006B672D"/>
    <w:rsid w:val="006B67C9"/>
    <w:rsid w:val="006B68D4"/>
    <w:rsid w:val="006B6929"/>
    <w:rsid w:val="006B69A3"/>
    <w:rsid w:val="006B69B7"/>
    <w:rsid w:val="006B6A6C"/>
    <w:rsid w:val="006B6AA1"/>
    <w:rsid w:val="006B6AAA"/>
    <w:rsid w:val="006B6AD6"/>
    <w:rsid w:val="006B6B46"/>
    <w:rsid w:val="006B6BCE"/>
    <w:rsid w:val="006B6C14"/>
    <w:rsid w:val="006B6C44"/>
    <w:rsid w:val="006B6CDD"/>
    <w:rsid w:val="006B6E70"/>
    <w:rsid w:val="006B6EE6"/>
    <w:rsid w:val="006B7121"/>
    <w:rsid w:val="006B71B3"/>
    <w:rsid w:val="006B722C"/>
    <w:rsid w:val="006B74F3"/>
    <w:rsid w:val="006B7535"/>
    <w:rsid w:val="006B7565"/>
    <w:rsid w:val="006B756C"/>
    <w:rsid w:val="006B759F"/>
    <w:rsid w:val="006B7643"/>
    <w:rsid w:val="006B7661"/>
    <w:rsid w:val="006B76A2"/>
    <w:rsid w:val="006B76B4"/>
    <w:rsid w:val="006B76BE"/>
    <w:rsid w:val="006B7950"/>
    <w:rsid w:val="006B7962"/>
    <w:rsid w:val="006B7982"/>
    <w:rsid w:val="006B79AE"/>
    <w:rsid w:val="006B79CD"/>
    <w:rsid w:val="006B79EC"/>
    <w:rsid w:val="006B7B9D"/>
    <w:rsid w:val="006B7BA4"/>
    <w:rsid w:val="006B7C26"/>
    <w:rsid w:val="006B7C7C"/>
    <w:rsid w:val="006B7E46"/>
    <w:rsid w:val="006B7EDF"/>
    <w:rsid w:val="006B7F78"/>
    <w:rsid w:val="006C0018"/>
    <w:rsid w:val="006C013C"/>
    <w:rsid w:val="006C016E"/>
    <w:rsid w:val="006C01AF"/>
    <w:rsid w:val="006C021C"/>
    <w:rsid w:val="006C0601"/>
    <w:rsid w:val="006C0710"/>
    <w:rsid w:val="006C07A1"/>
    <w:rsid w:val="006C08A9"/>
    <w:rsid w:val="006C08AC"/>
    <w:rsid w:val="006C0AA8"/>
    <w:rsid w:val="006C0B19"/>
    <w:rsid w:val="006C0C35"/>
    <w:rsid w:val="006C0CC8"/>
    <w:rsid w:val="006C0CCB"/>
    <w:rsid w:val="006C0CFC"/>
    <w:rsid w:val="006C0DEC"/>
    <w:rsid w:val="006C0F03"/>
    <w:rsid w:val="006C0F13"/>
    <w:rsid w:val="006C0F28"/>
    <w:rsid w:val="006C0FB3"/>
    <w:rsid w:val="006C11A1"/>
    <w:rsid w:val="006C11CD"/>
    <w:rsid w:val="006C120A"/>
    <w:rsid w:val="006C1348"/>
    <w:rsid w:val="006C134C"/>
    <w:rsid w:val="006C1381"/>
    <w:rsid w:val="006C1437"/>
    <w:rsid w:val="006C16A4"/>
    <w:rsid w:val="006C16CF"/>
    <w:rsid w:val="006C1746"/>
    <w:rsid w:val="006C175A"/>
    <w:rsid w:val="006C179A"/>
    <w:rsid w:val="006C181A"/>
    <w:rsid w:val="006C18F6"/>
    <w:rsid w:val="006C1A21"/>
    <w:rsid w:val="006C1B69"/>
    <w:rsid w:val="006C1BC4"/>
    <w:rsid w:val="006C1D2B"/>
    <w:rsid w:val="006C1DBC"/>
    <w:rsid w:val="006C1E42"/>
    <w:rsid w:val="006C1E5A"/>
    <w:rsid w:val="006C201E"/>
    <w:rsid w:val="006C2113"/>
    <w:rsid w:val="006C22BB"/>
    <w:rsid w:val="006C2516"/>
    <w:rsid w:val="006C25A6"/>
    <w:rsid w:val="006C25B8"/>
    <w:rsid w:val="006C273C"/>
    <w:rsid w:val="006C275C"/>
    <w:rsid w:val="006C2879"/>
    <w:rsid w:val="006C291F"/>
    <w:rsid w:val="006C2BFE"/>
    <w:rsid w:val="006C2C3B"/>
    <w:rsid w:val="006C2D53"/>
    <w:rsid w:val="006C2E65"/>
    <w:rsid w:val="006C2F0C"/>
    <w:rsid w:val="006C2F1B"/>
    <w:rsid w:val="006C2F7C"/>
    <w:rsid w:val="006C2FAD"/>
    <w:rsid w:val="006C30AA"/>
    <w:rsid w:val="006C312C"/>
    <w:rsid w:val="006C319E"/>
    <w:rsid w:val="006C3208"/>
    <w:rsid w:val="006C32B6"/>
    <w:rsid w:val="006C32D3"/>
    <w:rsid w:val="006C3356"/>
    <w:rsid w:val="006C348B"/>
    <w:rsid w:val="006C34EE"/>
    <w:rsid w:val="006C36E6"/>
    <w:rsid w:val="006C3702"/>
    <w:rsid w:val="006C3840"/>
    <w:rsid w:val="006C38A0"/>
    <w:rsid w:val="006C3910"/>
    <w:rsid w:val="006C3969"/>
    <w:rsid w:val="006C3985"/>
    <w:rsid w:val="006C3B31"/>
    <w:rsid w:val="006C3B8D"/>
    <w:rsid w:val="006C3C58"/>
    <w:rsid w:val="006C3C74"/>
    <w:rsid w:val="006C3C8B"/>
    <w:rsid w:val="006C3D72"/>
    <w:rsid w:val="006C3FA0"/>
    <w:rsid w:val="006C401E"/>
    <w:rsid w:val="006C409E"/>
    <w:rsid w:val="006C40D2"/>
    <w:rsid w:val="006C40D8"/>
    <w:rsid w:val="006C40D9"/>
    <w:rsid w:val="006C40DA"/>
    <w:rsid w:val="006C4127"/>
    <w:rsid w:val="006C4266"/>
    <w:rsid w:val="006C4309"/>
    <w:rsid w:val="006C431C"/>
    <w:rsid w:val="006C438D"/>
    <w:rsid w:val="006C43EB"/>
    <w:rsid w:val="006C43F5"/>
    <w:rsid w:val="006C45A3"/>
    <w:rsid w:val="006C4623"/>
    <w:rsid w:val="006C4709"/>
    <w:rsid w:val="006C485C"/>
    <w:rsid w:val="006C4862"/>
    <w:rsid w:val="006C4877"/>
    <w:rsid w:val="006C49D1"/>
    <w:rsid w:val="006C4BE5"/>
    <w:rsid w:val="006C4C9B"/>
    <w:rsid w:val="006C4CC4"/>
    <w:rsid w:val="006C4CE4"/>
    <w:rsid w:val="006C4DC7"/>
    <w:rsid w:val="006C4FC8"/>
    <w:rsid w:val="006C5263"/>
    <w:rsid w:val="006C5349"/>
    <w:rsid w:val="006C53F1"/>
    <w:rsid w:val="006C54A2"/>
    <w:rsid w:val="006C54C3"/>
    <w:rsid w:val="006C552F"/>
    <w:rsid w:val="006C55C9"/>
    <w:rsid w:val="006C565D"/>
    <w:rsid w:val="006C5718"/>
    <w:rsid w:val="006C5784"/>
    <w:rsid w:val="006C57F5"/>
    <w:rsid w:val="006C5845"/>
    <w:rsid w:val="006C5912"/>
    <w:rsid w:val="006C5BFA"/>
    <w:rsid w:val="006C5BFD"/>
    <w:rsid w:val="006C5CF3"/>
    <w:rsid w:val="006C5D12"/>
    <w:rsid w:val="006C5D15"/>
    <w:rsid w:val="006C5F7C"/>
    <w:rsid w:val="006C5F8E"/>
    <w:rsid w:val="006C5F9A"/>
    <w:rsid w:val="006C6159"/>
    <w:rsid w:val="006C61A2"/>
    <w:rsid w:val="006C61B0"/>
    <w:rsid w:val="006C6208"/>
    <w:rsid w:val="006C6233"/>
    <w:rsid w:val="006C6247"/>
    <w:rsid w:val="006C62C5"/>
    <w:rsid w:val="006C6377"/>
    <w:rsid w:val="006C6553"/>
    <w:rsid w:val="006C65FC"/>
    <w:rsid w:val="006C6655"/>
    <w:rsid w:val="006C6675"/>
    <w:rsid w:val="006C67AE"/>
    <w:rsid w:val="006C6862"/>
    <w:rsid w:val="006C693B"/>
    <w:rsid w:val="006C6958"/>
    <w:rsid w:val="006C69C5"/>
    <w:rsid w:val="006C69CD"/>
    <w:rsid w:val="006C6A9A"/>
    <w:rsid w:val="006C6AE1"/>
    <w:rsid w:val="006C6B01"/>
    <w:rsid w:val="006C6BA7"/>
    <w:rsid w:val="006C6BB8"/>
    <w:rsid w:val="006C6BE6"/>
    <w:rsid w:val="006C6D22"/>
    <w:rsid w:val="006C6D3B"/>
    <w:rsid w:val="006C6D48"/>
    <w:rsid w:val="006C6D4D"/>
    <w:rsid w:val="006C6D6D"/>
    <w:rsid w:val="006C6DE2"/>
    <w:rsid w:val="006C6E0B"/>
    <w:rsid w:val="006C6E12"/>
    <w:rsid w:val="006C6F07"/>
    <w:rsid w:val="006C709A"/>
    <w:rsid w:val="006C7104"/>
    <w:rsid w:val="006C7122"/>
    <w:rsid w:val="006C712F"/>
    <w:rsid w:val="006C7335"/>
    <w:rsid w:val="006C736C"/>
    <w:rsid w:val="006C7422"/>
    <w:rsid w:val="006C745C"/>
    <w:rsid w:val="006C74F1"/>
    <w:rsid w:val="006C74FA"/>
    <w:rsid w:val="006C7520"/>
    <w:rsid w:val="006C752A"/>
    <w:rsid w:val="006C7655"/>
    <w:rsid w:val="006C7699"/>
    <w:rsid w:val="006C773B"/>
    <w:rsid w:val="006C7790"/>
    <w:rsid w:val="006C786C"/>
    <w:rsid w:val="006C78F7"/>
    <w:rsid w:val="006C7942"/>
    <w:rsid w:val="006C79C0"/>
    <w:rsid w:val="006C7AEC"/>
    <w:rsid w:val="006C7B25"/>
    <w:rsid w:val="006C7BC9"/>
    <w:rsid w:val="006C7C54"/>
    <w:rsid w:val="006C7CF3"/>
    <w:rsid w:val="006C7E07"/>
    <w:rsid w:val="006C7E29"/>
    <w:rsid w:val="006C7ECD"/>
    <w:rsid w:val="006D0048"/>
    <w:rsid w:val="006D008E"/>
    <w:rsid w:val="006D010C"/>
    <w:rsid w:val="006D0137"/>
    <w:rsid w:val="006D014D"/>
    <w:rsid w:val="006D01C8"/>
    <w:rsid w:val="006D02D5"/>
    <w:rsid w:val="006D0320"/>
    <w:rsid w:val="006D0340"/>
    <w:rsid w:val="006D0398"/>
    <w:rsid w:val="006D039D"/>
    <w:rsid w:val="006D03D4"/>
    <w:rsid w:val="006D041F"/>
    <w:rsid w:val="006D0631"/>
    <w:rsid w:val="006D072C"/>
    <w:rsid w:val="006D0997"/>
    <w:rsid w:val="006D0A4C"/>
    <w:rsid w:val="006D0BA4"/>
    <w:rsid w:val="006D0BB8"/>
    <w:rsid w:val="006D0C9D"/>
    <w:rsid w:val="006D0CA5"/>
    <w:rsid w:val="006D0D16"/>
    <w:rsid w:val="006D0D3C"/>
    <w:rsid w:val="006D0D9C"/>
    <w:rsid w:val="006D1155"/>
    <w:rsid w:val="006D11B1"/>
    <w:rsid w:val="006D1223"/>
    <w:rsid w:val="006D1297"/>
    <w:rsid w:val="006D12B2"/>
    <w:rsid w:val="006D12C7"/>
    <w:rsid w:val="006D1494"/>
    <w:rsid w:val="006D1518"/>
    <w:rsid w:val="006D1589"/>
    <w:rsid w:val="006D1841"/>
    <w:rsid w:val="006D1845"/>
    <w:rsid w:val="006D19F0"/>
    <w:rsid w:val="006D1B55"/>
    <w:rsid w:val="006D1BCB"/>
    <w:rsid w:val="006D1BEE"/>
    <w:rsid w:val="006D1D4E"/>
    <w:rsid w:val="006D1E08"/>
    <w:rsid w:val="006D1EBB"/>
    <w:rsid w:val="006D1F54"/>
    <w:rsid w:val="006D2080"/>
    <w:rsid w:val="006D2340"/>
    <w:rsid w:val="006D23C7"/>
    <w:rsid w:val="006D23F0"/>
    <w:rsid w:val="006D2470"/>
    <w:rsid w:val="006D26DD"/>
    <w:rsid w:val="006D2714"/>
    <w:rsid w:val="006D2778"/>
    <w:rsid w:val="006D28D3"/>
    <w:rsid w:val="006D2907"/>
    <w:rsid w:val="006D290D"/>
    <w:rsid w:val="006D2A3B"/>
    <w:rsid w:val="006D2BBF"/>
    <w:rsid w:val="006D2BE7"/>
    <w:rsid w:val="006D2EF6"/>
    <w:rsid w:val="006D3087"/>
    <w:rsid w:val="006D30B5"/>
    <w:rsid w:val="006D30B6"/>
    <w:rsid w:val="006D30CE"/>
    <w:rsid w:val="006D3112"/>
    <w:rsid w:val="006D3215"/>
    <w:rsid w:val="006D3216"/>
    <w:rsid w:val="006D34C0"/>
    <w:rsid w:val="006D34D6"/>
    <w:rsid w:val="006D3553"/>
    <w:rsid w:val="006D3636"/>
    <w:rsid w:val="006D36A0"/>
    <w:rsid w:val="006D3700"/>
    <w:rsid w:val="006D3703"/>
    <w:rsid w:val="006D3729"/>
    <w:rsid w:val="006D3805"/>
    <w:rsid w:val="006D38BD"/>
    <w:rsid w:val="006D3913"/>
    <w:rsid w:val="006D3A70"/>
    <w:rsid w:val="006D3ACF"/>
    <w:rsid w:val="006D3BC3"/>
    <w:rsid w:val="006D3D06"/>
    <w:rsid w:val="006D3D1C"/>
    <w:rsid w:val="006D3D57"/>
    <w:rsid w:val="006D3E4A"/>
    <w:rsid w:val="006D3E4F"/>
    <w:rsid w:val="006D3EB2"/>
    <w:rsid w:val="006D3ECA"/>
    <w:rsid w:val="006D3FD1"/>
    <w:rsid w:val="006D4065"/>
    <w:rsid w:val="006D412D"/>
    <w:rsid w:val="006D41F1"/>
    <w:rsid w:val="006D4289"/>
    <w:rsid w:val="006D4321"/>
    <w:rsid w:val="006D434D"/>
    <w:rsid w:val="006D43D2"/>
    <w:rsid w:val="006D4439"/>
    <w:rsid w:val="006D448B"/>
    <w:rsid w:val="006D453E"/>
    <w:rsid w:val="006D457D"/>
    <w:rsid w:val="006D458D"/>
    <w:rsid w:val="006D4599"/>
    <w:rsid w:val="006D45C1"/>
    <w:rsid w:val="006D464D"/>
    <w:rsid w:val="006D46BF"/>
    <w:rsid w:val="006D4708"/>
    <w:rsid w:val="006D4744"/>
    <w:rsid w:val="006D4797"/>
    <w:rsid w:val="006D485A"/>
    <w:rsid w:val="006D488C"/>
    <w:rsid w:val="006D48C7"/>
    <w:rsid w:val="006D49A6"/>
    <w:rsid w:val="006D4A26"/>
    <w:rsid w:val="006D4A85"/>
    <w:rsid w:val="006D4AD0"/>
    <w:rsid w:val="006D4B20"/>
    <w:rsid w:val="006D4B79"/>
    <w:rsid w:val="006D4BA2"/>
    <w:rsid w:val="006D4BDB"/>
    <w:rsid w:val="006D4C45"/>
    <w:rsid w:val="006D4CFE"/>
    <w:rsid w:val="006D4DA7"/>
    <w:rsid w:val="006D4DBC"/>
    <w:rsid w:val="006D4DCF"/>
    <w:rsid w:val="006D4EFD"/>
    <w:rsid w:val="006D4F05"/>
    <w:rsid w:val="006D51F6"/>
    <w:rsid w:val="006D529F"/>
    <w:rsid w:val="006D52F8"/>
    <w:rsid w:val="006D54F5"/>
    <w:rsid w:val="006D551E"/>
    <w:rsid w:val="006D55DD"/>
    <w:rsid w:val="006D567B"/>
    <w:rsid w:val="006D5788"/>
    <w:rsid w:val="006D578C"/>
    <w:rsid w:val="006D5802"/>
    <w:rsid w:val="006D5846"/>
    <w:rsid w:val="006D5901"/>
    <w:rsid w:val="006D5A1F"/>
    <w:rsid w:val="006D5AEC"/>
    <w:rsid w:val="006D5B9C"/>
    <w:rsid w:val="006D5C02"/>
    <w:rsid w:val="006D5D22"/>
    <w:rsid w:val="006D5EC8"/>
    <w:rsid w:val="006D5F19"/>
    <w:rsid w:val="006D5F64"/>
    <w:rsid w:val="006D5FB8"/>
    <w:rsid w:val="006D5FD0"/>
    <w:rsid w:val="006D6043"/>
    <w:rsid w:val="006D61DF"/>
    <w:rsid w:val="006D6292"/>
    <w:rsid w:val="006D629C"/>
    <w:rsid w:val="006D6322"/>
    <w:rsid w:val="006D6347"/>
    <w:rsid w:val="006D6364"/>
    <w:rsid w:val="006D646E"/>
    <w:rsid w:val="006D64AB"/>
    <w:rsid w:val="006D650B"/>
    <w:rsid w:val="006D65C9"/>
    <w:rsid w:val="006D6676"/>
    <w:rsid w:val="006D66A5"/>
    <w:rsid w:val="006D66C7"/>
    <w:rsid w:val="006D66D4"/>
    <w:rsid w:val="006D6721"/>
    <w:rsid w:val="006D677B"/>
    <w:rsid w:val="006D67B0"/>
    <w:rsid w:val="006D67EA"/>
    <w:rsid w:val="006D67EF"/>
    <w:rsid w:val="006D67F6"/>
    <w:rsid w:val="006D6898"/>
    <w:rsid w:val="006D6909"/>
    <w:rsid w:val="006D6ABA"/>
    <w:rsid w:val="006D6B7E"/>
    <w:rsid w:val="006D6C02"/>
    <w:rsid w:val="006D6E96"/>
    <w:rsid w:val="006D6ECE"/>
    <w:rsid w:val="006D6F63"/>
    <w:rsid w:val="006D7031"/>
    <w:rsid w:val="006D709A"/>
    <w:rsid w:val="006D70DC"/>
    <w:rsid w:val="006D71A4"/>
    <w:rsid w:val="006D7252"/>
    <w:rsid w:val="006D72EE"/>
    <w:rsid w:val="006D7379"/>
    <w:rsid w:val="006D7502"/>
    <w:rsid w:val="006D7587"/>
    <w:rsid w:val="006D75C0"/>
    <w:rsid w:val="006D76AD"/>
    <w:rsid w:val="006D7747"/>
    <w:rsid w:val="006D78D2"/>
    <w:rsid w:val="006D7A61"/>
    <w:rsid w:val="006D7B28"/>
    <w:rsid w:val="006D7BBB"/>
    <w:rsid w:val="006D7C45"/>
    <w:rsid w:val="006D7D15"/>
    <w:rsid w:val="006D7D39"/>
    <w:rsid w:val="006D7D41"/>
    <w:rsid w:val="006D7DD4"/>
    <w:rsid w:val="006D7DDB"/>
    <w:rsid w:val="006D7DFE"/>
    <w:rsid w:val="006D7E7A"/>
    <w:rsid w:val="006D7F2A"/>
    <w:rsid w:val="006D7FDD"/>
    <w:rsid w:val="006D7FFB"/>
    <w:rsid w:val="006E0159"/>
    <w:rsid w:val="006E0219"/>
    <w:rsid w:val="006E023B"/>
    <w:rsid w:val="006E0347"/>
    <w:rsid w:val="006E0370"/>
    <w:rsid w:val="006E0409"/>
    <w:rsid w:val="006E058A"/>
    <w:rsid w:val="006E061B"/>
    <w:rsid w:val="006E0754"/>
    <w:rsid w:val="006E075D"/>
    <w:rsid w:val="006E0797"/>
    <w:rsid w:val="006E07FC"/>
    <w:rsid w:val="006E0809"/>
    <w:rsid w:val="006E0928"/>
    <w:rsid w:val="006E099A"/>
    <w:rsid w:val="006E09EE"/>
    <w:rsid w:val="006E0AD7"/>
    <w:rsid w:val="006E0B1A"/>
    <w:rsid w:val="006E0B30"/>
    <w:rsid w:val="006E0B3F"/>
    <w:rsid w:val="006E0B5F"/>
    <w:rsid w:val="006E0D65"/>
    <w:rsid w:val="006E0E44"/>
    <w:rsid w:val="006E0E5A"/>
    <w:rsid w:val="006E0F4D"/>
    <w:rsid w:val="006E0FB6"/>
    <w:rsid w:val="006E1028"/>
    <w:rsid w:val="006E111F"/>
    <w:rsid w:val="006E1151"/>
    <w:rsid w:val="006E11B5"/>
    <w:rsid w:val="006E11DC"/>
    <w:rsid w:val="006E11F8"/>
    <w:rsid w:val="006E120C"/>
    <w:rsid w:val="006E12C1"/>
    <w:rsid w:val="006E1422"/>
    <w:rsid w:val="006E147C"/>
    <w:rsid w:val="006E1552"/>
    <w:rsid w:val="006E15A1"/>
    <w:rsid w:val="006E1677"/>
    <w:rsid w:val="006E16B0"/>
    <w:rsid w:val="006E176C"/>
    <w:rsid w:val="006E17EA"/>
    <w:rsid w:val="006E17F0"/>
    <w:rsid w:val="006E1892"/>
    <w:rsid w:val="006E1909"/>
    <w:rsid w:val="006E1916"/>
    <w:rsid w:val="006E195B"/>
    <w:rsid w:val="006E196B"/>
    <w:rsid w:val="006E1A0F"/>
    <w:rsid w:val="006E1A2C"/>
    <w:rsid w:val="006E1A43"/>
    <w:rsid w:val="006E1A72"/>
    <w:rsid w:val="006E1B74"/>
    <w:rsid w:val="006E1B79"/>
    <w:rsid w:val="006E1C10"/>
    <w:rsid w:val="006E1C37"/>
    <w:rsid w:val="006E1CF4"/>
    <w:rsid w:val="006E1D03"/>
    <w:rsid w:val="006E1D39"/>
    <w:rsid w:val="006E1D55"/>
    <w:rsid w:val="006E1E40"/>
    <w:rsid w:val="006E1EC4"/>
    <w:rsid w:val="006E1FB7"/>
    <w:rsid w:val="006E2052"/>
    <w:rsid w:val="006E20A8"/>
    <w:rsid w:val="006E2180"/>
    <w:rsid w:val="006E229F"/>
    <w:rsid w:val="006E22A0"/>
    <w:rsid w:val="006E22D3"/>
    <w:rsid w:val="006E2346"/>
    <w:rsid w:val="006E2354"/>
    <w:rsid w:val="006E2359"/>
    <w:rsid w:val="006E243C"/>
    <w:rsid w:val="006E2493"/>
    <w:rsid w:val="006E24F2"/>
    <w:rsid w:val="006E2588"/>
    <w:rsid w:val="006E2619"/>
    <w:rsid w:val="006E26B3"/>
    <w:rsid w:val="006E279B"/>
    <w:rsid w:val="006E28D3"/>
    <w:rsid w:val="006E2950"/>
    <w:rsid w:val="006E2A0D"/>
    <w:rsid w:val="006E2AA9"/>
    <w:rsid w:val="006E2B4C"/>
    <w:rsid w:val="006E2B99"/>
    <w:rsid w:val="006E2B9D"/>
    <w:rsid w:val="006E2CF1"/>
    <w:rsid w:val="006E2D14"/>
    <w:rsid w:val="006E2D6E"/>
    <w:rsid w:val="006E2D9E"/>
    <w:rsid w:val="006E2E01"/>
    <w:rsid w:val="006E2E86"/>
    <w:rsid w:val="006E2FB0"/>
    <w:rsid w:val="006E2FF6"/>
    <w:rsid w:val="006E3058"/>
    <w:rsid w:val="006E32D2"/>
    <w:rsid w:val="006E3315"/>
    <w:rsid w:val="006E33FF"/>
    <w:rsid w:val="006E3421"/>
    <w:rsid w:val="006E345F"/>
    <w:rsid w:val="006E35F4"/>
    <w:rsid w:val="006E365A"/>
    <w:rsid w:val="006E368E"/>
    <w:rsid w:val="006E36C5"/>
    <w:rsid w:val="006E36D9"/>
    <w:rsid w:val="006E36DC"/>
    <w:rsid w:val="006E371B"/>
    <w:rsid w:val="006E3741"/>
    <w:rsid w:val="006E376C"/>
    <w:rsid w:val="006E379B"/>
    <w:rsid w:val="006E38AB"/>
    <w:rsid w:val="006E3A8E"/>
    <w:rsid w:val="006E3AA4"/>
    <w:rsid w:val="006E3B55"/>
    <w:rsid w:val="006E3BDC"/>
    <w:rsid w:val="006E3C77"/>
    <w:rsid w:val="006E3CBE"/>
    <w:rsid w:val="006E3CF4"/>
    <w:rsid w:val="006E3D17"/>
    <w:rsid w:val="006E3D8F"/>
    <w:rsid w:val="006E3EAA"/>
    <w:rsid w:val="006E3F17"/>
    <w:rsid w:val="006E3FF4"/>
    <w:rsid w:val="006E4073"/>
    <w:rsid w:val="006E40E1"/>
    <w:rsid w:val="006E4149"/>
    <w:rsid w:val="006E41E0"/>
    <w:rsid w:val="006E427B"/>
    <w:rsid w:val="006E42A6"/>
    <w:rsid w:val="006E430A"/>
    <w:rsid w:val="006E431C"/>
    <w:rsid w:val="006E43D8"/>
    <w:rsid w:val="006E43EB"/>
    <w:rsid w:val="006E44BD"/>
    <w:rsid w:val="006E44E3"/>
    <w:rsid w:val="006E4756"/>
    <w:rsid w:val="006E4777"/>
    <w:rsid w:val="006E47F1"/>
    <w:rsid w:val="006E4849"/>
    <w:rsid w:val="006E487A"/>
    <w:rsid w:val="006E48B7"/>
    <w:rsid w:val="006E48BF"/>
    <w:rsid w:val="006E4982"/>
    <w:rsid w:val="006E4A36"/>
    <w:rsid w:val="006E4A9E"/>
    <w:rsid w:val="006E4ACA"/>
    <w:rsid w:val="006E4B36"/>
    <w:rsid w:val="006E4D70"/>
    <w:rsid w:val="006E4DF2"/>
    <w:rsid w:val="006E4E7C"/>
    <w:rsid w:val="006E4F3D"/>
    <w:rsid w:val="006E5194"/>
    <w:rsid w:val="006E51AF"/>
    <w:rsid w:val="006E52AB"/>
    <w:rsid w:val="006E53BB"/>
    <w:rsid w:val="006E55BB"/>
    <w:rsid w:val="006E55D6"/>
    <w:rsid w:val="006E5654"/>
    <w:rsid w:val="006E575D"/>
    <w:rsid w:val="006E57C0"/>
    <w:rsid w:val="006E57F8"/>
    <w:rsid w:val="006E5824"/>
    <w:rsid w:val="006E58BD"/>
    <w:rsid w:val="006E58D0"/>
    <w:rsid w:val="006E5A84"/>
    <w:rsid w:val="006E5B16"/>
    <w:rsid w:val="006E5BBB"/>
    <w:rsid w:val="006E5BE0"/>
    <w:rsid w:val="006E5D26"/>
    <w:rsid w:val="006E5D84"/>
    <w:rsid w:val="006E6121"/>
    <w:rsid w:val="006E6328"/>
    <w:rsid w:val="006E6377"/>
    <w:rsid w:val="006E63AE"/>
    <w:rsid w:val="006E6517"/>
    <w:rsid w:val="006E656F"/>
    <w:rsid w:val="006E6706"/>
    <w:rsid w:val="006E6748"/>
    <w:rsid w:val="006E69C7"/>
    <w:rsid w:val="006E6A0E"/>
    <w:rsid w:val="006E6A61"/>
    <w:rsid w:val="006E6AEC"/>
    <w:rsid w:val="006E6AFB"/>
    <w:rsid w:val="006E6B78"/>
    <w:rsid w:val="006E6BD2"/>
    <w:rsid w:val="006E6BFF"/>
    <w:rsid w:val="006E6C2A"/>
    <w:rsid w:val="006E6C65"/>
    <w:rsid w:val="006E6F00"/>
    <w:rsid w:val="006E6F22"/>
    <w:rsid w:val="006E6FE3"/>
    <w:rsid w:val="006E6FF8"/>
    <w:rsid w:val="006E7056"/>
    <w:rsid w:val="006E70BC"/>
    <w:rsid w:val="006E70C8"/>
    <w:rsid w:val="006E7157"/>
    <w:rsid w:val="006E7212"/>
    <w:rsid w:val="006E7240"/>
    <w:rsid w:val="006E73CC"/>
    <w:rsid w:val="006E7447"/>
    <w:rsid w:val="006E7579"/>
    <w:rsid w:val="006E75E2"/>
    <w:rsid w:val="006E7612"/>
    <w:rsid w:val="006E76EC"/>
    <w:rsid w:val="006E77FD"/>
    <w:rsid w:val="006E78D2"/>
    <w:rsid w:val="006E78D5"/>
    <w:rsid w:val="006E79D6"/>
    <w:rsid w:val="006E7A34"/>
    <w:rsid w:val="006E7AA6"/>
    <w:rsid w:val="006E7ADD"/>
    <w:rsid w:val="006E7AF4"/>
    <w:rsid w:val="006E7B20"/>
    <w:rsid w:val="006E7C70"/>
    <w:rsid w:val="006E7CB6"/>
    <w:rsid w:val="006E7CC0"/>
    <w:rsid w:val="006E7DE4"/>
    <w:rsid w:val="006E7F3F"/>
    <w:rsid w:val="006F0179"/>
    <w:rsid w:val="006F017F"/>
    <w:rsid w:val="006F01D5"/>
    <w:rsid w:val="006F024A"/>
    <w:rsid w:val="006F028C"/>
    <w:rsid w:val="006F028F"/>
    <w:rsid w:val="006F02C2"/>
    <w:rsid w:val="006F032C"/>
    <w:rsid w:val="006F0353"/>
    <w:rsid w:val="006F03E0"/>
    <w:rsid w:val="006F03F9"/>
    <w:rsid w:val="006F04C5"/>
    <w:rsid w:val="006F0572"/>
    <w:rsid w:val="006F057B"/>
    <w:rsid w:val="006F05C4"/>
    <w:rsid w:val="006F079E"/>
    <w:rsid w:val="006F07EF"/>
    <w:rsid w:val="006F0801"/>
    <w:rsid w:val="006F084C"/>
    <w:rsid w:val="006F093B"/>
    <w:rsid w:val="006F09C2"/>
    <w:rsid w:val="006F0A36"/>
    <w:rsid w:val="006F0A94"/>
    <w:rsid w:val="006F0B28"/>
    <w:rsid w:val="006F0B2D"/>
    <w:rsid w:val="006F0C27"/>
    <w:rsid w:val="006F0CD0"/>
    <w:rsid w:val="006F0D6F"/>
    <w:rsid w:val="006F0DA7"/>
    <w:rsid w:val="006F0DFE"/>
    <w:rsid w:val="006F0EEE"/>
    <w:rsid w:val="006F10AF"/>
    <w:rsid w:val="006F1170"/>
    <w:rsid w:val="006F11E1"/>
    <w:rsid w:val="006F1271"/>
    <w:rsid w:val="006F12BC"/>
    <w:rsid w:val="006F131F"/>
    <w:rsid w:val="006F1326"/>
    <w:rsid w:val="006F1377"/>
    <w:rsid w:val="006F13FE"/>
    <w:rsid w:val="006F1406"/>
    <w:rsid w:val="006F1424"/>
    <w:rsid w:val="006F143F"/>
    <w:rsid w:val="006F145A"/>
    <w:rsid w:val="006F14A8"/>
    <w:rsid w:val="006F15AF"/>
    <w:rsid w:val="006F1605"/>
    <w:rsid w:val="006F167B"/>
    <w:rsid w:val="006F16DA"/>
    <w:rsid w:val="006F1764"/>
    <w:rsid w:val="006F1788"/>
    <w:rsid w:val="006F1790"/>
    <w:rsid w:val="006F17F9"/>
    <w:rsid w:val="006F196E"/>
    <w:rsid w:val="006F19EE"/>
    <w:rsid w:val="006F1AB5"/>
    <w:rsid w:val="006F1C31"/>
    <w:rsid w:val="006F1DF7"/>
    <w:rsid w:val="006F1E75"/>
    <w:rsid w:val="006F1EB2"/>
    <w:rsid w:val="006F1ECE"/>
    <w:rsid w:val="006F1EDA"/>
    <w:rsid w:val="006F1F42"/>
    <w:rsid w:val="006F1F82"/>
    <w:rsid w:val="006F1FE8"/>
    <w:rsid w:val="006F1FF9"/>
    <w:rsid w:val="006F203E"/>
    <w:rsid w:val="006F2113"/>
    <w:rsid w:val="006F2158"/>
    <w:rsid w:val="006F21E4"/>
    <w:rsid w:val="006F21F6"/>
    <w:rsid w:val="006F22E9"/>
    <w:rsid w:val="006F2301"/>
    <w:rsid w:val="006F24EE"/>
    <w:rsid w:val="006F2559"/>
    <w:rsid w:val="006F256E"/>
    <w:rsid w:val="006F258E"/>
    <w:rsid w:val="006F259D"/>
    <w:rsid w:val="006F2649"/>
    <w:rsid w:val="006F2650"/>
    <w:rsid w:val="006F2674"/>
    <w:rsid w:val="006F26B1"/>
    <w:rsid w:val="006F2742"/>
    <w:rsid w:val="006F275C"/>
    <w:rsid w:val="006F27D7"/>
    <w:rsid w:val="006F281B"/>
    <w:rsid w:val="006F287B"/>
    <w:rsid w:val="006F2901"/>
    <w:rsid w:val="006F293A"/>
    <w:rsid w:val="006F2970"/>
    <w:rsid w:val="006F29B0"/>
    <w:rsid w:val="006F29E3"/>
    <w:rsid w:val="006F2A33"/>
    <w:rsid w:val="006F2AAA"/>
    <w:rsid w:val="006F2B1C"/>
    <w:rsid w:val="006F2CAD"/>
    <w:rsid w:val="006F2D93"/>
    <w:rsid w:val="006F2DFD"/>
    <w:rsid w:val="006F2F0A"/>
    <w:rsid w:val="006F2FD6"/>
    <w:rsid w:val="006F3177"/>
    <w:rsid w:val="006F32DA"/>
    <w:rsid w:val="006F3329"/>
    <w:rsid w:val="006F3379"/>
    <w:rsid w:val="006F33EC"/>
    <w:rsid w:val="006F3417"/>
    <w:rsid w:val="006F34EE"/>
    <w:rsid w:val="006F35B2"/>
    <w:rsid w:val="006F35DE"/>
    <w:rsid w:val="006F35FE"/>
    <w:rsid w:val="006F3759"/>
    <w:rsid w:val="006F3992"/>
    <w:rsid w:val="006F39F1"/>
    <w:rsid w:val="006F3A0C"/>
    <w:rsid w:val="006F3A56"/>
    <w:rsid w:val="006F3AB3"/>
    <w:rsid w:val="006F3BC8"/>
    <w:rsid w:val="006F3CA4"/>
    <w:rsid w:val="006F3DB7"/>
    <w:rsid w:val="006F3DC7"/>
    <w:rsid w:val="006F3E5F"/>
    <w:rsid w:val="006F3F1C"/>
    <w:rsid w:val="006F40C5"/>
    <w:rsid w:val="006F40D8"/>
    <w:rsid w:val="006F4235"/>
    <w:rsid w:val="006F4265"/>
    <w:rsid w:val="006F4294"/>
    <w:rsid w:val="006F4319"/>
    <w:rsid w:val="006F4538"/>
    <w:rsid w:val="006F456E"/>
    <w:rsid w:val="006F457D"/>
    <w:rsid w:val="006F45D1"/>
    <w:rsid w:val="006F4612"/>
    <w:rsid w:val="006F4618"/>
    <w:rsid w:val="006F482D"/>
    <w:rsid w:val="006F4847"/>
    <w:rsid w:val="006F4848"/>
    <w:rsid w:val="006F4863"/>
    <w:rsid w:val="006F4887"/>
    <w:rsid w:val="006F4890"/>
    <w:rsid w:val="006F4900"/>
    <w:rsid w:val="006F49B7"/>
    <w:rsid w:val="006F49DF"/>
    <w:rsid w:val="006F49FD"/>
    <w:rsid w:val="006F4A58"/>
    <w:rsid w:val="006F4AF5"/>
    <w:rsid w:val="006F4BEB"/>
    <w:rsid w:val="006F4C03"/>
    <w:rsid w:val="006F4C65"/>
    <w:rsid w:val="006F4CF2"/>
    <w:rsid w:val="006F4CFF"/>
    <w:rsid w:val="006F4D35"/>
    <w:rsid w:val="006F4D94"/>
    <w:rsid w:val="006F4E62"/>
    <w:rsid w:val="006F4EC4"/>
    <w:rsid w:val="006F4EE8"/>
    <w:rsid w:val="006F4F08"/>
    <w:rsid w:val="006F4F45"/>
    <w:rsid w:val="006F4F95"/>
    <w:rsid w:val="006F5054"/>
    <w:rsid w:val="006F50FC"/>
    <w:rsid w:val="006F510F"/>
    <w:rsid w:val="006F511C"/>
    <w:rsid w:val="006F52CF"/>
    <w:rsid w:val="006F53BA"/>
    <w:rsid w:val="006F54BA"/>
    <w:rsid w:val="006F56A1"/>
    <w:rsid w:val="006F56D1"/>
    <w:rsid w:val="006F5741"/>
    <w:rsid w:val="006F5751"/>
    <w:rsid w:val="006F582D"/>
    <w:rsid w:val="006F589A"/>
    <w:rsid w:val="006F58AB"/>
    <w:rsid w:val="006F58B8"/>
    <w:rsid w:val="006F5901"/>
    <w:rsid w:val="006F5A5C"/>
    <w:rsid w:val="006F5A89"/>
    <w:rsid w:val="006F5B92"/>
    <w:rsid w:val="006F5BAB"/>
    <w:rsid w:val="006F5CAE"/>
    <w:rsid w:val="006F5CE7"/>
    <w:rsid w:val="006F5EE8"/>
    <w:rsid w:val="006F5EF4"/>
    <w:rsid w:val="006F5F4E"/>
    <w:rsid w:val="006F5F7F"/>
    <w:rsid w:val="006F5F8E"/>
    <w:rsid w:val="006F60B1"/>
    <w:rsid w:val="006F6163"/>
    <w:rsid w:val="006F623C"/>
    <w:rsid w:val="006F630A"/>
    <w:rsid w:val="006F6312"/>
    <w:rsid w:val="006F63D6"/>
    <w:rsid w:val="006F6412"/>
    <w:rsid w:val="006F648F"/>
    <w:rsid w:val="006F6492"/>
    <w:rsid w:val="006F651A"/>
    <w:rsid w:val="006F65FE"/>
    <w:rsid w:val="006F662B"/>
    <w:rsid w:val="006F676F"/>
    <w:rsid w:val="006F67E2"/>
    <w:rsid w:val="006F6842"/>
    <w:rsid w:val="006F6884"/>
    <w:rsid w:val="006F6981"/>
    <w:rsid w:val="006F69B5"/>
    <w:rsid w:val="006F69EB"/>
    <w:rsid w:val="006F6B94"/>
    <w:rsid w:val="006F6BEC"/>
    <w:rsid w:val="006F6C71"/>
    <w:rsid w:val="006F6DBD"/>
    <w:rsid w:val="006F6DE9"/>
    <w:rsid w:val="006F6E27"/>
    <w:rsid w:val="006F6EAB"/>
    <w:rsid w:val="006F6EE0"/>
    <w:rsid w:val="006F7009"/>
    <w:rsid w:val="006F72C6"/>
    <w:rsid w:val="006F738F"/>
    <w:rsid w:val="006F73AA"/>
    <w:rsid w:val="006F73EF"/>
    <w:rsid w:val="006F7504"/>
    <w:rsid w:val="006F7664"/>
    <w:rsid w:val="006F7666"/>
    <w:rsid w:val="006F76EB"/>
    <w:rsid w:val="006F7751"/>
    <w:rsid w:val="006F78BD"/>
    <w:rsid w:val="006F7990"/>
    <w:rsid w:val="006F79C4"/>
    <w:rsid w:val="006F7A5F"/>
    <w:rsid w:val="006F7DBB"/>
    <w:rsid w:val="006F7E0E"/>
    <w:rsid w:val="006F7E4C"/>
    <w:rsid w:val="006F7E7F"/>
    <w:rsid w:val="006F7EAC"/>
    <w:rsid w:val="006F7F3B"/>
    <w:rsid w:val="006F7FB0"/>
    <w:rsid w:val="00700099"/>
    <w:rsid w:val="007000F9"/>
    <w:rsid w:val="00700241"/>
    <w:rsid w:val="00700242"/>
    <w:rsid w:val="00700286"/>
    <w:rsid w:val="007002BE"/>
    <w:rsid w:val="007002D9"/>
    <w:rsid w:val="00700594"/>
    <w:rsid w:val="007007BC"/>
    <w:rsid w:val="00700ADB"/>
    <w:rsid w:val="00700B4C"/>
    <w:rsid w:val="00700CE5"/>
    <w:rsid w:val="00700D09"/>
    <w:rsid w:val="00700D9D"/>
    <w:rsid w:val="00700DFE"/>
    <w:rsid w:val="00700E30"/>
    <w:rsid w:val="00700E37"/>
    <w:rsid w:val="00700ED6"/>
    <w:rsid w:val="00700FF7"/>
    <w:rsid w:val="0070100F"/>
    <w:rsid w:val="00701014"/>
    <w:rsid w:val="007010D5"/>
    <w:rsid w:val="00701138"/>
    <w:rsid w:val="00701180"/>
    <w:rsid w:val="00701181"/>
    <w:rsid w:val="007011EB"/>
    <w:rsid w:val="007012FD"/>
    <w:rsid w:val="00701393"/>
    <w:rsid w:val="007016D1"/>
    <w:rsid w:val="00701710"/>
    <w:rsid w:val="0070171E"/>
    <w:rsid w:val="0070174B"/>
    <w:rsid w:val="00701767"/>
    <w:rsid w:val="0070178D"/>
    <w:rsid w:val="00701820"/>
    <w:rsid w:val="007018CA"/>
    <w:rsid w:val="00701ABE"/>
    <w:rsid w:val="00701B44"/>
    <w:rsid w:val="00701B56"/>
    <w:rsid w:val="00701BA6"/>
    <w:rsid w:val="00701D44"/>
    <w:rsid w:val="00701D9C"/>
    <w:rsid w:val="00701E5E"/>
    <w:rsid w:val="00701FDD"/>
    <w:rsid w:val="00702167"/>
    <w:rsid w:val="007021A4"/>
    <w:rsid w:val="00702400"/>
    <w:rsid w:val="0070248C"/>
    <w:rsid w:val="00702793"/>
    <w:rsid w:val="0070282C"/>
    <w:rsid w:val="00702838"/>
    <w:rsid w:val="0070284B"/>
    <w:rsid w:val="0070295D"/>
    <w:rsid w:val="00702A4C"/>
    <w:rsid w:val="00702A82"/>
    <w:rsid w:val="00702AB9"/>
    <w:rsid w:val="00702D2B"/>
    <w:rsid w:val="00702D51"/>
    <w:rsid w:val="00702DB5"/>
    <w:rsid w:val="00702DB9"/>
    <w:rsid w:val="00702E80"/>
    <w:rsid w:val="00702E9D"/>
    <w:rsid w:val="00702F28"/>
    <w:rsid w:val="00703017"/>
    <w:rsid w:val="00703068"/>
    <w:rsid w:val="00703092"/>
    <w:rsid w:val="007030B0"/>
    <w:rsid w:val="00703186"/>
    <w:rsid w:val="007031E3"/>
    <w:rsid w:val="00703293"/>
    <w:rsid w:val="007032BB"/>
    <w:rsid w:val="007032F1"/>
    <w:rsid w:val="007033AE"/>
    <w:rsid w:val="007033E2"/>
    <w:rsid w:val="0070348D"/>
    <w:rsid w:val="0070349E"/>
    <w:rsid w:val="00703575"/>
    <w:rsid w:val="0070359F"/>
    <w:rsid w:val="0070369B"/>
    <w:rsid w:val="00703706"/>
    <w:rsid w:val="007038E1"/>
    <w:rsid w:val="00703A18"/>
    <w:rsid w:val="00703A84"/>
    <w:rsid w:val="00703AE2"/>
    <w:rsid w:val="00703B3B"/>
    <w:rsid w:val="00703BD5"/>
    <w:rsid w:val="00703C0E"/>
    <w:rsid w:val="00703C68"/>
    <w:rsid w:val="00703D6D"/>
    <w:rsid w:val="00703EE9"/>
    <w:rsid w:val="00703F23"/>
    <w:rsid w:val="00703F42"/>
    <w:rsid w:val="00704015"/>
    <w:rsid w:val="0070409B"/>
    <w:rsid w:val="007040B0"/>
    <w:rsid w:val="007040DB"/>
    <w:rsid w:val="00704107"/>
    <w:rsid w:val="0070410E"/>
    <w:rsid w:val="00704158"/>
    <w:rsid w:val="0070416E"/>
    <w:rsid w:val="007042A9"/>
    <w:rsid w:val="0070430A"/>
    <w:rsid w:val="007043EC"/>
    <w:rsid w:val="00704425"/>
    <w:rsid w:val="00704543"/>
    <w:rsid w:val="007045DB"/>
    <w:rsid w:val="00704632"/>
    <w:rsid w:val="00704633"/>
    <w:rsid w:val="00704692"/>
    <w:rsid w:val="007046A8"/>
    <w:rsid w:val="00704709"/>
    <w:rsid w:val="00704794"/>
    <w:rsid w:val="00704B7F"/>
    <w:rsid w:val="00704B81"/>
    <w:rsid w:val="00704B99"/>
    <w:rsid w:val="00704E18"/>
    <w:rsid w:val="00704E90"/>
    <w:rsid w:val="00704E94"/>
    <w:rsid w:val="0070510A"/>
    <w:rsid w:val="0070516B"/>
    <w:rsid w:val="00705179"/>
    <w:rsid w:val="00705285"/>
    <w:rsid w:val="007052A1"/>
    <w:rsid w:val="00705309"/>
    <w:rsid w:val="00705324"/>
    <w:rsid w:val="0070536F"/>
    <w:rsid w:val="007053E7"/>
    <w:rsid w:val="00705431"/>
    <w:rsid w:val="00705522"/>
    <w:rsid w:val="0070553C"/>
    <w:rsid w:val="0070564C"/>
    <w:rsid w:val="00705669"/>
    <w:rsid w:val="007057C9"/>
    <w:rsid w:val="007057CB"/>
    <w:rsid w:val="0070584F"/>
    <w:rsid w:val="007058C4"/>
    <w:rsid w:val="007059B8"/>
    <w:rsid w:val="00705A2F"/>
    <w:rsid w:val="00705A74"/>
    <w:rsid w:val="00705A79"/>
    <w:rsid w:val="00705C20"/>
    <w:rsid w:val="00705C9E"/>
    <w:rsid w:val="00705E45"/>
    <w:rsid w:val="00705E56"/>
    <w:rsid w:val="00705F02"/>
    <w:rsid w:val="00706003"/>
    <w:rsid w:val="0070608B"/>
    <w:rsid w:val="00706282"/>
    <w:rsid w:val="00706445"/>
    <w:rsid w:val="007065AB"/>
    <w:rsid w:val="007065BD"/>
    <w:rsid w:val="00706655"/>
    <w:rsid w:val="00706727"/>
    <w:rsid w:val="0070679D"/>
    <w:rsid w:val="00706818"/>
    <w:rsid w:val="00706830"/>
    <w:rsid w:val="0070692F"/>
    <w:rsid w:val="00706A09"/>
    <w:rsid w:val="00706A1D"/>
    <w:rsid w:val="00706A6E"/>
    <w:rsid w:val="00706ACE"/>
    <w:rsid w:val="00706BE7"/>
    <w:rsid w:val="00706C10"/>
    <w:rsid w:val="00706C73"/>
    <w:rsid w:val="00706CD6"/>
    <w:rsid w:val="00706E5E"/>
    <w:rsid w:val="00706EB3"/>
    <w:rsid w:val="00706F45"/>
    <w:rsid w:val="0070702E"/>
    <w:rsid w:val="0070717D"/>
    <w:rsid w:val="007071F7"/>
    <w:rsid w:val="007072BB"/>
    <w:rsid w:val="00707310"/>
    <w:rsid w:val="007075C9"/>
    <w:rsid w:val="007076EE"/>
    <w:rsid w:val="007077B1"/>
    <w:rsid w:val="007077E8"/>
    <w:rsid w:val="007077ED"/>
    <w:rsid w:val="0070780B"/>
    <w:rsid w:val="00707A93"/>
    <w:rsid w:val="00707AA8"/>
    <w:rsid w:val="00707AEC"/>
    <w:rsid w:val="00707C22"/>
    <w:rsid w:val="00707C87"/>
    <w:rsid w:val="00707CD8"/>
    <w:rsid w:val="00707CF3"/>
    <w:rsid w:val="00707D4B"/>
    <w:rsid w:val="00707DD9"/>
    <w:rsid w:val="00707F0E"/>
    <w:rsid w:val="0071005C"/>
    <w:rsid w:val="007100D7"/>
    <w:rsid w:val="007100FD"/>
    <w:rsid w:val="00710183"/>
    <w:rsid w:val="007101EE"/>
    <w:rsid w:val="00710325"/>
    <w:rsid w:val="00710522"/>
    <w:rsid w:val="00710568"/>
    <w:rsid w:val="00710588"/>
    <w:rsid w:val="0071063A"/>
    <w:rsid w:val="0071065F"/>
    <w:rsid w:val="00710691"/>
    <w:rsid w:val="00710759"/>
    <w:rsid w:val="007107DA"/>
    <w:rsid w:val="00710935"/>
    <w:rsid w:val="0071098F"/>
    <w:rsid w:val="007109A5"/>
    <w:rsid w:val="007109E4"/>
    <w:rsid w:val="00710AB8"/>
    <w:rsid w:val="00710B66"/>
    <w:rsid w:val="00710B7A"/>
    <w:rsid w:val="00710C4B"/>
    <w:rsid w:val="00710D6E"/>
    <w:rsid w:val="00710E5B"/>
    <w:rsid w:val="00710E84"/>
    <w:rsid w:val="00710EA0"/>
    <w:rsid w:val="00710F76"/>
    <w:rsid w:val="007110A4"/>
    <w:rsid w:val="007110E6"/>
    <w:rsid w:val="00711177"/>
    <w:rsid w:val="007111F0"/>
    <w:rsid w:val="007113A8"/>
    <w:rsid w:val="007113D8"/>
    <w:rsid w:val="007114FF"/>
    <w:rsid w:val="0071150A"/>
    <w:rsid w:val="00711512"/>
    <w:rsid w:val="00711558"/>
    <w:rsid w:val="00711615"/>
    <w:rsid w:val="00711635"/>
    <w:rsid w:val="00711679"/>
    <w:rsid w:val="00711796"/>
    <w:rsid w:val="00711889"/>
    <w:rsid w:val="007118B5"/>
    <w:rsid w:val="007118C1"/>
    <w:rsid w:val="007118D7"/>
    <w:rsid w:val="00711950"/>
    <w:rsid w:val="007119CF"/>
    <w:rsid w:val="00711A9C"/>
    <w:rsid w:val="00711AD6"/>
    <w:rsid w:val="00711B33"/>
    <w:rsid w:val="00711B99"/>
    <w:rsid w:val="00711C14"/>
    <w:rsid w:val="00711C29"/>
    <w:rsid w:val="00711D70"/>
    <w:rsid w:val="00711E35"/>
    <w:rsid w:val="00711E5A"/>
    <w:rsid w:val="00711F7D"/>
    <w:rsid w:val="0071200C"/>
    <w:rsid w:val="007120D2"/>
    <w:rsid w:val="007121BE"/>
    <w:rsid w:val="00712276"/>
    <w:rsid w:val="007122DB"/>
    <w:rsid w:val="007122FE"/>
    <w:rsid w:val="0071230D"/>
    <w:rsid w:val="0071236A"/>
    <w:rsid w:val="007124C6"/>
    <w:rsid w:val="00712567"/>
    <w:rsid w:val="00712589"/>
    <w:rsid w:val="007125B6"/>
    <w:rsid w:val="0071261D"/>
    <w:rsid w:val="0071268F"/>
    <w:rsid w:val="0071282F"/>
    <w:rsid w:val="0071287D"/>
    <w:rsid w:val="007128E9"/>
    <w:rsid w:val="007129D4"/>
    <w:rsid w:val="00712AB6"/>
    <w:rsid w:val="00712BCB"/>
    <w:rsid w:val="00712C5D"/>
    <w:rsid w:val="00712C6E"/>
    <w:rsid w:val="00712CA2"/>
    <w:rsid w:val="00712D5C"/>
    <w:rsid w:val="00712FA8"/>
    <w:rsid w:val="00712FEC"/>
    <w:rsid w:val="007130EE"/>
    <w:rsid w:val="007130EF"/>
    <w:rsid w:val="007131C3"/>
    <w:rsid w:val="007131EF"/>
    <w:rsid w:val="00713255"/>
    <w:rsid w:val="00713274"/>
    <w:rsid w:val="007132B3"/>
    <w:rsid w:val="007132CB"/>
    <w:rsid w:val="0071330D"/>
    <w:rsid w:val="0071331C"/>
    <w:rsid w:val="007133BB"/>
    <w:rsid w:val="00713448"/>
    <w:rsid w:val="00713471"/>
    <w:rsid w:val="00713484"/>
    <w:rsid w:val="00713544"/>
    <w:rsid w:val="0071368B"/>
    <w:rsid w:val="007136A4"/>
    <w:rsid w:val="007136C4"/>
    <w:rsid w:val="0071371E"/>
    <w:rsid w:val="0071376F"/>
    <w:rsid w:val="0071379A"/>
    <w:rsid w:val="00713809"/>
    <w:rsid w:val="007138C5"/>
    <w:rsid w:val="0071392F"/>
    <w:rsid w:val="0071394A"/>
    <w:rsid w:val="0071394E"/>
    <w:rsid w:val="0071397D"/>
    <w:rsid w:val="00713991"/>
    <w:rsid w:val="00713A56"/>
    <w:rsid w:val="00713ACF"/>
    <w:rsid w:val="00713BBC"/>
    <w:rsid w:val="00713BFA"/>
    <w:rsid w:val="00713CFC"/>
    <w:rsid w:val="00713D13"/>
    <w:rsid w:val="00713D32"/>
    <w:rsid w:val="00713D44"/>
    <w:rsid w:val="00713D51"/>
    <w:rsid w:val="00713DF3"/>
    <w:rsid w:val="00713E09"/>
    <w:rsid w:val="00713E26"/>
    <w:rsid w:val="00713E92"/>
    <w:rsid w:val="00713EB3"/>
    <w:rsid w:val="00713F10"/>
    <w:rsid w:val="00713F79"/>
    <w:rsid w:val="00713FFB"/>
    <w:rsid w:val="00714118"/>
    <w:rsid w:val="00714124"/>
    <w:rsid w:val="007141BC"/>
    <w:rsid w:val="00714201"/>
    <w:rsid w:val="00714229"/>
    <w:rsid w:val="0071437C"/>
    <w:rsid w:val="007143CF"/>
    <w:rsid w:val="00714420"/>
    <w:rsid w:val="00714433"/>
    <w:rsid w:val="00714469"/>
    <w:rsid w:val="007144DA"/>
    <w:rsid w:val="00714731"/>
    <w:rsid w:val="00714737"/>
    <w:rsid w:val="00714782"/>
    <w:rsid w:val="00714825"/>
    <w:rsid w:val="00714848"/>
    <w:rsid w:val="007148CC"/>
    <w:rsid w:val="0071498B"/>
    <w:rsid w:val="00714A30"/>
    <w:rsid w:val="00714A71"/>
    <w:rsid w:val="00714ACC"/>
    <w:rsid w:val="00714B52"/>
    <w:rsid w:val="00714BE0"/>
    <w:rsid w:val="00714DA9"/>
    <w:rsid w:val="00714F39"/>
    <w:rsid w:val="00714F64"/>
    <w:rsid w:val="00714FA3"/>
    <w:rsid w:val="0071500C"/>
    <w:rsid w:val="00715057"/>
    <w:rsid w:val="0071505B"/>
    <w:rsid w:val="007150C1"/>
    <w:rsid w:val="007150C2"/>
    <w:rsid w:val="007151CA"/>
    <w:rsid w:val="00715213"/>
    <w:rsid w:val="00715416"/>
    <w:rsid w:val="0071544F"/>
    <w:rsid w:val="0071556F"/>
    <w:rsid w:val="00715603"/>
    <w:rsid w:val="00715857"/>
    <w:rsid w:val="00715873"/>
    <w:rsid w:val="0071593E"/>
    <w:rsid w:val="007159AC"/>
    <w:rsid w:val="00715A3D"/>
    <w:rsid w:val="00715B15"/>
    <w:rsid w:val="00715B91"/>
    <w:rsid w:val="00715C32"/>
    <w:rsid w:val="00715CA8"/>
    <w:rsid w:val="00715DC5"/>
    <w:rsid w:val="00715DEF"/>
    <w:rsid w:val="00715DF4"/>
    <w:rsid w:val="00715E23"/>
    <w:rsid w:val="00715E7F"/>
    <w:rsid w:val="00715F2D"/>
    <w:rsid w:val="00716066"/>
    <w:rsid w:val="007160F4"/>
    <w:rsid w:val="00716254"/>
    <w:rsid w:val="00716295"/>
    <w:rsid w:val="007163EE"/>
    <w:rsid w:val="00716476"/>
    <w:rsid w:val="007165A0"/>
    <w:rsid w:val="007166E5"/>
    <w:rsid w:val="00716741"/>
    <w:rsid w:val="007167AE"/>
    <w:rsid w:val="0071686B"/>
    <w:rsid w:val="00716872"/>
    <w:rsid w:val="0071688E"/>
    <w:rsid w:val="007168AF"/>
    <w:rsid w:val="007168D4"/>
    <w:rsid w:val="00716921"/>
    <w:rsid w:val="00716A50"/>
    <w:rsid w:val="00716A52"/>
    <w:rsid w:val="00716A73"/>
    <w:rsid w:val="00716B32"/>
    <w:rsid w:val="00716BB0"/>
    <w:rsid w:val="00716BDC"/>
    <w:rsid w:val="00716D22"/>
    <w:rsid w:val="00716DF0"/>
    <w:rsid w:val="00716EB6"/>
    <w:rsid w:val="00717055"/>
    <w:rsid w:val="007170C6"/>
    <w:rsid w:val="00717213"/>
    <w:rsid w:val="0071725B"/>
    <w:rsid w:val="007173AE"/>
    <w:rsid w:val="007173D2"/>
    <w:rsid w:val="007174F0"/>
    <w:rsid w:val="0071756C"/>
    <w:rsid w:val="007175E0"/>
    <w:rsid w:val="0071768F"/>
    <w:rsid w:val="007176C6"/>
    <w:rsid w:val="00717700"/>
    <w:rsid w:val="0071775B"/>
    <w:rsid w:val="00717782"/>
    <w:rsid w:val="007178F2"/>
    <w:rsid w:val="00717989"/>
    <w:rsid w:val="00717B2A"/>
    <w:rsid w:val="00717B50"/>
    <w:rsid w:val="00717B60"/>
    <w:rsid w:val="00717BB6"/>
    <w:rsid w:val="00717C92"/>
    <w:rsid w:val="00717CAD"/>
    <w:rsid w:val="00717CBE"/>
    <w:rsid w:val="00717E19"/>
    <w:rsid w:val="00717EDD"/>
    <w:rsid w:val="00720308"/>
    <w:rsid w:val="00720315"/>
    <w:rsid w:val="007203FE"/>
    <w:rsid w:val="0072041C"/>
    <w:rsid w:val="007204D1"/>
    <w:rsid w:val="007204DA"/>
    <w:rsid w:val="007204ED"/>
    <w:rsid w:val="00720606"/>
    <w:rsid w:val="0072079B"/>
    <w:rsid w:val="00720821"/>
    <w:rsid w:val="00720876"/>
    <w:rsid w:val="00720892"/>
    <w:rsid w:val="00720935"/>
    <w:rsid w:val="007209F4"/>
    <w:rsid w:val="00720AAB"/>
    <w:rsid w:val="00720AD0"/>
    <w:rsid w:val="00720C16"/>
    <w:rsid w:val="00720C4C"/>
    <w:rsid w:val="00720DBD"/>
    <w:rsid w:val="00720E87"/>
    <w:rsid w:val="00720F34"/>
    <w:rsid w:val="00721031"/>
    <w:rsid w:val="0072104B"/>
    <w:rsid w:val="00721285"/>
    <w:rsid w:val="007212EC"/>
    <w:rsid w:val="007213A8"/>
    <w:rsid w:val="007213F3"/>
    <w:rsid w:val="0072141E"/>
    <w:rsid w:val="007214D0"/>
    <w:rsid w:val="00721832"/>
    <w:rsid w:val="00721891"/>
    <w:rsid w:val="007218B7"/>
    <w:rsid w:val="007219DB"/>
    <w:rsid w:val="007219F3"/>
    <w:rsid w:val="00721A3F"/>
    <w:rsid w:val="00721B61"/>
    <w:rsid w:val="00721C41"/>
    <w:rsid w:val="00721C5B"/>
    <w:rsid w:val="00721C75"/>
    <w:rsid w:val="00721DEF"/>
    <w:rsid w:val="00721E95"/>
    <w:rsid w:val="00721ED1"/>
    <w:rsid w:val="00722003"/>
    <w:rsid w:val="0072209E"/>
    <w:rsid w:val="007220D8"/>
    <w:rsid w:val="007223A1"/>
    <w:rsid w:val="007223B4"/>
    <w:rsid w:val="00722479"/>
    <w:rsid w:val="007224A6"/>
    <w:rsid w:val="007224D6"/>
    <w:rsid w:val="00722546"/>
    <w:rsid w:val="00722562"/>
    <w:rsid w:val="00722598"/>
    <w:rsid w:val="0072259C"/>
    <w:rsid w:val="007227BA"/>
    <w:rsid w:val="00722846"/>
    <w:rsid w:val="007228F5"/>
    <w:rsid w:val="007229F3"/>
    <w:rsid w:val="00722A50"/>
    <w:rsid w:val="00722AA3"/>
    <w:rsid w:val="00722B13"/>
    <w:rsid w:val="00722B70"/>
    <w:rsid w:val="00722C0F"/>
    <w:rsid w:val="00722D0A"/>
    <w:rsid w:val="00722D56"/>
    <w:rsid w:val="00722D6D"/>
    <w:rsid w:val="00722DBD"/>
    <w:rsid w:val="00722E80"/>
    <w:rsid w:val="00723069"/>
    <w:rsid w:val="007230B5"/>
    <w:rsid w:val="0072311A"/>
    <w:rsid w:val="00723211"/>
    <w:rsid w:val="0072321C"/>
    <w:rsid w:val="007233EE"/>
    <w:rsid w:val="00723612"/>
    <w:rsid w:val="00723756"/>
    <w:rsid w:val="00723827"/>
    <w:rsid w:val="007238CC"/>
    <w:rsid w:val="007238D4"/>
    <w:rsid w:val="007238DB"/>
    <w:rsid w:val="007239EB"/>
    <w:rsid w:val="00723B0E"/>
    <w:rsid w:val="00723B5E"/>
    <w:rsid w:val="00723B8F"/>
    <w:rsid w:val="00723BDF"/>
    <w:rsid w:val="00723D46"/>
    <w:rsid w:val="00723D9A"/>
    <w:rsid w:val="00723DD2"/>
    <w:rsid w:val="00723EB5"/>
    <w:rsid w:val="00723EB7"/>
    <w:rsid w:val="00723F1A"/>
    <w:rsid w:val="00723F56"/>
    <w:rsid w:val="00723F7F"/>
    <w:rsid w:val="00723FD2"/>
    <w:rsid w:val="00724043"/>
    <w:rsid w:val="0072407B"/>
    <w:rsid w:val="0072415D"/>
    <w:rsid w:val="007241CE"/>
    <w:rsid w:val="0072421F"/>
    <w:rsid w:val="00724226"/>
    <w:rsid w:val="007242F2"/>
    <w:rsid w:val="00724340"/>
    <w:rsid w:val="0072434B"/>
    <w:rsid w:val="0072438A"/>
    <w:rsid w:val="007243F0"/>
    <w:rsid w:val="007243F8"/>
    <w:rsid w:val="00724413"/>
    <w:rsid w:val="00724415"/>
    <w:rsid w:val="007244F9"/>
    <w:rsid w:val="00724551"/>
    <w:rsid w:val="00724573"/>
    <w:rsid w:val="007245EB"/>
    <w:rsid w:val="007245FF"/>
    <w:rsid w:val="007246AA"/>
    <w:rsid w:val="007247BA"/>
    <w:rsid w:val="0072491D"/>
    <w:rsid w:val="007249A8"/>
    <w:rsid w:val="00724A43"/>
    <w:rsid w:val="00724B50"/>
    <w:rsid w:val="00724B53"/>
    <w:rsid w:val="00724BF4"/>
    <w:rsid w:val="00724CFD"/>
    <w:rsid w:val="00724D02"/>
    <w:rsid w:val="00724E2F"/>
    <w:rsid w:val="00724E42"/>
    <w:rsid w:val="00724E8D"/>
    <w:rsid w:val="00724F01"/>
    <w:rsid w:val="00724F28"/>
    <w:rsid w:val="00724F83"/>
    <w:rsid w:val="00724FA4"/>
    <w:rsid w:val="0072505B"/>
    <w:rsid w:val="00725190"/>
    <w:rsid w:val="007251B4"/>
    <w:rsid w:val="00725248"/>
    <w:rsid w:val="007252F5"/>
    <w:rsid w:val="0072531B"/>
    <w:rsid w:val="0072542F"/>
    <w:rsid w:val="00725470"/>
    <w:rsid w:val="007254CA"/>
    <w:rsid w:val="007255F3"/>
    <w:rsid w:val="0072563D"/>
    <w:rsid w:val="00725678"/>
    <w:rsid w:val="00725776"/>
    <w:rsid w:val="0072578D"/>
    <w:rsid w:val="007257A3"/>
    <w:rsid w:val="007257B4"/>
    <w:rsid w:val="007257B9"/>
    <w:rsid w:val="007257D8"/>
    <w:rsid w:val="0072582B"/>
    <w:rsid w:val="00725854"/>
    <w:rsid w:val="007258D1"/>
    <w:rsid w:val="00725947"/>
    <w:rsid w:val="00725A35"/>
    <w:rsid w:val="00725ACB"/>
    <w:rsid w:val="00725C04"/>
    <w:rsid w:val="00725C8B"/>
    <w:rsid w:val="00725D83"/>
    <w:rsid w:val="00725DBA"/>
    <w:rsid w:val="00725EA4"/>
    <w:rsid w:val="00725F2A"/>
    <w:rsid w:val="00725FC3"/>
    <w:rsid w:val="0072607B"/>
    <w:rsid w:val="00726123"/>
    <w:rsid w:val="0072612B"/>
    <w:rsid w:val="00726183"/>
    <w:rsid w:val="007261DA"/>
    <w:rsid w:val="007261EE"/>
    <w:rsid w:val="007262DB"/>
    <w:rsid w:val="0072632B"/>
    <w:rsid w:val="00726332"/>
    <w:rsid w:val="0072633C"/>
    <w:rsid w:val="0072638D"/>
    <w:rsid w:val="007263A2"/>
    <w:rsid w:val="0072640B"/>
    <w:rsid w:val="00726523"/>
    <w:rsid w:val="00726540"/>
    <w:rsid w:val="0072675F"/>
    <w:rsid w:val="0072693B"/>
    <w:rsid w:val="007269BE"/>
    <w:rsid w:val="00726B05"/>
    <w:rsid w:val="00726C94"/>
    <w:rsid w:val="00726CC9"/>
    <w:rsid w:val="00726CD8"/>
    <w:rsid w:val="00726CFC"/>
    <w:rsid w:val="00726D68"/>
    <w:rsid w:val="00726D89"/>
    <w:rsid w:val="00726D8B"/>
    <w:rsid w:val="00726D8E"/>
    <w:rsid w:val="00726E92"/>
    <w:rsid w:val="00726ECA"/>
    <w:rsid w:val="00726F50"/>
    <w:rsid w:val="0072703F"/>
    <w:rsid w:val="00727079"/>
    <w:rsid w:val="007270BF"/>
    <w:rsid w:val="007271E7"/>
    <w:rsid w:val="007272B0"/>
    <w:rsid w:val="0072731F"/>
    <w:rsid w:val="00727387"/>
    <w:rsid w:val="00727438"/>
    <w:rsid w:val="007274B2"/>
    <w:rsid w:val="0072753A"/>
    <w:rsid w:val="0072755A"/>
    <w:rsid w:val="00727626"/>
    <w:rsid w:val="00727642"/>
    <w:rsid w:val="00727648"/>
    <w:rsid w:val="007278CA"/>
    <w:rsid w:val="007279C6"/>
    <w:rsid w:val="00727B1B"/>
    <w:rsid w:val="00727B42"/>
    <w:rsid w:val="00727CAB"/>
    <w:rsid w:val="00727D68"/>
    <w:rsid w:val="00727D9B"/>
    <w:rsid w:val="00727D9D"/>
    <w:rsid w:val="00727DEC"/>
    <w:rsid w:val="00727EC2"/>
    <w:rsid w:val="00727EEA"/>
    <w:rsid w:val="00727EFC"/>
    <w:rsid w:val="00727F0D"/>
    <w:rsid w:val="00727F53"/>
    <w:rsid w:val="0073005C"/>
    <w:rsid w:val="00730068"/>
    <w:rsid w:val="007300C4"/>
    <w:rsid w:val="00730248"/>
    <w:rsid w:val="00730330"/>
    <w:rsid w:val="007303D3"/>
    <w:rsid w:val="00730424"/>
    <w:rsid w:val="0073042E"/>
    <w:rsid w:val="0073049A"/>
    <w:rsid w:val="0073053E"/>
    <w:rsid w:val="00730616"/>
    <w:rsid w:val="00730624"/>
    <w:rsid w:val="00730662"/>
    <w:rsid w:val="0073084C"/>
    <w:rsid w:val="007308FA"/>
    <w:rsid w:val="0073090F"/>
    <w:rsid w:val="00730AA5"/>
    <w:rsid w:val="00730B05"/>
    <w:rsid w:val="00730B4D"/>
    <w:rsid w:val="00730BB8"/>
    <w:rsid w:val="00730BDB"/>
    <w:rsid w:val="00730C2F"/>
    <w:rsid w:val="00730C4A"/>
    <w:rsid w:val="00730C8A"/>
    <w:rsid w:val="00730D22"/>
    <w:rsid w:val="00730D31"/>
    <w:rsid w:val="00730DA8"/>
    <w:rsid w:val="00731043"/>
    <w:rsid w:val="00731126"/>
    <w:rsid w:val="007312D9"/>
    <w:rsid w:val="00731320"/>
    <w:rsid w:val="007313F7"/>
    <w:rsid w:val="00731414"/>
    <w:rsid w:val="007314B5"/>
    <w:rsid w:val="0073151B"/>
    <w:rsid w:val="00731540"/>
    <w:rsid w:val="007315F9"/>
    <w:rsid w:val="00731644"/>
    <w:rsid w:val="007316A0"/>
    <w:rsid w:val="007316AD"/>
    <w:rsid w:val="007316E9"/>
    <w:rsid w:val="00731700"/>
    <w:rsid w:val="0073170A"/>
    <w:rsid w:val="007317EC"/>
    <w:rsid w:val="007317F0"/>
    <w:rsid w:val="007319BF"/>
    <w:rsid w:val="00731A3C"/>
    <w:rsid w:val="00731A5D"/>
    <w:rsid w:val="00731AB2"/>
    <w:rsid w:val="00731BFE"/>
    <w:rsid w:val="00731CEB"/>
    <w:rsid w:val="00731DDD"/>
    <w:rsid w:val="0073208C"/>
    <w:rsid w:val="007321A7"/>
    <w:rsid w:val="00732284"/>
    <w:rsid w:val="0073237D"/>
    <w:rsid w:val="0073245F"/>
    <w:rsid w:val="00732594"/>
    <w:rsid w:val="00732781"/>
    <w:rsid w:val="007327D0"/>
    <w:rsid w:val="0073285B"/>
    <w:rsid w:val="00732883"/>
    <w:rsid w:val="007328ED"/>
    <w:rsid w:val="00732945"/>
    <w:rsid w:val="00732961"/>
    <w:rsid w:val="007329F2"/>
    <w:rsid w:val="00732AB6"/>
    <w:rsid w:val="00732B01"/>
    <w:rsid w:val="00732B65"/>
    <w:rsid w:val="00732BB0"/>
    <w:rsid w:val="00732CF5"/>
    <w:rsid w:val="00732D9C"/>
    <w:rsid w:val="00732DAC"/>
    <w:rsid w:val="00732E37"/>
    <w:rsid w:val="00732EA9"/>
    <w:rsid w:val="00733066"/>
    <w:rsid w:val="007330A7"/>
    <w:rsid w:val="00733125"/>
    <w:rsid w:val="00733208"/>
    <w:rsid w:val="00733216"/>
    <w:rsid w:val="007334C9"/>
    <w:rsid w:val="0073350D"/>
    <w:rsid w:val="0073357A"/>
    <w:rsid w:val="00733583"/>
    <w:rsid w:val="00733615"/>
    <w:rsid w:val="00733637"/>
    <w:rsid w:val="0073369F"/>
    <w:rsid w:val="007336E6"/>
    <w:rsid w:val="0073371E"/>
    <w:rsid w:val="00733788"/>
    <w:rsid w:val="00733871"/>
    <w:rsid w:val="007339D6"/>
    <w:rsid w:val="00733A5C"/>
    <w:rsid w:val="00733B2D"/>
    <w:rsid w:val="00733B49"/>
    <w:rsid w:val="00733C2D"/>
    <w:rsid w:val="00733CED"/>
    <w:rsid w:val="00733D04"/>
    <w:rsid w:val="00733FC8"/>
    <w:rsid w:val="007340E6"/>
    <w:rsid w:val="007340F6"/>
    <w:rsid w:val="00734118"/>
    <w:rsid w:val="0073412B"/>
    <w:rsid w:val="007341FB"/>
    <w:rsid w:val="00734246"/>
    <w:rsid w:val="007342CF"/>
    <w:rsid w:val="007343DE"/>
    <w:rsid w:val="00734436"/>
    <w:rsid w:val="0073448A"/>
    <w:rsid w:val="007344B3"/>
    <w:rsid w:val="00734523"/>
    <w:rsid w:val="00734677"/>
    <w:rsid w:val="00734810"/>
    <w:rsid w:val="0073498A"/>
    <w:rsid w:val="00734AC5"/>
    <w:rsid w:val="00734ADB"/>
    <w:rsid w:val="00734AEC"/>
    <w:rsid w:val="00734C35"/>
    <w:rsid w:val="00734E34"/>
    <w:rsid w:val="0073503B"/>
    <w:rsid w:val="0073515E"/>
    <w:rsid w:val="0073515F"/>
    <w:rsid w:val="00735202"/>
    <w:rsid w:val="0073523C"/>
    <w:rsid w:val="0073529E"/>
    <w:rsid w:val="00735443"/>
    <w:rsid w:val="0073546C"/>
    <w:rsid w:val="00735473"/>
    <w:rsid w:val="007354AD"/>
    <w:rsid w:val="0073574E"/>
    <w:rsid w:val="00735797"/>
    <w:rsid w:val="0073586A"/>
    <w:rsid w:val="00735977"/>
    <w:rsid w:val="00735978"/>
    <w:rsid w:val="00735A31"/>
    <w:rsid w:val="00735A6E"/>
    <w:rsid w:val="00735A9B"/>
    <w:rsid w:val="00735B15"/>
    <w:rsid w:val="00735C5B"/>
    <w:rsid w:val="00735D12"/>
    <w:rsid w:val="00735DBD"/>
    <w:rsid w:val="00735E6F"/>
    <w:rsid w:val="00735EA9"/>
    <w:rsid w:val="00735F10"/>
    <w:rsid w:val="00735F70"/>
    <w:rsid w:val="00735FC1"/>
    <w:rsid w:val="00736116"/>
    <w:rsid w:val="0073615A"/>
    <w:rsid w:val="00736318"/>
    <w:rsid w:val="00736364"/>
    <w:rsid w:val="0073638B"/>
    <w:rsid w:val="007363DC"/>
    <w:rsid w:val="007364B6"/>
    <w:rsid w:val="00736501"/>
    <w:rsid w:val="007365A1"/>
    <w:rsid w:val="0073664A"/>
    <w:rsid w:val="0073668F"/>
    <w:rsid w:val="007367AC"/>
    <w:rsid w:val="00736928"/>
    <w:rsid w:val="00736974"/>
    <w:rsid w:val="0073698F"/>
    <w:rsid w:val="00736A7A"/>
    <w:rsid w:val="00736A93"/>
    <w:rsid w:val="00736B02"/>
    <w:rsid w:val="00736B6D"/>
    <w:rsid w:val="00736B98"/>
    <w:rsid w:val="00736C5A"/>
    <w:rsid w:val="00736C92"/>
    <w:rsid w:val="00736CA9"/>
    <w:rsid w:val="00736CC0"/>
    <w:rsid w:val="00736D30"/>
    <w:rsid w:val="00736DA0"/>
    <w:rsid w:val="00736DA9"/>
    <w:rsid w:val="00736E25"/>
    <w:rsid w:val="00736E5B"/>
    <w:rsid w:val="00736E69"/>
    <w:rsid w:val="00736E6A"/>
    <w:rsid w:val="00736F41"/>
    <w:rsid w:val="00736F8C"/>
    <w:rsid w:val="00736FAB"/>
    <w:rsid w:val="0073703D"/>
    <w:rsid w:val="00737047"/>
    <w:rsid w:val="00737052"/>
    <w:rsid w:val="0073724F"/>
    <w:rsid w:val="0073736C"/>
    <w:rsid w:val="0073736E"/>
    <w:rsid w:val="00737409"/>
    <w:rsid w:val="00737437"/>
    <w:rsid w:val="0073745E"/>
    <w:rsid w:val="00737502"/>
    <w:rsid w:val="0073750C"/>
    <w:rsid w:val="00737539"/>
    <w:rsid w:val="0073758E"/>
    <w:rsid w:val="007376FD"/>
    <w:rsid w:val="0073779C"/>
    <w:rsid w:val="00737943"/>
    <w:rsid w:val="007379CA"/>
    <w:rsid w:val="00737B3D"/>
    <w:rsid w:val="00737BD0"/>
    <w:rsid w:val="00737D0C"/>
    <w:rsid w:val="00737D54"/>
    <w:rsid w:val="00737EC8"/>
    <w:rsid w:val="00737EE3"/>
    <w:rsid w:val="00737F54"/>
    <w:rsid w:val="007401BF"/>
    <w:rsid w:val="007401F1"/>
    <w:rsid w:val="00740406"/>
    <w:rsid w:val="007405AE"/>
    <w:rsid w:val="00740615"/>
    <w:rsid w:val="00740636"/>
    <w:rsid w:val="00740679"/>
    <w:rsid w:val="007406BB"/>
    <w:rsid w:val="00740726"/>
    <w:rsid w:val="00740945"/>
    <w:rsid w:val="00740A1B"/>
    <w:rsid w:val="00740A55"/>
    <w:rsid w:val="00740ADF"/>
    <w:rsid w:val="00740B98"/>
    <w:rsid w:val="00740CA2"/>
    <w:rsid w:val="00740D25"/>
    <w:rsid w:val="00740D2A"/>
    <w:rsid w:val="00740E0F"/>
    <w:rsid w:val="00740E83"/>
    <w:rsid w:val="00740F2D"/>
    <w:rsid w:val="00740F98"/>
    <w:rsid w:val="00740FC3"/>
    <w:rsid w:val="00741006"/>
    <w:rsid w:val="00741042"/>
    <w:rsid w:val="00741211"/>
    <w:rsid w:val="00741316"/>
    <w:rsid w:val="00741370"/>
    <w:rsid w:val="007413F0"/>
    <w:rsid w:val="007414FF"/>
    <w:rsid w:val="00741529"/>
    <w:rsid w:val="00741533"/>
    <w:rsid w:val="007415DC"/>
    <w:rsid w:val="00741613"/>
    <w:rsid w:val="00741695"/>
    <w:rsid w:val="00741795"/>
    <w:rsid w:val="007417EA"/>
    <w:rsid w:val="007417FB"/>
    <w:rsid w:val="00741926"/>
    <w:rsid w:val="00741945"/>
    <w:rsid w:val="007419A3"/>
    <w:rsid w:val="007419D2"/>
    <w:rsid w:val="00741B72"/>
    <w:rsid w:val="00741BDD"/>
    <w:rsid w:val="00741C0B"/>
    <w:rsid w:val="00741C29"/>
    <w:rsid w:val="00741D73"/>
    <w:rsid w:val="00741D91"/>
    <w:rsid w:val="00741EF9"/>
    <w:rsid w:val="00741F34"/>
    <w:rsid w:val="007421AF"/>
    <w:rsid w:val="007421DF"/>
    <w:rsid w:val="00742204"/>
    <w:rsid w:val="00742273"/>
    <w:rsid w:val="007424B6"/>
    <w:rsid w:val="0074261F"/>
    <w:rsid w:val="00742627"/>
    <w:rsid w:val="00742666"/>
    <w:rsid w:val="0074266B"/>
    <w:rsid w:val="007426CD"/>
    <w:rsid w:val="00742845"/>
    <w:rsid w:val="00742878"/>
    <w:rsid w:val="0074287B"/>
    <w:rsid w:val="00742A55"/>
    <w:rsid w:val="00742A62"/>
    <w:rsid w:val="00742EE6"/>
    <w:rsid w:val="00742F65"/>
    <w:rsid w:val="00742F73"/>
    <w:rsid w:val="00742FA5"/>
    <w:rsid w:val="00742FBA"/>
    <w:rsid w:val="00742FFD"/>
    <w:rsid w:val="0074314C"/>
    <w:rsid w:val="007431CC"/>
    <w:rsid w:val="007431DB"/>
    <w:rsid w:val="007432D0"/>
    <w:rsid w:val="007432F6"/>
    <w:rsid w:val="007432FA"/>
    <w:rsid w:val="00743344"/>
    <w:rsid w:val="0074339B"/>
    <w:rsid w:val="00743425"/>
    <w:rsid w:val="00743440"/>
    <w:rsid w:val="0074347C"/>
    <w:rsid w:val="0074353C"/>
    <w:rsid w:val="0074361A"/>
    <w:rsid w:val="00743692"/>
    <w:rsid w:val="007436A4"/>
    <w:rsid w:val="007436EC"/>
    <w:rsid w:val="007438B2"/>
    <w:rsid w:val="007438D3"/>
    <w:rsid w:val="00743912"/>
    <w:rsid w:val="00743976"/>
    <w:rsid w:val="0074398E"/>
    <w:rsid w:val="00743BB0"/>
    <w:rsid w:val="00743C1D"/>
    <w:rsid w:val="00743DE1"/>
    <w:rsid w:val="00743E05"/>
    <w:rsid w:val="00743ED1"/>
    <w:rsid w:val="00743F1E"/>
    <w:rsid w:val="00743F75"/>
    <w:rsid w:val="007440F2"/>
    <w:rsid w:val="00744178"/>
    <w:rsid w:val="00744210"/>
    <w:rsid w:val="0074428B"/>
    <w:rsid w:val="0074431C"/>
    <w:rsid w:val="0074437B"/>
    <w:rsid w:val="00744388"/>
    <w:rsid w:val="00744394"/>
    <w:rsid w:val="00744482"/>
    <w:rsid w:val="00744492"/>
    <w:rsid w:val="0074449B"/>
    <w:rsid w:val="0074464C"/>
    <w:rsid w:val="007446CC"/>
    <w:rsid w:val="007446F0"/>
    <w:rsid w:val="00744733"/>
    <w:rsid w:val="007447C7"/>
    <w:rsid w:val="007447DD"/>
    <w:rsid w:val="00744837"/>
    <w:rsid w:val="0074483D"/>
    <w:rsid w:val="00744899"/>
    <w:rsid w:val="0074493F"/>
    <w:rsid w:val="007449AB"/>
    <w:rsid w:val="00744A1A"/>
    <w:rsid w:val="00744BFB"/>
    <w:rsid w:val="00744E0A"/>
    <w:rsid w:val="00744F24"/>
    <w:rsid w:val="00744FDD"/>
    <w:rsid w:val="00745149"/>
    <w:rsid w:val="00745214"/>
    <w:rsid w:val="00745256"/>
    <w:rsid w:val="007452C9"/>
    <w:rsid w:val="007452E5"/>
    <w:rsid w:val="007453B8"/>
    <w:rsid w:val="00745502"/>
    <w:rsid w:val="0074556E"/>
    <w:rsid w:val="00745749"/>
    <w:rsid w:val="00745789"/>
    <w:rsid w:val="0074593C"/>
    <w:rsid w:val="00745986"/>
    <w:rsid w:val="007459FD"/>
    <w:rsid w:val="00745BC1"/>
    <w:rsid w:val="00745D0F"/>
    <w:rsid w:val="00745D51"/>
    <w:rsid w:val="00745DC7"/>
    <w:rsid w:val="00745E4E"/>
    <w:rsid w:val="00745E86"/>
    <w:rsid w:val="00745F06"/>
    <w:rsid w:val="00745F21"/>
    <w:rsid w:val="00745F2F"/>
    <w:rsid w:val="00745F30"/>
    <w:rsid w:val="00745F3A"/>
    <w:rsid w:val="00745FA9"/>
    <w:rsid w:val="00746101"/>
    <w:rsid w:val="0074628D"/>
    <w:rsid w:val="0074629A"/>
    <w:rsid w:val="00746445"/>
    <w:rsid w:val="00746485"/>
    <w:rsid w:val="0074653D"/>
    <w:rsid w:val="0074656D"/>
    <w:rsid w:val="00746A01"/>
    <w:rsid w:val="00746C21"/>
    <w:rsid w:val="00746CCE"/>
    <w:rsid w:val="00746D02"/>
    <w:rsid w:val="00746E84"/>
    <w:rsid w:val="00746FA1"/>
    <w:rsid w:val="0074702B"/>
    <w:rsid w:val="00747104"/>
    <w:rsid w:val="0074715D"/>
    <w:rsid w:val="0074726F"/>
    <w:rsid w:val="007472E7"/>
    <w:rsid w:val="00747549"/>
    <w:rsid w:val="00747574"/>
    <w:rsid w:val="00747611"/>
    <w:rsid w:val="0074762B"/>
    <w:rsid w:val="0074765A"/>
    <w:rsid w:val="00747660"/>
    <w:rsid w:val="00747673"/>
    <w:rsid w:val="007476FE"/>
    <w:rsid w:val="00747724"/>
    <w:rsid w:val="00747913"/>
    <w:rsid w:val="007479EF"/>
    <w:rsid w:val="00747A0B"/>
    <w:rsid w:val="00747A34"/>
    <w:rsid w:val="00747B2F"/>
    <w:rsid w:val="00747D77"/>
    <w:rsid w:val="00747D84"/>
    <w:rsid w:val="00747E60"/>
    <w:rsid w:val="00747F03"/>
    <w:rsid w:val="00747F05"/>
    <w:rsid w:val="00747F14"/>
    <w:rsid w:val="00747F6A"/>
    <w:rsid w:val="00747F8D"/>
    <w:rsid w:val="00747F8F"/>
    <w:rsid w:val="00747FD1"/>
    <w:rsid w:val="00750093"/>
    <w:rsid w:val="007500B2"/>
    <w:rsid w:val="007500F3"/>
    <w:rsid w:val="00750150"/>
    <w:rsid w:val="00750154"/>
    <w:rsid w:val="00750255"/>
    <w:rsid w:val="007502BE"/>
    <w:rsid w:val="007503B7"/>
    <w:rsid w:val="007503C2"/>
    <w:rsid w:val="007504BB"/>
    <w:rsid w:val="0075053D"/>
    <w:rsid w:val="00750579"/>
    <w:rsid w:val="0075061E"/>
    <w:rsid w:val="0075062F"/>
    <w:rsid w:val="00750687"/>
    <w:rsid w:val="00750688"/>
    <w:rsid w:val="00750775"/>
    <w:rsid w:val="0075079E"/>
    <w:rsid w:val="00750846"/>
    <w:rsid w:val="0075084B"/>
    <w:rsid w:val="0075097E"/>
    <w:rsid w:val="00750C3F"/>
    <w:rsid w:val="00750CC6"/>
    <w:rsid w:val="00750E6F"/>
    <w:rsid w:val="00750EAD"/>
    <w:rsid w:val="00750EB1"/>
    <w:rsid w:val="00750EB2"/>
    <w:rsid w:val="00750F48"/>
    <w:rsid w:val="00750FA2"/>
    <w:rsid w:val="00750FE3"/>
    <w:rsid w:val="00751046"/>
    <w:rsid w:val="007510B3"/>
    <w:rsid w:val="007510F3"/>
    <w:rsid w:val="00751143"/>
    <w:rsid w:val="00751164"/>
    <w:rsid w:val="0075117D"/>
    <w:rsid w:val="00751188"/>
    <w:rsid w:val="007511E0"/>
    <w:rsid w:val="00751273"/>
    <w:rsid w:val="0075129D"/>
    <w:rsid w:val="007512B7"/>
    <w:rsid w:val="007512EB"/>
    <w:rsid w:val="00751375"/>
    <w:rsid w:val="0075138E"/>
    <w:rsid w:val="007513D8"/>
    <w:rsid w:val="007513F2"/>
    <w:rsid w:val="007513FD"/>
    <w:rsid w:val="007514D4"/>
    <w:rsid w:val="00751539"/>
    <w:rsid w:val="007515AC"/>
    <w:rsid w:val="007515BA"/>
    <w:rsid w:val="007515BB"/>
    <w:rsid w:val="00751637"/>
    <w:rsid w:val="007516B4"/>
    <w:rsid w:val="007516EA"/>
    <w:rsid w:val="00751766"/>
    <w:rsid w:val="007517D9"/>
    <w:rsid w:val="00751928"/>
    <w:rsid w:val="007519B7"/>
    <w:rsid w:val="00751A03"/>
    <w:rsid w:val="00751A17"/>
    <w:rsid w:val="00751A33"/>
    <w:rsid w:val="00751ABB"/>
    <w:rsid w:val="00751AEC"/>
    <w:rsid w:val="00751BB3"/>
    <w:rsid w:val="00751BDE"/>
    <w:rsid w:val="00751C62"/>
    <w:rsid w:val="00751C68"/>
    <w:rsid w:val="00751D71"/>
    <w:rsid w:val="00751D9A"/>
    <w:rsid w:val="00751E3D"/>
    <w:rsid w:val="00752033"/>
    <w:rsid w:val="00752124"/>
    <w:rsid w:val="00752183"/>
    <w:rsid w:val="00752232"/>
    <w:rsid w:val="0075225B"/>
    <w:rsid w:val="00752362"/>
    <w:rsid w:val="007523CF"/>
    <w:rsid w:val="007523EE"/>
    <w:rsid w:val="007524B0"/>
    <w:rsid w:val="007524B8"/>
    <w:rsid w:val="00752538"/>
    <w:rsid w:val="007525BA"/>
    <w:rsid w:val="007525D0"/>
    <w:rsid w:val="0075260E"/>
    <w:rsid w:val="0075262A"/>
    <w:rsid w:val="007526A2"/>
    <w:rsid w:val="00752723"/>
    <w:rsid w:val="0075278C"/>
    <w:rsid w:val="0075279A"/>
    <w:rsid w:val="00752838"/>
    <w:rsid w:val="007528B7"/>
    <w:rsid w:val="007528BB"/>
    <w:rsid w:val="007528E8"/>
    <w:rsid w:val="0075291D"/>
    <w:rsid w:val="007529BE"/>
    <w:rsid w:val="00752AC6"/>
    <w:rsid w:val="00752BA6"/>
    <w:rsid w:val="00752BD3"/>
    <w:rsid w:val="00752D5B"/>
    <w:rsid w:val="00752E17"/>
    <w:rsid w:val="00752EBD"/>
    <w:rsid w:val="00752FDB"/>
    <w:rsid w:val="0075301A"/>
    <w:rsid w:val="00753136"/>
    <w:rsid w:val="00753170"/>
    <w:rsid w:val="0075318D"/>
    <w:rsid w:val="007531D5"/>
    <w:rsid w:val="007531FB"/>
    <w:rsid w:val="00753252"/>
    <w:rsid w:val="00753273"/>
    <w:rsid w:val="007532C6"/>
    <w:rsid w:val="007532DA"/>
    <w:rsid w:val="007532DE"/>
    <w:rsid w:val="007532F2"/>
    <w:rsid w:val="00753408"/>
    <w:rsid w:val="007534F3"/>
    <w:rsid w:val="0075350F"/>
    <w:rsid w:val="0075354B"/>
    <w:rsid w:val="0075359B"/>
    <w:rsid w:val="007535D1"/>
    <w:rsid w:val="007536A5"/>
    <w:rsid w:val="00753721"/>
    <w:rsid w:val="00753738"/>
    <w:rsid w:val="00753783"/>
    <w:rsid w:val="0075395D"/>
    <w:rsid w:val="0075396B"/>
    <w:rsid w:val="007539B1"/>
    <w:rsid w:val="00753AFA"/>
    <w:rsid w:val="00753B04"/>
    <w:rsid w:val="00753BAA"/>
    <w:rsid w:val="00753BB4"/>
    <w:rsid w:val="00753D0D"/>
    <w:rsid w:val="00753D28"/>
    <w:rsid w:val="00753DBC"/>
    <w:rsid w:val="00753DED"/>
    <w:rsid w:val="00753E28"/>
    <w:rsid w:val="00753ECA"/>
    <w:rsid w:val="00753FEC"/>
    <w:rsid w:val="00754039"/>
    <w:rsid w:val="00754188"/>
    <w:rsid w:val="007541F1"/>
    <w:rsid w:val="0075427B"/>
    <w:rsid w:val="00754286"/>
    <w:rsid w:val="007543A5"/>
    <w:rsid w:val="007543B0"/>
    <w:rsid w:val="0075453D"/>
    <w:rsid w:val="00754544"/>
    <w:rsid w:val="0075467B"/>
    <w:rsid w:val="007546EB"/>
    <w:rsid w:val="0075475E"/>
    <w:rsid w:val="00754855"/>
    <w:rsid w:val="00754880"/>
    <w:rsid w:val="007548C3"/>
    <w:rsid w:val="00754913"/>
    <w:rsid w:val="007549BC"/>
    <w:rsid w:val="00754A72"/>
    <w:rsid w:val="00754AE2"/>
    <w:rsid w:val="00754AF5"/>
    <w:rsid w:val="00754C72"/>
    <w:rsid w:val="00754D60"/>
    <w:rsid w:val="00754DBD"/>
    <w:rsid w:val="00754EF7"/>
    <w:rsid w:val="00754F6B"/>
    <w:rsid w:val="00754F8D"/>
    <w:rsid w:val="0075500A"/>
    <w:rsid w:val="00755057"/>
    <w:rsid w:val="00755070"/>
    <w:rsid w:val="007550CB"/>
    <w:rsid w:val="007551C8"/>
    <w:rsid w:val="007551CC"/>
    <w:rsid w:val="00755222"/>
    <w:rsid w:val="00755249"/>
    <w:rsid w:val="0075528E"/>
    <w:rsid w:val="007552FD"/>
    <w:rsid w:val="0075539C"/>
    <w:rsid w:val="00755410"/>
    <w:rsid w:val="00755436"/>
    <w:rsid w:val="007554C2"/>
    <w:rsid w:val="007556A1"/>
    <w:rsid w:val="007557DE"/>
    <w:rsid w:val="007558D1"/>
    <w:rsid w:val="007558EC"/>
    <w:rsid w:val="00755909"/>
    <w:rsid w:val="007559B3"/>
    <w:rsid w:val="00755A2A"/>
    <w:rsid w:val="00755A45"/>
    <w:rsid w:val="00755C7F"/>
    <w:rsid w:val="00755D84"/>
    <w:rsid w:val="00755D8A"/>
    <w:rsid w:val="00755DE4"/>
    <w:rsid w:val="00755E6D"/>
    <w:rsid w:val="00755F0E"/>
    <w:rsid w:val="00755F44"/>
    <w:rsid w:val="00756006"/>
    <w:rsid w:val="007560FE"/>
    <w:rsid w:val="007561BA"/>
    <w:rsid w:val="007561EB"/>
    <w:rsid w:val="00756257"/>
    <w:rsid w:val="007562BA"/>
    <w:rsid w:val="007563FC"/>
    <w:rsid w:val="00756406"/>
    <w:rsid w:val="0075647B"/>
    <w:rsid w:val="007564D5"/>
    <w:rsid w:val="007564FB"/>
    <w:rsid w:val="00756573"/>
    <w:rsid w:val="00756631"/>
    <w:rsid w:val="00756658"/>
    <w:rsid w:val="00756680"/>
    <w:rsid w:val="007566FC"/>
    <w:rsid w:val="00756738"/>
    <w:rsid w:val="00756742"/>
    <w:rsid w:val="007567E3"/>
    <w:rsid w:val="007567EC"/>
    <w:rsid w:val="0075699E"/>
    <w:rsid w:val="007569CB"/>
    <w:rsid w:val="00756AA0"/>
    <w:rsid w:val="00756AB4"/>
    <w:rsid w:val="00756CBB"/>
    <w:rsid w:val="00756E2C"/>
    <w:rsid w:val="00756EB8"/>
    <w:rsid w:val="0075701E"/>
    <w:rsid w:val="00757056"/>
    <w:rsid w:val="00757123"/>
    <w:rsid w:val="00757147"/>
    <w:rsid w:val="007571C8"/>
    <w:rsid w:val="007572DD"/>
    <w:rsid w:val="007573DF"/>
    <w:rsid w:val="0075740E"/>
    <w:rsid w:val="00757544"/>
    <w:rsid w:val="007576DF"/>
    <w:rsid w:val="00757815"/>
    <w:rsid w:val="00757872"/>
    <w:rsid w:val="007578D8"/>
    <w:rsid w:val="007578E5"/>
    <w:rsid w:val="00757955"/>
    <w:rsid w:val="00757AAD"/>
    <w:rsid w:val="00757AD7"/>
    <w:rsid w:val="00757B8C"/>
    <w:rsid w:val="00757B99"/>
    <w:rsid w:val="00757D14"/>
    <w:rsid w:val="00757DD2"/>
    <w:rsid w:val="00757DE4"/>
    <w:rsid w:val="00757E32"/>
    <w:rsid w:val="00760268"/>
    <w:rsid w:val="00760295"/>
    <w:rsid w:val="007602BC"/>
    <w:rsid w:val="0076032E"/>
    <w:rsid w:val="00760378"/>
    <w:rsid w:val="007603E7"/>
    <w:rsid w:val="00760454"/>
    <w:rsid w:val="007604E4"/>
    <w:rsid w:val="00760626"/>
    <w:rsid w:val="0076067E"/>
    <w:rsid w:val="00760697"/>
    <w:rsid w:val="007607A1"/>
    <w:rsid w:val="00760834"/>
    <w:rsid w:val="0076088B"/>
    <w:rsid w:val="007609EA"/>
    <w:rsid w:val="00760A44"/>
    <w:rsid w:val="00760AF0"/>
    <w:rsid w:val="00760AFA"/>
    <w:rsid w:val="00760B00"/>
    <w:rsid w:val="00760B62"/>
    <w:rsid w:val="00760CFD"/>
    <w:rsid w:val="00760D2C"/>
    <w:rsid w:val="00760D89"/>
    <w:rsid w:val="00760F9B"/>
    <w:rsid w:val="007610D5"/>
    <w:rsid w:val="00761141"/>
    <w:rsid w:val="0076118E"/>
    <w:rsid w:val="007611E0"/>
    <w:rsid w:val="007611EC"/>
    <w:rsid w:val="00761255"/>
    <w:rsid w:val="00761280"/>
    <w:rsid w:val="00761392"/>
    <w:rsid w:val="0076145B"/>
    <w:rsid w:val="007614F7"/>
    <w:rsid w:val="007615A7"/>
    <w:rsid w:val="0076167C"/>
    <w:rsid w:val="007617E4"/>
    <w:rsid w:val="0076194E"/>
    <w:rsid w:val="0076197A"/>
    <w:rsid w:val="007619C0"/>
    <w:rsid w:val="007619D0"/>
    <w:rsid w:val="00761ACD"/>
    <w:rsid w:val="00761AF2"/>
    <w:rsid w:val="00761AFB"/>
    <w:rsid w:val="00761C76"/>
    <w:rsid w:val="00761D42"/>
    <w:rsid w:val="00761D89"/>
    <w:rsid w:val="00761E1F"/>
    <w:rsid w:val="00761E62"/>
    <w:rsid w:val="00761EAF"/>
    <w:rsid w:val="00761F1B"/>
    <w:rsid w:val="00761F86"/>
    <w:rsid w:val="00761FDC"/>
    <w:rsid w:val="007620A5"/>
    <w:rsid w:val="0076224C"/>
    <w:rsid w:val="0076233B"/>
    <w:rsid w:val="007623F3"/>
    <w:rsid w:val="0076247D"/>
    <w:rsid w:val="00762572"/>
    <w:rsid w:val="0076270D"/>
    <w:rsid w:val="00762741"/>
    <w:rsid w:val="0076277D"/>
    <w:rsid w:val="0076280B"/>
    <w:rsid w:val="00762842"/>
    <w:rsid w:val="0076296C"/>
    <w:rsid w:val="00762985"/>
    <w:rsid w:val="007629B0"/>
    <w:rsid w:val="00762AC9"/>
    <w:rsid w:val="00762B36"/>
    <w:rsid w:val="00762C03"/>
    <w:rsid w:val="00762C2E"/>
    <w:rsid w:val="00762C6D"/>
    <w:rsid w:val="00762CB8"/>
    <w:rsid w:val="00762CDE"/>
    <w:rsid w:val="00762D22"/>
    <w:rsid w:val="00762D33"/>
    <w:rsid w:val="00762DB6"/>
    <w:rsid w:val="00762E76"/>
    <w:rsid w:val="00763097"/>
    <w:rsid w:val="007630BA"/>
    <w:rsid w:val="007630CE"/>
    <w:rsid w:val="007630DA"/>
    <w:rsid w:val="00763376"/>
    <w:rsid w:val="007633F5"/>
    <w:rsid w:val="0076366C"/>
    <w:rsid w:val="00763751"/>
    <w:rsid w:val="00763818"/>
    <w:rsid w:val="0076389A"/>
    <w:rsid w:val="0076392D"/>
    <w:rsid w:val="0076394E"/>
    <w:rsid w:val="007639DD"/>
    <w:rsid w:val="00763A8B"/>
    <w:rsid w:val="00763B1F"/>
    <w:rsid w:val="00763B47"/>
    <w:rsid w:val="00763B96"/>
    <w:rsid w:val="00763BE6"/>
    <w:rsid w:val="00763C95"/>
    <w:rsid w:val="00763D6D"/>
    <w:rsid w:val="00763DD8"/>
    <w:rsid w:val="00763FBC"/>
    <w:rsid w:val="0076401B"/>
    <w:rsid w:val="00764047"/>
    <w:rsid w:val="00764095"/>
    <w:rsid w:val="007641EB"/>
    <w:rsid w:val="00764254"/>
    <w:rsid w:val="00764384"/>
    <w:rsid w:val="007643E0"/>
    <w:rsid w:val="0076444B"/>
    <w:rsid w:val="0076452E"/>
    <w:rsid w:val="0076455E"/>
    <w:rsid w:val="0076462D"/>
    <w:rsid w:val="0076474C"/>
    <w:rsid w:val="0076486E"/>
    <w:rsid w:val="00764884"/>
    <w:rsid w:val="007648A0"/>
    <w:rsid w:val="007648C0"/>
    <w:rsid w:val="007648D5"/>
    <w:rsid w:val="00764931"/>
    <w:rsid w:val="00764935"/>
    <w:rsid w:val="007649BA"/>
    <w:rsid w:val="007649E1"/>
    <w:rsid w:val="00764B2A"/>
    <w:rsid w:val="00764B4A"/>
    <w:rsid w:val="00764C6A"/>
    <w:rsid w:val="00764D1F"/>
    <w:rsid w:val="00764D83"/>
    <w:rsid w:val="00764E84"/>
    <w:rsid w:val="00764EC9"/>
    <w:rsid w:val="00764F6F"/>
    <w:rsid w:val="007651A0"/>
    <w:rsid w:val="007652C5"/>
    <w:rsid w:val="0076535B"/>
    <w:rsid w:val="007653F3"/>
    <w:rsid w:val="00765439"/>
    <w:rsid w:val="007654D9"/>
    <w:rsid w:val="007655A1"/>
    <w:rsid w:val="007655CF"/>
    <w:rsid w:val="0076574E"/>
    <w:rsid w:val="007657F3"/>
    <w:rsid w:val="0076585A"/>
    <w:rsid w:val="007658FC"/>
    <w:rsid w:val="0076594E"/>
    <w:rsid w:val="00765A31"/>
    <w:rsid w:val="00765A5F"/>
    <w:rsid w:val="00765C49"/>
    <w:rsid w:val="00765DA9"/>
    <w:rsid w:val="00765EBA"/>
    <w:rsid w:val="00765EE6"/>
    <w:rsid w:val="00765EEE"/>
    <w:rsid w:val="00765F2C"/>
    <w:rsid w:val="00766055"/>
    <w:rsid w:val="007660BF"/>
    <w:rsid w:val="007660D5"/>
    <w:rsid w:val="007661AF"/>
    <w:rsid w:val="00766293"/>
    <w:rsid w:val="0076629B"/>
    <w:rsid w:val="007662D8"/>
    <w:rsid w:val="00766361"/>
    <w:rsid w:val="007663E6"/>
    <w:rsid w:val="007664F4"/>
    <w:rsid w:val="007665A4"/>
    <w:rsid w:val="0076681A"/>
    <w:rsid w:val="0076694B"/>
    <w:rsid w:val="00766AA7"/>
    <w:rsid w:val="00766AE9"/>
    <w:rsid w:val="00766B48"/>
    <w:rsid w:val="00766B66"/>
    <w:rsid w:val="00766B69"/>
    <w:rsid w:val="00766B6D"/>
    <w:rsid w:val="00766BA8"/>
    <w:rsid w:val="00766BB9"/>
    <w:rsid w:val="00766C6D"/>
    <w:rsid w:val="00766C71"/>
    <w:rsid w:val="00766C77"/>
    <w:rsid w:val="00766EC1"/>
    <w:rsid w:val="00767139"/>
    <w:rsid w:val="007672DF"/>
    <w:rsid w:val="00767306"/>
    <w:rsid w:val="00767343"/>
    <w:rsid w:val="00767434"/>
    <w:rsid w:val="00767456"/>
    <w:rsid w:val="007677AB"/>
    <w:rsid w:val="00767960"/>
    <w:rsid w:val="0076799E"/>
    <w:rsid w:val="00767A02"/>
    <w:rsid w:val="00767A43"/>
    <w:rsid w:val="00767A50"/>
    <w:rsid w:val="00767A83"/>
    <w:rsid w:val="00767AA8"/>
    <w:rsid w:val="00767AD2"/>
    <w:rsid w:val="00767C9B"/>
    <w:rsid w:val="00767CFB"/>
    <w:rsid w:val="00767F1A"/>
    <w:rsid w:val="00767F43"/>
    <w:rsid w:val="007701F2"/>
    <w:rsid w:val="0077024E"/>
    <w:rsid w:val="00770256"/>
    <w:rsid w:val="007703AB"/>
    <w:rsid w:val="007703BD"/>
    <w:rsid w:val="0077050B"/>
    <w:rsid w:val="00770664"/>
    <w:rsid w:val="00770666"/>
    <w:rsid w:val="00770692"/>
    <w:rsid w:val="007706E9"/>
    <w:rsid w:val="00770703"/>
    <w:rsid w:val="007708A2"/>
    <w:rsid w:val="007708DF"/>
    <w:rsid w:val="007709D8"/>
    <w:rsid w:val="00770A62"/>
    <w:rsid w:val="00770A86"/>
    <w:rsid w:val="00770B50"/>
    <w:rsid w:val="00770B99"/>
    <w:rsid w:val="00770BA7"/>
    <w:rsid w:val="00770BB4"/>
    <w:rsid w:val="00770C03"/>
    <w:rsid w:val="00770CEF"/>
    <w:rsid w:val="00770DD8"/>
    <w:rsid w:val="00770FA2"/>
    <w:rsid w:val="00771153"/>
    <w:rsid w:val="0077120E"/>
    <w:rsid w:val="00771222"/>
    <w:rsid w:val="0077122B"/>
    <w:rsid w:val="007712FA"/>
    <w:rsid w:val="007713EA"/>
    <w:rsid w:val="00771461"/>
    <w:rsid w:val="007714C0"/>
    <w:rsid w:val="007714E4"/>
    <w:rsid w:val="00771516"/>
    <w:rsid w:val="007715A9"/>
    <w:rsid w:val="007715B6"/>
    <w:rsid w:val="0077169B"/>
    <w:rsid w:val="007716E6"/>
    <w:rsid w:val="007716EC"/>
    <w:rsid w:val="007716F8"/>
    <w:rsid w:val="007718CD"/>
    <w:rsid w:val="007718E0"/>
    <w:rsid w:val="0077198C"/>
    <w:rsid w:val="00771992"/>
    <w:rsid w:val="007719F8"/>
    <w:rsid w:val="00771A1C"/>
    <w:rsid w:val="00771B92"/>
    <w:rsid w:val="00771BF8"/>
    <w:rsid w:val="00771CB2"/>
    <w:rsid w:val="00771D5D"/>
    <w:rsid w:val="00771F3F"/>
    <w:rsid w:val="00772047"/>
    <w:rsid w:val="00772096"/>
    <w:rsid w:val="00772110"/>
    <w:rsid w:val="0077215F"/>
    <w:rsid w:val="00772171"/>
    <w:rsid w:val="00772257"/>
    <w:rsid w:val="007722B5"/>
    <w:rsid w:val="0077231D"/>
    <w:rsid w:val="00772343"/>
    <w:rsid w:val="0077236F"/>
    <w:rsid w:val="00772414"/>
    <w:rsid w:val="0077244D"/>
    <w:rsid w:val="007724AE"/>
    <w:rsid w:val="00772531"/>
    <w:rsid w:val="007725E4"/>
    <w:rsid w:val="0077261A"/>
    <w:rsid w:val="0077261B"/>
    <w:rsid w:val="0077271E"/>
    <w:rsid w:val="00772765"/>
    <w:rsid w:val="00772873"/>
    <w:rsid w:val="007728B7"/>
    <w:rsid w:val="007728C9"/>
    <w:rsid w:val="00772A7E"/>
    <w:rsid w:val="00772AD7"/>
    <w:rsid w:val="00772ADF"/>
    <w:rsid w:val="00772BB8"/>
    <w:rsid w:val="00772CB5"/>
    <w:rsid w:val="00772CF4"/>
    <w:rsid w:val="00772D0A"/>
    <w:rsid w:val="00772D55"/>
    <w:rsid w:val="00772DFF"/>
    <w:rsid w:val="00772E48"/>
    <w:rsid w:val="00772EBF"/>
    <w:rsid w:val="00772F02"/>
    <w:rsid w:val="00772FE9"/>
    <w:rsid w:val="00773070"/>
    <w:rsid w:val="00773129"/>
    <w:rsid w:val="007732B3"/>
    <w:rsid w:val="007732C4"/>
    <w:rsid w:val="0077343C"/>
    <w:rsid w:val="00773566"/>
    <w:rsid w:val="00773598"/>
    <w:rsid w:val="0077363E"/>
    <w:rsid w:val="007736EE"/>
    <w:rsid w:val="00773925"/>
    <w:rsid w:val="00773998"/>
    <w:rsid w:val="00773B34"/>
    <w:rsid w:val="00773CE3"/>
    <w:rsid w:val="00773E66"/>
    <w:rsid w:val="007740C9"/>
    <w:rsid w:val="007741F2"/>
    <w:rsid w:val="00774278"/>
    <w:rsid w:val="00774368"/>
    <w:rsid w:val="007743B2"/>
    <w:rsid w:val="0077443F"/>
    <w:rsid w:val="007744E7"/>
    <w:rsid w:val="00774554"/>
    <w:rsid w:val="0077456C"/>
    <w:rsid w:val="007745D6"/>
    <w:rsid w:val="00774704"/>
    <w:rsid w:val="00774772"/>
    <w:rsid w:val="007747A2"/>
    <w:rsid w:val="007748A1"/>
    <w:rsid w:val="00774979"/>
    <w:rsid w:val="00774A80"/>
    <w:rsid w:val="00774BCC"/>
    <w:rsid w:val="00774CB5"/>
    <w:rsid w:val="00774D63"/>
    <w:rsid w:val="00774D69"/>
    <w:rsid w:val="00774D97"/>
    <w:rsid w:val="00774DBD"/>
    <w:rsid w:val="00774E6F"/>
    <w:rsid w:val="00774F7C"/>
    <w:rsid w:val="00774FA9"/>
    <w:rsid w:val="00774FFD"/>
    <w:rsid w:val="00775006"/>
    <w:rsid w:val="007750E0"/>
    <w:rsid w:val="0077511F"/>
    <w:rsid w:val="0077512E"/>
    <w:rsid w:val="007751D3"/>
    <w:rsid w:val="00775291"/>
    <w:rsid w:val="007752C7"/>
    <w:rsid w:val="007752C8"/>
    <w:rsid w:val="007752FF"/>
    <w:rsid w:val="00775313"/>
    <w:rsid w:val="00775522"/>
    <w:rsid w:val="0077553F"/>
    <w:rsid w:val="0077555C"/>
    <w:rsid w:val="0077568B"/>
    <w:rsid w:val="007756D4"/>
    <w:rsid w:val="007758C2"/>
    <w:rsid w:val="007758DF"/>
    <w:rsid w:val="007759C6"/>
    <w:rsid w:val="00775A01"/>
    <w:rsid w:val="00775A3F"/>
    <w:rsid w:val="00775A46"/>
    <w:rsid w:val="00775A8E"/>
    <w:rsid w:val="00775B11"/>
    <w:rsid w:val="00775C0E"/>
    <w:rsid w:val="00775C58"/>
    <w:rsid w:val="00775CAB"/>
    <w:rsid w:val="00775D72"/>
    <w:rsid w:val="00775E54"/>
    <w:rsid w:val="00775E6E"/>
    <w:rsid w:val="00775E8F"/>
    <w:rsid w:val="00775F4A"/>
    <w:rsid w:val="0077605D"/>
    <w:rsid w:val="00776270"/>
    <w:rsid w:val="007762BA"/>
    <w:rsid w:val="00776304"/>
    <w:rsid w:val="00776345"/>
    <w:rsid w:val="00776355"/>
    <w:rsid w:val="0077638F"/>
    <w:rsid w:val="0077641A"/>
    <w:rsid w:val="007764C4"/>
    <w:rsid w:val="0077650A"/>
    <w:rsid w:val="00776662"/>
    <w:rsid w:val="007766BA"/>
    <w:rsid w:val="0077678E"/>
    <w:rsid w:val="007769A3"/>
    <w:rsid w:val="00776A5A"/>
    <w:rsid w:val="00776AAB"/>
    <w:rsid w:val="00776B58"/>
    <w:rsid w:val="00776C8E"/>
    <w:rsid w:val="00776CAA"/>
    <w:rsid w:val="00776CDF"/>
    <w:rsid w:val="00776CF5"/>
    <w:rsid w:val="00776D14"/>
    <w:rsid w:val="00776DB7"/>
    <w:rsid w:val="0077700D"/>
    <w:rsid w:val="0077702A"/>
    <w:rsid w:val="007770AE"/>
    <w:rsid w:val="007773BE"/>
    <w:rsid w:val="00777591"/>
    <w:rsid w:val="007777CC"/>
    <w:rsid w:val="00777822"/>
    <w:rsid w:val="007778A0"/>
    <w:rsid w:val="00777942"/>
    <w:rsid w:val="00777AB4"/>
    <w:rsid w:val="00777ACA"/>
    <w:rsid w:val="00777AE6"/>
    <w:rsid w:val="00777C28"/>
    <w:rsid w:val="00777DF1"/>
    <w:rsid w:val="00777ED0"/>
    <w:rsid w:val="00777FCA"/>
    <w:rsid w:val="00777FFD"/>
    <w:rsid w:val="00780027"/>
    <w:rsid w:val="0078021A"/>
    <w:rsid w:val="007802A1"/>
    <w:rsid w:val="00780393"/>
    <w:rsid w:val="007803A1"/>
    <w:rsid w:val="0078048D"/>
    <w:rsid w:val="007804F1"/>
    <w:rsid w:val="00780521"/>
    <w:rsid w:val="00780557"/>
    <w:rsid w:val="007806C9"/>
    <w:rsid w:val="007806EF"/>
    <w:rsid w:val="007808F0"/>
    <w:rsid w:val="00780953"/>
    <w:rsid w:val="00780A29"/>
    <w:rsid w:val="00780B51"/>
    <w:rsid w:val="00780B5F"/>
    <w:rsid w:val="00780CD8"/>
    <w:rsid w:val="00780CDE"/>
    <w:rsid w:val="00780DC5"/>
    <w:rsid w:val="00780DFE"/>
    <w:rsid w:val="00780E59"/>
    <w:rsid w:val="00780EFB"/>
    <w:rsid w:val="00780F17"/>
    <w:rsid w:val="00780FD7"/>
    <w:rsid w:val="007810FA"/>
    <w:rsid w:val="007811A9"/>
    <w:rsid w:val="007811ED"/>
    <w:rsid w:val="0078127B"/>
    <w:rsid w:val="00781321"/>
    <w:rsid w:val="007813B8"/>
    <w:rsid w:val="007814E0"/>
    <w:rsid w:val="007815BC"/>
    <w:rsid w:val="00781601"/>
    <w:rsid w:val="00781613"/>
    <w:rsid w:val="00781699"/>
    <w:rsid w:val="00781719"/>
    <w:rsid w:val="00781769"/>
    <w:rsid w:val="0078181E"/>
    <w:rsid w:val="00781871"/>
    <w:rsid w:val="00781872"/>
    <w:rsid w:val="00781944"/>
    <w:rsid w:val="00781992"/>
    <w:rsid w:val="007819AD"/>
    <w:rsid w:val="00781A4B"/>
    <w:rsid w:val="00781A93"/>
    <w:rsid w:val="00781AE4"/>
    <w:rsid w:val="00781BE8"/>
    <w:rsid w:val="00781BFA"/>
    <w:rsid w:val="00781C32"/>
    <w:rsid w:val="00781D26"/>
    <w:rsid w:val="00781DF9"/>
    <w:rsid w:val="00781EA3"/>
    <w:rsid w:val="00781F50"/>
    <w:rsid w:val="00782102"/>
    <w:rsid w:val="007821F4"/>
    <w:rsid w:val="0078223B"/>
    <w:rsid w:val="0078224B"/>
    <w:rsid w:val="007822AD"/>
    <w:rsid w:val="00782409"/>
    <w:rsid w:val="00782576"/>
    <w:rsid w:val="0078259F"/>
    <w:rsid w:val="00782658"/>
    <w:rsid w:val="00782677"/>
    <w:rsid w:val="007826F5"/>
    <w:rsid w:val="00782705"/>
    <w:rsid w:val="0078273F"/>
    <w:rsid w:val="007827C7"/>
    <w:rsid w:val="0078280C"/>
    <w:rsid w:val="00782944"/>
    <w:rsid w:val="00782980"/>
    <w:rsid w:val="007829AF"/>
    <w:rsid w:val="007829E3"/>
    <w:rsid w:val="00782B74"/>
    <w:rsid w:val="00782B96"/>
    <w:rsid w:val="00782CBD"/>
    <w:rsid w:val="00782E02"/>
    <w:rsid w:val="00782E2C"/>
    <w:rsid w:val="00782EFE"/>
    <w:rsid w:val="00782F8D"/>
    <w:rsid w:val="007830A9"/>
    <w:rsid w:val="007830BD"/>
    <w:rsid w:val="007830E8"/>
    <w:rsid w:val="00783120"/>
    <w:rsid w:val="0078317E"/>
    <w:rsid w:val="0078322B"/>
    <w:rsid w:val="007832C0"/>
    <w:rsid w:val="007832DC"/>
    <w:rsid w:val="00783345"/>
    <w:rsid w:val="007833B8"/>
    <w:rsid w:val="007834FD"/>
    <w:rsid w:val="00783535"/>
    <w:rsid w:val="007835F3"/>
    <w:rsid w:val="0078365A"/>
    <w:rsid w:val="00783804"/>
    <w:rsid w:val="007838E8"/>
    <w:rsid w:val="00783936"/>
    <w:rsid w:val="0078393C"/>
    <w:rsid w:val="0078398B"/>
    <w:rsid w:val="00783AE1"/>
    <w:rsid w:val="00783B12"/>
    <w:rsid w:val="00783B54"/>
    <w:rsid w:val="00783B7A"/>
    <w:rsid w:val="00783C8C"/>
    <w:rsid w:val="00783CD3"/>
    <w:rsid w:val="00783E84"/>
    <w:rsid w:val="00783F0C"/>
    <w:rsid w:val="00784009"/>
    <w:rsid w:val="00784050"/>
    <w:rsid w:val="00784056"/>
    <w:rsid w:val="0078406D"/>
    <w:rsid w:val="00784179"/>
    <w:rsid w:val="00784229"/>
    <w:rsid w:val="0078423E"/>
    <w:rsid w:val="00784278"/>
    <w:rsid w:val="0078428C"/>
    <w:rsid w:val="007842A4"/>
    <w:rsid w:val="007842F4"/>
    <w:rsid w:val="007843FA"/>
    <w:rsid w:val="007844DC"/>
    <w:rsid w:val="007845FC"/>
    <w:rsid w:val="0078473B"/>
    <w:rsid w:val="0078476B"/>
    <w:rsid w:val="007847F3"/>
    <w:rsid w:val="007848BC"/>
    <w:rsid w:val="007849A9"/>
    <w:rsid w:val="007849C2"/>
    <w:rsid w:val="007849E2"/>
    <w:rsid w:val="00784AB2"/>
    <w:rsid w:val="00784AFB"/>
    <w:rsid w:val="00784B3C"/>
    <w:rsid w:val="00784BE4"/>
    <w:rsid w:val="00784C97"/>
    <w:rsid w:val="00784D40"/>
    <w:rsid w:val="00784D91"/>
    <w:rsid w:val="00784E8A"/>
    <w:rsid w:val="00784EF3"/>
    <w:rsid w:val="00784F44"/>
    <w:rsid w:val="00785016"/>
    <w:rsid w:val="00785120"/>
    <w:rsid w:val="00785168"/>
    <w:rsid w:val="007851BE"/>
    <w:rsid w:val="007852E6"/>
    <w:rsid w:val="00785350"/>
    <w:rsid w:val="007853F3"/>
    <w:rsid w:val="007854BC"/>
    <w:rsid w:val="00785550"/>
    <w:rsid w:val="00785613"/>
    <w:rsid w:val="0078562A"/>
    <w:rsid w:val="00785656"/>
    <w:rsid w:val="00785698"/>
    <w:rsid w:val="00785719"/>
    <w:rsid w:val="00785969"/>
    <w:rsid w:val="00785A9F"/>
    <w:rsid w:val="00785B2F"/>
    <w:rsid w:val="00785B6A"/>
    <w:rsid w:val="00785C06"/>
    <w:rsid w:val="00785C0C"/>
    <w:rsid w:val="00785C41"/>
    <w:rsid w:val="00785CBB"/>
    <w:rsid w:val="00785D13"/>
    <w:rsid w:val="00785E2B"/>
    <w:rsid w:val="00785F2A"/>
    <w:rsid w:val="00786044"/>
    <w:rsid w:val="007860A2"/>
    <w:rsid w:val="0078613E"/>
    <w:rsid w:val="00786153"/>
    <w:rsid w:val="00786213"/>
    <w:rsid w:val="00786305"/>
    <w:rsid w:val="00786361"/>
    <w:rsid w:val="007863F8"/>
    <w:rsid w:val="00786496"/>
    <w:rsid w:val="007864C2"/>
    <w:rsid w:val="00786685"/>
    <w:rsid w:val="0078672F"/>
    <w:rsid w:val="007867F0"/>
    <w:rsid w:val="0078688F"/>
    <w:rsid w:val="007868BC"/>
    <w:rsid w:val="007868E7"/>
    <w:rsid w:val="00786948"/>
    <w:rsid w:val="007869EB"/>
    <w:rsid w:val="00786A69"/>
    <w:rsid w:val="00786B7B"/>
    <w:rsid w:val="00786B8F"/>
    <w:rsid w:val="00786BBE"/>
    <w:rsid w:val="00786BCA"/>
    <w:rsid w:val="00786BF3"/>
    <w:rsid w:val="00786C71"/>
    <w:rsid w:val="00786CA8"/>
    <w:rsid w:val="00786CFD"/>
    <w:rsid w:val="00786DE2"/>
    <w:rsid w:val="00786ECA"/>
    <w:rsid w:val="00786FAD"/>
    <w:rsid w:val="00786FB3"/>
    <w:rsid w:val="0078707D"/>
    <w:rsid w:val="0078712D"/>
    <w:rsid w:val="00787150"/>
    <w:rsid w:val="00787197"/>
    <w:rsid w:val="00787198"/>
    <w:rsid w:val="007871B1"/>
    <w:rsid w:val="007872B2"/>
    <w:rsid w:val="00787476"/>
    <w:rsid w:val="007874BC"/>
    <w:rsid w:val="007874F0"/>
    <w:rsid w:val="0078752B"/>
    <w:rsid w:val="007875F6"/>
    <w:rsid w:val="00787681"/>
    <w:rsid w:val="0078770E"/>
    <w:rsid w:val="0078773F"/>
    <w:rsid w:val="00787770"/>
    <w:rsid w:val="00787781"/>
    <w:rsid w:val="0078785C"/>
    <w:rsid w:val="007878DB"/>
    <w:rsid w:val="00787938"/>
    <w:rsid w:val="00787B2F"/>
    <w:rsid w:val="00787B61"/>
    <w:rsid w:val="00787C0D"/>
    <w:rsid w:val="00787D76"/>
    <w:rsid w:val="00787DA3"/>
    <w:rsid w:val="00787E27"/>
    <w:rsid w:val="00787EF7"/>
    <w:rsid w:val="00790077"/>
    <w:rsid w:val="007900B0"/>
    <w:rsid w:val="00790129"/>
    <w:rsid w:val="0079028C"/>
    <w:rsid w:val="007902A4"/>
    <w:rsid w:val="00790454"/>
    <w:rsid w:val="007904E9"/>
    <w:rsid w:val="00790516"/>
    <w:rsid w:val="00790582"/>
    <w:rsid w:val="0079064E"/>
    <w:rsid w:val="00790686"/>
    <w:rsid w:val="00790849"/>
    <w:rsid w:val="007908E0"/>
    <w:rsid w:val="007908F8"/>
    <w:rsid w:val="00790912"/>
    <w:rsid w:val="00790955"/>
    <w:rsid w:val="00790A47"/>
    <w:rsid w:val="00790A7A"/>
    <w:rsid w:val="00790B39"/>
    <w:rsid w:val="00790C11"/>
    <w:rsid w:val="00790C38"/>
    <w:rsid w:val="00790C4C"/>
    <w:rsid w:val="00790D19"/>
    <w:rsid w:val="00790D61"/>
    <w:rsid w:val="00790ECD"/>
    <w:rsid w:val="00790FAB"/>
    <w:rsid w:val="00790FD4"/>
    <w:rsid w:val="0079100B"/>
    <w:rsid w:val="007910BB"/>
    <w:rsid w:val="007910ED"/>
    <w:rsid w:val="0079112B"/>
    <w:rsid w:val="00791167"/>
    <w:rsid w:val="007911C5"/>
    <w:rsid w:val="007911C8"/>
    <w:rsid w:val="007912F1"/>
    <w:rsid w:val="0079141C"/>
    <w:rsid w:val="00791453"/>
    <w:rsid w:val="0079145A"/>
    <w:rsid w:val="00791465"/>
    <w:rsid w:val="00791503"/>
    <w:rsid w:val="0079152C"/>
    <w:rsid w:val="00791585"/>
    <w:rsid w:val="0079159D"/>
    <w:rsid w:val="007915A1"/>
    <w:rsid w:val="007915CD"/>
    <w:rsid w:val="00791682"/>
    <w:rsid w:val="007916A1"/>
    <w:rsid w:val="00791716"/>
    <w:rsid w:val="007917D9"/>
    <w:rsid w:val="0079192E"/>
    <w:rsid w:val="007919F0"/>
    <w:rsid w:val="00791B81"/>
    <w:rsid w:val="00791C57"/>
    <w:rsid w:val="00791C77"/>
    <w:rsid w:val="00791C8A"/>
    <w:rsid w:val="00791C90"/>
    <w:rsid w:val="00791CC7"/>
    <w:rsid w:val="00791DCB"/>
    <w:rsid w:val="00791E26"/>
    <w:rsid w:val="00791E4C"/>
    <w:rsid w:val="00791E89"/>
    <w:rsid w:val="00791EBA"/>
    <w:rsid w:val="00791F3C"/>
    <w:rsid w:val="00791F58"/>
    <w:rsid w:val="0079205D"/>
    <w:rsid w:val="00792108"/>
    <w:rsid w:val="00792128"/>
    <w:rsid w:val="00792286"/>
    <w:rsid w:val="00792301"/>
    <w:rsid w:val="0079234A"/>
    <w:rsid w:val="0079239C"/>
    <w:rsid w:val="00792429"/>
    <w:rsid w:val="00792591"/>
    <w:rsid w:val="007925D5"/>
    <w:rsid w:val="0079265E"/>
    <w:rsid w:val="007926AD"/>
    <w:rsid w:val="0079272F"/>
    <w:rsid w:val="007927E3"/>
    <w:rsid w:val="0079284F"/>
    <w:rsid w:val="00792869"/>
    <w:rsid w:val="007928A4"/>
    <w:rsid w:val="007928DA"/>
    <w:rsid w:val="00792943"/>
    <w:rsid w:val="00792997"/>
    <w:rsid w:val="007929FD"/>
    <w:rsid w:val="00792B3C"/>
    <w:rsid w:val="00792B54"/>
    <w:rsid w:val="00792C68"/>
    <w:rsid w:val="00792C6B"/>
    <w:rsid w:val="00792CED"/>
    <w:rsid w:val="00792D17"/>
    <w:rsid w:val="00792D72"/>
    <w:rsid w:val="00792E11"/>
    <w:rsid w:val="00792E87"/>
    <w:rsid w:val="00792E98"/>
    <w:rsid w:val="00792F6B"/>
    <w:rsid w:val="0079300F"/>
    <w:rsid w:val="00793119"/>
    <w:rsid w:val="00793146"/>
    <w:rsid w:val="00793161"/>
    <w:rsid w:val="0079316D"/>
    <w:rsid w:val="00793250"/>
    <w:rsid w:val="00793286"/>
    <w:rsid w:val="00793388"/>
    <w:rsid w:val="0079343C"/>
    <w:rsid w:val="00793486"/>
    <w:rsid w:val="00793604"/>
    <w:rsid w:val="00793646"/>
    <w:rsid w:val="007936D3"/>
    <w:rsid w:val="00793731"/>
    <w:rsid w:val="007937E9"/>
    <w:rsid w:val="007937EC"/>
    <w:rsid w:val="007938AE"/>
    <w:rsid w:val="00793A4D"/>
    <w:rsid w:val="00793ABE"/>
    <w:rsid w:val="00793B12"/>
    <w:rsid w:val="00793BC3"/>
    <w:rsid w:val="00793C4D"/>
    <w:rsid w:val="00793C88"/>
    <w:rsid w:val="00793CC8"/>
    <w:rsid w:val="00793D54"/>
    <w:rsid w:val="00793E01"/>
    <w:rsid w:val="00793E4F"/>
    <w:rsid w:val="00793EBC"/>
    <w:rsid w:val="00793EE6"/>
    <w:rsid w:val="00793F1B"/>
    <w:rsid w:val="0079438A"/>
    <w:rsid w:val="007943B7"/>
    <w:rsid w:val="00794418"/>
    <w:rsid w:val="00794475"/>
    <w:rsid w:val="007944B4"/>
    <w:rsid w:val="00794529"/>
    <w:rsid w:val="00794620"/>
    <w:rsid w:val="00794775"/>
    <w:rsid w:val="007947B9"/>
    <w:rsid w:val="007947F3"/>
    <w:rsid w:val="007947F6"/>
    <w:rsid w:val="007948CA"/>
    <w:rsid w:val="00794A41"/>
    <w:rsid w:val="00794BC1"/>
    <w:rsid w:val="00794BC2"/>
    <w:rsid w:val="00794C1B"/>
    <w:rsid w:val="00794C1D"/>
    <w:rsid w:val="00794C7C"/>
    <w:rsid w:val="00794CE5"/>
    <w:rsid w:val="00794D00"/>
    <w:rsid w:val="00794D12"/>
    <w:rsid w:val="00794D18"/>
    <w:rsid w:val="00794D26"/>
    <w:rsid w:val="00794DF2"/>
    <w:rsid w:val="00794E0F"/>
    <w:rsid w:val="00794E8F"/>
    <w:rsid w:val="00794E9F"/>
    <w:rsid w:val="00794EB4"/>
    <w:rsid w:val="00794FB9"/>
    <w:rsid w:val="00794FDF"/>
    <w:rsid w:val="00795023"/>
    <w:rsid w:val="00795048"/>
    <w:rsid w:val="00795080"/>
    <w:rsid w:val="00795095"/>
    <w:rsid w:val="007950CD"/>
    <w:rsid w:val="007950EE"/>
    <w:rsid w:val="00795384"/>
    <w:rsid w:val="0079540E"/>
    <w:rsid w:val="00795538"/>
    <w:rsid w:val="00795573"/>
    <w:rsid w:val="007955AC"/>
    <w:rsid w:val="007955C9"/>
    <w:rsid w:val="007955EC"/>
    <w:rsid w:val="0079562B"/>
    <w:rsid w:val="00795663"/>
    <w:rsid w:val="00795762"/>
    <w:rsid w:val="007959B8"/>
    <w:rsid w:val="00795A11"/>
    <w:rsid w:val="00795B40"/>
    <w:rsid w:val="00795B47"/>
    <w:rsid w:val="00795C06"/>
    <w:rsid w:val="00795C22"/>
    <w:rsid w:val="00795CE6"/>
    <w:rsid w:val="00795D2E"/>
    <w:rsid w:val="00795D7F"/>
    <w:rsid w:val="00795E88"/>
    <w:rsid w:val="00795F3B"/>
    <w:rsid w:val="00795F75"/>
    <w:rsid w:val="00796105"/>
    <w:rsid w:val="007961F2"/>
    <w:rsid w:val="00796365"/>
    <w:rsid w:val="0079652B"/>
    <w:rsid w:val="0079667F"/>
    <w:rsid w:val="007966C4"/>
    <w:rsid w:val="0079678B"/>
    <w:rsid w:val="00796895"/>
    <w:rsid w:val="00796912"/>
    <w:rsid w:val="00796933"/>
    <w:rsid w:val="0079699A"/>
    <w:rsid w:val="007969C0"/>
    <w:rsid w:val="00796A1C"/>
    <w:rsid w:val="00796A34"/>
    <w:rsid w:val="00796A3A"/>
    <w:rsid w:val="00796A8C"/>
    <w:rsid w:val="00796C44"/>
    <w:rsid w:val="00796C56"/>
    <w:rsid w:val="00796C96"/>
    <w:rsid w:val="00796D4E"/>
    <w:rsid w:val="00796E8E"/>
    <w:rsid w:val="00796FA2"/>
    <w:rsid w:val="00796FA9"/>
    <w:rsid w:val="00796FBE"/>
    <w:rsid w:val="007970D9"/>
    <w:rsid w:val="00797287"/>
    <w:rsid w:val="007972FD"/>
    <w:rsid w:val="0079744C"/>
    <w:rsid w:val="007974E5"/>
    <w:rsid w:val="00797530"/>
    <w:rsid w:val="00797535"/>
    <w:rsid w:val="00797624"/>
    <w:rsid w:val="007976EE"/>
    <w:rsid w:val="00797713"/>
    <w:rsid w:val="007977EE"/>
    <w:rsid w:val="00797805"/>
    <w:rsid w:val="007978A1"/>
    <w:rsid w:val="007978A3"/>
    <w:rsid w:val="007978AA"/>
    <w:rsid w:val="007978E7"/>
    <w:rsid w:val="007978F8"/>
    <w:rsid w:val="0079792D"/>
    <w:rsid w:val="00797A6A"/>
    <w:rsid w:val="00797AAE"/>
    <w:rsid w:val="00797CAB"/>
    <w:rsid w:val="00797D0F"/>
    <w:rsid w:val="00797EFC"/>
    <w:rsid w:val="007A0019"/>
    <w:rsid w:val="007A006A"/>
    <w:rsid w:val="007A00FE"/>
    <w:rsid w:val="007A0124"/>
    <w:rsid w:val="007A0163"/>
    <w:rsid w:val="007A02E1"/>
    <w:rsid w:val="007A0410"/>
    <w:rsid w:val="007A047A"/>
    <w:rsid w:val="007A0595"/>
    <w:rsid w:val="007A059D"/>
    <w:rsid w:val="007A05B9"/>
    <w:rsid w:val="007A08E4"/>
    <w:rsid w:val="007A090D"/>
    <w:rsid w:val="007A0A0B"/>
    <w:rsid w:val="007A0A85"/>
    <w:rsid w:val="007A0AA8"/>
    <w:rsid w:val="007A0ADF"/>
    <w:rsid w:val="007A0BDF"/>
    <w:rsid w:val="007A0C76"/>
    <w:rsid w:val="007A0C87"/>
    <w:rsid w:val="007A0CB9"/>
    <w:rsid w:val="007A0CE9"/>
    <w:rsid w:val="007A0D9A"/>
    <w:rsid w:val="007A0E34"/>
    <w:rsid w:val="007A0E69"/>
    <w:rsid w:val="007A0F04"/>
    <w:rsid w:val="007A1079"/>
    <w:rsid w:val="007A11AF"/>
    <w:rsid w:val="007A11BA"/>
    <w:rsid w:val="007A1214"/>
    <w:rsid w:val="007A1284"/>
    <w:rsid w:val="007A1293"/>
    <w:rsid w:val="007A1351"/>
    <w:rsid w:val="007A13F0"/>
    <w:rsid w:val="007A13F4"/>
    <w:rsid w:val="007A1453"/>
    <w:rsid w:val="007A14C8"/>
    <w:rsid w:val="007A151C"/>
    <w:rsid w:val="007A169D"/>
    <w:rsid w:val="007A174F"/>
    <w:rsid w:val="007A17F9"/>
    <w:rsid w:val="007A184C"/>
    <w:rsid w:val="007A1894"/>
    <w:rsid w:val="007A18A7"/>
    <w:rsid w:val="007A18F7"/>
    <w:rsid w:val="007A1912"/>
    <w:rsid w:val="007A1953"/>
    <w:rsid w:val="007A19CA"/>
    <w:rsid w:val="007A19E5"/>
    <w:rsid w:val="007A19EC"/>
    <w:rsid w:val="007A1B12"/>
    <w:rsid w:val="007A1BCB"/>
    <w:rsid w:val="007A1D15"/>
    <w:rsid w:val="007A1D2F"/>
    <w:rsid w:val="007A1D3C"/>
    <w:rsid w:val="007A1D67"/>
    <w:rsid w:val="007A1D9C"/>
    <w:rsid w:val="007A1DB2"/>
    <w:rsid w:val="007A1E0E"/>
    <w:rsid w:val="007A1F30"/>
    <w:rsid w:val="007A1F6E"/>
    <w:rsid w:val="007A1FD6"/>
    <w:rsid w:val="007A1FEA"/>
    <w:rsid w:val="007A1FF1"/>
    <w:rsid w:val="007A216C"/>
    <w:rsid w:val="007A21A3"/>
    <w:rsid w:val="007A21A6"/>
    <w:rsid w:val="007A21C3"/>
    <w:rsid w:val="007A2386"/>
    <w:rsid w:val="007A243B"/>
    <w:rsid w:val="007A2558"/>
    <w:rsid w:val="007A25F1"/>
    <w:rsid w:val="007A2690"/>
    <w:rsid w:val="007A26FF"/>
    <w:rsid w:val="007A272A"/>
    <w:rsid w:val="007A2860"/>
    <w:rsid w:val="007A28FB"/>
    <w:rsid w:val="007A2989"/>
    <w:rsid w:val="007A2ABB"/>
    <w:rsid w:val="007A2B1A"/>
    <w:rsid w:val="007A2BEB"/>
    <w:rsid w:val="007A2CBE"/>
    <w:rsid w:val="007A2CE3"/>
    <w:rsid w:val="007A2CEB"/>
    <w:rsid w:val="007A2D4C"/>
    <w:rsid w:val="007A2D79"/>
    <w:rsid w:val="007A2DAB"/>
    <w:rsid w:val="007A2E1F"/>
    <w:rsid w:val="007A2EF5"/>
    <w:rsid w:val="007A308E"/>
    <w:rsid w:val="007A3187"/>
    <w:rsid w:val="007A31BA"/>
    <w:rsid w:val="007A31F5"/>
    <w:rsid w:val="007A3240"/>
    <w:rsid w:val="007A327D"/>
    <w:rsid w:val="007A338B"/>
    <w:rsid w:val="007A344D"/>
    <w:rsid w:val="007A3475"/>
    <w:rsid w:val="007A358A"/>
    <w:rsid w:val="007A35A4"/>
    <w:rsid w:val="007A35BF"/>
    <w:rsid w:val="007A3627"/>
    <w:rsid w:val="007A3766"/>
    <w:rsid w:val="007A3768"/>
    <w:rsid w:val="007A3796"/>
    <w:rsid w:val="007A37DA"/>
    <w:rsid w:val="007A37EE"/>
    <w:rsid w:val="007A382D"/>
    <w:rsid w:val="007A387F"/>
    <w:rsid w:val="007A395B"/>
    <w:rsid w:val="007A3ACC"/>
    <w:rsid w:val="007A3C3E"/>
    <w:rsid w:val="007A3C6C"/>
    <w:rsid w:val="007A3CB4"/>
    <w:rsid w:val="007A3D75"/>
    <w:rsid w:val="007A3DCF"/>
    <w:rsid w:val="007A3E88"/>
    <w:rsid w:val="007A4007"/>
    <w:rsid w:val="007A4060"/>
    <w:rsid w:val="007A411D"/>
    <w:rsid w:val="007A413A"/>
    <w:rsid w:val="007A418A"/>
    <w:rsid w:val="007A41F9"/>
    <w:rsid w:val="007A4266"/>
    <w:rsid w:val="007A4292"/>
    <w:rsid w:val="007A446D"/>
    <w:rsid w:val="007A448B"/>
    <w:rsid w:val="007A44E3"/>
    <w:rsid w:val="007A4560"/>
    <w:rsid w:val="007A45F6"/>
    <w:rsid w:val="007A465A"/>
    <w:rsid w:val="007A47E2"/>
    <w:rsid w:val="007A484A"/>
    <w:rsid w:val="007A497B"/>
    <w:rsid w:val="007A49CB"/>
    <w:rsid w:val="007A4AFE"/>
    <w:rsid w:val="007A4B68"/>
    <w:rsid w:val="007A4BCD"/>
    <w:rsid w:val="007A4CA0"/>
    <w:rsid w:val="007A4DBB"/>
    <w:rsid w:val="007A4E89"/>
    <w:rsid w:val="007A4EA2"/>
    <w:rsid w:val="007A4ECF"/>
    <w:rsid w:val="007A4F56"/>
    <w:rsid w:val="007A4FF3"/>
    <w:rsid w:val="007A50BF"/>
    <w:rsid w:val="007A51E4"/>
    <w:rsid w:val="007A528E"/>
    <w:rsid w:val="007A52AF"/>
    <w:rsid w:val="007A5410"/>
    <w:rsid w:val="007A5418"/>
    <w:rsid w:val="007A5484"/>
    <w:rsid w:val="007A5520"/>
    <w:rsid w:val="007A56FC"/>
    <w:rsid w:val="007A5890"/>
    <w:rsid w:val="007A58C8"/>
    <w:rsid w:val="007A59B4"/>
    <w:rsid w:val="007A5A18"/>
    <w:rsid w:val="007A5BC7"/>
    <w:rsid w:val="007A5C21"/>
    <w:rsid w:val="007A5C28"/>
    <w:rsid w:val="007A5C8D"/>
    <w:rsid w:val="007A5C9F"/>
    <w:rsid w:val="007A5DE0"/>
    <w:rsid w:val="007A5E12"/>
    <w:rsid w:val="007A5E6E"/>
    <w:rsid w:val="007A5E7F"/>
    <w:rsid w:val="007A5EA1"/>
    <w:rsid w:val="007A5F72"/>
    <w:rsid w:val="007A5FE5"/>
    <w:rsid w:val="007A5FF9"/>
    <w:rsid w:val="007A60A3"/>
    <w:rsid w:val="007A60C8"/>
    <w:rsid w:val="007A6126"/>
    <w:rsid w:val="007A628C"/>
    <w:rsid w:val="007A6360"/>
    <w:rsid w:val="007A64C2"/>
    <w:rsid w:val="007A6543"/>
    <w:rsid w:val="007A65B5"/>
    <w:rsid w:val="007A6720"/>
    <w:rsid w:val="007A67AF"/>
    <w:rsid w:val="007A67DD"/>
    <w:rsid w:val="007A688C"/>
    <w:rsid w:val="007A68C1"/>
    <w:rsid w:val="007A6A29"/>
    <w:rsid w:val="007A6A41"/>
    <w:rsid w:val="007A6ABC"/>
    <w:rsid w:val="007A6B9C"/>
    <w:rsid w:val="007A6BE3"/>
    <w:rsid w:val="007A6C3E"/>
    <w:rsid w:val="007A6CFA"/>
    <w:rsid w:val="007A6D80"/>
    <w:rsid w:val="007A6D8B"/>
    <w:rsid w:val="007A6DE2"/>
    <w:rsid w:val="007A6E03"/>
    <w:rsid w:val="007A6EAF"/>
    <w:rsid w:val="007A7036"/>
    <w:rsid w:val="007A706C"/>
    <w:rsid w:val="007A71D1"/>
    <w:rsid w:val="007A721B"/>
    <w:rsid w:val="007A7233"/>
    <w:rsid w:val="007A72A0"/>
    <w:rsid w:val="007A72F1"/>
    <w:rsid w:val="007A7410"/>
    <w:rsid w:val="007A749B"/>
    <w:rsid w:val="007A7568"/>
    <w:rsid w:val="007A7621"/>
    <w:rsid w:val="007A773D"/>
    <w:rsid w:val="007A79F1"/>
    <w:rsid w:val="007A79F4"/>
    <w:rsid w:val="007A7A0D"/>
    <w:rsid w:val="007A7A31"/>
    <w:rsid w:val="007A7B0D"/>
    <w:rsid w:val="007A7B9D"/>
    <w:rsid w:val="007A7BA0"/>
    <w:rsid w:val="007A7C57"/>
    <w:rsid w:val="007A7D22"/>
    <w:rsid w:val="007A7DB9"/>
    <w:rsid w:val="007A7FD3"/>
    <w:rsid w:val="007B004F"/>
    <w:rsid w:val="007B00A2"/>
    <w:rsid w:val="007B00EC"/>
    <w:rsid w:val="007B0239"/>
    <w:rsid w:val="007B02F7"/>
    <w:rsid w:val="007B0305"/>
    <w:rsid w:val="007B0308"/>
    <w:rsid w:val="007B038B"/>
    <w:rsid w:val="007B03BD"/>
    <w:rsid w:val="007B03D0"/>
    <w:rsid w:val="007B04D3"/>
    <w:rsid w:val="007B0543"/>
    <w:rsid w:val="007B065D"/>
    <w:rsid w:val="007B066E"/>
    <w:rsid w:val="007B06FC"/>
    <w:rsid w:val="007B0739"/>
    <w:rsid w:val="007B07D7"/>
    <w:rsid w:val="007B0810"/>
    <w:rsid w:val="007B0936"/>
    <w:rsid w:val="007B0A26"/>
    <w:rsid w:val="007B0B32"/>
    <w:rsid w:val="007B0B71"/>
    <w:rsid w:val="007B0B98"/>
    <w:rsid w:val="007B0C37"/>
    <w:rsid w:val="007B0C48"/>
    <w:rsid w:val="007B0C6C"/>
    <w:rsid w:val="007B0C7F"/>
    <w:rsid w:val="007B0E24"/>
    <w:rsid w:val="007B0E45"/>
    <w:rsid w:val="007B0F18"/>
    <w:rsid w:val="007B0F63"/>
    <w:rsid w:val="007B109A"/>
    <w:rsid w:val="007B137E"/>
    <w:rsid w:val="007B140B"/>
    <w:rsid w:val="007B140C"/>
    <w:rsid w:val="007B163C"/>
    <w:rsid w:val="007B16D4"/>
    <w:rsid w:val="007B16E8"/>
    <w:rsid w:val="007B17FA"/>
    <w:rsid w:val="007B1A03"/>
    <w:rsid w:val="007B1A45"/>
    <w:rsid w:val="007B1A71"/>
    <w:rsid w:val="007B1A7E"/>
    <w:rsid w:val="007B1AB1"/>
    <w:rsid w:val="007B1B95"/>
    <w:rsid w:val="007B1BC4"/>
    <w:rsid w:val="007B1C9A"/>
    <w:rsid w:val="007B1DBB"/>
    <w:rsid w:val="007B1DD5"/>
    <w:rsid w:val="007B1DF5"/>
    <w:rsid w:val="007B1E59"/>
    <w:rsid w:val="007B1F90"/>
    <w:rsid w:val="007B20BB"/>
    <w:rsid w:val="007B20E5"/>
    <w:rsid w:val="007B21AE"/>
    <w:rsid w:val="007B2217"/>
    <w:rsid w:val="007B2366"/>
    <w:rsid w:val="007B247E"/>
    <w:rsid w:val="007B24A5"/>
    <w:rsid w:val="007B24E5"/>
    <w:rsid w:val="007B24F7"/>
    <w:rsid w:val="007B2635"/>
    <w:rsid w:val="007B263B"/>
    <w:rsid w:val="007B2664"/>
    <w:rsid w:val="007B269B"/>
    <w:rsid w:val="007B26BF"/>
    <w:rsid w:val="007B27C1"/>
    <w:rsid w:val="007B2891"/>
    <w:rsid w:val="007B28F5"/>
    <w:rsid w:val="007B2900"/>
    <w:rsid w:val="007B294B"/>
    <w:rsid w:val="007B296C"/>
    <w:rsid w:val="007B2A8D"/>
    <w:rsid w:val="007B2AA1"/>
    <w:rsid w:val="007B2ACF"/>
    <w:rsid w:val="007B2AFE"/>
    <w:rsid w:val="007B2B97"/>
    <w:rsid w:val="007B2BDF"/>
    <w:rsid w:val="007B2C41"/>
    <w:rsid w:val="007B2CA6"/>
    <w:rsid w:val="007B2CD8"/>
    <w:rsid w:val="007B2ED8"/>
    <w:rsid w:val="007B2ED9"/>
    <w:rsid w:val="007B2EED"/>
    <w:rsid w:val="007B2F60"/>
    <w:rsid w:val="007B31AB"/>
    <w:rsid w:val="007B31D8"/>
    <w:rsid w:val="007B3231"/>
    <w:rsid w:val="007B329A"/>
    <w:rsid w:val="007B32EE"/>
    <w:rsid w:val="007B337B"/>
    <w:rsid w:val="007B3459"/>
    <w:rsid w:val="007B3542"/>
    <w:rsid w:val="007B356A"/>
    <w:rsid w:val="007B35E1"/>
    <w:rsid w:val="007B369D"/>
    <w:rsid w:val="007B36A4"/>
    <w:rsid w:val="007B37B8"/>
    <w:rsid w:val="007B37EF"/>
    <w:rsid w:val="007B3838"/>
    <w:rsid w:val="007B3856"/>
    <w:rsid w:val="007B3909"/>
    <w:rsid w:val="007B39B6"/>
    <w:rsid w:val="007B3A6E"/>
    <w:rsid w:val="007B3A9E"/>
    <w:rsid w:val="007B3AC4"/>
    <w:rsid w:val="007B3B42"/>
    <w:rsid w:val="007B3BB0"/>
    <w:rsid w:val="007B3C20"/>
    <w:rsid w:val="007B3C65"/>
    <w:rsid w:val="007B3CE9"/>
    <w:rsid w:val="007B3E52"/>
    <w:rsid w:val="007B3E7B"/>
    <w:rsid w:val="007B3EA1"/>
    <w:rsid w:val="007B3F6C"/>
    <w:rsid w:val="007B425D"/>
    <w:rsid w:val="007B42A6"/>
    <w:rsid w:val="007B4324"/>
    <w:rsid w:val="007B4376"/>
    <w:rsid w:val="007B441C"/>
    <w:rsid w:val="007B4557"/>
    <w:rsid w:val="007B464B"/>
    <w:rsid w:val="007B4655"/>
    <w:rsid w:val="007B46BD"/>
    <w:rsid w:val="007B46CB"/>
    <w:rsid w:val="007B47D2"/>
    <w:rsid w:val="007B4990"/>
    <w:rsid w:val="007B4AD8"/>
    <w:rsid w:val="007B4B26"/>
    <w:rsid w:val="007B4B97"/>
    <w:rsid w:val="007B4CA5"/>
    <w:rsid w:val="007B4DDA"/>
    <w:rsid w:val="007B4E65"/>
    <w:rsid w:val="007B4E80"/>
    <w:rsid w:val="007B4E94"/>
    <w:rsid w:val="007B4E95"/>
    <w:rsid w:val="007B4EA8"/>
    <w:rsid w:val="007B4F2A"/>
    <w:rsid w:val="007B4FED"/>
    <w:rsid w:val="007B5000"/>
    <w:rsid w:val="007B5258"/>
    <w:rsid w:val="007B528E"/>
    <w:rsid w:val="007B529D"/>
    <w:rsid w:val="007B52B7"/>
    <w:rsid w:val="007B5309"/>
    <w:rsid w:val="007B54FC"/>
    <w:rsid w:val="007B550F"/>
    <w:rsid w:val="007B5586"/>
    <w:rsid w:val="007B5596"/>
    <w:rsid w:val="007B55C9"/>
    <w:rsid w:val="007B560A"/>
    <w:rsid w:val="007B5783"/>
    <w:rsid w:val="007B5827"/>
    <w:rsid w:val="007B5839"/>
    <w:rsid w:val="007B5A2E"/>
    <w:rsid w:val="007B5A82"/>
    <w:rsid w:val="007B5B18"/>
    <w:rsid w:val="007B5B86"/>
    <w:rsid w:val="007B5D37"/>
    <w:rsid w:val="007B5D52"/>
    <w:rsid w:val="007B5D5C"/>
    <w:rsid w:val="007B5D96"/>
    <w:rsid w:val="007B5E1C"/>
    <w:rsid w:val="007B5EA6"/>
    <w:rsid w:val="007B5EB0"/>
    <w:rsid w:val="007B5F25"/>
    <w:rsid w:val="007B5FAB"/>
    <w:rsid w:val="007B5FF5"/>
    <w:rsid w:val="007B61DC"/>
    <w:rsid w:val="007B61FF"/>
    <w:rsid w:val="007B624C"/>
    <w:rsid w:val="007B6275"/>
    <w:rsid w:val="007B62B1"/>
    <w:rsid w:val="007B62F1"/>
    <w:rsid w:val="007B63B2"/>
    <w:rsid w:val="007B643D"/>
    <w:rsid w:val="007B654B"/>
    <w:rsid w:val="007B657E"/>
    <w:rsid w:val="007B664D"/>
    <w:rsid w:val="007B684A"/>
    <w:rsid w:val="007B68D7"/>
    <w:rsid w:val="007B68FE"/>
    <w:rsid w:val="007B6948"/>
    <w:rsid w:val="007B6968"/>
    <w:rsid w:val="007B69C1"/>
    <w:rsid w:val="007B69D6"/>
    <w:rsid w:val="007B69EA"/>
    <w:rsid w:val="007B6B48"/>
    <w:rsid w:val="007B6D95"/>
    <w:rsid w:val="007B6DC8"/>
    <w:rsid w:val="007B6E04"/>
    <w:rsid w:val="007B6E2F"/>
    <w:rsid w:val="007B6F04"/>
    <w:rsid w:val="007B6F4E"/>
    <w:rsid w:val="007B6FA3"/>
    <w:rsid w:val="007B700E"/>
    <w:rsid w:val="007B704C"/>
    <w:rsid w:val="007B70EA"/>
    <w:rsid w:val="007B7221"/>
    <w:rsid w:val="007B7294"/>
    <w:rsid w:val="007B731D"/>
    <w:rsid w:val="007B7462"/>
    <w:rsid w:val="007B7571"/>
    <w:rsid w:val="007B7629"/>
    <w:rsid w:val="007B76B8"/>
    <w:rsid w:val="007B76EA"/>
    <w:rsid w:val="007B76F2"/>
    <w:rsid w:val="007B771A"/>
    <w:rsid w:val="007B7A86"/>
    <w:rsid w:val="007B7C28"/>
    <w:rsid w:val="007B7E07"/>
    <w:rsid w:val="007B7F13"/>
    <w:rsid w:val="007B7F21"/>
    <w:rsid w:val="007B7F6D"/>
    <w:rsid w:val="007B7FDD"/>
    <w:rsid w:val="007C0022"/>
    <w:rsid w:val="007C0101"/>
    <w:rsid w:val="007C016C"/>
    <w:rsid w:val="007C0257"/>
    <w:rsid w:val="007C026F"/>
    <w:rsid w:val="007C02A6"/>
    <w:rsid w:val="007C0307"/>
    <w:rsid w:val="007C046A"/>
    <w:rsid w:val="007C0514"/>
    <w:rsid w:val="007C0609"/>
    <w:rsid w:val="007C0698"/>
    <w:rsid w:val="007C06CF"/>
    <w:rsid w:val="007C076D"/>
    <w:rsid w:val="007C079A"/>
    <w:rsid w:val="007C0910"/>
    <w:rsid w:val="007C0A6D"/>
    <w:rsid w:val="007C0A9A"/>
    <w:rsid w:val="007C0C92"/>
    <w:rsid w:val="007C0D01"/>
    <w:rsid w:val="007C0D7B"/>
    <w:rsid w:val="007C0E77"/>
    <w:rsid w:val="007C0E85"/>
    <w:rsid w:val="007C0F54"/>
    <w:rsid w:val="007C10A0"/>
    <w:rsid w:val="007C1158"/>
    <w:rsid w:val="007C1230"/>
    <w:rsid w:val="007C127F"/>
    <w:rsid w:val="007C1332"/>
    <w:rsid w:val="007C143B"/>
    <w:rsid w:val="007C1442"/>
    <w:rsid w:val="007C146F"/>
    <w:rsid w:val="007C14A2"/>
    <w:rsid w:val="007C1600"/>
    <w:rsid w:val="007C1740"/>
    <w:rsid w:val="007C1762"/>
    <w:rsid w:val="007C1777"/>
    <w:rsid w:val="007C178B"/>
    <w:rsid w:val="007C17C4"/>
    <w:rsid w:val="007C181D"/>
    <w:rsid w:val="007C1890"/>
    <w:rsid w:val="007C18FD"/>
    <w:rsid w:val="007C19F7"/>
    <w:rsid w:val="007C1A2C"/>
    <w:rsid w:val="007C1BF3"/>
    <w:rsid w:val="007C1C2B"/>
    <w:rsid w:val="007C1C76"/>
    <w:rsid w:val="007C1D17"/>
    <w:rsid w:val="007C1E85"/>
    <w:rsid w:val="007C1EE2"/>
    <w:rsid w:val="007C1EFC"/>
    <w:rsid w:val="007C1F7E"/>
    <w:rsid w:val="007C2104"/>
    <w:rsid w:val="007C212A"/>
    <w:rsid w:val="007C2154"/>
    <w:rsid w:val="007C2280"/>
    <w:rsid w:val="007C22BF"/>
    <w:rsid w:val="007C23F5"/>
    <w:rsid w:val="007C2455"/>
    <w:rsid w:val="007C2458"/>
    <w:rsid w:val="007C249E"/>
    <w:rsid w:val="007C251B"/>
    <w:rsid w:val="007C25E3"/>
    <w:rsid w:val="007C26CB"/>
    <w:rsid w:val="007C2724"/>
    <w:rsid w:val="007C2880"/>
    <w:rsid w:val="007C2887"/>
    <w:rsid w:val="007C296D"/>
    <w:rsid w:val="007C29AE"/>
    <w:rsid w:val="007C2AD0"/>
    <w:rsid w:val="007C2B8D"/>
    <w:rsid w:val="007C2B99"/>
    <w:rsid w:val="007C2BDC"/>
    <w:rsid w:val="007C2BEB"/>
    <w:rsid w:val="007C2BF2"/>
    <w:rsid w:val="007C2BFB"/>
    <w:rsid w:val="007C2C1D"/>
    <w:rsid w:val="007C2C8B"/>
    <w:rsid w:val="007C2CD2"/>
    <w:rsid w:val="007C2D7A"/>
    <w:rsid w:val="007C2DF8"/>
    <w:rsid w:val="007C3068"/>
    <w:rsid w:val="007C30C7"/>
    <w:rsid w:val="007C30D6"/>
    <w:rsid w:val="007C321F"/>
    <w:rsid w:val="007C3251"/>
    <w:rsid w:val="007C3265"/>
    <w:rsid w:val="007C32A4"/>
    <w:rsid w:val="007C32B4"/>
    <w:rsid w:val="007C32DF"/>
    <w:rsid w:val="007C33D0"/>
    <w:rsid w:val="007C3406"/>
    <w:rsid w:val="007C35D9"/>
    <w:rsid w:val="007C35E6"/>
    <w:rsid w:val="007C36E0"/>
    <w:rsid w:val="007C39C1"/>
    <w:rsid w:val="007C3A26"/>
    <w:rsid w:val="007C3A2C"/>
    <w:rsid w:val="007C3C4C"/>
    <w:rsid w:val="007C3CAA"/>
    <w:rsid w:val="007C3D08"/>
    <w:rsid w:val="007C3DEF"/>
    <w:rsid w:val="007C3E2D"/>
    <w:rsid w:val="007C3FA8"/>
    <w:rsid w:val="007C4150"/>
    <w:rsid w:val="007C417C"/>
    <w:rsid w:val="007C4298"/>
    <w:rsid w:val="007C42C9"/>
    <w:rsid w:val="007C4337"/>
    <w:rsid w:val="007C4378"/>
    <w:rsid w:val="007C4380"/>
    <w:rsid w:val="007C448F"/>
    <w:rsid w:val="007C4546"/>
    <w:rsid w:val="007C457C"/>
    <w:rsid w:val="007C4751"/>
    <w:rsid w:val="007C47AB"/>
    <w:rsid w:val="007C47CF"/>
    <w:rsid w:val="007C47F8"/>
    <w:rsid w:val="007C48E3"/>
    <w:rsid w:val="007C48E9"/>
    <w:rsid w:val="007C4925"/>
    <w:rsid w:val="007C49C1"/>
    <w:rsid w:val="007C49FA"/>
    <w:rsid w:val="007C4BBC"/>
    <w:rsid w:val="007C4C4D"/>
    <w:rsid w:val="007C4D36"/>
    <w:rsid w:val="007C4D88"/>
    <w:rsid w:val="007C4E22"/>
    <w:rsid w:val="007C4E70"/>
    <w:rsid w:val="007C4EC8"/>
    <w:rsid w:val="007C4F5D"/>
    <w:rsid w:val="007C4F97"/>
    <w:rsid w:val="007C4FEE"/>
    <w:rsid w:val="007C509D"/>
    <w:rsid w:val="007C50A6"/>
    <w:rsid w:val="007C50C8"/>
    <w:rsid w:val="007C50F2"/>
    <w:rsid w:val="007C515F"/>
    <w:rsid w:val="007C5275"/>
    <w:rsid w:val="007C53AB"/>
    <w:rsid w:val="007C53DE"/>
    <w:rsid w:val="007C54EA"/>
    <w:rsid w:val="007C54F4"/>
    <w:rsid w:val="007C5565"/>
    <w:rsid w:val="007C55BB"/>
    <w:rsid w:val="007C569B"/>
    <w:rsid w:val="007C56A5"/>
    <w:rsid w:val="007C5978"/>
    <w:rsid w:val="007C5B7C"/>
    <w:rsid w:val="007C5BF4"/>
    <w:rsid w:val="007C5CD6"/>
    <w:rsid w:val="007C5CE8"/>
    <w:rsid w:val="007C5CFC"/>
    <w:rsid w:val="007C5D59"/>
    <w:rsid w:val="007C5E40"/>
    <w:rsid w:val="007C5F69"/>
    <w:rsid w:val="007C5FEA"/>
    <w:rsid w:val="007C6067"/>
    <w:rsid w:val="007C611C"/>
    <w:rsid w:val="007C614B"/>
    <w:rsid w:val="007C6210"/>
    <w:rsid w:val="007C62C7"/>
    <w:rsid w:val="007C636C"/>
    <w:rsid w:val="007C6376"/>
    <w:rsid w:val="007C63F7"/>
    <w:rsid w:val="007C6483"/>
    <w:rsid w:val="007C66E1"/>
    <w:rsid w:val="007C67BC"/>
    <w:rsid w:val="007C67BE"/>
    <w:rsid w:val="007C682E"/>
    <w:rsid w:val="007C683C"/>
    <w:rsid w:val="007C6A3E"/>
    <w:rsid w:val="007C6A9F"/>
    <w:rsid w:val="007C6B19"/>
    <w:rsid w:val="007C6B32"/>
    <w:rsid w:val="007C6BDD"/>
    <w:rsid w:val="007C6BF6"/>
    <w:rsid w:val="007C6CA8"/>
    <w:rsid w:val="007C6D69"/>
    <w:rsid w:val="007C6DB5"/>
    <w:rsid w:val="007C6DEE"/>
    <w:rsid w:val="007C6FD3"/>
    <w:rsid w:val="007C70E1"/>
    <w:rsid w:val="007C7135"/>
    <w:rsid w:val="007C71FC"/>
    <w:rsid w:val="007C724F"/>
    <w:rsid w:val="007C741E"/>
    <w:rsid w:val="007C743C"/>
    <w:rsid w:val="007C74C0"/>
    <w:rsid w:val="007C74EF"/>
    <w:rsid w:val="007C74FF"/>
    <w:rsid w:val="007C7533"/>
    <w:rsid w:val="007C7564"/>
    <w:rsid w:val="007C7590"/>
    <w:rsid w:val="007C75D8"/>
    <w:rsid w:val="007C76F9"/>
    <w:rsid w:val="007C7703"/>
    <w:rsid w:val="007C775C"/>
    <w:rsid w:val="007C77CD"/>
    <w:rsid w:val="007C786E"/>
    <w:rsid w:val="007C7988"/>
    <w:rsid w:val="007C7A4F"/>
    <w:rsid w:val="007C7B1E"/>
    <w:rsid w:val="007C7B34"/>
    <w:rsid w:val="007C7CDD"/>
    <w:rsid w:val="007C7D08"/>
    <w:rsid w:val="007C7EC9"/>
    <w:rsid w:val="007C7F1D"/>
    <w:rsid w:val="007C7F44"/>
    <w:rsid w:val="007C7F87"/>
    <w:rsid w:val="007C7FF6"/>
    <w:rsid w:val="007D001A"/>
    <w:rsid w:val="007D0160"/>
    <w:rsid w:val="007D0188"/>
    <w:rsid w:val="007D0220"/>
    <w:rsid w:val="007D0243"/>
    <w:rsid w:val="007D042F"/>
    <w:rsid w:val="007D04DD"/>
    <w:rsid w:val="007D060F"/>
    <w:rsid w:val="007D068C"/>
    <w:rsid w:val="007D0825"/>
    <w:rsid w:val="007D08A7"/>
    <w:rsid w:val="007D08F3"/>
    <w:rsid w:val="007D0A0A"/>
    <w:rsid w:val="007D0A27"/>
    <w:rsid w:val="007D0A82"/>
    <w:rsid w:val="007D0AD3"/>
    <w:rsid w:val="007D0B92"/>
    <w:rsid w:val="007D0C49"/>
    <w:rsid w:val="007D0C73"/>
    <w:rsid w:val="007D0C91"/>
    <w:rsid w:val="007D0CEC"/>
    <w:rsid w:val="007D0EEE"/>
    <w:rsid w:val="007D0F98"/>
    <w:rsid w:val="007D10E5"/>
    <w:rsid w:val="007D1102"/>
    <w:rsid w:val="007D110C"/>
    <w:rsid w:val="007D11B8"/>
    <w:rsid w:val="007D1220"/>
    <w:rsid w:val="007D129B"/>
    <w:rsid w:val="007D131F"/>
    <w:rsid w:val="007D1353"/>
    <w:rsid w:val="007D1443"/>
    <w:rsid w:val="007D1487"/>
    <w:rsid w:val="007D14D5"/>
    <w:rsid w:val="007D1555"/>
    <w:rsid w:val="007D17A9"/>
    <w:rsid w:val="007D1876"/>
    <w:rsid w:val="007D18AC"/>
    <w:rsid w:val="007D1A08"/>
    <w:rsid w:val="007D1AF3"/>
    <w:rsid w:val="007D1B02"/>
    <w:rsid w:val="007D1B0B"/>
    <w:rsid w:val="007D1B74"/>
    <w:rsid w:val="007D1EC4"/>
    <w:rsid w:val="007D1FF7"/>
    <w:rsid w:val="007D2064"/>
    <w:rsid w:val="007D238B"/>
    <w:rsid w:val="007D23DE"/>
    <w:rsid w:val="007D23F3"/>
    <w:rsid w:val="007D24DC"/>
    <w:rsid w:val="007D262F"/>
    <w:rsid w:val="007D271F"/>
    <w:rsid w:val="007D279F"/>
    <w:rsid w:val="007D282D"/>
    <w:rsid w:val="007D290F"/>
    <w:rsid w:val="007D296B"/>
    <w:rsid w:val="007D29D5"/>
    <w:rsid w:val="007D29EA"/>
    <w:rsid w:val="007D2A02"/>
    <w:rsid w:val="007D2A30"/>
    <w:rsid w:val="007D2A57"/>
    <w:rsid w:val="007D2AAC"/>
    <w:rsid w:val="007D2AB5"/>
    <w:rsid w:val="007D2B1D"/>
    <w:rsid w:val="007D2BCB"/>
    <w:rsid w:val="007D2BD1"/>
    <w:rsid w:val="007D2BF6"/>
    <w:rsid w:val="007D2C17"/>
    <w:rsid w:val="007D2DF1"/>
    <w:rsid w:val="007D2E16"/>
    <w:rsid w:val="007D2E38"/>
    <w:rsid w:val="007D3029"/>
    <w:rsid w:val="007D30EF"/>
    <w:rsid w:val="007D31BE"/>
    <w:rsid w:val="007D3215"/>
    <w:rsid w:val="007D325A"/>
    <w:rsid w:val="007D3499"/>
    <w:rsid w:val="007D34FE"/>
    <w:rsid w:val="007D3546"/>
    <w:rsid w:val="007D3551"/>
    <w:rsid w:val="007D3573"/>
    <w:rsid w:val="007D36B5"/>
    <w:rsid w:val="007D3711"/>
    <w:rsid w:val="007D38DA"/>
    <w:rsid w:val="007D38E3"/>
    <w:rsid w:val="007D3959"/>
    <w:rsid w:val="007D39BA"/>
    <w:rsid w:val="007D3AEC"/>
    <w:rsid w:val="007D3B3D"/>
    <w:rsid w:val="007D3B53"/>
    <w:rsid w:val="007D3B88"/>
    <w:rsid w:val="007D3BC2"/>
    <w:rsid w:val="007D3C16"/>
    <w:rsid w:val="007D3C49"/>
    <w:rsid w:val="007D3C4E"/>
    <w:rsid w:val="007D3C86"/>
    <w:rsid w:val="007D3E26"/>
    <w:rsid w:val="007D3FB4"/>
    <w:rsid w:val="007D401E"/>
    <w:rsid w:val="007D4179"/>
    <w:rsid w:val="007D41EB"/>
    <w:rsid w:val="007D425D"/>
    <w:rsid w:val="007D431D"/>
    <w:rsid w:val="007D4336"/>
    <w:rsid w:val="007D4397"/>
    <w:rsid w:val="007D44B1"/>
    <w:rsid w:val="007D483B"/>
    <w:rsid w:val="007D48E0"/>
    <w:rsid w:val="007D4A36"/>
    <w:rsid w:val="007D4A72"/>
    <w:rsid w:val="007D4A80"/>
    <w:rsid w:val="007D4AFF"/>
    <w:rsid w:val="007D4BD0"/>
    <w:rsid w:val="007D4C31"/>
    <w:rsid w:val="007D4CBE"/>
    <w:rsid w:val="007D4E4B"/>
    <w:rsid w:val="007D4EC7"/>
    <w:rsid w:val="007D4EE1"/>
    <w:rsid w:val="007D505A"/>
    <w:rsid w:val="007D505B"/>
    <w:rsid w:val="007D50AA"/>
    <w:rsid w:val="007D50C6"/>
    <w:rsid w:val="007D5252"/>
    <w:rsid w:val="007D52A5"/>
    <w:rsid w:val="007D52DF"/>
    <w:rsid w:val="007D540F"/>
    <w:rsid w:val="007D547A"/>
    <w:rsid w:val="007D54A0"/>
    <w:rsid w:val="007D56A0"/>
    <w:rsid w:val="007D574D"/>
    <w:rsid w:val="007D5790"/>
    <w:rsid w:val="007D583B"/>
    <w:rsid w:val="007D5857"/>
    <w:rsid w:val="007D58F7"/>
    <w:rsid w:val="007D591F"/>
    <w:rsid w:val="007D5954"/>
    <w:rsid w:val="007D5A36"/>
    <w:rsid w:val="007D5A3C"/>
    <w:rsid w:val="007D5AC4"/>
    <w:rsid w:val="007D5B28"/>
    <w:rsid w:val="007D5B47"/>
    <w:rsid w:val="007D5B5E"/>
    <w:rsid w:val="007D5B86"/>
    <w:rsid w:val="007D5C3C"/>
    <w:rsid w:val="007D5CAD"/>
    <w:rsid w:val="007D5CF6"/>
    <w:rsid w:val="007D5D4F"/>
    <w:rsid w:val="007D5DC2"/>
    <w:rsid w:val="007D5DDA"/>
    <w:rsid w:val="007D5DEE"/>
    <w:rsid w:val="007D5E66"/>
    <w:rsid w:val="007D6069"/>
    <w:rsid w:val="007D616C"/>
    <w:rsid w:val="007D62D0"/>
    <w:rsid w:val="007D630C"/>
    <w:rsid w:val="007D6383"/>
    <w:rsid w:val="007D6389"/>
    <w:rsid w:val="007D63BF"/>
    <w:rsid w:val="007D641D"/>
    <w:rsid w:val="007D6492"/>
    <w:rsid w:val="007D6518"/>
    <w:rsid w:val="007D6578"/>
    <w:rsid w:val="007D6591"/>
    <w:rsid w:val="007D659F"/>
    <w:rsid w:val="007D66B3"/>
    <w:rsid w:val="007D672D"/>
    <w:rsid w:val="007D6757"/>
    <w:rsid w:val="007D67FA"/>
    <w:rsid w:val="007D6824"/>
    <w:rsid w:val="007D6856"/>
    <w:rsid w:val="007D68EA"/>
    <w:rsid w:val="007D68FD"/>
    <w:rsid w:val="007D699B"/>
    <w:rsid w:val="007D6AC7"/>
    <w:rsid w:val="007D6B7D"/>
    <w:rsid w:val="007D6BFC"/>
    <w:rsid w:val="007D6C05"/>
    <w:rsid w:val="007D6C1A"/>
    <w:rsid w:val="007D6D42"/>
    <w:rsid w:val="007D6D9D"/>
    <w:rsid w:val="007D6E5B"/>
    <w:rsid w:val="007D6E5C"/>
    <w:rsid w:val="007D6E67"/>
    <w:rsid w:val="007D6EA6"/>
    <w:rsid w:val="007D6F1A"/>
    <w:rsid w:val="007D6F3B"/>
    <w:rsid w:val="007D705F"/>
    <w:rsid w:val="007D70B2"/>
    <w:rsid w:val="007D70E3"/>
    <w:rsid w:val="007D710B"/>
    <w:rsid w:val="007D717A"/>
    <w:rsid w:val="007D71C3"/>
    <w:rsid w:val="007D7209"/>
    <w:rsid w:val="007D7223"/>
    <w:rsid w:val="007D722D"/>
    <w:rsid w:val="007D7355"/>
    <w:rsid w:val="007D7386"/>
    <w:rsid w:val="007D73A3"/>
    <w:rsid w:val="007D7475"/>
    <w:rsid w:val="007D748C"/>
    <w:rsid w:val="007D7566"/>
    <w:rsid w:val="007D75B2"/>
    <w:rsid w:val="007D761D"/>
    <w:rsid w:val="007D7644"/>
    <w:rsid w:val="007D7766"/>
    <w:rsid w:val="007D7775"/>
    <w:rsid w:val="007D7776"/>
    <w:rsid w:val="007D777A"/>
    <w:rsid w:val="007D77A0"/>
    <w:rsid w:val="007D782A"/>
    <w:rsid w:val="007D7868"/>
    <w:rsid w:val="007D78B5"/>
    <w:rsid w:val="007D7AF9"/>
    <w:rsid w:val="007D7BB2"/>
    <w:rsid w:val="007D7BBC"/>
    <w:rsid w:val="007D7C99"/>
    <w:rsid w:val="007D7D54"/>
    <w:rsid w:val="007D7D7A"/>
    <w:rsid w:val="007D7DCC"/>
    <w:rsid w:val="007D7EA3"/>
    <w:rsid w:val="007D7F6E"/>
    <w:rsid w:val="007D7FC3"/>
    <w:rsid w:val="007E0021"/>
    <w:rsid w:val="007E0087"/>
    <w:rsid w:val="007E00D1"/>
    <w:rsid w:val="007E00DA"/>
    <w:rsid w:val="007E0179"/>
    <w:rsid w:val="007E01B1"/>
    <w:rsid w:val="007E01E5"/>
    <w:rsid w:val="007E0237"/>
    <w:rsid w:val="007E02B0"/>
    <w:rsid w:val="007E03CF"/>
    <w:rsid w:val="007E03EF"/>
    <w:rsid w:val="007E0446"/>
    <w:rsid w:val="007E0516"/>
    <w:rsid w:val="007E0530"/>
    <w:rsid w:val="007E05ED"/>
    <w:rsid w:val="007E0628"/>
    <w:rsid w:val="007E08C4"/>
    <w:rsid w:val="007E0907"/>
    <w:rsid w:val="007E09DF"/>
    <w:rsid w:val="007E0A5C"/>
    <w:rsid w:val="007E0ADB"/>
    <w:rsid w:val="007E0B7D"/>
    <w:rsid w:val="007E0B7F"/>
    <w:rsid w:val="007E0D4C"/>
    <w:rsid w:val="007E0D71"/>
    <w:rsid w:val="007E0E14"/>
    <w:rsid w:val="007E0E17"/>
    <w:rsid w:val="007E0E26"/>
    <w:rsid w:val="007E1048"/>
    <w:rsid w:val="007E104F"/>
    <w:rsid w:val="007E1198"/>
    <w:rsid w:val="007E11F1"/>
    <w:rsid w:val="007E1282"/>
    <w:rsid w:val="007E12F9"/>
    <w:rsid w:val="007E1329"/>
    <w:rsid w:val="007E1335"/>
    <w:rsid w:val="007E13A2"/>
    <w:rsid w:val="007E1421"/>
    <w:rsid w:val="007E1456"/>
    <w:rsid w:val="007E14E6"/>
    <w:rsid w:val="007E14F8"/>
    <w:rsid w:val="007E15C2"/>
    <w:rsid w:val="007E1761"/>
    <w:rsid w:val="007E18A6"/>
    <w:rsid w:val="007E18E3"/>
    <w:rsid w:val="007E1A12"/>
    <w:rsid w:val="007E1A5D"/>
    <w:rsid w:val="007E1B52"/>
    <w:rsid w:val="007E1C46"/>
    <w:rsid w:val="007E1C4F"/>
    <w:rsid w:val="007E1C70"/>
    <w:rsid w:val="007E1D17"/>
    <w:rsid w:val="007E1D23"/>
    <w:rsid w:val="007E1DCD"/>
    <w:rsid w:val="007E1E1F"/>
    <w:rsid w:val="007E1E48"/>
    <w:rsid w:val="007E1E75"/>
    <w:rsid w:val="007E2281"/>
    <w:rsid w:val="007E22BB"/>
    <w:rsid w:val="007E2408"/>
    <w:rsid w:val="007E2546"/>
    <w:rsid w:val="007E259D"/>
    <w:rsid w:val="007E25BB"/>
    <w:rsid w:val="007E25CE"/>
    <w:rsid w:val="007E25ED"/>
    <w:rsid w:val="007E26AB"/>
    <w:rsid w:val="007E26CE"/>
    <w:rsid w:val="007E2745"/>
    <w:rsid w:val="007E28B4"/>
    <w:rsid w:val="007E2978"/>
    <w:rsid w:val="007E2AAA"/>
    <w:rsid w:val="007E2B6A"/>
    <w:rsid w:val="007E2B6E"/>
    <w:rsid w:val="007E2BA6"/>
    <w:rsid w:val="007E2BC0"/>
    <w:rsid w:val="007E2BCD"/>
    <w:rsid w:val="007E2C2B"/>
    <w:rsid w:val="007E2D14"/>
    <w:rsid w:val="007E2D21"/>
    <w:rsid w:val="007E2FEC"/>
    <w:rsid w:val="007E3075"/>
    <w:rsid w:val="007E30F2"/>
    <w:rsid w:val="007E3106"/>
    <w:rsid w:val="007E312F"/>
    <w:rsid w:val="007E3181"/>
    <w:rsid w:val="007E3376"/>
    <w:rsid w:val="007E346E"/>
    <w:rsid w:val="007E34CD"/>
    <w:rsid w:val="007E352E"/>
    <w:rsid w:val="007E3643"/>
    <w:rsid w:val="007E36DF"/>
    <w:rsid w:val="007E37B9"/>
    <w:rsid w:val="007E37C9"/>
    <w:rsid w:val="007E382A"/>
    <w:rsid w:val="007E388B"/>
    <w:rsid w:val="007E38C5"/>
    <w:rsid w:val="007E38C9"/>
    <w:rsid w:val="007E3938"/>
    <w:rsid w:val="007E3A63"/>
    <w:rsid w:val="007E3B0D"/>
    <w:rsid w:val="007E3B82"/>
    <w:rsid w:val="007E3BB0"/>
    <w:rsid w:val="007E3C59"/>
    <w:rsid w:val="007E3D0D"/>
    <w:rsid w:val="007E3E0A"/>
    <w:rsid w:val="007E40B2"/>
    <w:rsid w:val="007E4256"/>
    <w:rsid w:val="007E42C5"/>
    <w:rsid w:val="007E42F6"/>
    <w:rsid w:val="007E43B7"/>
    <w:rsid w:val="007E4426"/>
    <w:rsid w:val="007E445F"/>
    <w:rsid w:val="007E4496"/>
    <w:rsid w:val="007E44E6"/>
    <w:rsid w:val="007E4518"/>
    <w:rsid w:val="007E45CB"/>
    <w:rsid w:val="007E4624"/>
    <w:rsid w:val="007E4675"/>
    <w:rsid w:val="007E46FA"/>
    <w:rsid w:val="007E4752"/>
    <w:rsid w:val="007E4820"/>
    <w:rsid w:val="007E482D"/>
    <w:rsid w:val="007E4836"/>
    <w:rsid w:val="007E4883"/>
    <w:rsid w:val="007E4919"/>
    <w:rsid w:val="007E4988"/>
    <w:rsid w:val="007E49F9"/>
    <w:rsid w:val="007E4A68"/>
    <w:rsid w:val="007E4AA4"/>
    <w:rsid w:val="007E4BC3"/>
    <w:rsid w:val="007E4CA9"/>
    <w:rsid w:val="007E4DC1"/>
    <w:rsid w:val="007E4E18"/>
    <w:rsid w:val="007E4E48"/>
    <w:rsid w:val="007E4E50"/>
    <w:rsid w:val="007E4F0C"/>
    <w:rsid w:val="007E4FC1"/>
    <w:rsid w:val="007E4FC2"/>
    <w:rsid w:val="007E4FF2"/>
    <w:rsid w:val="007E522E"/>
    <w:rsid w:val="007E5281"/>
    <w:rsid w:val="007E52D3"/>
    <w:rsid w:val="007E5342"/>
    <w:rsid w:val="007E540F"/>
    <w:rsid w:val="007E542A"/>
    <w:rsid w:val="007E56A6"/>
    <w:rsid w:val="007E56D0"/>
    <w:rsid w:val="007E5735"/>
    <w:rsid w:val="007E575E"/>
    <w:rsid w:val="007E58D9"/>
    <w:rsid w:val="007E59C7"/>
    <w:rsid w:val="007E5A07"/>
    <w:rsid w:val="007E5A38"/>
    <w:rsid w:val="007E5A57"/>
    <w:rsid w:val="007E5A62"/>
    <w:rsid w:val="007E5A97"/>
    <w:rsid w:val="007E5AFF"/>
    <w:rsid w:val="007E5B19"/>
    <w:rsid w:val="007E5B75"/>
    <w:rsid w:val="007E5BED"/>
    <w:rsid w:val="007E5CFE"/>
    <w:rsid w:val="007E5D6C"/>
    <w:rsid w:val="007E5E95"/>
    <w:rsid w:val="007E5FED"/>
    <w:rsid w:val="007E5FF3"/>
    <w:rsid w:val="007E6007"/>
    <w:rsid w:val="007E6113"/>
    <w:rsid w:val="007E61FB"/>
    <w:rsid w:val="007E6325"/>
    <w:rsid w:val="007E6336"/>
    <w:rsid w:val="007E6367"/>
    <w:rsid w:val="007E6618"/>
    <w:rsid w:val="007E671C"/>
    <w:rsid w:val="007E678B"/>
    <w:rsid w:val="007E6793"/>
    <w:rsid w:val="007E6809"/>
    <w:rsid w:val="007E682F"/>
    <w:rsid w:val="007E6954"/>
    <w:rsid w:val="007E695A"/>
    <w:rsid w:val="007E699B"/>
    <w:rsid w:val="007E6A7A"/>
    <w:rsid w:val="007E6B1C"/>
    <w:rsid w:val="007E6D21"/>
    <w:rsid w:val="007E6F59"/>
    <w:rsid w:val="007E700F"/>
    <w:rsid w:val="007E7142"/>
    <w:rsid w:val="007E721C"/>
    <w:rsid w:val="007E724F"/>
    <w:rsid w:val="007E7375"/>
    <w:rsid w:val="007E7402"/>
    <w:rsid w:val="007E7419"/>
    <w:rsid w:val="007E7479"/>
    <w:rsid w:val="007E756F"/>
    <w:rsid w:val="007E7590"/>
    <w:rsid w:val="007E7616"/>
    <w:rsid w:val="007E7617"/>
    <w:rsid w:val="007E7784"/>
    <w:rsid w:val="007E7793"/>
    <w:rsid w:val="007E77CF"/>
    <w:rsid w:val="007E77E7"/>
    <w:rsid w:val="007E7835"/>
    <w:rsid w:val="007E7A04"/>
    <w:rsid w:val="007E7A1B"/>
    <w:rsid w:val="007E7A8A"/>
    <w:rsid w:val="007E7ADA"/>
    <w:rsid w:val="007E7AEA"/>
    <w:rsid w:val="007E7B4D"/>
    <w:rsid w:val="007E7D14"/>
    <w:rsid w:val="007E7D6E"/>
    <w:rsid w:val="007E7DA8"/>
    <w:rsid w:val="007E7DBB"/>
    <w:rsid w:val="007E7E3E"/>
    <w:rsid w:val="007E7E92"/>
    <w:rsid w:val="007E7EBB"/>
    <w:rsid w:val="007E7F87"/>
    <w:rsid w:val="007F0132"/>
    <w:rsid w:val="007F0265"/>
    <w:rsid w:val="007F033F"/>
    <w:rsid w:val="007F03A9"/>
    <w:rsid w:val="007F03B2"/>
    <w:rsid w:val="007F0505"/>
    <w:rsid w:val="007F0510"/>
    <w:rsid w:val="007F0525"/>
    <w:rsid w:val="007F05D9"/>
    <w:rsid w:val="007F0605"/>
    <w:rsid w:val="007F0612"/>
    <w:rsid w:val="007F07BB"/>
    <w:rsid w:val="007F080A"/>
    <w:rsid w:val="007F081A"/>
    <w:rsid w:val="007F093A"/>
    <w:rsid w:val="007F09C3"/>
    <w:rsid w:val="007F0B0F"/>
    <w:rsid w:val="007F0B73"/>
    <w:rsid w:val="007F0B9F"/>
    <w:rsid w:val="007F0BF3"/>
    <w:rsid w:val="007F0C34"/>
    <w:rsid w:val="007F0E5A"/>
    <w:rsid w:val="007F0E5C"/>
    <w:rsid w:val="007F0E96"/>
    <w:rsid w:val="007F0FBD"/>
    <w:rsid w:val="007F10E0"/>
    <w:rsid w:val="007F1200"/>
    <w:rsid w:val="007F135B"/>
    <w:rsid w:val="007F13DF"/>
    <w:rsid w:val="007F1479"/>
    <w:rsid w:val="007F14A1"/>
    <w:rsid w:val="007F14AC"/>
    <w:rsid w:val="007F1530"/>
    <w:rsid w:val="007F156F"/>
    <w:rsid w:val="007F15CA"/>
    <w:rsid w:val="007F15F7"/>
    <w:rsid w:val="007F168D"/>
    <w:rsid w:val="007F1761"/>
    <w:rsid w:val="007F1885"/>
    <w:rsid w:val="007F1949"/>
    <w:rsid w:val="007F19E9"/>
    <w:rsid w:val="007F1BEF"/>
    <w:rsid w:val="007F1CA7"/>
    <w:rsid w:val="007F1CE2"/>
    <w:rsid w:val="007F1D57"/>
    <w:rsid w:val="007F1D5A"/>
    <w:rsid w:val="007F1D9B"/>
    <w:rsid w:val="007F1DEE"/>
    <w:rsid w:val="007F1E93"/>
    <w:rsid w:val="007F1E9B"/>
    <w:rsid w:val="007F1ED9"/>
    <w:rsid w:val="007F1FFB"/>
    <w:rsid w:val="007F21B4"/>
    <w:rsid w:val="007F2381"/>
    <w:rsid w:val="007F2437"/>
    <w:rsid w:val="007F24E8"/>
    <w:rsid w:val="007F256E"/>
    <w:rsid w:val="007F28B1"/>
    <w:rsid w:val="007F295A"/>
    <w:rsid w:val="007F2A17"/>
    <w:rsid w:val="007F2A5F"/>
    <w:rsid w:val="007F2A93"/>
    <w:rsid w:val="007F2AC4"/>
    <w:rsid w:val="007F2B53"/>
    <w:rsid w:val="007F2B8A"/>
    <w:rsid w:val="007F2BBB"/>
    <w:rsid w:val="007F2C41"/>
    <w:rsid w:val="007F2CBC"/>
    <w:rsid w:val="007F2D4C"/>
    <w:rsid w:val="007F2DEC"/>
    <w:rsid w:val="007F2EBD"/>
    <w:rsid w:val="007F2F01"/>
    <w:rsid w:val="007F2FAD"/>
    <w:rsid w:val="007F314F"/>
    <w:rsid w:val="007F32B3"/>
    <w:rsid w:val="007F32BA"/>
    <w:rsid w:val="007F3302"/>
    <w:rsid w:val="007F3312"/>
    <w:rsid w:val="007F3389"/>
    <w:rsid w:val="007F339F"/>
    <w:rsid w:val="007F33F6"/>
    <w:rsid w:val="007F34DC"/>
    <w:rsid w:val="007F3501"/>
    <w:rsid w:val="007F3572"/>
    <w:rsid w:val="007F35E7"/>
    <w:rsid w:val="007F384D"/>
    <w:rsid w:val="007F393F"/>
    <w:rsid w:val="007F39B2"/>
    <w:rsid w:val="007F39FF"/>
    <w:rsid w:val="007F3A99"/>
    <w:rsid w:val="007F3ADD"/>
    <w:rsid w:val="007F3D5E"/>
    <w:rsid w:val="007F3E45"/>
    <w:rsid w:val="007F3F83"/>
    <w:rsid w:val="007F3F89"/>
    <w:rsid w:val="007F406A"/>
    <w:rsid w:val="007F419A"/>
    <w:rsid w:val="007F419D"/>
    <w:rsid w:val="007F41E2"/>
    <w:rsid w:val="007F4215"/>
    <w:rsid w:val="007F42B1"/>
    <w:rsid w:val="007F42C1"/>
    <w:rsid w:val="007F42FE"/>
    <w:rsid w:val="007F4398"/>
    <w:rsid w:val="007F45FC"/>
    <w:rsid w:val="007F46E1"/>
    <w:rsid w:val="007F470B"/>
    <w:rsid w:val="007F4745"/>
    <w:rsid w:val="007F47AD"/>
    <w:rsid w:val="007F47CC"/>
    <w:rsid w:val="007F47D9"/>
    <w:rsid w:val="007F4839"/>
    <w:rsid w:val="007F48D2"/>
    <w:rsid w:val="007F492A"/>
    <w:rsid w:val="007F4AF1"/>
    <w:rsid w:val="007F4B1A"/>
    <w:rsid w:val="007F4B43"/>
    <w:rsid w:val="007F4B9F"/>
    <w:rsid w:val="007F4BF0"/>
    <w:rsid w:val="007F4C1A"/>
    <w:rsid w:val="007F4C4C"/>
    <w:rsid w:val="007F4C7D"/>
    <w:rsid w:val="007F4CA0"/>
    <w:rsid w:val="007F4DC2"/>
    <w:rsid w:val="007F4DD7"/>
    <w:rsid w:val="007F4E53"/>
    <w:rsid w:val="007F4E5B"/>
    <w:rsid w:val="007F4F56"/>
    <w:rsid w:val="007F5121"/>
    <w:rsid w:val="007F51BA"/>
    <w:rsid w:val="007F51FE"/>
    <w:rsid w:val="007F52A7"/>
    <w:rsid w:val="007F52B2"/>
    <w:rsid w:val="007F53B7"/>
    <w:rsid w:val="007F5436"/>
    <w:rsid w:val="007F5452"/>
    <w:rsid w:val="007F54EB"/>
    <w:rsid w:val="007F553C"/>
    <w:rsid w:val="007F5550"/>
    <w:rsid w:val="007F56BC"/>
    <w:rsid w:val="007F57B6"/>
    <w:rsid w:val="007F57BD"/>
    <w:rsid w:val="007F584E"/>
    <w:rsid w:val="007F5866"/>
    <w:rsid w:val="007F59C9"/>
    <w:rsid w:val="007F5A62"/>
    <w:rsid w:val="007F5B71"/>
    <w:rsid w:val="007F5BD1"/>
    <w:rsid w:val="007F5C01"/>
    <w:rsid w:val="007F5C43"/>
    <w:rsid w:val="007F5C8F"/>
    <w:rsid w:val="007F5DA5"/>
    <w:rsid w:val="007F5F61"/>
    <w:rsid w:val="007F5F96"/>
    <w:rsid w:val="007F5FA9"/>
    <w:rsid w:val="007F60D2"/>
    <w:rsid w:val="007F60D4"/>
    <w:rsid w:val="007F61DD"/>
    <w:rsid w:val="007F625A"/>
    <w:rsid w:val="007F643C"/>
    <w:rsid w:val="007F64AE"/>
    <w:rsid w:val="007F64FD"/>
    <w:rsid w:val="007F65B9"/>
    <w:rsid w:val="007F65D3"/>
    <w:rsid w:val="007F664C"/>
    <w:rsid w:val="007F673C"/>
    <w:rsid w:val="007F688E"/>
    <w:rsid w:val="007F69DD"/>
    <w:rsid w:val="007F6A12"/>
    <w:rsid w:val="007F6BA6"/>
    <w:rsid w:val="007F6BFD"/>
    <w:rsid w:val="007F6C3E"/>
    <w:rsid w:val="007F6C59"/>
    <w:rsid w:val="007F6C9D"/>
    <w:rsid w:val="007F6DB4"/>
    <w:rsid w:val="007F6DD7"/>
    <w:rsid w:val="007F6E04"/>
    <w:rsid w:val="007F6E76"/>
    <w:rsid w:val="007F6E98"/>
    <w:rsid w:val="007F7019"/>
    <w:rsid w:val="007F705E"/>
    <w:rsid w:val="007F7070"/>
    <w:rsid w:val="007F7114"/>
    <w:rsid w:val="007F7140"/>
    <w:rsid w:val="007F7369"/>
    <w:rsid w:val="007F7399"/>
    <w:rsid w:val="007F739A"/>
    <w:rsid w:val="007F73B8"/>
    <w:rsid w:val="007F7487"/>
    <w:rsid w:val="007F7561"/>
    <w:rsid w:val="007F766D"/>
    <w:rsid w:val="007F7702"/>
    <w:rsid w:val="007F7712"/>
    <w:rsid w:val="007F7822"/>
    <w:rsid w:val="007F7872"/>
    <w:rsid w:val="007F7A12"/>
    <w:rsid w:val="007F7A7B"/>
    <w:rsid w:val="007F7B29"/>
    <w:rsid w:val="007F7C59"/>
    <w:rsid w:val="007F7C63"/>
    <w:rsid w:val="007F7C82"/>
    <w:rsid w:val="007F7D75"/>
    <w:rsid w:val="007F7DC1"/>
    <w:rsid w:val="007F7DDB"/>
    <w:rsid w:val="007F7E7F"/>
    <w:rsid w:val="007F7F03"/>
    <w:rsid w:val="007F7FB4"/>
    <w:rsid w:val="00800026"/>
    <w:rsid w:val="008000B5"/>
    <w:rsid w:val="008000D8"/>
    <w:rsid w:val="008000E9"/>
    <w:rsid w:val="0080015E"/>
    <w:rsid w:val="008001D6"/>
    <w:rsid w:val="00800353"/>
    <w:rsid w:val="008004B9"/>
    <w:rsid w:val="00800501"/>
    <w:rsid w:val="00800589"/>
    <w:rsid w:val="0080067E"/>
    <w:rsid w:val="0080071B"/>
    <w:rsid w:val="00800825"/>
    <w:rsid w:val="0080084B"/>
    <w:rsid w:val="008008A0"/>
    <w:rsid w:val="008008E0"/>
    <w:rsid w:val="00800965"/>
    <w:rsid w:val="00800A8E"/>
    <w:rsid w:val="00800B95"/>
    <w:rsid w:val="00800BC8"/>
    <w:rsid w:val="00800D15"/>
    <w:rsid w:val="00800D8D"/>
    <w:rsid w:val="00800DB7"/>
    <w:rsid w:val="00801030"/>
    <w:rsid w:val="00801092"/>
    <w:rsid w:val="008010AF"/>
    <w:rsid w:val="008010F2"/>
    <w:rsid w:val="00801149"/>
    <w:rsid w:val="0080114F"/>
    <w:rsid w:val="008011AA"/>
    <w:rsid w:val="00801237"/>
    <w:rsid w:val="008012CF"/>
    <w:rsid w:val="008012D6"/>
    <w:rsid w:val="008012D7"/>
    <w:rsid w:val="008012DE"/>
    <w:rsid w:val="008012E1"/>
    <w:rsid w:val="008014DD"/>
    <w:rsid w:val="00801547"/>
    <w:rsid w:val="0080154C"/>
    <w:rsid w:val="008015D6"/>
    <w:rsid w:val="0080167A"/>
    <w:rsid w:val="00801734"/>
    <w:rsid w:val="0080180D"/>
    <w:rsid w:val="0080184A"/>
    <w:rsid w:val="0080192A"/>
    <w:rsid w:val="0080193C"/>
    <w:rsid w:val="008019B1"/>
    <w:rsid w:val="008019B7"/>
    <w:rsid w:val="00801A55"/>
    <w:rsid w:val="00801D54"/>
    <w:rsid w:val="00801D62"/>
    <w:rsid w:val="00801D9F"/>
    <w:rsid w:val="00801E7B"/>
    <w:rsid w:val="00801EB2"/>
    <w:rsid w:val="00801ECA"/>
    <w:rsid w:val="00801F93"/>
    <w:rsid w:val="00802324"/>
    <w:rsid w:val="0080233A"/>
    <w:rsid w:val="00802388"/>
    <w:rsid w:val="0080238B"/>
    <w:rsid w:val="008026BF"/>
    <w:rsid w:val="008027F8"/>
    <w:rsid w:val="008028B6"/>
    <w:rsid w:val="00802905"/>
    <w:rsid w:val="00802924"/>
    <w:rsid w:val="00802959"/>
    <w:rsid w:val="00802A45"/>
    <w:rsid w:val="00802A46"/>
    <w:rsid w:val="00802AEF"/>
    <w:rsid w:val="00802B13"/>
    <w:rsid w:val="00802C42"/>
    <w:rsid w:val="00802D1C"/>
    <w:rsid w:val="00802DE5"/>
    <w:rsid w:val="00802DFA"/>
    <w:rsid w:val="00802DFB"/>
    <w:rsid w:val="00802FD4"/>
    <w:rsid w:val="00803053"/>
    <w:rsid w:val="008030BF"/>
    <w:rsid w:val="008030D0"/>
    <w:rsid w:val="0080312E"/>
    <w:rsid w:val="0080315E"/>
    <w:rsid w:val="0080322F"/>
    <w:rsid w:val="0080325D"/>
    <w:rsid w:val="008032EC"/>
    <w:rsid w:val="0080339A"/>
    <w:rsid w:val="008034DA"/>
    <w:rsid w:val="00803612"/>
    <w:rsid w:val="0080363F"/>
    <w:rsid w:val="008036E5"/>
    <w:rsid w:val="008037A1"/>
    <w:rsid w:val="00803822"/>
    <w:rsid w:val="00803958"/>
    <w:rsid w:val="00803A6F"/>
    <w:rsid w:val="00803B40"/>
    <w:rsid w:val="00803B50"/>
    <w:rsid w:val="00803DB0"/>
    <w:rsid w:val="00803DB2"/>
    <w:rsid w:val="00803DBD"/>
    <w:rsid w:val="00803DEE"/>
    <w:rsid w:val="00803EA7"/>
    <w:rsid w:val="00803F18"/>
    <w:rsid w:val="00803F4B"/>
    <w:rsid w:val="00803FBE"/>
    <w:rsid w:val="0080423B"/>
    <w:rsid w:val="0080425C"/>
    <w:rsid w:val="00804271"/>
    <w:rsid w:val="008044FB"/>
    <w:rsid w:val="008045C5"/>
    <w:rsid w:val="00804613"/>
    <w:rsid w:val="00804870"/>
    <w:rsid w:val="008048E0"/>
    <w:rsid w:val="008048EE"/>
    <w:rsid w:val="0080495F"/>
    <w:rsid w:val="0080499E"/>
    <w:rsid w:val="00804A2F"/>
    <w:rsid w:val="00804A58"/>
    <w:rsid w:val="00804C87"/>
    <w:rsid w:val="00804CC6"/>
    <w:rsid w:val="00804D91"/>
    <w:rsid w:val="00804DBB"/>
    <w:rsid w:val="00804DEF"/>
    <w:rsid w:val="00804F47"/>
    <w:rsid w:val="00804F8E"/>
    <w:rsid w:val="00804F93"/>
    <w:rsid w:val="0080506F"/>
    <w:rsid w:val="008050A3"/>
    <w:rsid w:val="0080514F"/>
    <w:rsid w:val="008052D1"/>
    <w:rsid w:val="008052F7"/>
    <w:rsid w:val="00805330"/>
    <w:rsid w:val="00805383"/>
    <w:rsid w:val="00805386"/>
    <w:rsid w:val="00805490"/>
    <w:rsid w:val="008054E7"/>
    <w:rsid w:val="0080554F"/>
    <w:rsid w:val="00805678"/>
    <w:rsid w:val="0080570D"/>
    <w:rsid w:val="00805838"/>
    <w:rsid w:val="0080583B"/>
    <w:rsid w:val="00805A5E"/>
    <w:rsid w:val="00805A6F"/>
    <w:rsid w:val="00805AA7"/>
    <w:rsid w:val="00805B42"/>
    <w:rsid w:val="00805B57"/>
    <w:rsid w:val="00805B7E"/>
    <w:rsid w:val="00805B93"/>
    <w:rsid w:val="00805BEB"/>
    <w:rsid w:val="00805C28"/>
    <w:rsid w:val="00805C3F"/>
    <w:rsid w:val="00805CC6"/>
    <w:rsid w:val="00805E82"/>
    <w:rsid w:val="00805E94"/>
    <w:rsid w:val="00805FA7"/>
    <w:rsid w:val="00805FC8"/>
    <w:rsid w:val="00806021"/>
    <w:rsid w:val="00806043"/>
    <w:rsid w:val="0080609D"/>
    <w:rsid w:val="0080617C"/>
    <w:rsid w:val="008061B2"/>
    <w:rsid w:val="00806222"/>
    <w:rsid w:val="0080623E"/>
    <w:rsid w:val="0080629E"/>
    <w:rsid w:val="008063CB"/>
    <w:rsid w:val="008065AC"/>
    <w:rsid w:val="00806705"/>
    <w:rsid w:val="00806714"/>
    <w:rsid w:val="00806729"/>
    <w:rsid w:val="00806763"/>
    <w:rsid w:val="00806841"/>
    <w:rsid w:val="00806964"/>
    <w:rsid w:val="008069B7"/>
    <w:rsid w:val="00806A3B"/>
    <w:rsid w:val="00806A82"/>
    <w:rsid w:val="00806ABF"/>
    <w:rsid w:val="00806B25"/>
    <w:rsid w:val="00806B8C"/>
    <w:rsid w:val="00806DD3"/>
    <w:rsid w:val="00806E16"/>
    <w:rsid w:val="00806F61"/>
    <w:rsid w:val="00806F8B"/>
    <w:rsid w:val="00807066"/>
    <w:rsid w:val="008070DE"/>
    <w:rsid w:val="008071EE"/>
    <w:rsid w:val="00807384"/>
    <w:rsid w:val="008073CE"/>
    <w:rsid w:val="00807461"/>
    <w:rsid w:val="00807705"/>
    <w:rsid w:val="00807898"/>
    <w:rsid w:val="0080790E"/>
    <w:rsid w:val="00807A32"/>
    <w:rsid w:val="00807AB7"/>
    <w:rsid w:val="00807AE0"/>
    <w:rsid w:val="00807CF3"/>
    <w:rsid w:val="00807D57"/>
    <w:rsid w:val="00807DF2"/>
    <w:rsid w:val="00807EAB"/>
    <w:rsid w:val="00807EBA"/>
    <w:rsid w:val="00807EFB"/>
    <w:rsid w:val="00807F5D"/>
    <w:rsid w:val="00810003"/>
    <w:rsid w:val="00810028"/>
    <w:rsid w:val="0081005F"/>
    <w:rsid w:val="00810135"/>
    <w:rsid w:val="0081018B"/>
    <w:rsid w:val="008101F4"/>
    <w:rsid w:val="008102B1"/>
    <w:rsid w:val="00810394"/>
    <w:rsid w:val="008103AE"/>
    <w:rsid w:val="00810432"/>
    <w:rsid w:val="008104D8"/>
    <w:rsid w:val="008104E5"/>
    <w:rsid w:val="008104E6"/>
    <w:rsid w:val="0081051E"/>
    <w:rsid w:val="00810548"/>
    <w:rsid w:val="00810597"/>
    <w:rsid w:val="0081068F"/>
    <w:rsid w:val="008106EF"/>
    <w:rsid w:val="00810745"/>
    <w:rsid w:val="008107EE"/>
    <w:rsid w:val="00810851"/>
    <w:rsid w:val="0081088A"/>
    <w:rsid w:val="008108E4"/>
    <w:rsid w:val="00810D52"/>
    <w:rsid w:val="00810ECF"/>
    <w:rsid w:val="00811021"/>
    <w:rsid w:val="0081102D"/>
    <w:rsid w:val="0081106C"/>
    <w:rsid w:val="0081118E"/>
    <w:rsid w:val="008112C2"/>
    <w:rsid w:val="008113C4"/>
    <w:rsid w:val="008113D3"/>
    <w:rsid w:val="008114A6"/>
    <w:rsid w:val="00811519"/>
    <w:rsid w:val="00811533"/>
    <w:rsid w:val="008115E7"/>
    <w:rsid w:val="0081160B"/>
    <w:rsid w:val="0081169F"/>
    <w:rsid w:val="00811805"/>
    <w:rsid w:val="00811806"/>
    <w:rsid w:val="00811927"/>
    <w:rsid w:val="00811982"/>
    <w:rsid w:val="00811A9F"/>
    <w:rsid w:val="00811AB9"/>
    <w:rsid w:val="00811B4A"/>
    <w:rsid w:val="00811B7F"/>
    <w:rsid w:val="00811B95"/>
    <w:rsid w:val="00811BC0"/>
    <w:rsid w:val="00811C0A"/>
    <w:rsid w:val="00811C26"/>
    <w:rsid w:val="00811CB9"/>
    <w:rsid w:val="00811D00"/>
    <w:rsid w:val="00811E9F"/>
    <w:rsid w:val="00811F2F"/>
    <w:rsid w:val="0081203F"/>
    <w:rsid w:val="008121D2"/>
    <w:rsid w:val="008121ED"/>
    <w:rsid w:val="00812279"/>
    <w:rsid w:val="00812282"/>
    <w:rsid w:val="008122CF"/>
    <w:rsid w:val="00812303"/>
    <w:rsid w:val="00812424"/>
    <w:rsid w:val="00812471"/>
    <w:rsid w:val="00812516"/>
    <w:rsid w:val="0081254F"/>
    <w:rsid w:val="008126C6"/>
    <w:rsid w:val="008127EC"/>
    <w:rsid w:val="008128B6"/>
    <w:rsid w:val="008128EC"/>
    <w:rsid w:val="00812971"/>
    <w:rsid w:val="008129BC"/>
    <w:rsid w:val="00812A0C"/>
    <w:rsid w:val="00812A64"/>
    <w:rsid w:val="00812B35"/>
    <w:rsid w:val="00812B77"/>
    <w:rsid w:val="00812BD6"/>
    <w:rsid w:val="00812C2E"/>
    <w:rsid w:val="00812C65"/>
    <w:rsid w:val="00812CA7"/>
    <w:rsid w:val="00812CCE"/>
    <w:rsid w:val="00812D95"/>
    <w:rsid w:val="00812E2D"/>
    <w:rsid w:val="00812EAC"/>
    <w:rsid w:val="00812F46"/>
    <w:rsid w:val="008131A0"/>
    <w:rsid w:val="00813219"/>
    <w:rsid w:val="008132C4"/>
    <w:rsid w:val="0081338D"/>
    <w:rsid w:val="0081340F"/>
    <w:rsid w:val="00813450"/>
    <w:rsid w:val="008134B7"/>
    <w:rsid w:val="008134D0"/>
    <w:rsid w:val="008135C0"/>
    <w:rsid w:val="00813600"/>
    <w:rsid w:val="00813652"/>
    <w:rsid w:val="00813690"/>
    <w:rsid w:val="00813712"/>
    <w:rsid w:val="008137CF"/>
    <w:rsid w:val="0081385D"/>
    <w:rsid w:val="00813C4A"/>
    <w:rsid w:val="00813D29"/>
    <w:rsid w:val="00813D65"/>
    <w:rsid w:val="00813F4A"/>
    <w:rsid w:val="00813F79"/>
    <w:rsid w:val="00813FAE"/>
    <w:rsid w:val="00814105"/>
    <w:rsid w:val="008141D8"/>
    <w:rsid w:val="008142FF"/>
    <w:rsid w:val="0081431E"/>
    <w:rsid w:val="0081432B"/>
    <w:rsid w:val="008143B8"/>
    <w:rsid w:val="00814425"/>
    <w:rsid w:val="0081442F"/>
    <w:rsid w:val="00814446"/>
    <w:rsid w:val="008144A5"/>
    <w:rsid w:val="008144E1"/>
    <w:rsid w:val="0081450B"/>
    <w:rsid w:val="0081463C"/>
    <w:rsid w:val="00814682"/>
    <w:rsid w:val="00814794"/>
    <w:rsid w:val="00814821"/>
    <w:rsid w:val="0081495C"/>
    <w:rsid w:val="0081497C"/>
    <w:rsid w:val="008149A0"/>
    <w:rsid w:val="008149DE"/>
    <w:rsid w:val="00814A0E"/>
    <w:rsid w:val="00814A82"/>
    <w:rsid w:val="00814AF8"/>
    <w:rsid w:val="00814B09"/>
    <w:rsid w:val="00814BFE"/>
    <w:rsid w:val="00814C33"/>
    <w:rsid w:val="00814C68"/>
    <w:rsid w:val="00814D80"/>
    <w:rsid w:val="00814E5E"/>
    <w:rsid w:val="00814EE6"/>
    <w:rsid w:val="00814F54"/>
    <w:rsid w:val="00815090"/>
    <w:rsid w:val="00815284"/>
    <w:rsid w:val="0081530F"/>
    <w:rsid w:val="008153AB"/>
    <w:rsid w:val="0081542A"/>
    <w:rsid w:val="008154F2"/>
    <w:rsid w:val="008155AD"/>
    <w:rsid w:val="008155C8"/>
    <w:rsid w:val="0081560B"/>
    <w:rsid w:val="00815642"/>
    <w:rsid w:val="00815647"/>
    <w:rsid w:val="0081577C"/>
    <w:rsid w:val="008157D3"/>
    <w:rsid w:val="008157E1"/>
    <w:rsid w:val="008157ED"/>
    <w:rsid w:val="00815842"/>
    <w:rsid w:val="00815913"/>
    <w:rsid w:val="00815943"/>
    <w:rsid w:val="008159CC"/>
    <w:rsid w:val="008159F3"/>
    <w:rsid w:val="00815B60"/>
    <w:rsid w:val="00815B75"/>
    <w:rsid w:val="00815BAD"/>
    <w:rsid w:val="00815BD4"/>
    <w:rsid w:val="00815C90"/>
    <w:rsid w:val="00815C9C"/>
    <w:rsid w:val="00815D12"/>
    <w:rsid w:val="00815D81"/>
    <w:rsid w:val="00815DD6"/>
    <w:rsid w:val="00815DDB"/>
    <w:rsid w:val="00815ED2"/>
    <w:rsid w:val="00815ED5"/>
    <w:rsid w:val="00815FEF"/>
    <w:rsid w:val="00816069"/>
    <w:rsid w:val="0081615D"/>
    <w:rsid w:val="00816416"/>
    <w:rsid w:val="00816488"/>
    <w:rsid w:val="008164C9"/>
    <w:rsid w:val="008164DF"/>
    <w:rsid w:val="008165D7"/>
    <w:rsid w:val="00816760"/>
    <w:rsid w:val="008167F6"/>
    <w:rsid w:val="008167FB"/>
    <w:rsid w:val="0081683E"/>
    <w:rsid w:val="008168A1"/>
    <w:rsid w:val="0081691D"/>
    <w:rsid w:val="00816B26"/>
    <w:rsid w:val="00816C69"/>
    <w:rsid w:val="00816CFE"/>
    <w:rsid w:val="00816DE9"/>
    <w:rsid w:val="00816F39"/>
    <w:rsid w:val="00816FD8"/>
    <w:rsid w:val="00817128"/>
    <w:rsid w:val="00817143"/>
    <w:rsid w:val="00817183"/>
    <w:rsid w:val="00817383"/>
    <w:rsid w:val="00817427"/>
    <w:rsid w:val="008175C3"/>
    <w:rsid w:val="008175E4"/>
    <w:rsid w:val="008175F2"/>
    <w:rsid w:val="00817634"/>
    <w:rsid w:val="0081764A"/>
    <w:rsid w:val="0081765A"/>
    <w:rsid w:val="0081769D"/>
    <w:rsid w:val="00817708"/>
    <w:rsid w:val="00817778"/>
    <w:rsid w:val="008178BB"/>
    <w:rsid w:val="008178BD"/>
    <w:rsid w:val="008178D7"/>
    <w:rsid w:val="00817A0C"/>
    <w:rsid w:val="00817B47"/>
    <w:rsid w:val="00817BAC"/>
    <w:rsid w:val="00817C7F"/>
    <w:rsid w:val="00817D0B"/>
    <w:rsid w:val="00817F98"/>
    <w:rsid w:val="00820051"/>
    <w:rsid w:val="008201C5"/>
    <w:rsid w:val="008201D5"/>
    <w:rsid w:val="0082020B"/>
    <w:rsid w:val="0082038F"/>
    <w:rsid w:val="0082039B"/>
    <w:rsid w:val="008204A8"/>
    <w:rsid w:val="008204C1"/>
    <w:rsid w:val="008204CA"/>
    <w:rsid w:val="008204DF"/>
    <w:rsid w:val="00820643"/>
    <w:rsid w:val="00820652"/>
    <w:rsid w:val="008206A8"/>
    <w:rsid w:val="0082079D"/>
    <w:rsid w:val="008207A5"/>
    <w:rsid w:val="008207C9"/>
    <w:rsid w:val="00820B58"/>
    <w:rsid w:val="00820CFC"/>
    <w:rsid w:val="00820D2A"/>
    <w:rsid w:val="00820E89"/>
    <w:rsid w:val="00820EE7"/>
    <w:rsid w:val="00820F04"/>
    <w:rsid w:val="00820F0A"/>
    <w:rsid w:val="00820FAA"/>
    <w:rsid w:val="008212B5"/>
    <w:rsid w:val="008212CB"/>
    <w:rsid w:val="0082132C"/>
    <w:rsid w:val="00821544"/>
    <w:rsid w:val="008215B5"/>
    <w:rsid w:val="0082161A"/>
    <w:rsid w:val="0082162A"/>
    <w:rsid w:val="00821645"/>
    <w:rsid w:val="0082167A"/>
    <w:rsid w:val="008216FF"/>
    <w:rsid w:val="00821710"/>
    <w:rsid w:val="008219A3"/>
    <w:rsid w:val="008219DE"/>
    <w:rsid w:val="00821A3C"/>
    <w:rsid w:val="00821B26"/>
    <w:rsid w:val="00821C57"/>
    <w:rsid w:val="00821CE3"/>
    <w:rsid w:val="00821D39"/>
    <w:rsid w:val="00821ECB"/>
    <w:rsid w:val="00821EE3"/>
    <w:rsid w:val="0082214E"/>
    <w:rsid w:val="00822164"/>
    <w:rsid w:val="008222EB"/>
    <w:rsid w:val="0082238D"/>
    <w:rsid w:val="0082246B"/>
    <w:rsid w:val="00822493"/>
    <w:rsid w:val="008224C3"/>
    <w:rsid w:val="00822537"/>
    <w:rsid w:val="008225FA"/>
    <w:rsid w:val="008226A0"/>
    <w:rsid w:val="0082278B"/>
    <w:rsid w:val="008227D1"/>
    <w:rsid w:val="008227DF"/>
    <w:rsid w:val="008228B5"/>
    <w:rsid w:val="00822940"/>
    <w:rsid w:val="008229DA"/>
    <w:rsid w:val="00822A0C"/>
    <w:rsid w:val="00822A45"/>
    <w:rsid w:val="00822A6B"/>
    <w:rsid w:val="00822B35"/>
    <w:rsid w:val="00822C54"/>
    <w:rsid w:val="00822C83"/>
    <w:rsid w:val="00822CE9"/>
    <w:rsid w:val="00822CFB"/>
    <w:rsid w:val="00822D30"/>
    <w:rsid w:val="00822D86"/>
    <w:rsid w:val="00822DE0"/>
    <w:rsid w:val="00822EBE"/>
    <w:rsid w:val="00822F04"/>
    <w:rsid w:val="00822FB2"/>
    <w:rsid w:val="0082319E"/>
    <w:rsid w:val="00823252"/>
    <w:rsid w:val="0082326E"/>
    <w:rsid w:val="00823331"/>
    <w:rsid w:val="00823457"/>
    <w:rsid w:val="0082358B"/>
    <w:rsid w:val="008235AF"/>
    <w:rsid w:val="00823706"/>
    <w:rsid w:val="00823770"/>
    <w:rsid w:val="00823777"/>
    <w:rsid w:val="008238EE"/>
    <w:rsid w:val="008238F3"/>
    <w:rsid w:val="0082398A"/>
    <w:rsid w:val="00823A07"/>
    <w:rsid w:val="00823BAF"/>
    <w:rsid w:val="00823C39"/>
    <w:rsid w:val="00823D5F"/>
    <w:rsid w:val="00823DDF"/>
    <w:rsid w:val="00823EF9"/>
    <w:rsid w:val="00823F90"/>
    <w:rsid w:val="00823FAE"/>
    <w:rsid w:val="00824024"/>
    <w:rsid w:val="00824031"/>
    <w:rsid w:val="008241AB"/>
    <w:rsid w:val="008241E2"/>
    <w:rsid w:val="0082444F"/>
    <w:rsid w:val="008244FC"/>
    <w:rsid w:val="0082451D"/>
    <w:rsid w:val="0082455A"/>
    <w:rsid w:val="00824668"/>
    <w:rsid w:val="008246D9"/>
    <w:rsid w:val="0082471F"/>
    <w:rsid w:val="00824745"/>
    <w:rsid w:val="00824822"/>
    <w:rsid w:val="00824854"/>
    <w:rsid w:val="008248ED"/>
    <w:rsid w:val="008249E8"/>
    <w:rsid w:val="00824BB6"/>
    <w:rsid w:val="00824D04"/>
    <w:rsid w:val="00824D51"/>
    <w:rsid w:val="00824D72"/>
    <w:rsid w:val="00824DFF"/>
    <w:rsid w:val="00824E00"/>
    <w:rsid w:val="00824EF4"/>
    <w:rsid w:val="00824F48"/>
    <w:rsid w:val="0082500A"/>
    <w:rsid w:val="0082506D"/>
    <w:rsid w:val="008250C7"/>
    <w:rsid w:val="008250E9"/>
    <w:rsid w:val="0082516D"/>
    <w:rsid w:val="00825183"/>
    <w:rsid w:val="0082524B"/>
    <w:rsid w:val="0082526D"/>
    <w:rsid w:val="008252D5"/>
    <w:rsid w:val="008253C2"/>
    <w:rsid w:val="00825409"/>
    <w:rsid w:val="00825506"/>
    <w:rsid w:val="0082554C"/>
    <w:rsid w:val="0082561D"/>
    <w:rsid w:val="0082562C"/>
    <w:rsid w:val="0082563E"/>
    <w:rsid w:val="0082573B"/>
    <w:rsid w:val="00825801"/>
    <w:rsid w:val="008258A8"/>
    <w:rsid w:val="0082592A"/>
    <w:rsid w:val="00825939"/>
    <w:rsid w:val="008259EF"/>
    <w:rsid w:val="00825AB3"/>
    <w:rsid w:val="00825B53"/>
    <w:rsid w:val="00825B86"/>
    <w:rsid w:val="00825C66"/>
    <w:rsid w:val="00825C9E"/>
    <w:rsid w:val="00825CAD"/>
    <w:rsid w:val="00825DFC"/>
    <w:rsid w:val="00825EBA"/>
    <w:rsid w:val="008260A1"/>
    <w:rsid w:val="008260F4"/>
    <w:rsid w:val="00826141"/>
    <w:rsid w:val="00826212"/>
    <w:rsid w:val="00826227"/>
    <w:rsid w:val="00826237"/>
    <w:rsid w:val="0082633D"/>
    <w:rsid w:val="00826381"/>
    <w:rsid w:val="0082644B"/>
    <w:rsid w:val="008264E2"/>
    <w:rsid w:val="00826645"/>
    <w:rsid w:val="00826657"/>
    <w:rsid w:val="008266B7"/>
    <w:rsid w:val="00826815"/>
    <w:rsid w:val="0082682B"/>
    <w:rsid w:val="00826874"/>
    <w:rsid w:val="008268BB"/>
    <w:rsid w:val="0082693B"/>
    <w:rsid w:val="00826942"/>
    <w:rsid w:val="008269DC"/>
    <w:rsid w:val="00826BFA"/>
    <w:rsid w:val="00826CC2"/>
    <w:rsid w:val="00826CE6"/>
    <w:rsid w:val="00826CF8"/>
    <w:rsid w:val="00826D20"/>
    <w:rsid w:val="00826D63"/>
    <w:rsid w:val="00826D71"/>
    <w:rsid w:val="00826D83"/>
    <w:rsid w:val="00826E3F"/>
    <w:rsid w:val="00826F4E"/>
    <w:rsid w:val="00826F64"/>
    <w:rsid w:val="00826F88"/>
    <w:rsid w:val="00826F8E"/>
    <w:rsid w:val="008270ED"/>
    <w:rsid w:val="008271E1"/>
    <w:rsid w:val="008272AF"/>
    <w:rsid w:val="008272B6"/>
    <w:rsid w:val="00827371"/>
    <w:rsid w:val="00827383"/>
    <w:rsid w:val="0082738A"/>
    <w:rsid w:val="00827413"/>
    <w:rsid w:val="008274E2"/>
    <w:rsid w:val="00827506"/>
    <w:rsid w:val="00827524"/>
    <w:rsid w:val="00827662"/>
    <w:rsid w:val="0082766B"/>
    <w:rsid w:val="0082767E"/>
    <w:rsid w:val="00827687"/>
    <w:rsid w:val="00827695"/>
    <w:rsid w:val="00827700"/>
    <w:rsid w:val="0082779D"/>
    <w:rsid w:val="008277AE"/>
    <w:rsid w:val="008277C1"/>
    <w:rsid w:val="00827A3C"/>
    <w:rsid w:val="00827A9E"/>
    <w:rsid w:val="00827AAB"/>
    <w:rsid w:val="00827BCB"/>
    <w:rsid w:val="00827C4D"/>
    <w:rsid w:val="00827CD4"/>
    <w:rsid w:val="00827DC7"/>
    <w:rsid w:val="00827E52"/>
    <w:rsid w:val="00827F01"/>
    <w:rsid w:val="00827FDC"/>
    <w:rsid w:val="00830008"/>
    <w:rsid w:val="00830287"/>
    <w:rsid w:val="00830600"/>
    <w:rsid w:val="00830649"/>
    <w:rsid w:val="008306D4"/>
    <w:rsid w:val="008306E7"/>
    <w:rsid w:val="008306FC"/>
    <w:rsid w:val="00830730"/>
    <w:rsid w:val="0083075D"/>
    <w:rsid w:val="0083075F"/>
    <w:rsid w:val="00830933"/>
    <w:rsid w:val="00830AA7"/>
    <w:rsid w:val="00830AB0"/>
    <w:rsid w:val="00830B71"/>
    <w:rsid w:val="00830D03"/>
    <w:rsid w:val="00830D08"/>
    <w:rsid w:val="00830DE3"/>
    <w:rsid w:val="00830F0F"/>
    <w:rsid w:val="00830F4A"/>
    <w:rsid w:val="0083103B"/>
    <w:rsid w:val="008310AF"/>
    <w:rsid w:val="008311DD"/>
    <w:rsid w:val="00831245"/>
    <w:rsid w:val="00831492"/>
    <w:rsid w:val="008314DB"/>
    <w:rsid w:val="00831536"/>
    <w:rsid w:val="00831589"/>
    <w:rsid w:val="008316EE"/>
    <w:rsid w:val="0083182B"/>
    <w:rsid w:val="0083182C"/>
    <w:rsid w:val="008318A2"/>
    <w:rsid w:val="008318D3"/>
    <w:rsid w:val="00831AD7"/>
    <w:rsid w:val="00831B00"/>
    <w:rsid w:val="00831B23"/>
    <w:rsid w:val="00831BEB"/>
    <w:rsid w:val="00831C50"/>
    <w:rsid w:val="00831C82"/>
    <w:rsid w:val="00831D8C"/>
    <w:rsid w:val="00831D90"/>
    <w:rsid w:val="00831D93"/>
    <w:rsid w:val="00831DD0"/>
    <w:rsid w:val="00831E25"/>
    <w:rsid w:val="00831E54"/>
    <w:rsid w:val="00831E88"/>
    <w:rsid w:val="008320B1"/>
    <w:rsid w:val="008322F6"/>
    <w:rsid w:val="00832334"/>
    <w:rsid w:val="008323C0"/>
    <w:rsid w:val="00832504"/>
    <w:rsid w:val="008325DA"/>
    <w:rsid w:val="00832658"/>
    <w:rsid w:val="00832667"/>
    <w:rsid w:val="008326B2"/>
    <w:rsid w:val="00832763"/>
    <w:rsid w:val="008327F5"/>
    <w:rsid w:val="00832813"/>
    <w:rsid w:val="00832891"/>
    <w:rsid w:val="0083297D"/>
    <w:rsid w:val="00832A8C"/>
    <w:rsid w:val="00832B37"/>
    <w:rsid w:val="00832B86"/>
    <w:rsid w:val="00832B9F"/>
    <w:rsid w:val="00832C79"/>
    <w:rsid w:val="00832CF2"/>
    <w:rsid w:val="00832D04"/>
    <w:rsid w:val="00832D0D"/>
    <w:rsid w:val="00832D87"/>
    <w:rsid w:val="00832DDA"/>
    <w:rsid w:val="00832E46"/>
    <w:rsid w:val="00832E62"/>
    <w:rsid w:val="00832F1B"/>
    <w:rsid w:val="00832FB2"/>
    <w:rsid w:val="008330FB"/>
    <w:rsid w:val="00833137"/>
    <w:rsid w:val="008331F6"/>
    <w:rsid w:val="0083321A"/>
    <w:rsid w:val="0083327F"/>
    <w:rsid w:val="008332BB"/>
    <w:rsid w:val="00833407"/>
    <w:rsid w:val="00833421"/>
    <w:rsid w:val="008335D4"/>
    <w:rsid w:val="0083361E"/>
    <w:rsid w:val="0083362E"/>
    <w:rsid w:val="0083365F"/>
    <w:rsid w:val="0083370D"/>
    <w:rsid w:val="0083378B"/>
    <w:rsid w:val="008338E6"/>
    <w:rsid w:val="0083398C"/>
    <w:rsid w:val="008339F8"/>
    <w:rsid w:val="00833A03"/>
    <w:rsid w:val="00833A60"/>
    <w:rsid w:val="00833AB1"/>
    <w:rsid w:val="00833AB2"/>
    <w:rsid w:val="00833C8D"/>
    <w:rsid w:val="00833E34"/>
    <w:rsid w:val="00833E5A"/>
    <w:rsid w:val="00833E85"/>
    <w:rsid w:val="00833F79"/>
    <w:rsid w:val="00834033"/>
    <w:rsid w:val="0083408A"/>
    <w:rsid w:val="00834113"/>
    <w:rsid w:val="008341D1"/>
    <w:rsid w:val="008342F0"/>
    <w:rsid w:val="0083430C"/>
    <w:rsid w:val="00834327"/>
    <w:rsid w:val="00834331"/>
    <w:rsid w:val="00834351"/>
    <w:rsid w:val="008343CF"/>
    <w:rsid w:val="008343D0"/>
    <w:rsid w:val="008343DA"/>
    <w:rsid w:val="00834410"/>
    <w:rsid w:val="0083441C"/>
    <w:rsid w:val="00834549"/>
    <w:rsid w:val="0083455D"/>
    <w:rsid w:val="008345F5"/>
    <w:rsid w:val="0083465D"/>
    <w:rsid w:val="008346EC"/>
    <w:rsid w:val="00834764"/>
    <w:rsid w:val="008347F7"/>
    <w:rsid w:val="00834944"/>
    <w:rsid w:val="00834948"/>
    <w:rsid w:val="008349CB"/>
    <w:rsid w:val="00834A1A"/>
    <w:rsid w:val="00834A3F"/>
    <w:rsid w:val="00834A82"/>
    <w:rsid w:val="00834C72"/>
    <w:rsid w:val="00834CCE"/>
    <w:rsid w:val="00834CEE"/>
    <w:rsid w:val="00834D59"/>
    <w:rsid w:val="00834F00"/>
    <w:rsid w:val="00834F02"/>
    <w:rsid w:val="00834F05"/>
    <w:rsid w:val="00834F2D"/>
    <w:rsid w:val="0083508C"/>
    <w:rsid w:val="008351D0"/>
    <w:rsid w:val="0083524C"/>
    <w:rsid w:val="008352F9"/>
    <w:rsid w:val="00835343"/>
    <w:rsid w:val="00835369"/>
    <w:rsid w:val="00835407"/>
    <w:rsid w:val="0083557D"/>
    <w:rsid w:val="00835591"/>
    <w:rsid w:val="00835689"/>
    <w:rsid w:val="00835763"/>
    <w:rsid w:val="0083576C"/>
    <w:rsid w:val="00835793"/>
    <w:rsid w:val="00835906"/>
    <w:rsid w:val="00835A91"/>
    <w:rsid w:val="00835ABA"/>
    <w:rsid w:val="00835C15"/>
    <w:rsid w:val="00835DD9"/>
    <w:rsid w:val="00835F1A"/>
    <w:rsid w:val="008360C2"/>
    <w:rsid w:val="008360CF"/>
    <w:rsid w:val="008360EF"/>
    <w:rsid w:val="00836154"/>
    <w:rsid w:val="00836189"/>
    <w:rsid w:val="008361BF"/>
    <w:rsid w:val="008361CA"/>
    <w:rsid w:val="008361E6"/>
    <w:rsid w:val="00836451"/>
    <w:rsid w:val="00836469"/>
    <w:rsid w:val="008364CA"/>
    <w:rsid w:val="0083660A"/>
    <w:rsid w:val="0083667C"/>
    <w:rsid w:val="008366BB"/>
    <w:rsid w:val="0083670C"/>
    <w:rsid w:val="008367B3"/>
    <w:rsid w:val="00836813"/>
    <w:rsid w:val="0083685F"/>
    <w:rsid w:val="00836C61"/>
    <w:rsid w:val="00836D13"/>
    <w:rsid w:val="00836DC3"/>
    <w:rsid w:val="00836F03"/>
    <w:rsid w:val="00836F33"/>
    <w:rsid w:val="00836F66"/>
    <w:rsid w:val="0083709A"/>
    <w:rsid w:val="00837153"/>
    <w:rsid w:val="00837426"/>
    <w:rsid w:val="00837453"/>
    <w:rsid w:val="00837482"/>
    <w:rsid w:val="008375A9"/>
    <w:rsid w:val="00837611"/>
    <w:rsid w:val="00837653"/>
    <w:rsid w:val="008376EA"/>
    <w:rsid w:val="00837745"/>
    <w:rsid w:val="00837790"/>
    <w:rsid w:val="00837920"/>
    <w:rsid w:val="00837944"/>
    <w:rsid w:val="00837A1A"/>
    <w:rsid w:val="00837B97"/>
    <w:rsid w:val="00837BCF"/>
    <w:rsid w:val="00837C08"/>
    <w:rsid w:val="00837C96"/>
    <w:rsid w:val="00837D2D"/>
    <w:rsid w:val="00837E47"/>
    <w:rsid w:val="00837EC9"/>
    <w:rsid w:val="00837F96"/>
    <w:rsid w:val="00837FDA"/>
    <w:rsid w:val="008400F7"/>
    <w:rsid w:val="0084019E"/>
    <w:rsid w:val="008401F2"/>
    <w:rsid w:val="0084023B"/>
    <w:rsid w:val="00840246"/>
    <w:rsid w:val="00840377"/>
    <w:rsid w:val="008403B2"/>
    <w:rsid w:val="0084044F"/>
    <w:rsid w:val="00840501"/>
    <w:rsid w:val="00840555"/>
    <w:rsid w:val="00840568"/>
    <w:rsid w:val="00840763"/>
    <w:rsid w:val="00840768"/>
    <w:rsid w:val="008407C9"/>
    <w:rsid w:val="00840857"/>
    <w:rsid w:val="0084085A"/>
    <w:rsid w:val="008408A1"/>
    <w:rsid w:val="008408F2"/>
    <w:rsid w:val="008408F4"/>
    <w:rsid w:val="00840B25"/>
    <w:rsid w:val="00840B87"/>
    <w:rsid w:val="00840BEA"/>
    <w:rsid w:val="00840C19"/>
    <w:rsid w:val="00840C90"/>
    <w:rsid w:val="00840CF0"/>
    <w:rsid w:val="00840D3A"/>
    <w:rsid w:val="00840DED"/>
    <w:rsid w:val="00840F1A"/>
    <w:rsid w:val="00840F40"/>
    <w:rsid w:val="00841017"/>
    <w:rsid w:val="00841089"/>
    <w:rsid w:val="00841171"/>
    <w:rsid w:val="008411F7"/>
    <w:rsid w:val="0084127F"/>
    <w:rsid w:val="00841369"/>
    <w:rsid w:val="00841381"/>
    <w:rsid w:val="008413A4"/>
    <w:rsid w:val="008413AE"/>
    <w:rsid w:val="008413DB"/>
    <w:rsid w:val="008413DC"/>
    <w:rsid w:val="008413F8"/>
    <w:rsid w:val="0084146A"/>
    <w:rsid w:val="0084150B"/>
    <w:rsid w:val="008415C8"/>
    <w:rsid w:val="0084160B"/>
    <w:rsid w:val="0084164A"/>
    <w:rsid w:val="00841691"/>
    <w:rsid w:val="008416F6"/>
    <w:rsid w:val="00841701"/>
    <w:rsid w:val="00841792"/>
    <w:rsid w:val="008417A8"/>
    <w:rsid w:val="008417DE"/>
    <w:rsid w:val="00841818"/>
    <w:rsid w:val="0084187F"/>
    <w:rsid w:val="008418F3"/>
    <w:rsid w:val="008419F2"/>
    <w:rsid w:val="00841B2C"/>
    <w:rsid w:val="00841B3A"/>
    <w:rsid w:val="00841C14"/>
    <w:rsid w:val="00841C2D"/>
    <w:rsid w:val="00841C74"/>
    <w:rsid w:val="00841D23"/>
    <w:rsid w:val="00841DA1"/>
    <w:rsid w:val="00841EDC"/>
    <w:rsid w:val="00841F4D"/>
    <w:rsid w:val="00841FB3"/>
    <w:rsid w:val="00841FDA"/>
    <w:rsid w:val="00842129"/>
    <w:rsid w:val="008421E7"/>
    <w:rsid w:val="008421FC"/>
    <w:rsid w:val="008422DD"/>
    <w:rsid w:val="008422EB"/>
    <w:rsid w:val="0084233F"/>
    <w:rsid w:val="00842353"/>
    <w:rsid w:val="008423AD"/>
    <w:rsid w:val="008424B8"/>
    <w:rsid w:val="00842510"/>
    <w:rsid w:val="0084253B"/>
    <w:rsid w:val="008425C8"/>
    <w:rsid w:val="00842620"/>
    <w:rsid w:val="00842754"/>
    <w:rsid w:val="00842764"/>
    <w:rsid w:val="00842767"/>
    <w:rsid w:val="00842787"/>
    <w:rsid w:val="0084283F"/>
    <w:rsid w:val="0084287A"/>
    <w:rsid w:val="008428A7"/>
    <w:rsid w:val="00842977"/>
    <w:rsid w:val="00842A3C"/>
    <w:rsid w:val="00842AD8"/>
    <w:rsid w:val="00842B52"/>
    <w:rsid w:val="00842C4C"/>
    <w:rsid w:val="00842C73"/>
    <w:rsid w:val="00842DB0"/>
    <w:rsid w:val="00842DD3"/>
    <w:rsid w:val="00842ED2"/>
    <w:rsid w:val="00842F15"/>
    <w:rsid w:val="00842F24"/>
    <w:rsid w:val="00842F42"/>
    <w:rsid w:val="00842FC5"/>
    <w:rsid w:val="00843230"/>
    <w:rsid w:val="008432A8"/>
    <w:rsid w:val="008432B7"/>
    <w:rsid w:val="008432B9"/>
    <w:rsid w:val="00843338"/>
    <w:rsid w:val="00843391"/>
    <w:rsid w:val="00843489"/>
    <w:rsid w:val="008434D0"/>
    <w:rsid w:val="00843657"/>
    <w:rsid w:val="008437BF"/>
    <w:rsid w:val="00843805"/>
    <w:rsid w:val="0084386C"/>
    <w:rsid w:val="00843880"/>
    <w:rsid w:val="0084395E"/>
    <w:rsid w:val="00843A10"/>
    <w:rsid w:val="00843AE1"/>
    <w:rsid w:val="00843C99"/>
    <w:rsid w:val="00843D16"/>
    <w:rsid w:val="00843DB2"/>
    <w:rsid w:val="00843DC6"/>
    <w:rsid w:val="00843E65"/>
    <w:rsid w:val="00843EF3"/>
    <w:rsid w:val="0084437C"/>
    <w:rsid w:val="00844443"/>
    <w:rsid w:val="00844594"/>
    <w:rsid w:val="008445AA"/>
    <w:rsid w:val="0084466F"/>
    <w:rsid w:val="0084467F"/>
    <w:rsid w:val="008446B4"/>
    <w:rsid w:val="008446BD"/>
    <w:rsid w:val="008446E7"/>
    <w:rsid w:val="008447D0"/>
    <w:rsid w:val="008448AC"/>
    <w:rsid w:val="008448C5"/>
    <w:rsid w:val="008448D9"/>
    <w:rsid w:val="0084495A"/>
    <w:rsid w:val="008449EC"/>
    <w:rsid w:val="00844A2C"/>
    <w:rsid w:val="00844A4B"/>
    <w:rsid w:val="00844BF0"/>
    <w:rsid w:val="00844C55"/>
    <w:rsid w:val="00844E41"/>
    <w:rsid w:val="00844E52"/>
    <w:rsid w:val="00844ECD"/>
    <w:rsid w:val="00844ED2"/>
    <w:rsid w:val="00844F00"/>
    <w:rsid w:val="00844F30"/>
    <w:rsid w:val="00844F6D"/>
    <w:rsid w:val="00844FB6"/>
    <w:rsid w:val="00845071"/>
    <w:rsid w:val="008450C0"/>
    <w:rsid w:val="008450FB"/>
    <w:rsid w:val="008451DE"/>
    <w:rsid w:val="0084521F"/>
    <w:rsid w:val="00845225"/>
    <w:rsid w:val="00845272"/>
    <w:rsid w:val="008453F2"/>
    <w:rsid w:val="00845406"/>
    <w:rsid w:val="0084546F"/>
    <w:rsid w:val="008454BC"/>
    <w:rsid w:val="0084552B"/>
    <w:rsid w:val="008457FA"/>
    <w:rsid w:val="00845A45"/>
    <w:rsid w:val="00845AA9"/>
    <w:rsid w:val="00845AB5"/>
    <w:rsid w:val="00845B34"/>
    <w:rsid w:val="00845B70"/>
    <w:rsid w:val="00845BF9"/>
    <w:rsid w:val="00845D4E"/>
    <w:rsid w:val="00845D81"/>
    <w:rsid w:val="00845DC4"/>
    <w:rsid w:val="0084605F"/>
    <w:rsid w:val="008460BD"/>
    <w:rsid w:val="00846128"/>
    <w:rsid w:val="008461A5"/>
    <w:rsid w:val="008461B8"/>
    <w:rsid w:val="0084632C"/>
    <w:rsid w:val="00846367"/>
    <w:rsid w:val="008463D4"/>
    <w:rsid w:val="008463D9"/>
    <w:rsid w:val="008464B4"/>
    <w:rsid w:val="00846504"/>
    <w:rsid w:val="008465AF"/>
    <w:rsid w:val="008465E6"/>
    <w:rsid w:val="008466B9"/>
    <w:rsid w:val="008468ED"/>
    <w:rsid w:val="0084694D"/>
    <w:rsid w:val="008469DA"/>
    <w:rsid w:val="00846A49"/>
    <w:rsid w:val="00846A64"/>
    <w:rsid w:val="00846B2F"/>
    <w:rsid w:val="00846B55"/>
    <w:rsid w:val="00846D25"/>
    <w:rsid w:val="00846D73"/>
    <w:rsid w:val="00846DB0"/>
    <w:rsid w:val="00846E1A"/>
    <w:rsid w:val="00846E39"/>
    <w:rsid w:val="00846E9B"/>
    <w:rsid w:val="00846F1D"/>
    <w:rsid w:val="00847020"/>
    <w:rsid w:val="00847078"/>
    <w:rsid w:val="0084713D"/>
    <w:rsid w:val="00847244"/>
    <w:rsid w:val="008472E4"/>
    <w:rsid w:val="008475B9"/>
    <w:rsid w:val="008475DF"/>
    <w:rsid w:val="00847786"/>
    <w:rsid w:val="008477A2"/>
    <w:rsid w:val="008478D8"/>
    <w:rsid w:val="0084795A"/>
    <w:rsid w:val="00847A51"/>
    <w:rsid w:val="00847A6C"/>
    <w:rsid w:val="00847AA9"/>
    <w:rsid w:val="00847AE9"/>
    <w:rsid w:val="00847D48"/>
    <w:rsid w:val="00847E2A"/>
    <w:rsid w:val="00847E9A"/>
    <w:rsid w:val="00847EF9"/>
    <w:rsid w:val="00850137"/>
    <w:rsid w:val="0085014E"/>
    <w:rsid w:val="008501BD"/>
    <w:rsid w:val="0085025D"/>
    <w:rsid w:val="00850326"/>
    <w:rsid w:val="00850339"/>
    <w:rsid w:val="008503B0"/>
    <w:rsid w:val="008503EE"/>
    <w:rsid w:val="0085055C"/>
    <w:rsid w:val="00850564"/>
    <w:rsid w:val="008505B1"/>
    <w:rsid w:val="008505FC"/>
    <w:rsid w:val="00850688"/>
    <w:rsid w:val="008506AC"/>
    <w:rsid w:val="008506B6"/>
    <w:rsid w:val="0085077B"/>
    <w:rsid w:val="00850783"/>
    <w:rsid w:val="00850834"/>
    <w:rsid w:val="008508B8"/>
    <w:rsid w:val="0085092A"/>
    <w:rsid w:val="00850C66"/>
    <w:rsid w:val="00850C8E"/>
    <w:rsid w:val="00850D57"/>
    <w:rsid w:val="00850D65"/>
    <w:rsid w:val="00850E4F"/>
    <w:rsid w:val="00850E7B"/>
    <w:rsid w:val="00850EBD"/>
    <w:rsid w:val="00850FFB"/>
    <w:rsid w:val="008510C2"/>
    <w:rsid w:val="008510E2"/>
    <w:rsid w:val="008512CA"/>
    <w:rsid w:val="0085148F"/>
    <w:rsid w:val="00851585"/>
    <w:rsid w:val="008517A0"/>
    <w:rsid w:val="008517B0"/>
    <w:rsid w:val="008517EA"/>
    <w:rsid w:val="00851840"/>
    <w:rsid w:val="00851862"/>
    <w:rsid w:val="0085189E"/>
    <w:rsid w:val="008519D2"/>
    <w:rsid w:val="00851AEA"/>
    <w:rsid w:val="00851B0A"/>
    <w:rsid w:val="00851B9D"/>
    <w:rsid w:val="00851BC6"/>
    <w:rsid w:val="00851C57"/>
    <w:rsid w:val="00851C85"/>
    <w:rsid w:val="00851D9D"/>
    <w:rsid w:val="00851E39"/>
    <w:rsid w:val="00851E3E"/>
    <w:rsid w:val="00851ED3"/>
    <w:rsid w:val="0085201A"/>
    <w:rsid w:val="0085205C"/>
    <w:rsid w:val="008520BC"/>
    <w:rsid w:val="00852103"/>
    <w:rsid w:val="00852189"/>
    <w:rsid w:val="00852197"/>
    <w:rsid w:val="008521DD"/>
    <w:rsid w:val="00852279"/>
    <w:rsid w:val="008522B8"/>
    <w:rsid w:val="0085237A"/>
    <w:rsid w:val="00852391"/>
    <w:rsid w:val="008523FC"/>
    <w:rsid w:val="008524D5"/>
    <w:rsid w:val="008524FD"/>
    <w:rsid w:val="00852633"/>
    <w:rsid w:val="0085263D"/>
    <w:rsid w:val="0085284E"/>
    <w:rsid w:val="00852871"/>
    <w:rsid w:val="008528BE"/>
    <w:rsid w:val="00852A09"/>
    <w:rsid w:val="00852B4C"/>
    <w:rsid w:val="00852BA6"/>
    <w:rsid w:val="00852BF8"/>
    <w:rsid w:val="00852CAF"/>
    <w:rsid w:val="00852D12"/>
    <w:rsid w:val="00852D80"/>
    <w:rsid w:val="00852DE6"/>
    <w:rsid w:val="00852E5C"/>
    <w:rsid w:val="00852E6A"/>
    <w:rsid w:val="00852E73"/>
    <w:rsid w:val="00852EA7"/>
    <w:rsid w:val="0085327A"/>
    <w:rsid w:val="00853365"/>
    <w:rsid w:val="00853445"/>
    <w:rsid w:val="00853476"/>
    <w:rsid w:val="008534A6"/>
    <w:rsid w:val="0085350F"/>
    <w:rsid w:val="00853511"/>
    <w:rsid w:val="00853519"/>
    <w:rsid w:val="00853596"/>
    <w:rsid w:val="008535B7"/>
    <w:rsid w:val="00853647"/>
    <w:rsid w:val="00853656"/>
    <w:rsid w:val="0085376D"/>
    <w:rsid w:val="008537AC"/>
    <w:rsid w:val="008537EF"/>
    <w:rsid w:val="008539DA"/>
    <w:rsid w:val="00853A01"/>
    <w:rsid w:val="00853A28"/>
    <w:rsid w:val="00853A55"/>
    <w:rsid w:val="00853B62"/>
    <w:rsid w:val="00853BDA"/>
    <w:rsid w:val="00853C79"/>
    <w:rsid w:val="00853CDC"/>
    <w:rsid w:val="00853D07"/>
    <w:rsid w:val="00853D1D"/>
    <w:rsid w:val="00853DD3"/>
    <w:rsid w:val="00853ED4"/>
    <w:rsid w:val="00853ED6"/>
    <w:rsid w:val="00853F8A"/>
    <w:rsid w:val="00853F9A"/>
    <w:rsid w:val="00854009"/>
    <w:rsid w:val="008540B3"/>
    <w:rsid w:val="008540DC"/>
    <w:rsid w:val="00854166"/>
    <w:rsid w:val="0085416B"/>
    <w:rsid w:val="0085419A"/>
    <w:rsid w:val="008541D9"/>
    <w:rsid w:val="008542EC"/>
    <w:rsid w:val="0085434C"/>
    <w:rsid w:val="008544F4"/>
    <w:rsid w:val="0085451A"/>
    <w:rsid w:val="0085455D"/>
    <w:rsid w:val="00854651"/>
    <w:rsid w:val="008546C3"/>
    <w:rsid w:val="008547A2"/>
    <w:rsid w:val="00854816"/>
    <w:rsid w:val="008548C5"/>
    <w:rsid w:val="008548E9"/>
    <w:rsid w:val="00854AF9"/>
    <w:rsid w:val="00854BBE"/>
    <w:rsid w:val="00854BE6"/>
    <w:rsid w:val="00854F38"/>
    <w:rsid w:val="0085509B"/>
    <w:rsid w:val="00855115"/>
    <w:rsid w:val="008551AE"/>
    <w:rsid w:val="008552B3"/>
    <w:rsid w:val="008555E9"/>
    <w:rsid w:val="008556D6"/>
    <w:rsid w:val="008556E3"/>
    <w:rsid w:val="0085590F"/>
    <w:rsid w:val="00855937"/>
    <w:rsid w:val="008559AF"/>
    <w:rsid w:val="00855A38"/>
    <w:rsid w:val="00855DC1"/>
    <w:rsid w:val="00855E57"/>
    <w:rsid w:val="00855E74"/>
    <w:rsid w:val="00855FE8"/>
    <w:rsid w:val="00856028"/>
    <w:rsid w:val="008560F8"/>
    <w:rsid w:val="00856142"/>
    <w:rsid w:val="00856161"/>
    <w:rsid w:val="008561B4"/>
    <w:rsid w:val="00856240"/>
    <w:rsid w:val="0085627F"/>
    <w:rsid w:val="0085633A"/>
    <w:rsid w:val="008563A8"/>
    <w:rsid w:val="00856407"/>
    <w:rsid w:val="00856476"/>
    <w:rsid w:val="008564B2"/>
    <w:rsid w:val="008564BE"/>
    <w:rsid w:val="008565C3"/>
    <w:rsid w:val="0085661A"/>
    <w:rsid w:val="0085665D"/>
    <w:rsid w:val="00856698"/>
    <w:rsid w:val="008566AD"/>
    <w:rsid w:val="00856786"/>
    <w:rsid w:val="008567DE"/>
    <w:rsid w:val="008568BA"/>
    <w:rsid w:val="008568E6"/>
    <w:rsid w:val="00856991"/>
    <w:rsid w:val="00856B50"/>
    <w:rsid w:val="00856C33"/>
    <w:rsid w:val="00856C7B"/>
    <w:rsid w:val="00856CAC"/>
    <w:rsid w:val="00856D4F"/>
    <w:rsid w:val="00856E7D"/>
    <w:rsid w:val="00856E84"/>
    <w:rsid w:val="00856FDE"/>
    <w:rsid w:val="00856FF8"/>
    <w:rsid w:val="0085712B"/>
    <w:rsid w:val="00857157"/>
    <w:rsid w:val="0085720F"/>
    <w:rsid w:val="0085742F"/>
    <w:rsid w:val="008574A9"/>
    <w:rsid w:val="0085750C"/>
    <w:rsid w:val="00857589"/>
    <w:rsid w:val="00857655"/>
    <w:rsid w:val="00857678"/>
    <w:rsid w:val="008576E2"/>
    <w:rsid w:val="00857713"/>
    <w:rsid w:val="00857921"/>
    <w:rsid w:val="00857946"/>
    <w:rsid w:val="0085797B"/>
    <w:rsid w:val="008579B5"/>
    <w:rsid w:val="008579C0"/>
    <w:rsid w:val="00857B52"/>
    <w:rsid w:val="00857D3D"/>
    <w:rsid w:val="00857D78"/>
    <w:rsid w:val="00857DB1"/>
    <w:rsid w:val="00857DD7"/>
    <w:rsid w:val="00857E2F"/>
    <w:rsid w:val="00857F4C"/>
    <w:rsid w:val="00857FB5"/>
    <w:rsid w:val="0086012D"/>
    <w:rsid w:val="0086013F"/>
    <w:rsid w:val="008601D6"/>
    <w:rsid w:val="00860267"/>
    <w:rsid w:val="008603A8"/>
    <w:rsid w:val="008603B7"/>
    <w:rsid w:val="0086040A"/>
    <w:rsid w:val="00860418"/>
    <w:rsid w:val="0086043E"/>
    <w:rsid w:val="00860591"/>
    <w:rsid w:val="00860624"/>
    <w:rsid w:val="00860626"/>
    <w:rsid w:val="00860699"/>
    <w:rsid w:val="00860705"/>
    <w:rsid w:val="00860798"/>
    <w:rsid w:val="008607AA"/>
    <w:rsid w:val="008607D3"/>
    <w:rsid w:val="00860829"/>
    <w:rsid w:val="00860B00"/>
    <w:rsid w:val="00860C89"/>
    <w:rsid w:val="00860CA4"/>
    <w:rsid w:val="00860CAD"/>
    <w:rsid w:val="00860D17"/>
    <w:rsid w:val="00860F1A"/>
    <w:rsid w:val="0086100D"/>
    <w:rsid w:val="008611B3"/>
    <w:rsid w:val="00861252"/>
    <w:rsid w:val="00861308"/>
    <w:rsid w:val="00861335"/>
    <w:rsid w:val="008614D0"/>
    <w:rsid w:val="008615E6"/>
    <w:rsid w:val="008616B8"/>
    <w:rsid w:val="00861862"/>
    <w:rsid w:val="008618DC"/>
    <w:rsid w:val="008619AE"/>
    <w:rsid w:val="00861A81"/>
    <w:rsid w:val="00861AA8"/>
    <w:rsid w:val="00861B00"/>
    <w:rsid w:val="00861B1D"/>
    <w:rsid w:val="00861BAC"/>
    <w:rsid w:val="00861C30"/>
    <w:rsid w:val="00861CC7"/>
    <w:rsid w:val="00861CC9"/>
    <w:rsid w:val="00861D15"/>
    <w:rsid w:val="00861D63"/>
    <w:rsid w:val="00861F34"/>
    <w:rsid w:val="00861FDF"/>
    <w:rsid w:val="0086208D"/>
    <w:rsid w:val="00862092"/>
    <w:rsid w:val="008620DE"/>
    <w:rsid w:val="0086214A"/>
    <w:rsid w:val="0086225D"/>
    <w:rsid w:val="0086232E"/>
    <w:rsid w:val="008624C2"/>
    <w:rsid w:val="0086253D"/>
    <w:rsid w:val="00862644"/>
    <w:rsid w:val="00862647"/>
    <w:rsid w:val="008626A4"/>
    <w:rsid w:val="008627D8"/>
    <w:rsid w:val="0086281F"/>
    <w:rsid w:val="00862828"/>
    <w:rsid w:val="00862856"/>
    <w:rsid w:val="00862A41"/>
    <w:rsid w:val="00862A91"/>
    <w:rsid w:val="00862AD6"/>
    <w:rsid w:val="00862C4A"/>
    <w:rsid w:val="00862D0A"/>
    <w:rsid w:val="00862D1B"/>
    <w:rsid w:val="00862DA4"/>
    <w:rsid w:val="00862DDC"/>
    <w:rsid w:val="00862DEF"/>
    <w:rsid w:val="00862E24"/>
    <w:rsid w:val="00862E56"/>
    <w:rsid w:val="00862E5E"/>
    <w:rsid w:val="00862E5F"/>
    <w:rsid w:val="00862E74"/>
    <w:rsid w:val="00862E9D"/>
    <w:rsid w:val="00862FF1"/>
    <w:rsid w:val="00863030"/>
    <w:rsid w:val="00863054"/>
    <w:rsid w:val="008630C8"/>
    <w:rsid w:val="0086319E"/>
    <w:rsid w:val="00863250"/>
    <w:rsid w:val="008632CA"/>
    <w:rsid w:val="008632DE"/>
    <w:rsid w:val="008632E3"/>
    <w:rsid w:val="00863462"/>
    <w:rsid w:val="008634EA"/>
    <w:rsid w:val="008634FF"/>
    <w:rsid w:val="00863577"/>
    <w:rsid w:val="00863627"/>
    <w:rsid w:val="008636B2"/>
    <w:rsid w:val="0086372A"/>
    <w:rsid w:val="0086376C"/>
    <w:rsid w:val="008637BD"/>
    <w:rsid w:val="00863899"/>
    <w:rsid w:val="00863905"/>
    <w:rsid w:val="00863908"/>
    <w:rsid w:val="00863A38"/>
    <w:rsid w:val="00863C33"/>
    <w:rsid w:val="00863CF4"/>
    <w:rsid w:val="00863D18"/>
    <w:rsid w:val="00863D7B"/>
    <w:rsid w:val="00863DD9"/>
    <w:rsid w:val="00863E65"/>
    <w:rsid w:val="00864032"/>
    <w:rsid w:val="008641A8"/>
    <w:rsid w:val="0086423B"/>
    <w:rsid w:val="00864259"/>
    <w:rsid w:val="008642C8"/>
    <w:rsid w:val="008643D9"/>
    <w:rsid w:val="0086448B"/>
    <w:rsid w:val="00864551"/>
    <w:rsid w:val="00864660"/>
    <w:rsid w:val="008646D7"/>
    <w:rsid w:val="00864895"/>
    <w:rsid w:val="008648B7"/>
    <w:rsid w:val="00864900"/>
    <w:rsid w:val="0086493F"/>
    <w:rsid w:val="00864949"/>
    <w:rsid w:val="00864A85"/>
    <w:rsid w:val="00864AB8"/>
    <w:rsid w:val="00864AF5"/>
    <w:rsid w:val="00864B9E"/>
    <w:rsid w:val="00864E10"/>
    <w:rsid w:val="00864E68"/>
    <w:rsid w:val="00864FA4"/>
    <w:rsid w:val="0086508F"/>
    <w:rsid w:val="008650AE"/>
    <w:rsid w:val="008650BD"/>
    <w:rsid w:val="00865109"/>
    <w:rsid w:val="008651A1"/>
    <w:rsid w:val="00865271"/>
    <w:rsid w:val="008653F6"/>
    <w:rsid w:val="00865508"/>
    <w:rsid w:val="00865545"/>
    <w:rsid w:val="00865617"/>
    <w:rsid w:val="0086564F"/>
    <w:rsid w:val="00865774"/>
    <w:rsid w:val="008657CD"/>
    <w:rsid w:val="0086585E"/>
    <w:rsid w:val="00865894"/>
    <w:rsid w:val="00865992"/>
    <w:rsid w:val="00865A65"/>
    <w:rsid w:val="00865B0B"/>
    <w:rsid w:val="00865B3B"/>
    <w:rsid w:val="00865C0A"/>
    <w:rsid w:val="00865C62"/>
    <w:rsid w:val="00865D4C"/>
    <w:rsid w:val="00865D77"/>
    <w:rsid w:val="00865DA4"/>
    <w:rsid w:val="00865DA8"/>
    <w:rsid w:val="00865E7E"/>
    <w:rsid w:val="00865F37"/>
    <w:rsid w:val="00865FEC"/>
    <w:rsid w:val="00866139"/>
    <w:rsid w:val="008661A4"/>
    <w:rsid w:val="008661FC"/>
    <w:rsid w:val="0086627B"/>
    <w:rsid w:val="00866314"/>
    <w:rsid w:val="008663D1"/>
    <w:rsid w:val="00866401"/>
    <w:rsid w:val="00866409"/>
    <w:rsid w:val="00866495"/>
    <w:rsid w:val="00866534"/>
    <w:rsid w:val="00866562"/>
    <w:rsid w:val="0086658C"/>
    <w:rsid w:val="00866639"/>
    <w:rsid w:val="0086670E"/>
    <w:rsid w:val="008668F8"/>
    <w:rsid w:val="008668FE"/>
    <w:rsid w:val="00866924"/>
    <w:rsid w:val="00866A2C"/>
    <w:rsid w:val="00866AE3"/>
    <w:rsid w:val="00866C40"/>
    <w:rsid w:val="00866CA1"/>
    <w:rsid w:val="00866CAB"/>
    <w:rsid w:val="00866CAE"/>
    <w:rsid w:val="00866CE7"/>
    <w:rsid w:val="00866CFF"/>
    <w:rsid w:val="00866D93"/>
    <w:rsid w:val="00866DCB"/>
    <w:rsid w:val="00866E00"/>
    <w:rsid w:val="00866EBD"/>
    <w:rsid w:val="00866EBF"/>
    <w:rsid w:val="00866EC3"/>
    <w:rsid w:val="0086703B"/>
    <w:rsid w:val="008670C0"/>
    <w:rsid w:val="008671E6"/>
    <w:rsid w:val="0086723E"/>
    <w:rsid w:val="0086727A"/>
    <w:rsid w:val="0086728F"/>
    <w:rsid w:val="00867292"/>
    <w:rsid w:val="00867400"/>
    <w:rsid w:val="00867456"/>
    <w:rsid w:val="008674DB"/>
    <w:rsid w:val="00867526"/>
    <w:rsid w:val="008675AD"/>
    <w:rsid w:val="00867913"/>
    <w:rsid w:val="00867930"/>
    <w:rsid w:val="00867951"/>
    <w:rsid w:val="00867A3B"/>
    <w:rsid w:val="00867AD2"/>
    <w:rsid w:val="00867AD6"/>
    <w:rsid w:val="00867B87"/>
    <w:rsid w:val="00867BAE"/>
    <w:rsid w:val="00867C77"/>
    <w:rsid w:val="00867D92"/>
    <w:rsid w:val="00867FB8"/>
    <w:rsid w:val="00867FCD"/>
    <w:rsid w:val="00870093"/>
    <w:rsid w:val="008700B9"/>
    <w:rsid w:val="0087026E"/>
    <w:rsid w:val="008702B4"/>
    <w:rsid w:val="008702DA"/>
    <w:rsid w:val="008702E0"/>
    <w:rsid w:val="008702F2"/>
    <w:rsid w:val="0087036A"/>
    <w:rsid w:val="0087037B"/>
    <w:rsid w:val="0087049D"/>
    <w:rsid w:val="008704C3"/>
    <w:rsid w:val="00870524"/>
    <w:rsid w:val="008706CB"/>
    <w:rsid w:val="008706CE"/>
    <w:rsid w:val="00870753"/>
    <w:rsid w:val="008707D1"/>
    <w:rsid w:val="008709F2"/>
    <w:rsid w:val="008709FC"/>
    <w:rsid w:val="00870A36"/>
    <w:rsid w:val="00870A4D"/>
    <w:rsid w:val="00870AF8"/>
    <w:rsid w:val="00870B3B"/>
    <w:rsid w:val="00870BC3"/>
    <w:rsid w:val="00870C0A"/>
    <w:rsid w:val="00870C42"/>
    <w:rsid w:val="00870D27"/>
    <w:rsid w:val="00870D8A"/>
    <w:rsid w:val="00870D92"/>
    <w:rsid w:val="00870DA6"/>
    <w:rsid w:val="00870DBB"/>
    <w:rsid w:val="00870E00"/>
    <w:rsid w:val="00870E6B"/>
    <w:rsid w:val="00870E7B"/>
    <w:rsid w:val="00870E86"/>
    <w:rsid w:val="00870FA2"/>
    <w:rsid w:val="00871001"/>
    <w:rsid w:val="00871011"/>
    <w:rsid w:val="00871027"/>
    <w:rsid w:val="00871088"/>
    <w:rsid w:val="00871160"/>
    <w:rsid w:val="0087117B"/>
    <w:rsid w:val="0087125F"/>
    <w:rsid w:val="0087128E"/>
    <w:rsid w:val="008712FE"/>
    <w:rsid w:val="00871300"/>
    <w:rsid w:val="00871320"/>
    <w:rsid w:val="0087145E"/>
    <w:rsid w:val="00871527"/>
    <w:rsid w:val="008715EB"/>
    <w:rsid w:val="00871615"/>
    <w:rsid w:val="00871664"/>
    <w:rsid w:val="00871690"/>
    <w:rsid w:val="00871698"/>
    <w:rsid w:val="0087170A"/>
    <w:rsid w:val="008717C5"/>
    <w:rsid w:val="00871867"/>
    <w:rsid w:val="00871AA0"/>
    <w:rsid w:val="00871AA4"/>
    <w:rsid w:val="00871AAD"/>
    <w:rsid w:val="00871AF1"/>
    <w:rsid w:val="00871AF7"/>
    <w:rsid w:val="00871BC0"/>
    <w:rsid w:val="00871BE2"/>
    <w:rsid w:val="00871C62"/>
    <w:rsid w:val="00871D78"/>
    <w:rsid w:val="00871DF1"/>
    <w:rsid w:val="00871DFD"/>
    <w:rsid w:val="00871E4E"/>
    <w:rsid w:val="00871E57"/>
    <w:rsid w:val="00871F40"/>
    <w:rsid w:val="00871F88"/>
    <w:rsid w:val="00871FD5"/>
    <w:rsid w:val="00872035"/>
    <w:rsid w:val="00872096"/>
    <w:rsid w:val="008720FB"/>
    <w:rsid w:val="00872150"/>
    <w:rsid w:val="00872272"/>
    <w:rsid w:val="008722A9"/>
    <w:rsid w:val="00872317"/>
    <w:rsid w:val="0087245B"/>
    <w:rsid w:val="008724E3"/>
    <w:rsid w:val="0087252D"/>
    <w:rsid w:val="0087279B"/>
    <w:rsid w:val="008727A9"/>
    <w:rsid w:val="008727DD"/>
    <w:rsid w:val="0087282C"/>
    <w:rsid w:val="00872894"/>
    <w:rsid w:val="008729A7"/>
    <w:rsid w:val="00872A2C"/>
    <w:rsid w:val="00872A92"/>
    <w:rsid w:val="00872AF1"/>
    <w:rsid w:val="00872B88"/>
    <w:rsid w:val="00872BD0"/>
    <w:rsid w:val="00872BE2"/>
    <w:rsid w:val="00872C22"/>
    <w:rsid w:val="00872CBD"/>
    <w:rsid w:val="00872CE6"/>
    <w:rsid w:val="00872D8E"/>
    <w:rsid w:val="00872E36"/>
    <w:rsid w:val="00872E71"/>
    <w:rsid w:val="00872EA7"/>
    <w:rsid w:val="00872EB9"/>
    <w:rsid w:val="00873176"/>
    <w:rsid w:val="00873252"/>
    <w:rsid w:val="00873271"/>
    <w:rsid w:val="00873286"/>
    <w:rsid w:val="008732DA"/>
    <w:rsid w:val="00873333"/>
    <w:rsid w:val="008733C9"/>
    <w:rsid w:val="00873463"/>
    <w:rsid w:val="0087358B"/>
    <w:rsid w:val="008735FD"/>
    <w:rsid w:val="00873639"/>
    <w:rsid w:val="008736D5"/>
    <w:rsid w:val="00873722"/>
    <w:rsid w:val="008737E7"/>
    <w:rsid w:val="0087387E"/>
    <w:rsid w:val="008739B2"/>
    <w:rsid w:val="00873AC4"/>
    <w:rsid w:val="00873B77"/>
    <w:rsid w:val="00873B7A"/>
    <w:rsid w:val="00873B9D"/>
    <w:rsid w:val="00873BAA"/>
    <w:rsid w:val="00873BCA"/>
    <w:rsid w:val="00873C0A"/>
    <w:rsid w:val="00873CA5"/>
    <w:rsid w:val="00873CB9"/>
    <w:rsid w:val="00873D74"/>
    <w:rsid w:val="00873E27"/>
    <w:rsid w:val="00873E58"/>
    <w:rsid w:val="00873E71"/>
    <w:rsid w:val="00873E7C"/>
    <w:rsid w:val="00873E92"/>
    <w:rsid w:val="00873EB1"/>
    <w:rsid w:val="00873EED"/>
    <w:rsid w:val="00873F99"/>
    <w:rsid w:val="00873FDA"/>
    <w:rsid w:val="0087419D"/>
    <w:rsid w:val="0087420D"/>
    <w:rsid w:val="00874232"/>
    <w:rsid w:val="008742A4"/>
    <w:rsid w:val="0087437B"/>
    <w:rsid w:val="00874430"/>
    <w:rsid w:val="00874451"/>
    <w:rsid w:val="00874542"/>
    <w:rsid w:val="00874589"/>
    <w:rsid w:val="008745CC"/>
    <w:rsid w:val="008745D3"/>
    <w:rsid w:val="008745F5"/>
    <w:rsid w:val="00874636"/>
    <w:rsid w:val="008747BC"/>
    <w:rsid w:val="0087485D"/>
    <w:rsid w:val="008748BC"/>
    <w:rsid w:val="008749BF"/>
    <w:rsid w:val="00874A50"/>
    <w:rsid w:val="00874B18"/>
    <w:rsid w:val="00874B88"/>
    <w:rsid w:val="00874CCB"/>
    <w:rsid w:val="00874CD8"/>
    <w:rsid w:val="00874E4C"/>
    <w:rsid w:val="00874E6D"/>
    <w:rsid w:val="0087505C"/>
    <w:rsid w:val="00875106"/>
    <w:rsid w:val="0087522E"/>
    <w:rsid w:val="008752D6"/>
    <w:rsid w:val="00875311"/>
    <w:rsid w:val="008754CD"/>
    <w:rsid w:val="008755ED"/>
    <w:rsid w:val="00875637"/>
    <w:rsid w:val="00875671"/>
    <w:rsid w:val="00875752"/>
    <w:rsid w:val="008759B4"/>
    <w:rsid w:val="00875AFC"/>
    <w:rsid w:val="00875B2A"/>
    <w:rsid w:val="00875B36"/>
    <w:rsid w:val="00875B81"/>
    <w:rsid w:val="00875C1A"/>
    <w:rsid w:val="00875C29"/>
    <w:rsid w:val="00875CD7"/>
    <w:rsid w:val="00875D43"/>
    <w:rsid w:val="00875DB1"/>
    <w:rsid w:val="00875DC7"/>
    <w:rsid w:val="00875E56"/>
    <w:rsid w:val="00875E7A"/>
    <w:rsid w:val="00875FA1"/>
    <w:rsid w:val="00875FDA"/>
    <w:rsid w:val="008760DE"/>
    <w:rsid w:val="00876269"/>
    <w:rsid w:val="00876435"/>
    <w:rsid w:val="0087645A"/>
    <w:rsid w:val="008765FF"/>
    <w:rsid w:val="00876646"/>
    <w:rsid w:val="0087670A"/>
    <w:rsid w:val="00876726"/>
    <w:rsid w:val="0087679C"/>
    <w:rsid w:val="008767D8"/>
    <w:rsid w:val="00876878"/>
    <w:rsid w:val="0087692B"/>
    <w:rsid w:val="00876933"/>
    <w:rsid w:val="0087698B"/>
    <w:rsid w:val="008769C4"/>
    <w:rsid w:val="00876A76"/>
    <w:rsid w:val="00876B11"/>
    <w:rsid w:val="00876B27"/>
    <w:rsid w:val="00876B29"/>
    <w:rsid w:val="00876B4D"/>
    <w:rsid w:val="00876B8B"/>
    <w:rsid w:val="00876C1A"/>
    <w:rsid w:val="00876C63"/>
    <w:rsid w:val="00876D34"/>
    <w:rsid w:val="00876FE3"/>
    <w:rsid w:val="008770D1"/>
    <w:rsid w:val="0087716F"/>
    <w:rsid w:val="008773B2"/>
    <w:rsid w:val="008773EB"/>
    <w:rsid w:val="00877431"/>
    <w:rsid w:val="00877456"/>
    <w:rsid w:val="00877482"/>
    <w:rsid w:val="00877492"/>
    <w:rsid w:val="008774B6"/>
    <w:rsid w:val="008774BF"/>
    <w:rsid w:val="008775A3"/>
    <w:rsid w:val="0087761C"/>
    <w:rsid w:val="008776C7"/>
    <w:rsid w:val="00877703"/>
    <w:rsid w:val="00877797"/>
    <w:rsid w:val="008777C6"/>
    <w:rsid w:val="00877812"/>
    <w:rsid w:val="0087784B"/>
    <w:rsid w:val="008778B4"/>
    <w:rsid w:val="0087799A"/>
    <w:rsid w:val="00877A65"/>
    <w:rsid w:val="00877B4C"/>
    <w:rsid w:val="00877B52"/>
    <w:rsid w:val="00877B6B"/>
    <w:rsid w:val="00877BF3"/>
    <w:rsid w:val="00877C47"/>
    <w:rsid w:val="00877C81"/>
    <w:rsid w:val="00877D4F"/>
    <w:rsid w:val="00877DB0"/>
    <w:rsid w:val="00877DBF"/>
    <w:rsid w:val="00877E70"/>
    <w:rsid w:val="00877F80"/>
    <w:rsid w:val="00877FCC"/>
    <w:rsid w:val="0088017A"/>
    <w:rsid w:val="00880185"/>
    <w:rsid w:val="008801CF"/>
    <w:rsid w:val="00880237"/>
    <w:rsid w:val="008802D9"/>
    <w:rsid w:val="008803F4"/>
    <w:rsid w:val="008804BA"/>
    <w:rsid w:val="008804ED"/>
    <w:rsid w:val="00880516"/>
    <w:rsid w:val="00880591"/>
    <w:rsid w:val="0088059A"/>
    <w:rsid w:val="008807E0"/>
    <w:rsid w:val="00880AFC"/>
    <w:rsid w:val="00880B6B"/>
    <w:rsid w:val="00880B82"/>
    <w:rsid w:val="00880B93"/>
    <w:rsid w:val="00880C20"/>
    <w:rsid w:val="00880D2D"/>
    <w:rsid w:val="00880D5A"/>
    <w:rsid w:val="00880E1B"/>
    <w:rsid w:val="00880E6E"/>
    <w:rsid w:val="00880EE6"/>
    <w:rsid w:val="00880FE4"/>
    <w:rsid w:val="00881023"/>
    <w:rsid w:val="0088115B"/>
    <w:rsid w:val="008811A4"/>
    <w:rsid w:val="008811A6"/>
    <w:rsid w:val="008811C0"/>
    <w:rsid w:val="008812A3"/>
    <w:rsid w:val="008812E2"/>
    <w:rsid w:val="00881370"/>
    <w:rsid w:val="0088143C"/>
    <w:rsid w:val="0088150B"/>
    <w:rsid w:val="008815CB"/>
    <w:rsid w:val="0088165E"/>
    <w:rsid w:val="00881664"/>
    <w:rsid w:val="008816E0"/>
    <w:rsid w:val="0088171E"/>
    <w:rsid w:val="00881759"/>
    <w:rsid w:val="0088177C"/>
    <w:rsid w:val="0088179D"/>
    <w:rsid w:val="008818BD"/>
    <w:rsid w:val="008819CB"/>
    <w:rsid w:val="008819CD"/>
    <w:rsid w:val="00881A32"/>
    <w:rsid w:val="00881A7B"/>
    <w:rsid w:val="00881C2F"/>
    <w:rsid w:val="00881C8D"/>
    <w:rsid w:val="00881CDF"/>
    <w:rsid w:val="00881E8C"/>
    <w:rsid w:val="00882000"/>
    <w:rsid w:val="0088207D"/>
    <w:rsid w:val="00882098"/>
    <w:rsid w:val="00882122"/>
    <w:rsid w:val="008821DD"/>
    <w:rsid w:val="00882279"/>
    <w:rsid w:val="0088229B"/>
    <w:rsid w:val="0088238B"/>
    <w:rsid w:val="00882593"/>
    <w:rsid w:val="0088261E"/>
    <w:rsid w:val="008826D4"/>
    <w:rsid w:val="008826FE"/>
    <w:rsid w:val="0088274C"/>
    <w:rsid w:val="008827C2"/>
    <w:rsid w:val="008827F6"/>
    <w:rsid w:val="00882A5B"/>
    <w:rsid w:val="00882B75"/>
    <w:rsid w:val="00882CF0"/>
    <w:rsid w:val="00882D71"/>
    <w:rsid w:val="00882D80"/>
    <w:rsid w:val="00882DFE"/>
    <w:rsid w:val="00882EC5"/>
    <w:rsid w:val="00882ECA"/>
    <w:rsid w:val="00882F06"/>
    <w:rsid w:val="00882F5D"/>
    <w:rsid w:val="00882F7C"/>
    <w:rsid w:val="00882F99"/>
    <w:rsid w:val="008833A2"/>
    <w:rsid w:val="008833F2"/>
    <w:rsid w:val="0088344B"/>
    <w:rsid w:val="00883506"/>
    <w:rsid w:val="00883590"/>
    <w:rsid w:val="0088359F"/>
    <w:rsid w:val="008835A6"/>
    <w:rsid w:val="008836C9"/>
    <w:rsid w:val="0088381D"/>
    <w:rsid w:val="00883A50"/>
    <w:rsid w:val="00883B09"/>
    <w:rsid w:val="00883C60"/>
    <w:rsid w:val="00883C61"/>
    <w:rsid w:val="00883CAF"/>
    <w:rsid w:val="00883E0D"/>
    <w:rsid w:val="00883E9B"/>
    <w:rsid w:val="00883F3A"/>
    <w:rsid w:val="00883F41"/>
    <w:rsid w:val="00884022"/>
    <w:rsid w:val="00884375"/>
    <w:rsid w:val="008844CF"/>
    <w:rsid w:val="008845E2"/>
    <w:rsid w:val="00884626"/>
    <w:rsid w:val="00884660"/>
    <w:rsid w:val="00884681"/>
    <w:rsid w:val="008846D4"/>
    <w:rsid w:val="008847A2"/>
    <w:rsid w:val="008847F2"/>
    <w:rsid w:val="00884A49"/>
    <w:rsid w:val="00884A77"/>
    <w:rsid w:val="00884A91"/>
    <w:rsid w:val="00884B33"/>
    <w:rsid w:val="00884B9E"/>
    <w:rsid w:val="00884BD4"/>
    <w:rsid w:val="00884E4E"/>
    <w:rsid w:val="00884E75"/>
    <w:rsid w:val="00884F19"/>
    <w:rsid w:val="008850CF"/>
    <w:rsid w:val="008851F4"/>
    <w:rsid w:val="00885298"/>
    <w:rsid w:val="00885426"/>
    <w:rsid w:val="00885544"/>
    <w:rsid w:val="00885590"/>
    <w:rsid w:val="008855A8"/>
    <w:rsid w:val="0088569D"/>
    <w:rsid w:val="008856D0"/>
    <w:rsid w:val="0088583E"/>
    <w:rsid w:val="008858C2"/>
    <w:rsid w:val="00885985"/>
    <w:rsid w:val="00885AE8"/>
    <w:rsid w:val="00885BA2"/>
    <w:rsid w:val="00885E4E"/>
    <w:rsid w:val="00885EE5"/>
    <w:rsid w:val="00885FF3"/>
    <w:rsid w:val="0088605E"/>
    <w:rsid w:val="0088606D"/>
    <w:rsid w:val="00886144"/>
    <w:rsid w:val="00886272"/>
    <w:rsid w:val="008862D8"/>
    <w:rsid w:val="0088634A"/>
    <w:rsid w:val="008863F7"/>
    <w:rsid w:val="0088653B"/>
    <w:rsid w:val="0088661B"/>
    <w:rsid w:val="0088664F"/>
    <w:rsid w:val="00886684"/>
    <w:rsid w:val="00886807"/>
    <w:rsid w:val="008868D0"/>
    <w:rsid w:val="008868E7"/>
    <w:rsid w:val="008868EF"/>
    <w:rsid w:val="0088698E"/>
    <w:rsid w:val="00886B84"/>
    <w:rsid w:val="00886C26"/>
    <w:rsid w:val="00886C7B"/>
    <w:rsid w:val="00886CC7"/>
    <w:rsid w:val="00886D53"/>
    <w:rsid w:val="00886D62"/>
    <w:rsid w:val="00886DF5"/>
    <w:rsid w:val="00886E78"/>
    <w:rsid w:val="00886EA7"/>
    <w:rsid w:val="00886F1D"/>
    <w:rsid w:val="00886FE3"/>
    <w:rsid w:val="0088717C"/>
    <w:rsid w:val="008871B2"/>
    <w:rsid w:val="00887204"/>
    <w:rsid w:val="008872D5"/>
    <w:rsid w:val="00887355"/>
    <w:rsid w:val="00887417"/>
    <w:rsid w:val="0088751D"/>
    <w:rsid w:val="0088752E"/>
    <w:rsid w:val="00887638"/>
    <w:rsid w:val="008876CA"/>
    <w:rsid w:val="008876DE"/>
    <w:rsid w:val="00887777"/>
    <w:rsid w:val="008877EF"/>
    <w:rsid w:val="00887928"/>
    <w:rsid w:val="00887940"/>
    <w:rsid w:val="0088794B"/>
    <w:rsid w:val="00887A41"/>
    <w:rsid w:val="00887B46"/>
    <w:rsid w:val="00887BBF"/>
    <w:rsid w:val="00887CFF"/>
    <w:rsid w:val="00887D31"/>
    <w:rsid w:val="00887D51"/>
    <w:rsid w:val="00887D5F"/>
    <w:rsid w:val="00887D6A"/>
    <w:rsid w:val="00887ED9"/>
    <w:rsid w:val="008900C6"/>
    <w:rsid w:val="008900EC"/>
    <w:rsid w:val="00890172"/>
    <w:rsid w:val="008901A1"/>
    <w:rsid w:val="00890217"/>
    <w:rsid w:val="00890274"/>
    <w:rsid w:val="008902E0"/>
    <w:rsid w:val="00890312"/>
    <w:rsid w:val="0089040C"/>
    <w:rsid w:val="00890572"/>
    <w:rsid w:val="008905FC"/>
    <w:rsid w:val="0089060D"/>
    <w:rsid w:val="008906EE"/>
    <w:rsid w:val="0089077E"/>
    <w:rsid w:val="00890868"/>
    <w:rsid w:val="0089087C"/>
    <w:rsid w:val="008908FB"/>
    <w:rsid w:val="008909D3"/>
    <w:rsid w:val="00890AC3"/>
    <w:rsid w:val="00890B8C"/>
    <w:rsid w:val="00890CDC"/>
    <w:rsid w:val="00890CE1"/>
    <w:rsid w:val="00890CFE"/>
    <w:rsid w:val="00890D27"/>
    <w:rsid w:val="00890E70"/>
    <w:rsid w:val="00890F6D"/>
    <w:rsid w:val="0089100F"/>
    <w:rsid w:val="00891097"/>
    <w:rsid w:val="008910B5"/>
    <w:rsid w:val="008910BA"/>
    <w:rsid w:val="00891133"/>
    <w:rsid w:val="00891174"/>
    <w:rsid w:val="008911BF"/>
    <w:rsid w:val="008912DB"/>
    <w:rsid w:val="008913DA"/>
    <w:rsid w:val="008913F2"/>
    <w:rsid w:val="00891633"/>
    <w:rsid w:val="00891729"/>
    <w:rsid w:val="008918CB"/>
    <w:rsid w:val="00891994"/>
    <w:rsid w:val="00891A7C"/>
    <w:rsid w:val="00891B68"/>
    <w:rsid w:val="00891C18"/>
    <w:rsid w:val="00891DFD"/>
    <w:rsid w:val="00891EAE"/>
    <w:rsid w:val="00891F1B"/>
    <w:rsid w:val="0089206B"/>
    <w:rsid w:val="008920C4"/>
    <w:rsid w:val="008920D1"/>
    <w:rsid w:val="00892259"/>
    <w:rsid w:val="00892268"/>
    <w:rsid w:val="008922A4"/>
    <w:rsid w:val="008923AA"/>
    <w:rsid w:val="008924A6"/>
    <w:rsid w:val="0089269B"/>
    <w:rsid w:val="008926FF"/>
    <w:rsid w:val="008928BD"/>
    <w:rsid w:val="008929FE"/>
    <w:rsid w:val="00892A61"/>
    <w:rsid w:val="00892B44"/>
    <w:rsid w:val="00892B88"/>
    <w:rsid w:val="00892B9F"/>
    <w:rsid w:val="00892BE6"/>
    <w:rsid w:val="00892C22"/>
    <w:rsid w:val="00892C9A"/>
    <w:rsid w:val="00892CA0"/>
    <w:rsid w:val="00892F28"/>
    <w:rsid w:val="00892FEA"/>
    <w:rsid w:val="00893112"/>
    <w:rsid w:val="0089313B"/>
    <w:rsid w:val="00893167"/>
    <w:rsid w:val="008931A1"/>
    <w:rsid w:val="008933B2"/>
    <w:rsid w:val="008933E4"/>
    <w:rsid w:val="008933F3"/>
    <w:rsid w:val="00893454"/>
    <w:rsid w:val="008935B4"/>
    <w:rsid w:val="008935CE"/>
    <w:rsid w:val="008935F2"/>
    <w:rsid w:val="00893628"/>
    <w:rsid w:val="00893A31"/>
    <w:rsid w:val="00893A47"/>
    <w:rsid w:val="00893B2D"/>
    <w:rsid w:val="00893C21"/>
    <w:rsid w:val="00893C34"/>
    <w:rsid w:val="00893C5C"/>
    <w:rsid w:val="00893DC3"/>
    <w:rsid w:val="00893EB6"/>
    <w:rsid w:val="00894015"/>
    <w:rsid w:val="008940D9"/>
    <w:rsid w:val="00894148"/>
    <w:rsid w:val="008942AE"/>
    <w:rsid w:val="008942FD"/>
    <w:rsid w:val="008943AE"/>
    <w:rsid w:val="008943FC"/>
    <w:rsid w:val="008944C2"/>
    <w:rsid w:val="008945F7"/>
    <w:rsid w:val="0089466F"/>
    <w:rsid w:val="008946B3"/>
    <w:rsid w:val="00894764"/>
    <w:rsid w:val="00894864"/>
    <w:rsid w:val="00894889"/>
    <w:rsid w:val="0089489F"/>
    <w:rsid w:val="008948C5"/>
    <w:rsid w:val="008948E8"/>
    <w:rsid w:val="00894914"/>
    <w:rsid w:val="00894957"/>
    <w:rsid w:val="008949EE"/>
    <w:rsid w:val="00894A4E"/>
    <w:rsid w:val="00894ACE"/>
    <w:rsid w:val="00894B55"/>
    <w:rsid w:val="00894C78"/>
    <w:rsid w:val="00894CF6"/>
    <w:rsid w:val="00894D3D"/>
    <w:rsid w:val="00894DC7"/>
    <w:rsid w:val="00894F2B"/>
    <w:rsid w:val="0089513E"/>
    <w:rsid w:val="008951BE"/>
    <w:rsid w:val="008951C8"/>
    <w:rsid w:val="00895205"/>
    <w:rsid w:val="0089525F"/>
    <w:rsid w:val="0089529E"/>
    <w:rsid w:val="008952E5"/>
    <w:rsid w:val="008953D9"/>
    <w:rsid w:val="00895403"/>
    <w:rsid w:val="0089568A"/>
    <w:rsid w:val="0089580E"/>
    <w:rsid w:val="0089580F"/>
    <w:rsid w:val="00895835"/>
    <w:rsid w:val="00895854"/>
    <w:rsid w:val="0089587D"/>
    <w:rsid w:val="00895AA8"/>
    <w:rsid w:val="00895B6D"/>
    <w:rsid w:val="00895C25"/>
    <w:rsid w:val="00895C7E"/>
    <w:rsid w:val="00895CC4"/>
    <w:rsid w:val="00895CCB"/>
    <w:rsid w:val="00895E34"/>
    <w:rsid w:val="00895ECB"/>
    <w:rsid w:val="00895F3B"/>
    <w:rsid w:val="00896039"/>
    <w:rsid w:val="0089605A"/>
    <w:rsid w:val="0089605E"/>
    <w:rsid w:val="0089606C"/>
    <w:rsid w:val="00896127"/>
    <w:rsid w:val="0089619A"/>
    <w:rsid w:val="008961BF"/>
    <w:rsid w:val="00896294"/>
    <w:rsid w:val="008965D3"/>
    <w:rsid w:val="00896665"/>
    <w:rsid w:val="00896676"/>
    <w:rsid w:val="00896757"/>
    <w:rsid w:val="0089684A"/>
    <w:rsid w:val="00896857"/>
    <w:rsid w:val="0089691E"/>
    <w:rsid w:val="00896AB4"/>
    <w:rsid w:val="00896BB2"/>
    <w:rsid w:val="00896BF5"/>
    <w:rsid w:val="00896C0D"/>
    <w:rsid w:val="00896C7D"/>
    <w:rsid w:val="00896CB1"/>
    <w:rsid w:val="00896E14"/>
    <w:rsid w:val="00896E51"/>
    <w:rsid w:val="00896E57"/>
    <w:rsid w:val="00896E85"/>
    <w:rsid w:val="00896E98"/>
    <w:rsid w:val="00896F92"/>
    <w:rsid w:val="00897079"/>
    <w:rsid w:val="00897162"/>
    <w:rsid w:val="00897452"/>
    <w:rsid w:val="00897721"/>
    <w:rsid w:val="0089776F"/>
    <w:rsid w:val="008977A8"/>
    <w:rsid w:val="008977D7"/>
    <w:rsid w:val="0089781A"/>
    <w:rsid w:val="008978AD"/>
    <w:rsid w:val="008978B2"/>
    <w:rsid w:val="0089791B"/>
    <w:rsid w:val="0089797D"/>
    <w:rsid w:val="00897AD8"/>
    <w:rsid w:val="00897BBE"/>
    <w:rsid w:val="00897D04"/>
    <w:rsid w:val="00897D60"/>
    <w:rsid w:val="00897DC7"/>
    <w:rsid w:val="00897DEA"/>
    <w:rsid w:val="00897F4E"/>
    <w:rsid w:val="00897F7E"/>
    <w:rsid w:val="00897FB4"/>
    <w:rsid w:val="00897FB7"/>
    <w:rsid w:val="008981B4"/>
    <w:rsid w:val="008A0070"/>
    <w:rsid w:val="008A0099"/>
    <w:rsid w:val="008A0151"/>
    <w:rsid w:val="008A0177"/>
    <w:rsid w:val="008A01B4"/>
    <w:rsid w:val="008A0492"/>
    <w:rsid w:val="008A0542"/>
    <w:rsid w:val="008A0567"/>
    <w:rsid w:val="008A0677"/>
    <w:rsid w:val="008A0706"/>
    <w:rsid w:val="008A0773"/>
    <w:rsid w:val="008A0775"/>
    <w:rsid w:val="008A0847"/>
    <w:rsid w:val="008A0849"/>
    <w:rsid w:val="008A08F3"/>
    <w:rsid w:val="008A0933"/>
    <w:rsid w:val="008A0946"/>
    <w:rsid w:val="008A09CC"/>
    <w:rsid w:val="008A09EA"/>
    <w:rsid w:val="008A0A48"/>
    <w:rsid w:val="008A0AF3"/>
    <w:rsid w:val="008A0BDC"/>
    <w:rsid w:val="008A0C4F"/>
    <w:rsid w:val="008A0C79"/>
    <w:rsid w:val="008A0CF2"/>
    <w:rsid w:val="008A0D6B"/>
    <w:rsid w:val="008A0D89"/>
    <w:rsid w:val="008A0DDC"/>
    <w:rsid w:val="008A0FA8"/>
    <w:rsid w:val="008A104F"/>
    <w:rsid w:val="008A116F"/>
    <w:rsid w:val="008A118F"/>
    <w:rsid w:val="008A1248"/>
    <w:rsid w:val="008A12FE"/>
    <w:rsid w:val="008A13D6"/>
    <w:rsid w:val="008A1422"/>
    <w:rsid w:val="008A14F0"/>
    <w:rsid w:val="008A1587"/>
    <w:rsid w:val="008A15C5"/>
    <w:rsid w:val="008A164B"/>
    <w:rsid w:val="008A1678"/>
    <w:rsid w:val="008A16BA"/>
    <w:rsid w:val="008A16D2"/>
    <w:rsid w:val="008A16E5"/>
    <w:rsid w:val="008A172B"/>
    <w:rsid w:val="008A17FC"/>
    <w:rsid w:val="008A1874"/>
    <w:rsid w:val="008A1913"/>
    <w:rsid w:val="008A1935"/>
    <w:rsid w:val="008A1A25"/>
    <w:rsid w:val="008A1A3B"/>
    <w:rsid w:val="008A1A83"/>
    <w:rsid w:val="008A1AA9"/>
    <w:rsid w:val="008A1ABE"/>
    <w:rsid w:val="008A1ACD"/>
    <w:rsid w:val="008A1B93"/>
    <w:rsid w:val="008A1C81"/>
    <w:rsid w:val="008A1CA9"/>
    <w:rsid w:val="008A1CC1"/>
    <w:rsid w:val="008A1DA0"/>
    <w:rsid w:val="008A1E09"/>
    <w:rsid w:val="008A1FAE"/>
    <w:rsid w:val="008A2090"/>
    <w:rsid w:val="008A215C"/>
    <w:rsid w:val="008A2196"/>
    <w:rsid w:val="008A2359"/>
    <w:rsid w:val="008A2482"/>
    <w:rsid w:val="008A250E"/>
    <w:rsid w:val="008A255A"/>
    <w:rsid w:val="008A25A4"/>
    <w:rsid w:val="008A25C3"/>
    <w:rsid w:val="008A2791"/>
    <w:rsid w:val="008A2841"/>
    <w:rsid w:val="008A28AA"/>
    <w:rsid w:val="008A28F1"/>
    <w:rsid w:val="008A2909"/>
    <w:rsid w:val="008A292F"/>
    <w:rsid w:val="008A293F"/>
    <w:rsid w:val="008A299D"/>
    <w:rsid w:val="008A29A4"/>
    <w:rsid w:val="008A2A50"/>
    <w:rsid w:val="008A2AAA"/>
    <w:rsid w:val="008A2AFD"/>
    <w:rsid w:val="008A2BB0"/>
    <w:rsid w:val="008A2C1D"/>
    <w:rsid w:val="008A2CEA"/>
    <w:rsid w:val="008A2D95"/>
    <w:rsid w:val="008A2EF7"/>
    <w:rsid w:val="008A2F16"/>
    <w:rsid w:val="008A3124"/>
    <w:rsid w:val="008A3279"/>
    <w:rsid w:val="008A32C4"/>
    <w:rsid w:val="008A33C9"/>
    <w:rsid w:val="008A3435"/>
    <w:rsid w:val="008A34C4"/>
    <w:rsid w:val="008A3503"/>
    <w:rsid w:val="008A3512"/>
    <w:rsid w:val="008A3519"/>
    <w:rsid w:val="008A3568"/>
    <w:rsid w:val="008A3673"/>
    <w:rsid w:val="008A3789"/>
    <w:rsid w:val="008A385E"/>
    <w:rsid w:val="008A38CE"/>
    <w:rsid w:val="008A390B"/>
    <w:rsid w:val="008A39A6"/>
    <w:rsid w:val="008A39AF"/>
    <w:rsid w:val="008A39ED"/>
    <w:rsid w:val="008A39F6"/>
    <w:rsid w:val="008A39F8"/>
    <w:rsid w:val="008A3A00"/>
    <w:rsid w:val="008A3A18"/>
    <w:rsid w:val="008A3A26"/>
    <w:rsid w:val="008A3B43"/>
    <w:rsid w:val="008A3C0D"/>
    <w:rsid w:val="008A3C92"/>
    <w:rsid w:val="008A3DD9"/>
    <w:rsid w:val="008A3F8E"/>
    <w:rsid w:val="008A3FC3"/>
    <w:rsid w:val="008A403C"/>
    <w:rsid w:val="008A4055"/>
    <w:rsid w:val="008A4152"/>
    <w:rsid w:val="008A42AF"/>
    <w:rsid w:val="008A43E6"/>
    <w:rsid w:val="008A4553"/>
    <w:rsid w:val="008A474A"/>
    <w:rsid w:val="008A4847"/>
    <w:rsid w:val="008A4853"/>
    <w:rsid w:val="008A48AF"/>
    <w:rsid w:val="008A4996"/>
    <w:rsid w:val="008A49F8"/>
    <w:rsid w:val="008A4A04"/>
    <w:rsid w:val="008A4A3C"/>
    <w:rsid w:val="008A4A99"/>
    <w:rsid w:val="008A4AA3"/>
    <w:rsid w:val="008A4AF9"/>
    <w:rsid w:val="008A4AFA"/>
    <w:rsid w:val="008A4B36"/>
    <w:rsid w:val="008A4B4B"/>
    <w:rsid w:val="008A4BB1"/>
    <w:rsid w:val="008A4C50"/>
    <w:rsid w:val="008A4D0B"/>
    <w:rsid w:val="008A4D72"/>
    <w:rsid w:val="008A4DE8"/>
    <w:rsid w:val="008A4E1D"/>
    <w:rsid w:val="008A4E28"/>
    <w:rsid w:val="008A4E3C"/>
    <w:rsid w:val="008A4EA6"/>
    <w:rsid w:val="008A4EB3"/>
    <w:rsid w:val="008A4F03"/>
    <w:rsid w:val="008A4F5C"/>
    <w:rsid w:val="008A4FF5"/>
    <w:rsid w:val="008A50A4"/>
    <w:rsid w:val="008A51A6"/>
    <w:rsid w:val="008A5377"/>
    <w:rsid w:val="008A53CF"/>
    <w:rsid w:val="008A54F5"/>
    <w:rsid w:val="008A552D"/>
    <w:rsid w:val="008A55EC"/>
    <w:rsid w:val="008A5643"/>
    <w:rsid w:val="008A565E"/>
    <w:rsid w:val="008A565F"/>
    <w:rsid w:val="008A56A5"/>
    <w:rsid w:val="008A5767"/>
    <w:rsid w:val="008A57AF"/>
    <w:rsid w:val="008A57DB"/>
    <w:rsid w:val="008A585B"/>
    <w:rsid w:val="008A58F4"/>
    <w:rsid w:val="008A59C4"/>
    <w:rsid w:val="008A5A03"/>
    <w:rsid w:val="008A5B22"/>
    <w:rsid w:val="008A5BA8"/>
    <w:rsid w:val="008A5C15"/>
    <w:rsid w:val="008A5C75"/>
    <w:rsid w:val="008A5CF8"/>
    <w:rsid w:val="008A5DF6"/>
    <w:rsid w:val="008A5EDB"/>
    <w:rsid w:val="008A60F4"/>
    <w:rsid w:val="008A6270"/>
    <w:rsid w:val="008A628D"/>
    <w:rsid w:val="008A6290"/>
    <w:rsid w:val="008A62A6"/>
    <w:rsid w:val="008A62EC"/>
    <w:rsid w:val="008A62F9"/>
    <w:rsid w:val="008A6307"/>
    <w:rsid w:val="008A630A"/>
    <w:rsid w:val="008A6320"/>
    <w:rsid w:val="008A6349"/>
    <w:rsid w:val="008A63AF"/>
    <w:rsid w:val="008A63DE"/>
    <w:rsid w:val="008A653E"/>
    <w:rsid w:val="008A6573"/>
    <w:rsid w:val="008A65E3"/>
    <w:rsid w:val="008A6668"/>
    <w:rsid w:val="008A6750"/>
    <w:rsid w:val="008A6788"/>
    <w:rsid w:val="008A67B0"/>
    <w:rsid w:val="008A6929"/>
    <w:rsid w:val="008A6936"/>
    <w:rsid w:val="008A6989"/>
    <w:rsid w:val="008A69D8"/>
    <w:rsid w:val="008A6ACE"/>
    <w:rsid w:val="008A6B24"/>
    <w:rsid w:val="008A6CDD"/>
    <w:rsid w:val="008A6DDA"/>
    <w:rsid w:val="008A6DEB"/>
    <w:rsid w:val="008A6E22"/>
    <w:rsid w:val="008A6E64"/>
    <w:rsid w:val="008A6F60"/>
    <w:rsid w:val="008A6F6A"/>
    <w:rsid w:val="008A7046"/>
    <w:rsid w:val="008A71CC"/>
    <w:rsid w:val="008A727F"/>
    <w:rsid w:val="008A72A7"/>
    <w:rsid w:val="008A72C5"/>
    <w:rsid w:val="008A72FA"/>
    <w:rsid w:val="008A7369"/>
    <w:rsid w:val="008A73C2"/>
    <w:rsid w:val="008A744E"/>
    <w:rsid w:val="008A757D"/>
    <w:rsid w:val="008A7648"/>
    <w:rsid w:val="008A7747"/>
    <w:rsid w:val="008A77FB"/>
    <w:rsid w:val="008A7859"/>
    <w:rsid w:val="008A789C"/>
    <w:rsid w:val="008A78E9"/>
    <w:rsid w:val="008A796D"/>
    <w:rsid w:val="008A79C7"/>
    <w:rsid w:val="008A7A4A"/>
    <w:rsid w:val="008A7A7B"/>
    <w:rsid w:val="008A7B1C"/>
    <w:rsid w:val="008A7B21"/>
    <w:rsid w:val="008A7B28"/>
    <w:rsid w:val="008A7B4A"/>
    <w:rsid w:val="008A7BF4"/>
    <w:rsid w:val="008A7C00"/>
    <w:rsid w:val="008A7C66"/>
    <w:rsid w:val="008A7CEE"/>
    <w:rsid w:val="008A7D4B"/>
    <w:rsid w:val="008A7E35"/>
    <w:rsid w:val="008A7E43"/>
    <w:rsid w:val="008A7EB8"/>
    <w:rsid w:val="008A7EBF"/>
    <w:rsid w:val="008A7EFB"/>
    <w:rsid w:val="008B00E0"/>
    <w:rsid w:val="008B0332"/>
    <w:rsid w:val="008B0342"/>
    <w:rsid w:val="008B04A8"/>
    <w:rsid w:val="008B05D9"/>
    <w:rsid w:val="008B073B"/>
    <w:rsid w:val="008B07D7"/>
    <w:rsid w:val="008B07E3"/>
    <w:rsid w:val="008B085A"/>
    <w:rsid w:val="008B0880"/>
    <w:rsid w:val="008B0974"/>
    <w:rsid w:val="008B0976"/>
    <w:rsid w:val="008B097B"/>
    <w:rsid w:val="008B0A37"/>
    <w:rsid w:val="008B0B02"/>
    <w:rsid w:val="008B0CAD"/>
    <w:rsid w:val="008B0CED"/>
    <w:rsid w:val="008B0CFA"/>
    <w:rsid w:val="008B0F2E"/>
    <w:rsid w:val="008B0F7A"/>
    <w:rsid w:val="008B0F84"/>
    <w:rsid w:val="008B0F86"/>
    <w:rsid w:val="008B1045"/>
    <w:rsid w:val="008B10FB"/>
    <w:rsid w:val="008B1127"/>
    <w:rsid w:val="008B1210"/>
    <w:rsid w:val="008B1344"/>
    <w:rsid w:val="008B13A0"/>
    <w:rsid w:val="008B13CD"/>
    <w:rsid w:val="008B13CF"/>
    <w:rsid w:val="008B146B"/>
    <w:rsid w:val="008B14CD"/>
    <w:rsid w:val="008B1554"/>
    <w:rsid w:val="008B1578"/>
    <w:rsid w:val="008B15BA"/>
    <w:rsid w:val="008B15F5"/>
    <w:rsid w:val="008B17F4"/>
    <w:rsid w:val="008B1808"/>
    <w:rsid w:val="008B190E"/>
    <w:rsid w:val="008B1934"/>
    <w:rsid w:val="008B1938"/>
    <w:rsid w:val="008B1A5B"/>
    <w:rsid w:val="008B1C46"/>
    <w:rsid w:val="008B1CFC"/>
    <w:rsid w:val="008B1D10"/>
    <w:rsid w:val="008B1DAD"/>
    <w:rsid w:val="008B1E22"/>
    <w:rsid w:val="008B1EDC"/>
    <w:rsid w:val="008B1FB5"/>
    <w:rsid w:val="008B20B3"/>
    <w:rsid w:val="008B20B7"/>
    <w:rsid w:val="008B213A"/>
    <w:rsid w:val="008B217A"/>
    <w:rsid w:val="008B219D"/>
    <w:rsid w:val="008B21AE"/>
    <w:rsid w:val="008B222D"/>
    <w:rsid w:val="008B22B2"/>
    <w:rsid w:val="008B232C"/>
    <w:rsid w:val="008B23F9"/>
    <w:rsid w:val="008B2421"/>
    <w:rsid w:val="008B2459"/>
    <w:rsid w:val="008B249C"/>
    <w:rsid w:val="008B257F"/>
    <w:rsid w:val="008B25A6"/>
    <w:rsid w:val="008B2620"/>
    <w:rsid w:val="008B26A7"/>
    <w:rsid w:val="008B2701"/>
    <w:rsid w:val="008B27D9"/>
    <w:rsid w:val="008B2828"/>
    <w:rsid w:val="008B28A4"/>
    <w:rsid w:val="008B28E4"/>
    <w:rsid w:val="008B298F"/>
    <w:rsid w:val="008B2A08"/>
    <w:rsid w:val="008B2C1D"/>
    <w:rsid w:val="008B2C28"/>
    <w:rsid w:val="008B2C31"/>
    <w:rsid w:val="008B2C42"/>
    <w:rsid w:val="008B2CA3"/>
    <w:rsid w:val="008B2D34"/>
    <w:rsid w:val="008B2F00"/>
    <w:rsid w:val="008B2F0E"/>
    <w:rsid w:val="008B3213"/>
    <w:rsid w:val="008B3242"/>
    <w:rsid w:val="008B339E"/>
    <w:rsid w:val="008B3524"/>
    <w:rsid w:val="008B369C"/>
    <w:rsid w:val="008B36D0"/>
    <w:rsid w:val="008B380F"/>
    <w:rsid w:val="008B3811"/>
    <w:rsid w:val="008B3863"/>
    <w:rsid w:val="008B38BA"/>
    <w:rsid w:val="008B39FE"/>
    <w:rsid w:val="008B3A70"/>
    <w:rsid w:val="008B3C5E"/>
    <w:rsid w:val="008B3FCE"/>
    <w:rsid w:val="008B41A2"/>
    <w:rsid w:val="008B4285"/>
    <w:rsid w:val="008B42DD"/>
    <w:rsid w:val="008B4315"/>
    <w:rsid w:val="008B43D0"/>
    <w:rsid w:val="008B45FA"/>
    <w:rsid w:val="008B4633"/>
    <w:rsid w:val="008B474E"/>
    <w:rsid w:val="008B4778"/>
    <w:rsid w:val="008B4819"/>
    <w:rsid w:val="008B485E"/>
    <w:rsid w:val="008B485F"/>
    <w:rsid w:val="008B488E"/>
    <w:rsid w:val="008B48A3"/>
    <w:rsid w:val="008B4A05"/>
    <w:rsid w:val="008B4A27"/>
    <w:rsid w:val="008B4A94"/>
    <w:rsid w:val="008B4ABF"/>
    <w:rsid w:val="008B4B0D"/>
    <w:rsid w:val="008B4B17"/>
    <w:rsid w:val="008B4B61"/>
    <w:rsid w:val="008B4B8A"/>
    <w:rsid w:val="008B4C0D"/>
    <w:rsid w:val="008B4C4E"/>
    <w:rsid w:val="008B4C50"/>
    <w:rsid w:val="008B4C6C"/>
    <w:rsid w:val="008B4CB4"/>
    <w:rsid w:val="008B4FBD"/>
    <w:rsid w:val="008B4FF8"/>
    <w:rsid w:val="008B5043"/>
    <w:rsid w:val="008B5152"/>
    <w:rsid w:val="008B51BF"/>
    <w:rsid w:val="008B52E3"/>
    <w:rsid w:val="008B5418"/>
    <w:rsid w:val="008B54A1"/>
    <w:rsid w:val="008B54DA"/>
    <w:rsid w:val="008B55A5"/>
    <w:rsid w:val="008B55A8"/>
    <w:rsid w:val="008B5605"/>
    <w:rsid w:val="008B568D"/>
    <w:rsid w:val="008B576D"/>
    <w:rsid w:val="008B57BA"/>
    <w:rsid w:val="008B57F0"/>
    <w:rsid w:val="008B583B"/>
    <w:rsid w:val="008B5844"/>
    <w:rsid w:val="008B585C"/>
    <w:rsid w:val="008B58C9"/>
    <w:rsid w:val="008B5946"/>
    <w:rsid w:val="008B59E0"/>
    <w:rsid w:val="008B5A87"/>
    <w:rsid w:val="008B5B2D"/>
    <w:rsid w:val="008B5C24"/>
    <w:rsid w:val="008B5C5B"/>
    <w:rsid w:val="008B5D85"/>
    <w:rsid w:val="008B5E15"/>
    <w:rsid w:val="008B5E1E"/>
    <w:rsid w:val="008B5E96"/>
    <w:rsid w:val="008B5E98"/>
    <w:rsid w:val="008B5F15"/>
    <w:rsid w:val="008B5FAD"/>
    <w:rsid w:val="008B5FC4"/>
    <w:rsid w:val="008B600D"/>
    <w:rsid w:val="008B60CE"/>
    <w:rsid w:val="008B611E"/>
    <w:rsid w:val="008B6163"/>
    <w:rsid w:val="008B6203"/>
    <w:rsid w:val="008B633E"/>
    <w:rsid w:val="008B635E"/>
    <w:rsid w:val="008B6445"/>
    <w:rsid w:val="008B650B"/>
    <w:rsid w:val="008B6660"/>
    <w:rsid w:val="008B67B8"/>
    <w:rsid w:val="008B68F2"/>
    <w:rsid w:val="008B6A33"/>
    <w:rsid w:val="008B6BF9"/>
    <w:rsid w:val="008B6C5F"/>
    <w:rsid w:val="008B6D7D"/>
    <w:rsid w:val="008B6E31"/>
    <w:rsid w:val="008B6E6D"/>
    <w:rsid w:val="008B6F56"/>
    <w:rsid w:val="008B6F7C"/>
    <w:rsid w:val="008B6FE7"/>
    <w:rsid w:val="008B6FEB"/>
    <w:rsid w:val="008B7003"/>
    <w:rsid w:val="008B700C"/>
    <w:rsid w:val="008B71EC"/>
    <w:rsid w:val="008B72EB"/>
    <w:rsid w:val="008B751D"/>
    <w:rsid w:val="008B752B"/>
    <w:rsid w:val="008B76C8"/>
    <w:rsid w:val="008B76E3"/>
    <w:rsid w:val="008B772B"/>
    <w:rsid w:val="008B78B9"/>
    <w:rsid w:val="008B78CA"/>
    <w:rsid w:val="008B7905"/>
    <w:rsid w:val="008B79F4"/>
    <w:rsid w:val="008B79FD"/>
    <w:rsid w:val="008B7BA5"/>
    <w:rsid w:val="008B7BC8"/>
    <w:rsid w:val="008B7BCC"/>
    <w:rsid w:val="008B7C70"/>
    <w:rsid w:val="008B7CAA"/>
    <w:rsid w:val="008B7CB5"/>
    <w:rsid w:val="008B7D0B"/>
    <w:rsid w:val="008B7D74"/>
    <w:rsid w:val="008B7DC2"/>
    <w:rsid w:val="008B7E05"/>
    <w:rsid w:val="008B7EC0"/>
    <w:rsid w:val="008B7EC8"/>
    <w:rsid w:val="008B7EF7"/>
    <w:rsid w:val="008B7F1E"/>
    <w:rsid w:val="008B7F94"/>
    <w:rsid w:val="008B7FFD"/>
    <w:rsid w:val="008C005E"/>
    <w:rsid w:val="008C012D"/>
    <w:rsid w:val="008C014D"/>
    <w:rsid w:val="008C04BE"/>
    <w:rsid w:val="008C04E9"/>
    <w:rsid w:val="008C056F"/>
    <w:rsid w:val="008C0573"/>
    <w:rsid w:val="008C05D6"/>
    <w:rsid w:val="008C0680"/>
    <w:rsid w:val="008C06BB"/>
    <w:rsid w:val="008C0727"/>
    <w:rsid w:val="008C0751"/>
    <w:rsid w:val="008C07D1"/>
    <w:rsid w:val="008C0811"/>
    <w:rsid w:val="008C0869"/>
    <w:rsid w:val="008C08D4"/>
    <w:rsid w:val="008C09EC"/>
    <w:rsid w:val="008C0A2C"/>
    <w:rsid w:val="008C0A4C"/>
    <w:rsid w:val="008C0A59"/>
    <w:rsid w:val="008C0B6A"/>
    <w:rsid w:val="008C0BDA"/>
    <w:rsid w:val="008C0C0F"/>
    <w:rsid w:val="008C0C87"/>
    <w:rsid w:val="008C0D2F"/>
    <w:rsid w:val="008C0D40"/>
    <w:rsid w:val="008C0D45"/>
    <w:rsid w:val="008C0E53"/>
    <w:rsid w:val="008C0F34"/>
    <w:rsid w:val="008C0F61"/>
    <w:rsid w:val="008C0F9F"/>
    <w:rsid w:val="008C0FA9"/>
    <w:rsid w:val="008C1053"/>
    <w:rsid w:val="008C10CA"/>
    <w:rsid w:val="008C116F"/>
    <w:rsid w:val="008C11A1"/>
    <w:rsid w:val="008C11C1"/>
    <w:rsid w:val="008C121A"/>
    <w:rsid w:val="008C1353"/>
    <w:rsid w:val="008C140D"/>
    <w:rsid w:val="008C1459"/>
    <w:rsid w:val="008C1486"/>
    <w:rsid w:val="008C1490"/>
    <w:rsid w:val="008C15B2"/>
    <w:rsid w:val="008C1602"/>
    <w:rsid w:val="008C168B"/>
    <w:rsid w:val="008C1703"/>
    <w:rsid w:val="008C1762"/>
    <w:rsid w:val="008C1885"/>
    <w:rsid w:val="008C189B"/>
    <w:rsid w:val="008C1970"/>
    <w:rsid w:val="008C1987"/>
    <w:rsid w:val="008C19FC"/>
    <w:rsid w:val="008C1B31"/>
    <w:rsid w:val="008C1B83"/>
    <w:rsid w:val="008C1C50"/>
    <w:rsid w:val="008C1CFE"/>
    <w:rsid w:val="008C1D56"/>
    <w:rsid w:val="008C1E6F"/>
    <w:rsid w:val="008C1EB1"/>
    <w:rsid w:val="008C1EE1"/>
    <w:rsid w:val="008C1FDC"/>
    <w:rsid w:val="008C2077"/>
    <w:rsid w:val="008C20F6"/>
    <w:rsid w:val="008C2191"/>
    <w:rsid w:val="008C2330"/>
    <w:rsid w:val="008C2347"/>
    <w:rsid w:val="008C2348"/>
    <w:rsid w:val="008C23F6"/>
    <w:rsid w:val="008C24D0"/>
    <w:rsid w:val="008C2519"/>
    <w:rsid w:val="008C25BD"/>
    <w:rsid w:val="008C2601"/>
    <w:rsid w:val="008C270C"/>
    <w:rsid w:val="008C2788"/>
    <w:rsid w:val="008C2930"/>
    <w:rsid w:val="008C29B1"/>
    <w:rsid w:val="008C2AC6"/>
    <w:rsid w:val="008C2B42"/>
    <w:rsid w:val="008C2CCE"/>
    <w:rsid w:val="008C2D17"/>
    <w:rsid w:val="008C2D60"/>
    <w:rsid w:val="008C2E00"/>
    <w:rsid w:val="008C2E3B"/>
    <w:rsid w:val="008C2F19"/>
    <w:rsid w:val="008C2FE1"/>
    <w:rsid w:val="008C32E9"/>
    <w:rsid w:val="008C3476"/>
    <w:rsid w:val="008C34CA"/>
    <w:rsid w:val="008C34F0"/>
    <w:rsid w:val="008C34F3"/>
    <w:rsid w:val="008C35FF"/>
    <w:rsid w:val="008C37F0"/>
    <w:rsid w:val="008C3928"/>
    <w:rsid w:val="008C39B5"/>
    <w:rsid w:val="008C3AA2"/>
    <w:rsid w:val="008C3AA7"/>
    <w:rsid w:val="008C3AD8"/>
    <w:rsid w:val="008C3AF7"/>
    <w:rsid w:val="008C3B7E"/>
    <w:rsid w:val="008C3EE4"/>
    <w:rsid w:val="008C3FCA"/>
    <w:rsid w:val="008C40BF"/>
    <w:rsid w:val="008C4101"/>
    <w:rsid w:val="008C4194"/>
    <w:rsid w:val="008C41BC"/>
    <w:rsid w:val="008C41C5"/>
    <w:rsid w:val="008C41EB"/>
    <w:rsid w:val="008C4245"/>
    <w:rsid w:val="008C426E"/>
    <w:rsid w:val="008C430B"/>
    <w:rsid w:val="008C4487"/>
    <w:rsid w:val="008C4497"/>
    <w:rsid w:val="008C44A0"/>
    <w:rsid w:val="008C45F7"/>
    <w:rsid w:val="008C466E"/>
    <w:rsid w:val="008C4685"/>
    <w:rsid w:val="008C4723"/>
    <w:rsid w:val="008C4918"/>
    <w:rsid w:val="008C491F"/>
    <w:rsid w:val="008C4A52"/>
    <w:rsid w:val="008C4A55"/>
    <w:rsid w:val="008C4B0A"/>
    <w:rsid w:val="008C4C2C"/>
    <w:rsid w:val="008C4C8A"/>
    <w:rsid w:val="008C4D1E"/>
    <w:rsid w:val="008C4DA9"/>
    <w:rsid w:val="008C4DD3"/>
    <w:rsid w:val="008C4E34"/>
    <w:rsid w:val="008C4EB2"/>
    <w:rsid w:val="008C4EDB"/>
    <w:rsid w:val="008C5011"/>
    <w:rsid w:val="008C5013"/>
    <w:rsid w:val="008C503B"/>
    <w:rsid w:val="008C507B"/>
    <w:rsid w:val="008C50E6"/>
    <w:rsid w:val="008C5149"/>
    <w:rsid w:val="008C5167"/>
    <w:rsid w:val="008C5180"/>
    <w:rsid w:val="008C51D3"/>
    <w:rsid w:val="008C51FF"/>
    <w:rsid w:val="008C52C4"/>
    <w:rsid w:val="008C53C8"/>
    <w:rsid w:val="008C5458"/>
    <w:rsid w:val="008C5464"/>
    <w:rsid w:val="008C5474"/>
    <w:rsid w:val="008C54E4"/>
    <w:rsid w:val="008C54E9"/>
    <w:rsid w:val="008C55B8"/>
    <w:rsid w:val="008C55DB"/>
    <w:rsid w:val="008C562D"/>
    <w:rsid w:val="008C5711"/>
    <w:rsid w:val="008C577D"/>
    <w:rsid w:val="008C57CD"/>
    <w:rsid w:val="008C57E2"/>
    <w:rsid w:val="008C5846"/>
    <w:rsid w:val="008C5938"/>
    <w:rsid w:val="008C596B"/>
    <w:rsid w:val="008C5A67"/>
    <w:rsid w:val="008C5ACA"/>
    <w:rsid w:val="008C5AE6"/>
    <w:rsid w:val="008C5B7C"/>
    <w:rsid w:val="008C5B8A"/>
    <w:rsid w:val="008C5BCC"/>
    <w:rsid w:val="008C5C30"/>
    <w:rsid w:val="008C5C77"/>
    <w:rsid w:val="008C5CAF"/>
    <w:rsid w:val="008C5D0E"/>
    <w:rsid w:val="008C5DC0"/>
    <w:rsid w:val="008C5DF8"/>
    <w:rsid w:val="008C5E14"/>
    <w:rsid w:val="008C5EA5"/>
    <w:rsid w:val="008C5EBF"/>
    <w:rsid w:val="008C5EFD"/>
    <w:rsid w:val="008C5F20"/>
    <w:rsid w:val="008C5F73"/>
    <w:rsid w:val="008C604B"/>
    <w:rsid w:val="008C60C7"/>
    <w:rsid w:val="008C60D1"/>
    <w:rsid w:val="008C60EF"/>
    <w:rsid w:val="008C60F0"/>
    <w:rsid w:val="008C6318"/>
    <w:rsid w:val="008C6361"/>
    <w:rsid w:val="008C6381"/>
    <w:rsid w:val="008C6386"/>
    <w:rsid w:val="008C638E"/>
    <w:rsid w:val="008C6536"/>
    <w:rsid w:val="008C653D"/>
    <w:rsid w:val="008C661C"/>
    <w:rsid w:val="008C6641"/>
    <w:rsid w:val="008C67B8"/>
    <w:rsid w:val="008C683F"/>
    <w:rsid w:val="008C6876"/>
    <w:rsid w:val="008C6A3B"/>
    <w:rsid w:val="008C6ABD"/>
    <w:rsid w:val="008C6BA4"/>
    <w:rsid w:val="008C6BB8"/>
    <w:rsid w:val="008C6C4D"/>
    <w:rsid w:val="008C6CFA"/>
    <w:rsid w:val="008C7021"/>
    <w:rsid w:val="008C719F"/>
    <w:rsid w:val="008C7204"/>
    <w:rsid w:val="008C7231"/>
    <w:rsid w:val="008C7275"/>
    <w:rsid w:val="008C7292"/>
    <w:rsid w:val="008C72C6"/>
    <w:rsid w:val="008C72D7"/>
    <w:rsid w:val="008C739E"/>
    <w:rsid w:val="008C7618"/>
    <w:rsid w:val="008C7729"/>
    <w:rsid w:val="008C77D9"/>
    <w:rsid w:val="008C77EA"/>
    <w:rsid w:val="008C78D4"/>
    <w:rsid w:val="008C78FC"/>
    <w:rsid w:val="008C7906"/>
    <w:rsid w:val="008C79E9"/>
    <w:rsid w:val="008C7A5D"/>
    <w:rsid w:val="008C7AA7"/>
    <w:rsid w:val="008C7AC3"/>
    <w:rsid w:val="008C7AE1"/>
    <w:rsid w:val="008C7BCC"/>
    <w:rsid w:val="008C7DAF"/>
    <w:rsid w:val="008C7DD5"/>
    <w:rsid w:val="008C7DD9"/>
    <w:rsid w:val="008C7F24"/>
    <w:rsid w:val="008C7FB7"/>
    <w:rsid w:val="008C7FFD"/>
    <w:rsid w:val="008D0221"/>
    <w:rsid w:val="008D048D"/>
    <w:rsid w:val="008D0527"/>
    <w:rsid w:val="008D061F"/>
    <w:rsid w:val="008D07D9"/>
    <w:rsid w:val="008D09A4"/>
    <w:rsid w:val="008D0AC0"/>
    <w:rsid w:val="008D0B38"/>
    <w:rsid w:val="008D0C86"/>
    <w:rsid w:val="008D0D12"/>
    <w:rsid w:val="008D0D36"/>
    <w:rsid w:val="008D0D53"/>
    <w:rsid w:val="008D0EAF"/>
    <w:rsid w:val="008D0FA7"/>
    <w:rsid w:val="008D1036"/>
    <w:rsid w:val="008D1043"/>
    <w:rsid w:val="008D104B"/>
    <w:rsid w:val="008D10B8"/>
    <w:rsid w:val="008D10D4"/>
    <w:rsid w:val="008D11BF"/>
    <w:rsid w:val="008D130D"/>
    <w:rsid w:val="008D141C"/>
    <w:rsid w:val="008D145D"/>
    <w:rsid w:val="008D149D"/>
    <w:rsid w:val="008D160B"/>
    <w:rsid w:val="008D16F6"/>
    <w:rsid w:val="008D19A2"/>
    <w:rsid w:val="008D19C0"/>
    <w:rsid w:val="008D1AFE"/>
    <w:rsid w:val="008D1AFF"/>
    <w:rsid w:val="008D1BC5"/>
    <w:rsid w:val="008D1BD6"/>
    <w:rsid w:val="008D1C62"/>
    <w:rsid w:val="008D1C68"/>
    <w:rsid w:val="008D1C8B"/>
    <w:rsid w:val="008D1CE8"/>
    <w:rsid w:val="008D1EE6"/>
    <w:rsid w:val="008D1F86"/>
    <w:rsid w:val="008D204F"/>
    <w:rsid w:val="008D20AB"/>
    <w:rsid w:val="008D210D"/>
    <w:rsid w:val="008D215F"/>
    <w:rsid w:val="008D220A"/>
    <w:rsid w:val="008D2332"/>
    <w:rsid w:val="008D2447"/>
    <w:rsid w:val="008D2457"/>
    <w:rsid w:val="008D24C4"/>
    <w:rsid w:val="008D2509"/>
    <w:rsid w:val="008D25A1"/>
    <w:rsid w:val="008D25BA"/>
    <w:rsid w:val="008D25BB"/>
    <w:rsid w:val="008D26D1"/>
    <w:rsid w:val="008D27B6"/>
    <w:rsid w:val="008D27ED"/>
    <w:rsid w:val="008D27F2"/>
    <w:rsid w:val="008D2857"/>
    <w:rsid w:val="008D288D"/>
    <w:rsid w:val="008D291A"/>
    <w:rsid w:val="008D291D"/>
    <w:rsid w:val="008D2951"/>
    <w:rsid w:val="008D2973"/>
    <w:rsid w:val="008D29C7"/>
    <w:rsid w:val="008D2A20"/>
    <w:rsid w:val="008D2BCA"/>
    <w:rsid w:val="008D2BE4"/>
    <w:rsid w:val="008D2CCA"/>
    <w:rsid w:val="008D2D14"/>
    <w:rsid w:val="008D2DB7"/>
    <w:rsid w:val="008D2E5B"/>
    <w:rsid w:val="008D2E95"/>
    <w:rsid w:val="008D2F21"/>
    <w:rsid w:val="008D2F3E"/>
    <w:rsid w:val="008D3041"/>
    <w:rsid w:val="008D309D"/>
    <w:rsid w:val="008D30AC"/>
    <w:rsid w:val="008D30C8"/>
    <w:rsid w:val="008D30DE"/>
    <w:rsid w:val="008D3379"/>
    <w:rsid w:val="008D33BC"/>
    <w:rsid w:val="008D3446"/>
    <w:rsid w:val="008D34E6"/>
    <w:rsid w:val="008D3542"/>
    <w:rsid w:val="008D3648"/>
    <w:rsid w:val="008D3705"/>
    <w:rsid w:val="008D37A3"/>
    <w:rsid w:val="008D3876"/>
    <w:rsid w:val="008D398F"/>
    <w:rsid w:val="008D3A7F"/>
    <w:rsid w:val="008D3CFF"/>
    <w:rsid w:val="008D3E61"/>
    <w:rsid w:val="008D3FA8"/>
    <w:rsid w:val="008D3FCD"/>
    <w:rsid w:val="008D3FD4"/>
    <w:rsid w:val="008D40E3"/>
    <w:rsid w:val="008D40E6"/>
    <w:rsid w:val="008D40EF"/>
    <w:rsid w:val="008D410D"/>
    <w:rsid w:val="008D419B"/>
    <w:rsid w:val="008D41AB"/>
    <w:rsid w:val="008D41FF"/>
    <w:rsid w:val="008D4274"/>
    <w:rsid w:val="008D42B9"/>
    <w:rsid w:val="008D43F5"/>
    <w:rsid w:val="008D4493"/>
    <w:rsid w:val="008D458B"/>
    <w:rsid w:val="008D46C7"/>
    <w:rsid w:val="008D46D5"/>
    <w:rsid w:val="008D478A"/>
    <w:rsid w:val="008D47F6"/>
    <w:rsid w:val="008D482E"/>
    <w:rsid w:val="008D48EF"/>
    <w:rsid w:val="008D4911"/>
    <w:rsid w:val="008D4B09"/>
    <w:rsid w:val="008D4BEE"/>
    <w:rsid w:val="008D4CDA"/>
    <w:rsid w:val="008D4CE5"/>
    <w:rsid w:val="008D4CF9"/>
    <w:rsid w:val="008D4F20"/>
    <w:rsid w:val="008D4F68"/>
    <w:rsid w:val="008D4F7B"/>
    <w:rsid w:val="008D4FDE"/>
    <w:rsid w:val="008D5015"/>
    <w:rsid w:val="008D5331"/>
    <w:rsid w:val="008D5480"/>
    <w:rsid w:val="008D558D"/>
    <w:rsid w:val="008D5633"/>
    <w:rsid w:val="008D5759"/>
    <w:rsid w:val="008D57ED"/>
    <w:rsid w:val="008D5814"/>
    <w:rsid w:val="008D5856"/>
    <w:rsid w:val="008D5981"/>
    <w:rsid w:val="008D5991"/>
    <w:rsid w:val="008D59E4"/>
    <w:rsid w:val="008D5A0F"/>
    <w:rsid w:val="008D5A5A"/>
    <w:rsid w:val="008D5B8B"/>
    <w:rsid w:val="008D5BCD"/>
    <w:rsid w:val="008D5C95"/>
    <w:rsid w:val="008D5CC8"/>
    <w:rsid w:val="008D5D4D"/>
    <w:rsid w:val="008D5D6A"/>
    <w:rsid w:val="008D5D84"/>
    <w:rsid w:val="008D5DB4"/>
    <w:rsid w:val="008D5DCA"/>
    <w:rsid w:val="008D5E98"/>
    <w:rsid w:val="008D5EFA"/>
    <w:rsid w:val="008D5F22"/>
    <w:rsid w:val="008D5FA6"/>
    <w:rsid w:val="008D5FF1"/>
    <w:rsid w:val="008D6160"/>
    <w:rsid w:val="008D6188"/>
    <w:rsid w:val="008D6192"/>
    <w:rsid w:val="008D626E"/>
    <w:rsid w:val="008D63E9"/>
    <w:rsid w:val="008D6468"/>
    <w:rsid w:val="008D64C8"/>
    <w:rsid w:val="008D65DC"/>
    <w:rsid w:val="008D6799"/>
    <w:rsid w:val="008D68CB"/>
    <w:rsid w:val="008D68E3"/>
    <w:rsid w:val="008D6963"/>
    <w:rsid w:val="008D697A"/>
    <w:rsid w:val="008D69C3"/>
    <w:rsid w:val="008D6AD5"/>
    <w:rsid w:val="008D6B43"/>
    <w:rsid w:val="008D6B46"/>
    <w:rsid w:val="008D6C0B"/>
    <w:rsid w:val="008D6CFC"/>
    <w:rsid w:val="008D6D71"/>
    <w:rsid w:val="008D6DB7"/>
    <w:rsid w:val="008D6E4F"/>
    <w:rsid w:val="008D711B"/>
    <w:rsid w:val="008D71B3"/>
    <w:rsid w:val="008D7258"/>
    <w:rsid w:val="008D73B5"/>
    <w:rsid w:val="008D73E8"/>
    <w:rsid w:val="008D753C"/>
    <w:rsid w:val="008D75E8"/>
    <w:rsid w:val="008D7621"/>
    <w:rsid w:val="008D7624"/>
    <w:rsid w:val="008D7675"/>
    <w:rsid w:val="008D774C"/>
    <w:rsid w:val="008D7795"/>
    <w:rsid w:val="008D77A6"/>
    <w:rsid w:val="008D77F3"/>
    <w:rsid w:val="008D77FE"/>
    <w:rsid w:val="008D7922"/>
    <w:rsid w:val="008D798A"/>
    <w:rsid w:val="008D79C8"/>
    <w:rsid w:val="008D7A70"/>
    <w:rsid w:val="008D7A8F"/>
    <w:rsid w:val="008D7B44"/>
    <w:rsid w:val="008D7C55"/>
    <w:rsid w:val="008D7D83"/>
    <w:rsid w:val="008D7DAF"/>
    <w:rsid w:val="008D7F11"/>
    <w:rsid w:val="008E0034"/>
    <w:rsid w:val="008E004C"/>
    <w:rsid w:val="008E00A1"/>
    <w:rsid w:val="008E00A5"/>
    <w:rsid w:val="008E00D6"/>
    <w:rsid w:val="008E00DA"/>
    <w:rsid w:val="008E00F3"/>
    <w:rsid w:val="008E0128"/>
    <w:rsid w:val="008E0179"/>
    <w:rsid w:val="008E01CD"/>
    <w:rsid w:val="008E01F7"/>
    <w:rsid w:val="008E0292"/>
    <w:rsid w:val="008E02DD"/>
    <w:rsid w:val="008E0334"/>
    <w:rsid w:val="008E0353"/>
    <w:rsid w:val="008E0496"/>
    <w:rsid w:val="008E04A5"/>
    <w:rsid w:val="008E05A3"/>
    <w:rsid w:val="008E0610"/>
    <w:rsid w:val="008E06A4"/>
    <w:rsid w:val="008E07C0"/>
    <w:rsid w:val="008E0869"/>
    <w:rsid w:val="008E0971"/>
    <w:rsid w:val="008E09DF"/>
    <w:rsid w:val="008E0A40"/>
    <w:rsid w:val="008E0A79"/>
    <w:rsid w:val="008E0AA3"/>
    <w:rsid w:val="008E0AB5"/>
    <w:rsid w:val="008E0AD7"/>
    <w:rsid w:val="008E0B16"/>
    <w:rsid w:val="008E0C02"/>
    <w:rsid w:val="008E0DBE"/>
    <w:rsid w:val="008E0E38"/>
    <w:rsid w:val="008E0FA6"/>
    <w:rsid w:val="008E0FD9"/>
    <w:rsid w:val="008E1002"/>
    <w:rsid w:val="008E1212"/>
    <w:rsid w:val="008E12AB"/>
    <w:rsid w:val="008E12BF"/>
    <w:rsid w:val="008E143E"/>
    <w:rsid w:val="008E1670"/>
    <w:rsid w:val="008E16C1"/>
    <w:rsid w:val="008E16DB"/>
    <w:rsid w:val="008E1727"/>
    <w:rsid w:val="008E17E4"/>
    <w:rsid w:val="008E17F1"/>
    <w:rsid w:val="008E18DB"/>
    <w:rsid w:val="008E1A17"/>
    <w:rsid w:val="008E1B25"/>
    <w:rsid w:val="008E1C21"/>
    <w:rsid w:val="008E1D0F"/>
    <w:rsid w:val="008E1EBE"/>
    <w:rsid w:val="008E1F1D"/>
    <w:rsid w:val="008E1FEC"/>
    <w:rsid w:val="008E2074"/>
    <w:rsid w:val="008E2091"/>
    <w:rsid w:val="008E20A5"/>
    <w:rsid w:val="008E2103"/>
    <w:rsid w:val="008E21BB"/>
    <w:rsid w:val="008E2262"/>
    <w:rsid w:val="008E2355"/>
    <w:rsid w:val="008E23B7"/>
    <w:rsid w:val="008E2489"/>
    <w:rsid w:val="008E273C"/>
    <w:rsid w:val="008E274E"/>
    <w:rsid w:val="008E278C"/>
    <w:rsid w:val="008E297F"/>
    <w:rsid w:val="008E29AD"/>
    <w:rsid w:val="008E29C3"/>
    <w:rsid w:val="008E29C5"/>
    <w:rsid w:val="008E2C9F"/>
    <w:rsid w:val="008E2CE5"/>
    <w:rsid w:val="008E2D07"/>
    <w:rsid w:val="008E2D9D"/>
    <w:rsid w:val="008E2E82"/>
    <w:rsid w:val="008E3012"/>
    <w:rsid w:val="008E30A4"/>
    <w:rsid w:val="008E3132"/>
    <w:rsid w:val="008E317F"/>
    <w:rsid w:val="008E318A"/>
    <w:rsid w:val="008E3325"/>
    <w:rsid w:val="008E33E0"/>
    <w:rsid w:val="008E341B"/>
    <w:rsid w:val="008E3445"/>
    <w:rsid w:val="008E34A4"/>
    <w:rsid w:val="008E351C"/>
    <w:rsid w:val="008E3736"/>
    <w:rsid w:val="008E3792"/>
    <w:rsid w:val="008E37EE"/>
    <w:rsid w:val="008E3888"/>
    <w:rsid w:val="008E3987"/>
    <w:rsid w:val="008E3A72"/>
    <w:rsid w:val="008E3AB1"/>
    <w:rsid w:val="008E3AF6"/>
    <w:rsid w:val="008E3B76"/>
    <w:rsid w:val="008E3B86"/>
    <w:rsid w:val="008E3B93"/>
    <w:rsid w:val="008E3BB9"/>
    <w:rsid w:val="008E3BC0"/>
    <w:rsid w:val="008E3C49"/>
    <w:rsid w:val="008E3C5A"/>
    <w:rsid w:val="008E3CDA"/>
    <w:rsid w:val="008E3E57"/>
    <w:rsid w:val="008E3E93"/>
    <w:rsid w:val="008E3EA2"/>
    <w:rsid w:val="008E3F2A"/>
    <w:rsid w:val="008E3F41"/>
    <w:rsid w:val="008E3F66"/>
    <w:rsid w:val="008E3FEF"/>
    <w:rsid w:val="008E412B"/>
    <w:rsid w:val="008E416F"/>
    <w:rsid w:val="008E41E4"/>
    <w:rsid w:val="008E4281"/>
    <w:rsid w:val="008E42E4"/>
    <w:rsid w:val="008E4332"/>
    <w:rsid w:val="008E4342"/>
    <w:rsid w:val="008E4364"/>
    <w:rsid w:val="008E441A"/>
    <w:rsid w:val="008E443C"/>
    <w:rsid w:val="008E4458"/>
    <w:rsid w:val="008E4547"/>
    <w:rsid w:val="008E469F"/>
    <w:rsid w:val="008E4704"/>
    <w:rsid w:val="008E4903"/>
    <w:rsid w:val="008E4987"/>
    <w:rsid w:val="008E499A"/>
    <w:rsid w:val="008E49FB"/>
    <w:rsid w:val="008E49FF"/>
    <w:rsid w:val="008E4A21"/>
    <w:rsid w:val="008E4A6D"/>
    <w:rsid w:val="008E4A86"/>
    <w:rsid w:val="008E4AD1"/>
    <w:rsid w:val="008E4AF4"/>
    <w:rsid w:val="008E4B7D"/>
    <w:rsid w:val="008E4BA6"/>
    <w:rsid w:val="008E4BC1"/>
    <w:rsid w:val="008E4CCD"/>
    <w:rsid w:val="008E4CE2"/>
    <w:rsid w:val="008E4CE6"/>
    <w:rsid w:val="008E4CF4"/>
    <w:rsid w:val="008E4EF1"/>
    <w:rsid w:val="008E4F2F"/>
    <w:rsid w:val="008E4F46"/>
    <w:rsid w:val="008E4F6C"/>
    <w:rsid w:val="008E5004"/>
    <w:rsid w:val="008E505D"/>
    <w:rsid w:val="008E50BD"/>
    <w:rsid w:val="008E50CA"/>
    <w:rsid w:val="008E5128"/>
    <w:rsid w:val="008E5160"/>
    <w:rsid w:val="008E5245"/>
    <w:rsid w:val="008E546A"/>
    <w:rsid w:val="008E5619"/>
    <w:rsid w:val="008E5699"/>
    <w:rsid w:val="008E56D9"/>
    <w:rsid w:val="008E5913"/>
    <w:rsid w:val="008E59EA"/>
    <w:rsid w:val="008E5ABC"/>
    <w:rsid w:val="008E5AE1"/>
    <w:rsid w:val="008E5C11"/>
    <w:rsid w:val="008E5C9A"/>
    <w:rsid w:val="008E5CED"/>
    <w:rsid w:val="008E5D00"/>
    <w:rsid w:val="008E5D0C"/>
    <w:rsid w:val="008E5DA9"/>
    <w:rsid w:val="008E5E9A"/>
    <w:rsid w:val="008E5FBC"/>
    <w:rsid w:val="008E606E"/>
    <w:rsid w:val="008E6331"/>
    <w:rsid w:val="008E639B"/>
    <w:rsid w:val="008E63B4"/>
    <w:rsid w:val="008E6484"/>
    <w:rsid w:val="008E64CE"/>
    <w:rsid w:val="008E65D6"/>
    <w:rsid w:val="008E65DE"/>
    <w:rsid w:val="008E6720"/>
    <w:rsid w:val="008E67DA"/>
    <w:rsid w:val="008E67FF"/>
    <w:rsid w:val="008E6927"/>
    <w:rsid w:val="008E6935"/>
    <w:rsid w:val="008E6A3F"/>
    <w:rsid w:val="008E6B0E"/>
    <w:rsid w:val="008E6B15"/>
    <w:rsid w:val="008E6B91"/>
    <w:rsid w:val="008E6BBD"/>
    <w:rsid w:val="008E6DC1"/>
    <w:rsid w:val="008E6E0E"/>
    <w:rsid w:val="008E6E7F"/>
    <w:rsid w:val="008E6F69"/>
    <w:rsid w:val="008E6F85"/>
    <w:rsid w:val="008E7059"/>
    <w:rsid w:val="008E707A"/>
    <w:rsid w:val="008E7170"/>
    <w:rsid w:val="008E7172"/>
    <w:rsid w:val="008E71D0"/>
    <w:rsid w:val="008E7200"/>
    <w:rsid w:val="008E7255"/>
    <w:rsid w:val="008E7297"/>
    <w:rsid w:val="008E72F8"/>
    <w:rsid w:val="008E7391"/>
    <w:rsid w:val="008E73E2"/>
    <w:rsid w:val="008E7485"/>
    <w:rsid w:val="008E7538"/>
    <w:rsid w:val="008E755F"/>
    <w:rsid w:val="008E758B"/>
    <w:rsid w:val="008E77E3"/>
    <w:rsid w:val="008E788A"/>
    <w:rsid w:val="008E78A1"/>
    <w:rsid w:val="008E78AD"/>
    <w:rsid w:val="008E78FF"/>
    <w:rsid w:val="008E792F"/>
    <w:rsid w:val="008E7A3F"/>
    <w:rsid w:val="008E7A7E"/>
    <w:rsid w:val="008E7A8A"/>
    <w:rsid w:val="008E7C5C"/>
    <w:rsid w:val="008E7C78"/>
    <w:rsid w:val="008E7CBB"/>
    <w:rsid w:val="008E7F68"/>
    <w:rsid w:val="008F0083"/>
    <w:rsid w:val="008F0124"/>
    <w:rsid w:val="008F0248"/>
    <w:rsid w:val="008F0295"/>
    <w:rsid w:val="008F034F"/>
    <w:rsid w:val="008F03B5"/>
    <w:rsid w:val="008F048F"/>
    <w:rsid w:val="008F0646"/>
    <w:rsid w:val="008F066F"/>
    <w:rsid w:val="008F0686"/>
    <w:rsid w:val="008F06AF"/>
    <w:rsid w:val="008F06CB"/>
    <w:rsid w:val="008F06D2"/>
    <w:rsid w:val="008F071F"/>
    <w:rsid w:val="008F0881"/>
    <w:rsid w:val="008F0915"/>
    <w:rsid w:val="008F0A0F"/>
    <w:rsid w:val="008F0A10"/>
    <w:rsid w:val="008F0C2C"/>
    <w:rsid w:val="008F0CA3"/>
    <w:rsid w:val="008F0CD7"/>
    <w:rsid w:val="008F0D88"/>
    <w:rsid w:val="008F0DA1"/>
    <w:rsid w:val="008F0E04"/>
    <w:rsid w:val="008F0E11"/>
    <w:rsid w:val="008F0E3E"/>
    <w:rsid w:val="008F0E41"/>
    <w:rsid w:val="008F0E8D"/>
    <w:rsid w:val="008F0F26"/>
    <w:rsid w:val="008F0F7F"/>
    <w:rsid w:val="008F0F8E"/>
    <w:rsid w:val="008F0FF3"/>
    <w:rsid w:val="008F1005"/>
    <w:rsid w:val="008F1059"/>
    <w:rsid w:val="008F1151"/>
    <w:rsid w:val="008F13EB"/>
    <w:rsid w:val="008F14B7"/>
    <w:rsid w:val="008F1520"/>
    <w:rsid w:val="008F1705"/>
    <w:rsid w:val="008F1783"/>
    <w:rsid w:val="008F17CB"/>
    <w:rsid w:val="008F185B"/>
    <w:rsid w:val="008F186F"/>
    <w:rsid w:val="008F1972"/>
    <w:rsid w:val="008F19DD"/>
    <w:rsid w:val="008F19F6"/>
    <w:rsid w:val="008F1AFE"/>
    <w:rsid w:val="008F1B98"/>
    <w:rsid w:val="008F1C42"/>
    <w:rsid w:val="008F1CD0"/>
    <w:rsid w:val="008F2039"/>
    <w:rsid w:val="008F2047"/>
    <w:rsid w:val="008F207D"/>
    <w:rsid w:val="008F20C1"/>
    <w:rsid w:val="008F212A"/>
    <w:rsid w:val="008F275B"/>
    <w:rsid w:val="008F27BB"/>
    <w:rsid w:val="008F2874"/>
    <w:rsid w:val="008F29A0"/>
    <w:rsid w:val="008F2A09"/>
    <w:rsid w:val="008F2B3D"/>
    <w:rsid w:val="008F2C20"/>
    <w:rsid w:val="008F2C4F"/>
    <w:rsid w:val="008F2C92"/>
    <w:rsid w:val="008F2D31"/>
    <w:rsid w:val="008F2D4E"/>
    <w:rsid w:val="008F2D89"/>
    <w:rsid w:val="008F2DBF"/>
    <w:rsid w:val="008F2DD0"/>
    <w:rsid w:val="008F2EA0"/>
    <w:rsid w:val="008F2FE1"/>
    <w:rsid w:val="008F2FEE"/>
    <w:rsid w:val="008F30D6"/>
    <w:rsid w:val="008F30E3"/>
    <w:rsid w:val="008F313A"/>
    <w:rsid w:val="008F313D"/>
    <w:rsid w:val="008F320D"/>
    <w:rsid w:val="008F3243"/>
    <w:rsid w:val="008F325E"/>
    <w:rsid w:val="008F32A9"/>
    <w:rsid w:val="008F3300"/>
    <w:rsid w:val="008F3394"/>
    <w:rsid w:val="008F33ED"/>
    <w:rsid w:val="008F348A"/>
    <w:rsid w:val="008F34ED"/>
    <w:rsid w:val="008F3531"/>
    <w:rsid w:val="008F354C"/>
    <w:rsid w:val="008F355B"/>
    <w:rsid w:val="008F35E5"/>
    <w:rsid w:val="008F3645"/>
    <w:rsid w:val="008F36D4"/>
    <w:rsid w:val="008F3700"/>
    <w:rsid w:val="008F3864"/>
    <w:rsid w:val="008F38C9"/>
    <w:rsid w:val="008F3985"/>
    <w:rsid w:val="008F399A"/>
    <w:rsid w:val="008F3B41"/>
    <w:rsid w:val="008F3BCF"/>
    <w:rsid w:val="008F3CD0"/>
    <w:rsid w:val="008F3CF5"/>
    <w:rsid w:val="008F3D85"/>
    <w:rsid w:val="008F3EAB"/>
    <w:rsid w:val="008F3F97"/>
    <w:rsid w:val="008F3F9F"/>
    <w:rsid w:val="008F4012"/>
    <w:rsid w:val="008F40D2"/>
    <w:rsid w:val="008F422C"/>
    <w:rsid w:val="008F4238"/>
    <w:rsid w:val="008F42F3"/>
    <w:rsid w:val="008F4368"/>
    <w:rsid w:val="008F444B"/>
    <w:rsid w:val="008F4453"/>
    <w:rsid w:val="008F452E"/>
    <w:rsid w:val="008F458D"/>
    <w:rsid w:val="008F4693"/>
    <w:rsid w:val="008F46C3"/>
    <w:rsid w:val="008F47F9"/>
    <w:rsid w:val="008F484C"/>
    <w:rsid w:val="008F48C6"/>
    <w:rsid w:val="008F48EC"/>
    <w:rsid w:val="008F4903"/>
    <w:rsid w:val="008F49DC"/>
    <w:rsid w:val="008F49F7"/>
    <w:rsid w:val="008F4A1D"/>
    <w:rsid w:val="008F4AB1"/>
    <w:rsid w:val="008F4AEC"/>
    <w:rsid w:val="008F4B05"/>
    <w:rsid w:val="008F4B60"/>
    <w:rsid w:val="008F4B95"/>
    <w:rsid w:val="008F4C23"/>
    <w:rsid w:val="008F4CE5"/>
    <w:rsid w:val="008F4D7C"/>
    <w:rsid w:val="008F4D8B"/>
    <w:rsid w:val="008F4DB5"/>
    <w:rsid w:val="008F4DBC"/>
    <w:rsid w:val="008F4EB1"/>
    <w:rsid w:val="008F4EE3"/>
    <w:rsid w:val="008F4EF6"/>
    <w:rsid w:val="008F4F1D"/>
    <w:rsid w:val="008F4FD7"/>
    <w:rsid w:val="008F4FF4"/>
    <w:rsid w:val="008F5134"/>
    <w:rsid w:val="008F51E4"/>
    <w:rsid w:val="008F525C"/>
    <w:rsid w:val="008F53D6"/>
    <w:rsid w:val="008F547C"/>
    <w:rsid w:val="008F55BE"/>
    <w:rsid w:val="008F560D"/>
    <w:rsid w:val="008F56A4"/>
    <w:rsid w:val="008F57AB"/>
    <w:rsid w:val="008F57B9"/>
    <w:rsid w:val="008F57E5"/>
    <w:rsid w:val="008F591C"/>
    <w:rsid w:val="008F592C"/>
    <w:rsid w:val="008F59DB"/>
    <w:rsid w:val="008F59F9"/>
    <w:rsid w:val="008F59FF"/>
    <w:rsid w:val="008F5BBE"/>
    <w:rsid w:val="008F5C73"/>
    <w:rsid w:val="008F5CDB"/>
    <w:rsid w:val="008F5DD0"/>
    <w:rsid w:val="008F5E22"/>
    <w:rsid w:val="008F5EBF"/>
    <w:rsid w:val="008F5F38"/>
    <w:rsid w:val="008F5F92"/>
    <w:rsid w:val="008F5FFA"/>
    <w:rsid w:val="008F60D9"/>
    <w:rsid w:val="008F61EA"/>
    <w:rsid w:val="008F6250"/>
    <w:rsid w:val="008F62A7"/>
    <w:rsid w:val="008F62BD"/>
    <w:rsid w:val="008F6303"/>
    <w:rsid w:val="008F6408"/>
    <w:rsid w:val="008F6411"/>
    <w:rsid w:val="008F641D"/>
    <w:rsid w:val="008F643F"/>
    <w:rsid w:val="008F6477"/>
    <w:rsid w:val="008F64A7"/>
    <w:rsid w:val="008F64C9"/>
    <w:rsid w:val="008F64F1"/>
    <w:rsid w:val="008F659F"/>
    <w:rsid w:val="008F6A43"/>
    <w:rsid w:val="008F6A77"/>
    <w:rsid w:val="008F6AA2"/>
    <w:rsid w:val="008F6B68"/>
    <w:rsid w:val="008F6BA7"/>
    <w:rsid w:val="008F6CD4"/>
    <w:rsid w:val="008F6D00"/>
    <w:rsid w:val="008F6DDC"/>
    <w:rsid w:val="008F6E79"/>
    <w:rsid w:val="008F6EA3"/>
    <w:rsid w:val="008F6FA9"/>
    <w:rsid w:val="008F703C"/>
    <w:rsid w:val="008F721C"/>
    <w:rsid w:val="008F7382"/>
    <w:rsid w:val="008F738B"/>
    <w:rsid w:val="008F744E"/>
    <w:rsid w:val="008F7476"/>
    <w:rsid w:val="008F75B4"/>
    <w:rsid w:val="008F7609"/>
    <w:rsid w:val="008F7670"/>
    <w:rsid w:val="008F7672"/>
    <w:rsid w:val="008F76A7"/>
    <w:rsid w:val="008F76B4"/>
    <w:rsid w:val="008F77E2"/>
    <w:rsid w:val="008F7836"/>
    <w:rsid w:val="008F791E"/>
    <w:rsid w:val="008F7A71"/>
    <w:rsid w:val="008F7B00"/>
    <w:rsid w:val="008F7B25"/>
    <w:rsid w:val="008F7B2C"/>
    <w:rsid w:val="008F7B9E"/>
    <w:rsid w:val="008F7C18"/>
    <w:rsid w:val="008F7CBD"/>
    <w:rsid w:val="008F7D75"/>
    <w:rsid w:val="008F7D7B"/>
    <w:rsid w:val="008F7D7E"/>
    <w:rsid w:val="008F7D94"/>
    <w:rsid w:val="008F7E42"/>
    <w:rsid w:val="008F7E7D"/>
    <w:rsid w:val="008F7E8A"/>
    <w:rsid w:val="008F7F75"/>
    <w:rsid w:val="008F7FA3"/>
    <w:rsid w:val="008F7FBB"/>
    <w:rsid w:val="008F7FCE"/>
    <w:rsid w:val="0090000B"/>
    <w:rsid w:val="0090003F"/>
    <w:rsid w:val="00900068"/>
    <w:rsid w:val="0090018D"/>
    <w:rsid w:val="009001BB"/>
    <w:rsid w:val="00900250"/>
    <w:rsid w:val="00900265"/>
    <w:rsid w:val="0090037D"/>
    <w:rsid w:val="0090040B"/>
    <w:rsid w:val="0090044A"/>
    <w:rsid w:val="009005F3"/>
    <w:rsid w:val="0090061A"/>
    <w:rsid w:val="00900635"/>
    <w:rsid w:val="00900663"/>
    <w:rsid w:val="009006A2"/>
    <w:rsid w:val="009008A5"/>
    <w:rsid w:val="009008FB"/>
    <w:rsid w:val="00900918"/>
    <w:rsid w:val="00900920"/>
    <w:rsid w:val="0090099C"/>
    <w:rsid w:val="009009F4"/>
    <w:rsid w:val="00900AF2"/>
    <w:rsid w:val="00900C6F"/>
    <w:rsid w:val="00900C82"/>
    <w:rsid w:val="00900C93"/>
    <w:rsid w:val="00900C94"/>
    <w:rsid w:val="00900CA3"/>
    <w:rsid w:val="00900D1D"/>
    <w:rsid w:val="00900E92"/>
    <w:rsid w:val="00900ECC"/>
    <w:rsid w:val="00900F82"/>
    <w:rsid w:val="00900FCF"/>
    <w:rsid w:val="00900FDB"/>
    <w:rsid w:val="00901099"/>
    <w:rsid w:val="009010D6"/>
    <w:rsid w:val="00901225"/>
    <w:rsid w:val="009012AD"/>
    <w:rsid w:val="0090130E"/>
    <w:rsid w:val="00901449"/>
    <w:rsid w:val="009014DE"/>
    <w:rsid w:val="009016B8"/>
    <w:rsid w:val="009016D1"/>
    <w:rsid w:val="00901717"/>
    <w:rsid w:val="0090175E"/>
    <w:rsid w:val="00901832"/>
    <w:rsid w:val="009018FC"/>
    <w:rsid w:val="0090191F"/>
    <w:rsid w:val="0090192D"/>
    <w:rsid w:val="009019C4"/>
    <w:rsid w:val="009019ED"/>
    <w:rsid w:val="00901B5C"/>
    <w:rsid w:val="00901B8F"/>
    <w:rsid w:val="00901BB5"/>
    <w:rsid w:val="00901BEE"/>
    <w:rsid w:val="00901C2B"/>
    <w:rsid w:val="00901D4D"/>
    <w:rsid w:val="00901E01"/>
    <w:rsid w:val="00901E26"/>
    <w:rsid w:val="00902016"/>
    <w:rsid w:val="009020D6"/>
    <w:rsid w:val="00902292"/>
    <w:rsid w:val="00902339"/>
    <w:rsid w:val="00902389"/>
    <w:rsid w:val="0090248C"/>
    <w:rsid w:val="009024BF"/>
    <w:rsid w:val="0090253D"/>
    <w:rsid w:val="0090264F"/>
    <w:rsid w:val="00902670"/>
    <w:rsid w:val="00902737"/>
    <w:rsid w:val="00902835"/>
    <w:rsid w:val="00902966"/>
    <w:rsid w:val="00902AB5"/>
    <w:rsid w:val="00902C7B"/>
    <w:rsid w:val="00902CC8"/>
    <w:rsid w:val="00902D60"/>
    <w:rsid w:val="00902E80"/>
    <w:rsid w:val="00902EA5"/>
    <w:rsid w:val="00902F2C"/>
    <w:rsid w:val="00902F43"/>
    <w:rsid w:val="00903082"/>
    <w:rsid w:val="009030FD"/>
    <w:rsid w:val="00903130"/>
    <w:rsid w:val="00903177"/>
    <w:rsid w:val="0090319E"/>
    <w:rsid w:val="009031AF"/>
    <w:rsid w:val="009031D0"/>
    <w:rsid w:val="00903226"/>
    <w:rsid w:val="0090326B"/>
    <w:rsid w:val="00903366"/>
    <w:rsid w:val="0090338C"/>
    <w:rsid w:val="0090339A"/>
    <w:rsid w:val="009033A0"/>
    <w:rsid w:val="009033B7"/>
    <w:rsid w:val="009033CA"/>
    <w:rsid w:val="009033DA"/>
    <w:rsid w:val="00903496"/>
    <w:rsid w:val="009034AD"/>
    <w:rsid w:val="009034E0"/>
    <w:rsid w:val="00903522"/>
    <w:rsid w:val="00903574"/>
    <w:rsid w:val="00903610"/>
    <w:rsid w:val="0090361C"/>
    <w:rsid w:val="009036DA"/>
    <w:rsid w:val="0090372A"/>
    <w:rsid w:val="00903796"/>
    <w:rsid w:val="009037F1"/>
    <w:rsid w:val="00903810"/>
    <w:rsid w:val="0090383B"/>
    <w:rsid w:val="00903A5D"/>
    <w:rsid w:val="00903AE4"/>
    <w:rsid w:val="00903AFD"/>
    <w:rsid w:val="00903C17"/>
    <w:rsid w:val="00903C5A"/>
    <w:rsid w:val="00903C90"/>
    <w:rsid w:val="00903CC6"/>
    <w:rsid w:val="00903CE4"/>
    <w:rsid w:val="00903D70"/>
    <w:rsid w:val="00903DDB"/>
    <w:rsid w:val="00903E92"/>
    <w:rsid w:val="00903EAA"/>
    <w:rsid w:val="00903EDE"/>
    <w:rsid w:val="00904088"/>
    <w:rsid w:val="009041FD"/>
    <w:rsid w:val="00904271"/>
    <w:rsid w:val="0090438E"/>
    <w:rsid w:val="00904445"/>
    <w:rsid w:val="009044E6"/>
    <w:rsid w:val="00904555"/>
    <w:rsid w:val="0090459C"/>
    <w:rsid w:val="009045B8"/>
    <w:rsid w:val="009046EA"/>
    <w:rsid w:val="00904845"/>
    <w:rsid w:val="0090486B"/>
    <w:rsid w:val="0090488D"/>
    <w:rsid w:val="009048B6"/>
    <w:rsid w:val="009048BD"/>
    <w:rsid w:val="0090499D"/>
    <w:rsid w:val="009049C7"/>
    <w:rsid w:val="009049D6"/>
    <w:rsid w:val="00904B33"/>
    <w:rsid w:val="00904BF1"/>
    <w:rsid w:val="00904C2B"/>
    <w:rsid w:val="00904C94"/>
    <w:rsid w:val="00904CF8"/>
    <w:rsid w:val="00904DAF"/>
    <w:rsid w:val="00904E20"/>
    <w:rsid w:val="00904E95"/>
    <w:rsid w:val="00904EC6"/>
    <w:rsid w:val="0090502A"/>
    <w:rsid w:val="00905272"/>
    <w:rsid w:val="009052AB"/>
    <w:rsid w:val="009052BF"/>
    <w:rsid w:val="0090530E"/>
    <w:rsid w:val="0090550D"/>
    <w:rsid w:val="009055F9"/>
    <w:rsid w:val="00905612"/>
    <w:rsid w:val="00905633"/>
    <w:rsid w:val="009056EC"/>
    <w:rsid w:val="00905810"/>
    <w:rsid w:val="009058AB"/>
    <w:rsid w:val="0090592E"/>
    <w:rsid w:val="009059E2"/>
    <w:rsid w:val="009059F1"/>
    <w:rsid w:val="00905B20"/>
    <w:rsid w:val="00905C07"/>
    <w:rsid w:val="00905CE8"/>
    <w:rsid w:val="00905DF0"/>
    <w:rsid w:val="00905E1E"/>
    <w:rsid w:val="00905EAD"/>
    <w:rsid w:val="00905EDB"/>
    <w:rsid w:val="00905F81"/>
    <w:rsid w:val="00905FB0"/>
    <w:rsid w:val="00906030"/>
    <w:rsid w:val="009060AB"/>
    <w:rsid w:val="009060C7"/>
    <w:rsid w:val="009061A4"/>
    <w:rsid w:val="009061E6"/>
    <w:rsid w:val="00906204"/>
    <w:rsid w:val="00906213"/>
    <w:rsid w:val="00906299"/>
    <w:rsid w:val="0090643F"/>
    <w:rsid w:val="009064C2"/>
    <w:rsid w:val="009064F5"/>
    <w:rsid w:val="0090655D"/>
    <w:rsid w:val="009065B1"/>
    <w:rsid w:val="0090661B"/>
    <w:rsid w:val="009066AA"/>
    <w:rsid w:val="00906722"/>
    <w:rsid w:val="0090689F"/>
    <w:rsid w:val="009069E0"/>
    <w:rsid w:val="00906A19"/>
    <w:rsid w:val="00906A2E"/>
    <w:rsid w:val="00906A33"/>
    <w:rsid w:val="00906A4E"/>
    <w:rsid w:val="00906BCC"/>
    <w:rsid w:val="00906BEA"/>
    <w:rsid w:val="00906BED"/>
    <w:rsid w:val="00906C16"/>
    <w:rsid w:val="00906C73"/>
    <w:rsid w:val="00906C87"/>
    <w:rsid w:val="00906D48"/>
    <w:rsid w:val="00906D89"/>
    <w:rsid w:val="00906DC4"/>
    <w:rsid w:val="00906E81"/>
    <w:rsid w:val="00906EB0"/>
    <w:rsid w:val="00906EB8"/>
    <w:rsid w:val="00906F42"/>
    <w:rsid w:val="00906FFC"/>
    <w:rsid w:val="009070B6"/>
    <w:rsid w:val="009071AF"/>
    <w:rsid w:val="00907262"/>
    <w:rsid w:val="00907359"/>
    <w:rsid w:val="009075BE"/>
    <w:rsid w:val="0090767C"/>
    <w:rsid w:val="009077C5"/>
    <w:rsid w:val="00907866"/>
    <w:rsid w:val="009079AF"/>
    <w:rsid w:val="009079C1"/>
    <w:rsid w:val="009079CF"/>
    <w:rsid w:val="00907A28"/>
    <w:rsid w:val="00907AF4"/>
    <w:rsid w:val="00907BDC"/>
    <w:rsid w:val="00907C1A"/>
    <w:rsid w:val="00907C44"/>
    <w:rsid w:val="00907C7B"/>
    <w:rsid w:val="00907C97"/>
    <w:rsid w:val="00907D26"/>
    <w:rsid w:val="00907DBA"/>
    <w:rsid w:val="00907DF9"/>
    <w:rsid w:val="00907E03"/>
    <w:rsid w:val="00907E3C"/>
    <w:rsid w:val="00907E97"/>
    <w:rsid w:val="00907F1D"/>
    <w:rsid w:val="00907F1F"/>
    <w:rsid w:val="00907F47"/>
    <w:rsid w:val="00907FAB"/>
    <w:rsid w:val="009100EA"/>
    <w:rsid w:val="0091029A"/>
    <w:rsid w:val="009102FC"/>
    <w:rsid w:val="00910318"/>
    <w:rsid w:val="00910475"/>
    <w:rsid w:val="0091055B"/>
    <w:rsid w:val="009105B1"/>
    <w:rsid w:val="00910621"/>
    <w:rsid w:val="009106FF"/>
    <w:rsid w:val="00910721"/>
    <w:rsid w:val="00910781"/>
    <w:rsid w:val="00910790"/>
    <w:rsid w:val="009107CF"/>
    <w:rsid w:val="009108B4"/>
    <w:rsid w:val="00910A03"/>
    <w:rsid w:val="00910AD6"/>
    <w:rsid w:val="00910ADE"/>
    <w:rsid w:val="00910B5A"/>
    <w:rsid w:val="00910BC5"/>
    <w:rsid w:val="00910CF3"/>
    <w:rsid w:val="00910E6A"/>
    <w:rsid w:val="00910ECD"/>
    <w:rsid w:val="00910F04"/>
    <w:rsid w:val="00910F8E"/>
    <w:rsid w:val="00910FD0"/>
    <w:rsid w:val="0091113D"/>
    <w:rsid w:val="00911183"/>
    <w:rsid w:val="00911228"/>
    <w:rsid w:val="0091122C"/>
    <w:rsid w:val="0091131B"/>
    <w:rsid w:val="009113F0"/>
    <w:rsid w:val="0091148D"/>
    <w:rsid w:val="00911519"/>
    <w:rsid w:val="00911585"/>
    <w:rsid w:val="0091174B"/>
    <w:rsid w:val="00911764"/>
    <w:rsid w:val="009117E6"/>
    <w:rsid w:val="00911810"/>
    <w:rsid w:val="009118BD"/>
    <w:rsid w:val="00911931"/>
    <w:rsid w:val="009119AA"/>
    <w:rsid w:val="00911BA4"/>
    <w:rsid w:val="00911BCE"/>
    <w:rsid w:val="00911C1C"/>
    <w:rsid w:val="00911D34"/>
    <w:rsid w:val="00911DED"/>
    <w:rsid w:val="00911DFA"/>
    <w:rsid w:val="00911EB1"/>
    <w:rsid w:val="00912241"/>
    <w:rsid w:val="00912257"/>
    <w:rsid w:val="00912261"/>
    <w:rsid w:val="0091235C"/>
    <w:rsid w:val="00912481"/>
    <w:rsid w:val="00912485"/>
    <w:rsid w:val="009124D2"/>
    <w:rsid w:val="009124F0"/>
    <w:rsid w:val="0091251C"/>
    <w:rsid w:val="00912605"/>
    <w:rsid w:val="00912636"/>
    <w:rsid w:val="00912652"/>
    <w:rsid w:val="00912824"/>
    <w:rsid w:val="00912828"/>
    <w:rsid w:val="00912A4C"/>
    <w:rsid w:val="00912B10"/>
    <w:rsid w:val="00912B90"/>
    <w:rsid w:val="00912D7F"/>
    <w:rsid w:val="00912DB0"/>
    <w:rsid w:val="00912DB2"/>
    <w:rsid w:val="00912EEC"/>
    <w:rsid w:val="00912EF3"/>
    <w:rsid w:val="00913044"/>
    <w:rsid w:val="009130B0"/>
    <w:rsid w:val="009130DB"/>
    <w:rsid w:val="00913145"/>
    <w:rsid w:val="009131D3"/>
    <w:rsid w:val="009133A8"/>
    <w:rsid w:val="00913463"/>
    <w:rsid w:val="009135B3"/>
    <w:rsid w:val="0091367C"/>
    <w:rsid w:val="00913703"/>
    <w:rsid w:val="00913762"/>
    <w:rsid w:val="009137AA"/>
    <w:rsid w:val="009137B0"/>
    <w:rsid w:val="0091383F"/>
    <w:rsid w:val="00913899"/>
    <w:rsid w:val="0091391C"/>
    <w:rsid w:val="00913947"/>
    <w:rsid w:val="00913981"/>
    <w:rsid w:val="00913A21"/>
    <w:rsid w:val="00913B69"/>
    <w:rsid w:val="00913BDF"/>
    <w:rsid w:val="00913BF8"/>
    <w:rsid w:val="00913C84"/>
    <w:rsid w:val="00913CB1"/>
    <w:rsid w:val="00913CE6"/>
    <w:rsid w:val="00913D94"/>
    <w:rsid w:val="00913DFE"/>
    <w:rsid w:val="00913EE1"/>
    <w:rsid w:val="00913FD4"/>
    <w:rsid w:val="00913FE3"/>
    <w:rsid w:val="00914119"/>
    <w:rsid w:val="0091435D"/>
    <w:rsid w:val="009143C7"/>
    <w:rsid w:val="009143EB"/>
    <w:rsid w:val="009144AC"/>
    <w:rsid w:val="009145E7"/>
    <w:rsid w:val="009146F2"/>
    <w:rsid w:val="009147FC"/>
    <w:rsid w:val="00914800"/>
    <w:rsid w:val="0091486C"/>
    <w:rsid w:val="009148B0"/>
    <w:rsid w:val="00914956"/>
    <w:rsid w:val="009149D7"/>
    <w:rsid w:val="00914A62"/>
    <w:rsid w:val="00914AB1"/>
    <w:rsid w:val="00914AC2"/>
    <w:rsid w:val="00914AD5"/>
    <w:rsid w:val="00914C29"/>
    <w:rsid w:val="00914C2E"/>
    <w:rsid w:val="00914C3F"/>
    <w:rsid w:val="00914CFC"/>
    <w:rsid w:val="00914D73"/>
    <w:rsid w:val="00914D81"/>
    <w:rsid w:val="00914E5D"/>
    <w:rsid w:val="00914E84"/>
    <w:rsid w:val="00914F40"/>
    <w:rsid w:val="00914F83"/>
    <w:rsid w:val="00915002"/>
    <w:rsid w:val="0091512D"/>
    <w:rsid w:val="00915194"/>
    <w:rsid w:val="009152DA"/>
    <w:rsid w:val="009153C6"/>
    <w:rsid w:val="009153D4"/>
    <w:rsid w:val="00915416"/>
    <w:rsid w:val="0091549C"/>
    <w:rsid w:val="009154A6"/>
    <w:rsid w:val="00915651"/>
    <w:rsid w:val="00915691"/>
    <w:rsid w:val="00915731"/>
    <w:rsid w:val="00915756"/>
    <w:rsid w:val="009157BA"/>
    <w:rsid w:val="009157D9"/>
    <w:rsid w:val="009157F1"/>
    <w:rsid w:val="0091584D"/>
    <w:rsid w:val="0091589D"/>
    <w:rsid w:val="00915914"/>
    <w:rsid w:val="009159E0"/>
    <w:rsid w:val="009159E8"/>
    <w:rsid w:val="00915AD2"/>
    <w:rsid w:val="00915ADC"/>
    <w:rsid w:val="00915B47"/>
    <w:rsid w:val="00915C62"/>
    <w:rsid w:val="00915CAF"/>
    <w:rsid w:val="00915D3C"/>
    <w:rsid w:val="00915DE0"/>
    <w:rsid w:val="00915EA0"/>
    <w:rsid w:val="00915EA1"/>
    <w:rsid w:val="00915EED"/>
    <w:rsid w:val="00915F4B"/>
    <w:rsid w:val="0091603F"/>
    <w:rsid w:val="00916145"/>
    <w:rsid w:val="00916212"/>
    <w:rsid w:val="009162B3"/>
    <w:rsid w:val="009162BA"/>
    <w:rsid w:val="009162E5"/>
    <w:rsid w:val="009162F0"/>
    <w:rsid w:val="0091656E"/>
    <w:rsid w:val="0091657D"/>
    <w:rsid w:val="009165D4"/>
    <w:rsid w:val="00916681"/>
    <w:rsid w:val="0091671F"/>
    <w:rsid w:val="00916779"/>
    <w:rsid w:val="0091678C"/>
    <w:rsid w:val="00916798"/>
    <w:rsid w:val="00916799"/>
    <w:rsid w:val="009169C7"/>
    <w:rsid w:val="00916A00"/>
    <w:rsid w:val="00916A15"/>
    <w:rsid w:val="00916ACA"/>
    <w:rsid w:val="00916B4E"/>
    <w:rsid w:val="00916BBD"/>
    <w:rsid w:val="00916BC0"/>
    <w:rsid w:val="00916DAD"/>
    <w:rsid w:val="00916E47"/>
    <w:rsid w:val="00916E63"/>
    <w:rsid w:val="00916F1C"/>
    <w:rsid w:val="00916F7C"/>
    <w:rsid w:val="00916FAE"/>
    <w:rsid w:val="009171D0"/>
    <w:rsid w:val="0091720A"/>
    <w:rsid w:val="00917253"/>
    <w:rsid w:val="00917255"/>
    <w:rsid w:val="009172D5"/>
    <w:rsid w:val="009172DF"/>
    <w:rsid w:val="00917346"/>
    <w:rsid w:val="00917385"/>
    <w:rsid w:val="0091744A"/>
    <w:rsid w:val="009174FA"/>
    <w:rsid w:val="00917605"/>
    <w:rsid w:val="00917641"/>
    <w:rsid w:val="0091769C"/>
    <w:rsid w:val="00917777"/>
    <w:rsid w:val="009178F0"/>
    <w:rsid w:val="009178F6"/>
    <w:rsid w:val="009179BB"/>
    <w:rsid w:val="009179F8"/>
    <w:rsid w:val="00917A8F"/>
    <w:rsid w:val="00917BC7"/>
    <w:rsid w:val="00917C7F"/>
    <w:rsid w:val="00917C92"/>
    <w:rsid w:val="00917CE7"/>
    <w:rsid w:val="00917D66"/>
    <w:rsid w:val="00917E7B"/>
    <w:rsid w:val="00917EFF"/>
    <w:rsid w:val="00917FF3"/>
    <w:rsid w:val="0092012A"/>
    <w:rsid w:val="00920402"/>
    <w:rsid w:val="00920526"/>
    <w:rsid w:val="0092065B"/>
    <w:rsid w:val="009206C0"/>
    <w:rsid w:val="009206C1"/>
    <w:rsid w:val="00920729"/>
    <w:rsid w:val="0092096A"/>
    <w:rsid w:val="0092099C"/>
    <w:rsid w:val="009209F8"/>
    <w:rsid w:val="00920A01"/>
    <w:rsid w:val="00920A5D"/>
    <w:rsid w:val="00920A75"/>
    <w:rsid w:val="00920B1D"/>
    <w:rsid w:val="00920B35"/>
    <w:rsid w:val="00920B42"/>
    <w:rsid w:val="00920B81"/>
    <w:rsid w:val="00920BA6"/>
    <w:rsid w:val="00920C2F"/>
    <w:rsid w:val="00920CA8"/>
    <w:rsid w:val="00920CD1"/>
    <w:rsid w:val="00920DFA"/>
    <w:rsid w:val="00920E4F"/>
    <w:rsid w:val="00920E72"/>
    <w:rsid w:val="00920F68"/>
    <w:rsid w:val="0092112C"/>
    <w:rsid w:val="00921211"/>
    <w:rsid w:val="00921291"/>
    <w:rsid w:val="00921302"/>
    <w:rsid w:val="0092136F"/>
    <w:rsid w:val="0092154E"/>
    <w:rsid w:val="00921576"/>
    <w:rsid w:val="009215DF"/>
    <w:rsid w:val="00921793"/>
    <w:rsid w:val="009218B1"/>
    <w:rsid w:val="0092191C"/>
    <w:rsid w:val="00921B08"/>
    <w:rsid w:val="00921B3A"/>
    <w:rsid w:val="00921B57"/>
    <w:rsid w:val="00921BA6"/>
    <w:rsid w:val="00921BF8"/>
    <w:rsid w:val="00921C93"/>
    <w:rsid w:val="00921E58"/>
    <w:rsid w:val="00921E59"/>
    <w:rsid w:val="00921FBE"/>
    <w:rsid w:val="0092212E"/>
    <w:rsid w:val="00922177"/>
    <w:rsid w:val="009221EA"/>
    <w:rsid w:val="00922385"/>
    <w:rsid w:val="00922386"/>
    <w:rsid w:val="0092246F"/>
    <w:rsid w:val="0092248A"/>
    <w:rsid w:val="0092254A"/>
    <w:rsid w:val="009225EA"/>
    <w:rsid w:val="0092269E"/>
    <w:rsid w:val="0092279D"/>
    <w:rsid w:val="009227C5"/>
    <w:rsid w:val="009227CC"/>
    <w:rsid w:val="0092288F"/>
    <w:rsid w:val="00922935"/>
    <w:rsid w:val="009229F1"/>
    <w:rsid w:val="00922A67"/>
    <w:rsid w:val="00922B30"/>
    <w:rsid w:val="00922B41"/>
    <w:rsid w:val="00922B62"/>
    <w:rsid w:val="00922C4E"/>
    <w:rsid w:val="00922D59"/>
    <w:rsid w:val="00922DD0"/>
    <w:rsid w:val="00922DEC"/>
    <w:rsid w:val="00922E41"/>
    <w:rsid w:val="00922E6E"/>
    <w:rsid w:val="00922F69"/>
    <w:rsid w:val="00922FC9"/>
    <w:rsid w:val="00923015"/>
    <w:rsid w:val="009230B8"/>
    <w:rsid w:val="00923185"/>
    <w:rsid w:val="009231C7"/>
    <w:rsid w:val="009231D0"/>
    <w:rsid w:val="009231D7"/>
    <w:rsid w:val="009231FE"/>
    <w:rsid w:val="009232ED"/>
    <w:rsid w:val="0092332D"/>
    <w:rsid w:val="0092334F"/>
    <w:rsid w:val="00923352"/>
    <w:rsid w:val="009235DA"/>
    <w:rsid w:val="0092362D"/>
    <w:rsid w:val="00923797"/>
    <w:rsid w:val="00923917"/>
    <w:rsid w:val="009239BA"/>
    <w:rsid w:val="00923A17"/>
    <w:rsid w:val="00923ABF"/>
    <w:rsid w:val="00923B1E"/>
    <w:rsid w:val="00923BAF"/>
    <w:rsid w:val="00923C2B"/>
    <w:rsid w:val="00923C2E"/>
    <w:rsid w:val="00923C73"/>
    <w:rsid w:val="00923CD7"/>
    <w:rsid w:val="00923D20"/>
    <w:rsid w:val="00923DC3"/>
    <w:rsid w:val="00923E87"/>
    <w:rsid w:val="00923F2B"/>
    <w:rsid w:val="00924078"/>
    <w:rsid w:val="00924079"/>
    <w:rsid w:val="00924274"/>
    <w:rsid w:val="009242F2"/>
    <w:rsid w:val="00924402"/>
    <w:rsid w:val="009244A7"/>
    <w:rsid w:val="0092455F"/>
    <w:rsid w:val="00924804"/>
    <w:rsid w:val="00924876"/>
    <w:rsid w:val="0092488B"/>
    <w:rsid w:val="009248B5"/>
    <w:rsid w:val="009248BB"/>
    <w:rsid w:val="009248D3"/>
    <w:rsid w:val="009248DC"/>
    <w:rsid w:val="00924B4E"/>
    <w:rsid w:val="00924C01"/>
    <w:rsid w:val="00924C9A"/>
    <w:rsid w:val="00924CBF"/>
    <w:rsid w:val="00924D5B"/>
    <w:rsid w:val="00924DCB"/>
    <w:rsid w:val="00924DFB"/>
    <w:rsid w:val="00924E5B"/>
    <w:rsid w:val="00924FD8"/>
    <w:rsid w:val="00925024"/>
    <w:rsid w:val="00925038"/>
    <w:rsid w:val="0092514B"/>
    <w:rsid w:val="00925178"/>
    <w:rsid w:val="009251A8"/>
    <w:rsid w:val="00925247"/>
    <w:rsid w:val="00925271"/>
    <w:rsid w:val="0092532A"/>
    <w:rsid w:val="0092538C"/>
    <w:rsid w:val="009253EC"/>
    <w:rsid w:val="009253FF"/>
    <w:rsid w:val="0092543A"/>
    <w:rsid w:val="00925447"/>
    <w:rsid w:val="00925582"/>
    <w:rsid w:val="00925613"/>
    <w:rsid w:val="0092565F"/>
    <w:rsid w:val="00925669"/>
    <w:rsid w:val="009256A6"/>
    <w:rsid w:val="009256DC"/>
    <w:rsid w:val="00925774"/>
    <w:rsid w:val="0092578F"/>
    <w:rsid w:val="00925830"/>
    <w:rsid w:val="00925859"/>
    <w:rsid w:val="00925872"/>
    <w:rsid w:val="009258E7"/>
    <w:rsid w:val="0092597E"/>
    <w:rsid w:val="009259C2"/>
    <w:rsid w:val="00925A57"/>
    <w:rsid w:val="00925ADD"/>
    <w:rsid w:val="00925B48"/>
    <w:rsid w:val="00925B64"/>
    <w:rsid w:val="00925CC5"/>
    <w:rsid w:val="00925D59"/>
    <w:rsid w:val="00925DC7"/>
    <w:rsid w:val="00926011"/>
    <w:rsid w:val="0092604B"/>
    <w:rsid w:val="0092609C"/>
    <w:rsid w:val="00926170"/>
    <w:rsid w:val="00926202"/>
    <w:rsid w:val="00926221"/>
    <w:rsid w:val="009262B6"/>
    <w:rsid w:val="00926330"/>
    <w:rsid w:val="00926342"/>
    <w:rsid w:val="009264EA"/>
    <w:rsid w:val="00926507"/>
    <w:rsid w:val="0092653B"/>
    <w:rsid w:val="009265A1"/>
    <w:rsid w:val="0092664B"/>
    <w:rsid w:val="009267C4"/>
    <w:rsid w:val="0092682E"/>
    <w:rsid w:val="0092684A"/>
    <w:rsid w:val="009268FE"/>
    <w:rsid w:val="009269F4"/>
    <w:rsid w:val="009269FC"/>
    <w:rsid w:val="00926A70"/>
    <w:rsid w:val="00926B0A"/>
    <w:rsid w:val="00926BE4"/>
    <w:rsid w:val="00926CAD"/>
    <w:rsid w:val="00926DC2"/>
    <w:rsid w:val="00926E81"/>
    <w:rsid w:val="00926EA8"/>
    <w:rsid w:val="00927052"/>
    <w:rsid w:val="0092705B"/>
    <w:rsid w:val="00927124"/>
    <w:rsid w:val="0092714A"/>
    <w:rsid w:val="009271E7"/>
    <w:rsid w:val="009271FA"/>
    <w:rsid w:val="009272C0"/>
    <w:rsid w:val="00927371"/>
    <w:rsid w:val="00927375"/>
    <w:rsid w:val="009274B9"/>
    <w:rsid w:val="009275C5"/>
    <w:rsid w:val="009275CA"/>
    <w:rsid w:val="009276AE"/>
    <w:rsid w:val="00927821"/>
    <w:rsid w:val="00927830"/>
    <w:rsid w:val="00927899"/>
    <w:rsid w:val="00927A0D"/>
    <w:rsid w:val="00927A1C"/>
    <w:rsid w:val="00927AB6"/>
    <w:rsid w:val="00927B57"/>
    <w:rsid w:val="00927C27"/>
    <w:rsid w:val="00927C49"/>
    <w:rsid w:val="00927D62"/>
    <w:rsid w:val="00927D7D"/>
    <w:rsid w:val="00927DA6"/>
    <w:rsid w:val="00927E2F"/>
    <w:rsid w:val="00927E72"/>
    <w:rsid w:val="00927EC4"/>
    <w:rsid w:val="00927F10"/>
    <w:rsid w:val="00927F33"/>
    <w:rsid w:val="00927F5A"/>
    <w:rsid w:val="00927F9E"/>
    <w:rsid w:val="009301B1"/>
    <w:rsid w:val="009301BD"/>
    <w:rsid w:val="0093020D"/>
    <w:rsid w:val="00930294"/>
    <w:rsid w:val="0093029C"/>
    <w:rsid w:val="009302DC"/>
    <w:rsid w:val="0093044A"/>
    <w:rsid w:val="00930455"/>
    <w:rsid w:val="009304F7"/>
    <w:rsid w:val="0093057D"/>
    <w:rsid w:val="00930682"/>
    <w:rsid w:val="009307AD"/>
    <w:rsid w:val="00930804"/>
    <w:rsid w:val="0093081E"/>
    <w:rsid w:val="00930966"/>
    <w:rsid w:val="009309DA"/>
    <w:rsid w:val="00930B2A"/>
    <w:rsid w:val="00930B67"/>
    <w:rsid w:val="00930BBC"/>
    <w:rsid w:val="00930BD2"/>
    <w:rsid w:val="00930C9D"/>
    <w:rsid w:val="00930EB2"/>
    <w:rsid w:val="00930EE4"/>
    <w:rsid w:val="00930F25"/>
    <w:rsid w:val="00930F6C"/>
    <w:rsid w:val="009310BA"/>
    <w:rsid w:val="009310FB"/>
    <w:rsid w:val="00931305"/>
    <w:rsid w:val="009313DD"/>
    <w:rsid w:val="0093147C"/>
    <w:rsid w:val="009314A8"/>
    <w:rsid w:val="009314CC"/>
    <w:rsid w:val="009315E4"/>
    <w:rsid w:val="009315EE"/>
    <w:rsid w:val="009317BA"/>
    <w:rsid w:val="009317E6"/>
    <w:rsid w:val="00931891"/>
    <w:rsid w:val="009318DA"/>
    <w:rsid w:val="009319AA"/>
    <w:rsid w:val="009319B8"/>
    <w:rsid w:val="00931B7B"/>
    <w:rsid w:val="00931BB5"/>
    <w:rsid w:val="00931C97"/>
    <w:rsid w:val="00931CC9"/>
    <w:rsid w:val="00931D31"/>
    <w:rsid w:val="00931D80"/>
    <w:rsid w:val="00931E20"/>
    <w:rsid w:val="00931E64"/>
    <w:rsid w:val="00931E85"/>
    <w:rsid w:val="00931ED5"/>
    <w:rsid w:val="00931F13"/>
    <w:rsid w:val="00931F45"/>
    <w:rsid w:val="00931F5B"/>
    <w:rsid w:val="00931F84"/>
    <w:rsid w:val="00931FA6"/>
    <w:rsid w:val="00932164"/>
    <w:rsid w:val="009321C5"/>
    <w:rsid w:val="0093223F"/>
    <w:rsid w:val="00932349"/>
    <w:rsid w:val="0093237D"/>
    <w:rsid w:val="009323DF"/>
    <w:rsid w:val="009324D0"/>
    <w:rsid w:val="009324E4"/>
    <w:rsid w:val="00932582"/>
    <w:rsid w:val="0093258C"/>
    <w:rsid w:val="0093268C"/>
    <w:rsid w:val="0093274C"/>
    <w:rsid w:val="009327AE"/>
    <w:rsid w:val="0093289D"/>
    <w:rsid w:val="009328E1"/>
    <w:rsid w:val="00932907"/>
    <w:rsid w:val="0093290C"/>
    <w:rsid w:val="00932946"/>
    <w:rsid w:val="009329BD"/>
    <w:rsid w:val="009329C5"/>
    <w:rsid w:val="00932C5B"/>
    <w:rsid w:val="00932DBA"/>
    <w:rsid w:val="00932DC4"/>
    <w:rsid w:val="00932E73"/>
    <w:rsid w:val="00932EDD"/>
    <w:rsid w:val="00932F51"/>
    <w:rsid w:val="00932F59"/>
    <w:rsid w:val="00932FA3"/>
    <w:rsid w:val="00932FD0"/>
    <w:rsid w:val="00933122"/>
    <w:rsid w:val="009331DA"/>
    <w:rsid w:val="009331E2"/>
    <w:rsid w:val="009333A2"/>
    <w:rsid w:val="009334B1"/>
    <w:rsid w:val="009334B4"/>
    <w:rsid w:val="0093353F"/>
    <w:rsid w:val="0093358A"/>
    <w:rsid w:val="0093366F"/>
    <w:rsid w:val="009336F6"/>
    <w:rsid w:val="00933725"/>
    <w:rsid w:val="0093372F"/>
    <w:rsid w:val="00933765"/>
    <w:rsid w:val="009337E0"/>
    <w:rsid w:val="0093389B"/>
    <w:rsid w:val="009338A5"/>
    <w:rsid w:val="009338AF"/>
    <w:rsid w:val="009338C1"/>
    <w:rsid w:val="009338CA"/>
    <w:rsid w:val="009338DD"/>
    <w:rsid w:val="00933907"/>
    <w:rsid w:val="0093390F"/>
    <w:rsid w:val="00933A65"/>
    <w:rsid w:val="00933A8B"/>
    <w:rsid w:val="00933AC2"/>
    <w:rsid w:val="00933B02"/>
    <w:rsid w:val="00933BAE"/>
    <w:rsid w:val="00933C00"/>
    <w:rsid w:val="00933C5C"/>
    <w:rsid w:val="00933C9F"/>
    <w:rsid w:val="00933CD8"/>
    <w:rsid w:val="00933CE1"/>
    <w:rsid w:val="00933D19"/>
    <w:rsid w:val="00933DB4"/>
    <w:rsid w:val="00933E8F"/>
    <w:rsid w:val="00933F5C"/>
    <w:rsid w:val="00934012"/>
    <w:rsid w:val="00934015"/>
    <w:rsid w:val="009340E3"/>
    <w:rsid w:val="00934100"/>
    <w:rsid w:val="00934102"/>
    <w:rsid w:val="00934106"/>
    <w:rsid w:val="00934114"/>
    <w:rsid w:val="00934163"/>
    <w:rsid w:val="00934168"/>
    <w:rsid w:val="009341AC"/>
    <w:rsid w:val="009341EE"/>
    <w:rsid w:val="00934264"/>
    <w:rsid w:val="00934272"/>
    <w:rsid w:val="009342CD"/>
    <w:rsid w:val="00934329"/>
    <w:rsid w:val="00934344"/>
    <w:rsid w:val="00934358"/>
    <w:rsid w:val="00934373"/>
    <w:rsid w:val="0093441D"/>
    <w:rsid w:val="009344C2"/>
    <w:rsid w:val="00934523"/>
    <w:rsid w:val="00934574"/>
    <w:rsid w:val="0093459E"/>
    <w:rsid w:val="00934639"/>
    <w:rsid w:val="00934864"/>
    <w:rsid w:val="009348E7"/>
    <w:rsid w:val="009348FE"/>
    <w:rsid w:val="009349BF"/>
    <w:rsid w:val="00934A91"/>
    <w:rsid w:val="00934BAC"/>
    <w:rsid w:val="00934BE8"/>
    <w:rsid w:val="00934C7F"/>
    <w:rsid w:val="00934C8F"/>
    <w:rsid w:val="00934D57"/>
    <w:rsid w:val="00934ED9"/>
    <w:rsid w:val="00935135"/>
    <w:rsid w:val="00935140"/>
    <w:rsid w:val="0093516C"/>
    <w:rsid w:val="00935176"/>
    <w:rsid w:val="009351DD"/>
    <w:rsid w:val="00935307"/>
    <w:rsid w:val="0093532B"/>
    <w:rsid w:val="00935405"/>
    <w:rsid w:val="009354B1"/>
    <w:rsid w:val="0093559C"/>
    <w:rsid w:val="00935604"/>
    <w:rsid w:val="009356EC"/>
    <w:rsid w:val="009357A7"/>
    <w:rsid w:val="009357CD"/>
    <w:rsid w:val="0093588D"/>
    <w:rsid w:val="00935907"/>
    <w:rsid w:val="0093590C"/>
    <w:rsid w:val="0093592A"/>
    <w:rsid w:val="00935982"/>
    <w:rsid w:val="009359B5"/>
    <w:rsid w:val="00935BFC"/>
    <w:rsid w:val="00935CCF"/>
    <w:rsid w:val="00935DFD"/>
    <w:rsid w:val="00935F9D"/>
    <w:rsid w:val="00936080"/>
    <w:rsid w:val="009360B9"/>
    <w:rsid w:val="00936136"/>
    <w:rsid w:val="00936250"/>
    <w:rsid w:val="00936288"/>
    <w:rsid w:val="009362BA"/>
    <w:rsid w:val="00936619"/>
    <w:rsid w:val="00936730"/>
    <w:rsid w:val="0093674F"/>
    <w:rsid w:val="00936E44"/>
    <w:rsid w:val="00937014"/>
    <w:rsid w:val="00937061"/>
    <w:rsid w:val="0093709F"/>
    <w:rsid w:val="009370AF"/>
    <w:rsid w:val="009370C1"/>
    <w:rsid w:val="00937163"/>
    <w:rsid w:val="0093719D"/>
    <w:rsid w:val="00937234"/>
    <w:rsid w:val="00937371"/>
    <w:rsid w:val="00937375"/>
    <w:rsid w:val="0093758C"/>
    <w:rsid w:val="009376F5"/>
    <w:rsid w:val="00937801"/>
    <w:rsid w:val="009378C0"/>
    <w:rsid w:val="00937ADB"/>
    <w:rsid w:val="00937B5C"/>
    <w:rsid w:val="00937C66"/>
    <w:rsid w:val="00937EC7"/>
    <w:rsid w:val="00937EC8"/>
    <w:rsid w:val="00937FDF"/>
    <w:rsid w:val="009400CA"/>
    <w:rsid w:val="0094023C"/>
    <w:rsid w:val="0094026D"/>
    <w:rsid w:val="0094030B"/>
    <w:rsid w:val="00940362"/>
    <w:rsid w:val="00940424"/>
    <w:rsid w:val="00940457"/>
    <w:rsid w:val="00940514"/>
    <w:rsid w:val="00940516"/>
    <w:rsid w:val="00940531"/>
    <w:rsid w:val="009405C2"/>
    <w:rsid w:val="0094086A"/>
    <w:rsid w:val="009409C2"/>
    <w:rsid w:val="009409F3"/>
    <w:rsid w:val="00940B0A"/>
    <w:rsid w:val="00940B6C"/>
    <w:rsid w:val="00940B96"/>
    <w:rsid w:val="00940CBA"/>
    <w:rsid w:val="00940D36"/>
    <w:rsid w:val="00940E67"/>
    <w:rsid w:val="00940E7C"/>
    <w:rsid w:val="00941072"/>
    <w:rsid w:val="00941332"/>
    <w:rsid w:val="00941351"/>
    <w:rsid w:val="0094138F"/>
    <w:rsid w:val="009413AA"/>
    <w:rsid w:val="009413E7"/>
    <w:rsid w:val="009415F1"/>
    <w:rsid w:val="00941663"/>
    <w:rsid w:val="009416D4"/>
    <w:rsid w:val="00941754"/>
    <w:rsid w:val="0094177C"/>
    <w:rsid w:val="0094192B"/>
    <w:rsid w:val="00941979"/>
    <w:rsid w:val="00941AD0"/>
    <w:rsid w:val="00941AD3"/>
    <w:rsid w:val="00941AE5"/>
    <w:rsid w:val="00941B40"/>
    <w:rsid w:val="00941C6C"/>
    <w:rsid w:val="00941C89"/>
    <w:rsid w:val="00941D6F"/>
    <w:rsid w:val="00941DFC"/>
    <w:rsid w:val="0094206F"/>
    <w:rsid w:val="00942130"/>
    <w:rsid w:val="0094217F"/>
    <w:rsid w:val="009422D4"/>
    <w:rsid w:val="009423F3"/>
    <w:rsid w:val="0094240C"/>
    <w:rsid w:val="009424E9"/>
    <w:rsid w:val="00942547"/>
    <w:rsid w:val="0094254B"/>
    <w:rsid w:val="00942593"/>
    <w:rsid w:val="00942692"/>
    <w:rsid w:val="009426E9"/>
    <w:rsid w:val="009426FE"/>
    <w:rsid w:val="00942763"/>
    <w:rsid w:val="0094290F"/>
    <w:rsid w:val="00942953"/>
    <w:rsid w:val="00942989"/>
    <w:rsid w:val="009429B6"/>
    <w:rsid w:val="00942C2D"/>
    <w:rsid w:val="00942C90"/>
    <w:rsid w:val="00942D1F"/>
    <w:rsid w:val="00942D38"/>
    <w:rsid w:val="00942D77"/>
    <w:rsid w:val="00942F45"/>
    <w:rsid w:val="00942F89"/>
    <w:rsid w:val="00942FD4"/>
    <w:rsid w:val="00943090"/>
    <w:rsid w:val="009430E8"/>
    <w:rsid w:val="0094340B"/>
    <w:rsid w:val="0094346B"/>
    <w:rsid w:val="009434B2"/>
    <w:rsid w:val="009436AE"/>
    <w:rsid w:val="009436B5"/>
    <w:rsid w:val="00943758"/>
    <w:rsid w:val="0094382C"/>
    <w:rsid w:val="00943884"/>
    <w:rsid w:val="0094395A"/>
    <w:rsid w:val="0094398F"/>
    <w:rsid w:val="009439AC"/>
    <w:rsid w:val="00943A0A"/>
    <w:rsid w:val="00943B71"/>
    <w:rsid w:val="00943B89"/>
    <w:rsid w:val="00943B95"/>
    <w:rsid w:val="00943C9E"/>
    <w:rsid w:val="00943CEE"/>
    <w:rsid w:val="00943D1A"/>
    <w:rsid w:val="00943DBE"/>
    <w:rsid w:val="00943DC4"/>
    <w:rsid w:val="00943E13"/>
    <w:rsid w:val="00943F03"/>
    <w:rsid w:val="00943F25"/>
    <w:rsid w:val="00943F6D"/>
    <w:rsid w:val="00943F7A"/>
    <w:rsid w:val="00943FEB"/>
    <w:rsid w:val="0094401F"/>
    <w:rsid w:val="00944042"/>
    <w:rsid w:val="00944151"/>
    <w:rsid w:val="009441AB"/>
    <w:rsid w:val="0094420A"/>
    <w:rsid w:val="00944250"/>
    <w:rsid w:val="0094425F"/>
    <w:rsid w:val="00944491"/>
    <w:rsid w:val="009444A2"/>
    <w:rsid w:val="00944500"/>
    <w:rsid w:val="009446E6"/>
    <w:rsid w:val="009447BB"/>
    <w:rsid w:val="0094481B"/>
    <w:rsid w:val="00944836"/>
    <w:rsid w:val="00944900"/>
    <w:rsid w:val="009449DC"/>
    <w:rsid w:val="009449E5"/>
    <w:rsid w:val="00944A19"/>
    <w:rsid w:val="00944AD9"/>
    <w:rsid w:val="00944C12"/>
    <w:rsid w:val="00944E4D"/>
    <w:rsid w:val="00944E5D"/>
    <w:rsid w:val="00944FDC"/>
    <w:rsid w:val="00945004"/>
    <w:rsid w:val="00945010"/>
    <w:rsid w:val="009450B3"/>
    <w:rsid w:val="00945150"/>
    <w:rsid w:val="009453D0"/>
    <w:rsid w:val="00945497"/>
    <w:rsid w:val="00945596"/>
    <w:rsid w:val="009455C5"/>
    <w:rsid w:val="00945620"/>
    <w:rsid w:val="00945659"/>
    <w:rsid w:val="00945664"/>
    <w:rsid w:val="00945774"/>
    <w:rsid w:val="00945880"/>
    <w:rsid w:val="009459F1"/>
    <w:rsid w:val="00945BD6"/>
    <w:rsid w:val="00945C3B"/>
    <w:rsid w:val="00945C4B"/>
    <w:rsid w:val="00945C7F"/>
    <w:rsid w:val="00945D56"/>
    <w:rsid w:val="00945D72"/>
    <w:rsid w:val="00945DAF"/>
    <w:rsid w:val="00945EB6"/>
    <w:rsid w:val="00945F06"/>
    <w:rsid w:val="00945F46"/>
    <w:rsid w:val="00945F4F"/>
    <w:rsid w:val="00945FA5"/>
    <w:rsid w:val="00945FB8"/>
    <w:rsid w:val="00946034"/>
    <w:rsid w:val="00946092"/>
    <w:rsid w:val="0094618A"/>
    <w:rsid w:val="009462D6"/>
    <w:rsid w:val="00946375"/>
    <w:rsid w:val="00946387"/>
    <w:rsid w:val="00946428"/>
    <w:rsid w:val="0094645E"/>
    <w:rsid w:val="0094648C"/>
    <w:rsid w:val="00946495"/>
    <w:rsid w:val="00946581"/>
    <w:rsid w:val="009466B1"/>
    <w:rsid w:val="009469E3"/>
    <w:rsid w:val="00946A59"/>
    <w:rsid w:val="00946A91"/>
    <w:rsid w:val="00946B83"/>
    <w:rsid w:val="00946B98"/>
    <w:rsid w:val="00946BCD"/>
    <w:rsid w:val="00946BF3"/>
    <w:rsid w:val="00946C54"/>
    <w:rsid w:val="00946D48"/>
    <w:rsid w:val="00946DF8"/>
    <w:rsid w:val="00946E36"/>
    <w:rsid w:val="00946E51"/>
    <w:rsid w:val="00946F22"/>
    <w:rsid w:val="00946F3D"/>
    <w:rsid w:val="00947052"/>
    <w:rsid w:val="009470A9"/>
    <w:rsid w:val="00947133"/>
    <w:rsid w:val="009471B5"/>
    <w:rsid w:val="00947209"/>
    <w:rsid w:val="009472AD"/>
    <w:rsid w:val="009472BD"/>
    <w:rsid w:val="009472D4"/>
    <w:rsid w:val="00947375"/>
    <w:rsid w:val="0094758A"/>
    <w:rsid w:val="0094758C"/>
    <w:rsid w:val="009476FE"/>
    <w:rsid w:val="0094770C"/>
    <w:rsid w:val="0094773D"/>
    <w:rsid w:val="009477A5"/>
    <w:rsid w:val="00947828"/>
    <w:rsid w:val="00947859"/>
    <w:rsid w:val="0094798F"/>
    <w:rsid w:val="00947B75"/>
    <w:rsid w:val="00947DB2"/>
    <w:rsid w:val="00947E77"/>
    <w:rsid w:val="00950047"/>
    <w:rsid w:val="009500C4"/>
    <w:rsid w:val="00950117"/>
    <w:rsid w:val="00950127"/>
    <w:rsid w:val="00950141"/>
    <w:rsid w:val="00950177"/>
    <w:rsid w:val="00950185"/>
    <w:rsid w:val="00950259"/>
    <w:rsid w:val="009502D9"/>
    <w:rsid w:val="009503A2"/>
    <w:rsid w:val="009503F8"/>
    <w:rsid w:val="0095040F"/>
    <w:rsid w:val="0095056B"/>
    <w:rsid w:val="0095065B"/>
    <w:rsid w:val="00950664"/>
    <w:rsid w:val="009506CC"/>
    <w:rsid w:val="009506EE"/>
    <w:rsid w:val="00950701"/>
    <w:rsid w:val="009507E1"/>
    <w:rsid w:val="0095081F"/>
    <w:rsid w:val="00950821"/>
    <w:rsid w:val="00950938"/>
    <w:rsid w:val="00950988"/>
    <w:rsid w:val="00950989"/>
    <w:rsid w:val="00950A5A"/>
    <w:rsid w:val="00950A8D"/>
    <w:rsid w:val="00950AB7"/>
    <w:rsid w:val="00950B13"/>
    <w:rsid w:val="00950B56"/>
    <w:rsid w:val="00950B66"/>
    <w:rsid w:val="00950BAB"/>
    <w:rsid w:val="00950BF1"/>
    <w:rsid w:val="00950C1D"/>
    <w:rsid w:val="00950C39"/>
    <w:rsid w:val="00950CA0"/>
    <w:rsid w:val="00950D4D"/>
    <w:rsid w:val="00950D9F"/>
    <w:rsid w:val="00950E1B"/>
    <w:rsid w:val="00950E2B"/>
    <w:rsid w:val="00950F0D"/>
    <w:rsid w:val="00950F31"/>
    <w:rsid w:val="00950F34"/>
    <w:rsid w:val="00950F60"/>
    <w:rsid w:val="00951055"/>
    <w:rsid w:val="009510B8"/>
    <w:rsid w:val="0095116C"/>
    <w:rsid w:val="0095125D"/>
    <w:rsid w:val="009512DC"/>
    <w:rsid w:val="0095133C"/>
    <w:rsid w:val="00951340"/>
    <w:rsid w:val="00951356"/>
    <w:rsid w:val="00951360"/>
    <w:rsid w:val="00951477"/>
    <w:rsid w:val="009514BB"/>
    <w:rsid w:val="00951584"/>
    <w:rsid w:val="009515DF"/>
    <w:rsid w:val="00951625"/>
    <w:rsid w:val="0095163C"/>
    <w:rsid w:val="009516E8"/>
    <w:rsid w:val="0095187D"/>
    <w:rsid w:val="00951897"/>
    <w:rsid w:val="00951A55"/>
    <w:rsid w:val="00951A72"/>
    <w:rsid w:val="00951A75"/>
    <w:rsid w:val="00951B42"/>
    <w:rsid w:val="00951B5B"/>
    <w:rsid w:val="00951F8D"/>
    <w:rsid w:val="009521A8"/>
    <w:rsid w:val="0095230D"/>
    <w:rsid w:val="00952319"/>
    <w:rsid w:val="00952368"/>
    <w:rsid w:val="009523DA"/>
    <w:rsid w:val="009523EB"/>
    <w:rsid w:val="00952403"/>
    <w:rsid w:val="009524A1"/>
    <w:rsid w:val="009524E8"/>
    <w:rsid w:val="00952591"/>
    <w:rsid w:val="00952841"/>
    <w:rsid w:val="00952859"/>
    <w:rsid w:val="0095288E"/>
    <w:rsid w:val="009529CF"/>
    <w:rsid w:val="009529F5"/>
    <w:rsid w:val="00952A0D"/>
    <w:rsid w:val="00952A2D"/>
    <w:rsid w:val="00952A37"/>
    <w:rsid w:val="00952ADE"/>
    <w:rsid w:val="00952B28"/>
    <w:rsid w:val="00952C1E"/>
    <w:rsid w:val="00952C34"/>
    <w:rsid w:val="00952CCF"/>
    <w:rsid w:val="00952EF3"/>
    <w:rsid w:val="00952F02"/>
    <w:rsid w:val="00952F83"/>
    <w:rsid w:val="00953020"/>
    <w:rsid w:val="00953093"/>
    <w:rsid w:val="00953102"/>
    <w:rsid w:val="00953170"/>
    <w:rsid w:val="009531DE"/>
    <w:rsid w:val="009532A3"/>
    <w:rsid w:val="009532D0"/>
    <w:rsid w:val="0095333F"/>
    <w:rsid w:val="00953344"/>
    <w:rsid w:val="0095356C"/>
    <w:rsid w:val="00953590"/>
    <w:rsid w:val="009537B4"/>
    <w:rsid w:val="00953967"/>
    <w:rsid w:val="00953B2A"/>
    <w:rsid w:val="00953BF0"/>
    <w:rsid w:val="00953BFF"/>
    <w:rsid w:val="00953CB6"/>
    <w:rsid w:val="00953CE1"/>
    <w:rsid w:val="00953D88"/>
    <w:rsid w:val="00953E3A"/>
    <w:rsid w:val="00953EBB"/>
    <w:rsid w:val="00953F28"/>
    <w:rsid w:val="009540A9"/>
    <w:rsid w:val="00954124"/>
    <w:rsid w:val="009541B0"/>
    <w:rsid w:val="009543DF"/>
    <w:rsid w:val="00954428"/>
    <w:rsid w:val="009545B6"/>
    <w:rsid w:val="009545E4"/>
    <w:rsid w:val="00954647"/>
    <w:rsid w:val="009547BC"/>
    <w:rsid w:val="009547E2"/>
    <w:rsid w:val="0095498E"/>
    <w:rsid w:val="00954A1B"/>
    <w:rsid w:val="00954ABE"/>
    <w:rsid w:val="00954DA8"/>
    <w:rsid w:val="00954DD9"/>
    <w:rsid w:val="00954EBB"/>
    <w:rsid w:val="00954FBF"/>
    <w:rsid w:val="00955056"/>
    <w:rsid w:val="009550D2"/>
    <w:rsid w:val="00955117"/>
    <w:rsid w:val="0095517F"/>
    <w:rsid w:val="009551BA"/>
    <w:rsid w:val="0095526D"/>
    <w:rsid w:val="00955298"/>
    <w:rsid w:val="009552D3"/>
    <w:rsid w:val="0095533D"/>
    <w:rsid w:val="00955358"/>
    <w:rsid w:val="00955377"/>
    <w:rsid w:val="009553F3"/>
    <w:rsid w:val="009554AB"/>
    <w:rsid w:val="00955532"/>
    <w:rsid w:val="0095568C"/>
    <w:rsid w:val="009556C1"/>
    <w:rsid w:val="00955762"/>
    <w:rsid w:val="009557B4"/>
    <w:rsid w:val="009557D5"/>
    <w:rsid w:val="009557D9"/>
    <w:rsid w:val="00955A04"/>
    <w:rsid w:val="00955A36"/>
    <w:rsid w:val="00955A82"/>
    <w:rsid w:val="00955BCA"/>
    <w:rsid w:val="00955D94"/>
    <w:rsid w:val="00955E7C"/>
    <w:rsid w:val="00955EA8"/>
    <w:rsid w:val="00955F2C"/>
    <w:rsid w:val="00956013"/>
    <w:rsid w:val="009560A7"/>
    <w:rsid w:val="009562EA"/>
    <w:rsid w:val="00956317"/>
    <w:rsid w:val="0095631C"/>
    <w:rsid w:val="00956323"/>
    <w:rsid w:val="00956342"/>
    <w:rsid w:val="009563EA"/>
    <w:rsid w:val="0095648C"/>
    <w:rsid w:val="0095653A"/>
    <w:rsid w:val="0095660E"/>
    <w:rsid w:val="0095665D"/>
    <w:rsid w:val="0095668E"/>
    <w:rsid w:val="009567A0"/>
    <w:rsid w:val="009567F6"/>
    <w:rsid w:val="0095680E"/>
    <w:rsid w:val="00956856"/>
    <w:rsid w:val="009569E0"/>
    <w:rsid w:val="00956A36"/>
    <w:rsid w:val="00956C20"/>
    <w:rsid w:val="00956D25"/>
    <w:rsid w:val="00956D3F"/>
    <w:rsid w:val="00956DB5"/>
    <w:rsid w:val="00956EB5"/>
    <w:rsid w:val="00956F34"/>
    <w:rsid w:val="00956F85"/>
    <w:rsid w:val="00956F8E"/>
    <w:rsid w:val="00956FE7"/>
    <w:rsid w:val="00957171"/>
    <w:rsid w:val="00957199"/>
    <w:rsid w:val="009571F7"/>
    <w:rsid w:val="00957205"/>
    <w:rsid w:val="0095724E"/>
    <w:rsid w:val="009573E7"/>
    <w:rsid w:val="00957452"/>
    <w:rsid w:val="00957457"/>
    <w:rsid w:val="00957471"/>
    <w:rsid w:val="00957536"/>
    <w:rsid w:val="00957557"/>
    <w:rsid w:val="00957693"/>
    <w:rsid w:val="009576AF"/>
    <w:rsid w:val="00957720"/>
    <w:rsid w:val="009577D6"/>
    <w:rsid w:val="009578E5"/>
    <w:rsid w:val="00957961"/>
    <w:rsid w:val="00957A05"/>
    <w:rsid w:val="00957A18"/>
    <w:rsid w:val="00957AD4"/>
    <w:rsid w:val="00957B10"/>
    <w:rsid w:val="00957D40"/>
    <w:rsid w:val="00957D43"/>
    <w:rsid w:val="00957D9D"/>
    <w:rsid w:val="00957E0C"/>
    <w:rsid w:val="00957E60"/>
    <w:rsid w:val="00957E7A"/>
    <w:rsid w:val="00957EED"/>
    <w:rsid w:val="00957F64"/>
    <w:rsid w:val="00957FEE"/>
    <w:rsid w:val="00960236"/>
    <w:rsid w:val="009602BC"/>
    <w:rsid w:val="009603FE"/>
    <w:rsid w:val="009604D2"/>
    <w:rsid w:val="00960599"/>
    <w:rsid w:val="009605AC"/>
    <w:rsid w:val="0096066C"/>
    <w:rsid w:val="009606CC"/>
    <w:rsid w:val="009606E2"/>
    <w:rsid w:val="009606E8"/>
    <w:rsid w:val="0096073F"/>
    <w:rsid w:val="0096077D"/>
    <w:rsid w:val="00960790"/>
    <w:rsid w:val="0096082F"/>
    <w:rsid w:val="00960A14"/>
    <w:rsid w:val="00960B85"/>
    <w:rsid w:val="00960DBA"/>
    <w:rsid w:val="00960E10"/>
    <w:rsid w:val="00960F38"/>
    <w:rsid w:val="009610D8"/>
    <w:rsid w:val="00961149"/>
    <w:rsid w:val="0096119A"/>
    <w:rsid w:val="00961299"/>
    <w:rsid w:val="009612E2"/>
    <w:rsid w:val="00961332"/>
    <w:rsid w:val="009613A5"/>
    <w:rsid w:val="009613E5"/>
    <w:rsid w:val="009613F3"/>
    <w:rsid w:val="00961407"/>
    <w:rsid w:val="00961612"/>
    <w:rsid w:val="00961618"/>
    <w:rsid w:val="009616D6"/>
    <w:rsid w:val="0096175F"/>
    <w:rsid w:val="00961851"/>
    <w:rsid w:val="00961942"/>
    <w:rsid w:val="00961A93"/>
    <w:rsid w:val="00961CE3"/>
    <w:rsid w:val="00961D84"/>
    <w:rsid w:val="00961FAF"/>
    <w:rsid w:val="00961FE4"/>
    <w:rsid w:val="00962040"/>
    <w:rsid w:val="00962099"/>
    <w:rsid w:val="00962102"/>
    <w:rsid w:val="009621A8"/>
    <w:rsid w:val="009622EA"/>
    <w:rsid w:val="009623BC"/>
    <w:rsid w:val="00962401"/>
    <w:rsid w:val="009624E9"/>
    <w:rsid w:val="009625DD"/>
    <w:rsid w:val="0096271C"/>
    <w:rsid w:val="00962813"/>
    <w:rsid w:val="0096281E"/>
    <w:rsid w:val="00962841"/>
    <w:rsid w:val="0096284C"/>
    <w:rsid w:val="00962982"/>
    <w:rsid w:val="009629F8"/>
    <w:rsid w:val="00962A55"/>
    <w:rsid w:val="00962AB1"/>
    <w:rsid w:val="00962B1A"/>
    <w:rsid w:val="00962B4A"/>
    <w:rsid w:val="00962B69"/>
    <w:rsid w:val="00962C7F"/>
    <w:rsid w:val="00962CCF"/>
    <w:rsid w:val="00962E15"/>
    <w:rsid w:val="00962E8E"/>
    <w:rsid w:val="00962FB9"/>
    <w:rsid w:val="00962FE2"/>
    <w:rsid w:val="00963120"/>
    <w:rsid w:val="00963198"/>
    <w:rsid w:val="009631F8"/>
    <w:rsid w:val="009632AD"/>
    <w:rsid w:val="009632C2"/>
    <w:rsid w:val="009632D4"/>
    <w:rsid w:val="009632DD"/>
    <w:rsid w:val="009632FB"/>
    <w:rsid w:val="009633D8"/>
    <w:rsid w:val="009634BD"/>
    <w:rsid w:val="00963579"/>
    <w:rsid w:val="00963834"/>
    <w:rsid w:val="00963837"/>
    <w:rsid w:val="00963BAD"/>
    <w:rsid w:val="00963D93"/>
    <w:rsid w:val="00963DBE"/>
    <w:rsid w:val="00963DFE"/>
    <w:rsid w:val="00963F2E"/>
    <w:rsid w:val="00964134"/>
    <w:rsid w:val="0096415F"/>
    <w:rsid w:val="00964179"/>
    <w:rsid w:val="009641F8"/>
    <w:rsid w:val="00964203"/>
    <w:rsid w:val="00964237"/>
    <w:rsid w:val="0096439C"/>
    <w:rsid w:val="0096448A"/>
    <w:rsid w:val="009644DE"/>
    <w:rsid w:val="00964602"/>
    <w:rsid w:val="00964604"/>
    <w:rsid w:val="009646A3"/>
    <w:rsid w:val="0096477E"/>
    <w:rsid w:val="009647F5"/>
    <w:rsid w:val="00964820"/>
    <w:rsid w:val="00964832"/>
    <w:rsid w:val="009649FD"/>
    <w:rsid w:val="00964B8D"/>
    <w:rsid w:val="00964BAF"/>
    <w:rsid w:val="00964BC3"/>
    <w:rsid w:val="00964C02"/>
    <w:rsid w:val="00964C51"/>
    <w:rsid w:val="00964DA7"/>
    <w:rsid w:val="00964EAD"/>
    <w:rsid w:val="00965076"/>
    <w:rsid w:val="00965078"/>
    <w:rsid w:val="0096508F"/>
    <w:rsid w:val="009650E8"/>
    <w:rsid w:val="009650F1"/>
    <w:rsid w:val="00965195"/>
    <w:rsid w:val="009651BE"/>
    <w:rsid w:val="00965210"/>
    <w:rsid w:val="00965237"/>
    <w:rsid w:val="0096528A"/>
    <w:rsid w:val="00965301"/>
    <w:rsid w:val="00965310"/>
    <w:rsid w:val="00965412"/>
    <w:rsid w:val="00965526"/>
    <w:rsid w:val="009655A5"/>
    <w:rsid w:val="00965611"/>
    <w:rsid w:val="00965620"/>
    <w:rsid w:val="0096565E"/>
    <w:rsid w:val="0096575E"/>
    <w:rsid w:val="00965812"/>
    <w:rsid w:val="00965A41"/>
    <w:rsid w:val="00965A5C"/>
    <w:rsid w:val="00965A98"/>
    <w:rsid w:val="00965B9C"/>
    <w:rsid w:val="00965D0F"/>
    <w:rsid w:val="00965D35"/>
    <w:rsid w:val="00965D57"/>
    <w:rsid w:val="00965D79"/>
    <w:rsid w:val="00965DA6"/>
    <w:rsid w:val="00965E63"/>
    <w:rsid w:val="00965F43"/>
    <w:rsid w:val="0096601C"/>
    <w:rsid w:val="0096612A"/>
    <w:rsid w:val="00966135"/>
    <w:rsid w:val="0096615B"/>
    <w:rsid w:val="009661AF"/>
    <w:rsid w:val="0096625E"/>
    <w:rsid w:val="00966262"/>
    <w:rsid w:val="00966305"/>
    <w:rsid w:val="009663D7"/>
    <w:rsid w:val="009664F5"/>
    <w:rsid w:val="0096653A"/>
    <w:rsid w:val="009666FA"/>
    <w:rsid w:val="009666FD"/>
    <w:rsid w:val="00966785"/>
    <w:rsid w:val="00966839"/>
    <w:rsid w:val="009668EF"/>
    <w:rsid w:val="00966951"/>
    <w:rsid w:val="00966993"/>
    <w:rsid w:val="00966A1B"/>
    <w:rsid w:val="00966A7C"/>
    <w:rsid w:val="00966ADC"/>
    <w:rsid w:val="00966B97"/>
    <w:rsid w:val="00966BCD"/>
    <w:rsid w:val="00966CE6"/>
    <w:rsid w:val="00966CE9"/>
    <w:rsid w:val="00966D3C"/>
    <w:rsid w:val="00966D49"/>
    <w:rsid w:val="00966DCC"/>
    <w:rsid w:val="00967131"/>
    <w:rsid w:val="00967173"/>
    <w:rsid w:val="0096720A"/>
    <w:rsid w:val="00967219"/>
    <w:rsid w:val="00967344"/>
    <w:rsid w:val="009673B6"/>
    <w:rsid w:val="009673D7"/>
    <w:rsid w:val="009673EE"/>
    <w:rsid w:val="00967466"/>
    <w:rsid w:val="00967468"/>
    <w:rsid w:val="00967501"/>
    <w:rsid w:val="0096750F"/>
    <w:rsid w:val="0096761B"/>
    <w:rsid w:val="00967851"/>
    <w:rsid w:val="0096788E"/>
    <w:rsid w:val="009678C0"/>
    <w:rsid w:val="009678C1"/>
    <w:rsid w:val="009678CE"/>
    <w:rsid w:val="00967952"/>
    <w:rsid w:val="009679D2"/>
    <w:rsid w:val="00967A25"/>
    <w:rsid w:val="00967A39"/>
    <w:rsid w:val="00967A82"/>
    <w:rsid w:val="00967B18"/>
    <w:rsid w:val="00967BCA"/>
    <w:rsid w:val="00967BF4"/>
    <w:rsid w:val="00967C58"/>
    <w:rsid w:val="00967C94"/>
    <w:rsid w:val="00967D0C"/>
    <w:rsid w:val="00967D51"/>
    <w:rsid w:val="00967DDE"/>
    <w:rsid w:val="00967E53"/>
    <w:rsid w:val="00967F04"/>
    <w:rsid w:val="00967F4F"/>
    <w:rsid w:val="00967FD5"/>
    <w:rsid w:val="0097002A"/>
    <w:rsid w:val="0097006C"/>
    <w:rsid w:val="0097007E"/>
    <w:rsid w:val="0097020E"/>
    <w:rsid w:val="0097024B"/>
    <w:rsid w:val="009703B1"/>
    <w:rsid w:val="009703E4"/>
    <w:rsid w:val="009703F1"/>
    <w:rsid w:val="009704C7"/>
    <w:rsid w:val="009704F6"/>
    <w:rsid w:val="00970551"/>
    <w:rsid w:val="0097056F"/>
    <w:rsid w:val="009705BC"/>
    <w:rsid w:val="009705CC"/>
    <w:rsid w:val="009705FB"/>
    <w:rsid w:val="00970640"/>
    <w:rsid w:val="0097064E"/>
    <w:rsid w:val="00970698"/>
    <w:rsid w:val="0097072D"/>
    <w:rsid w:val="0097074F"/>
    <w:rsid w:val="009707CE"/>
    <w:rsid w:val="00970841"/>
    <w:rsid w:val="009708B2"/>
    <w:rsid w:val="009708C8"/>
    <w:rsid w:val="00970992"/>
    <w:rsid w:val="009709B9"/>
    <w:rsid w:val="00970B2F"/>
    <w:rsid w:val="00970BF9"/>
    <w:rsid w:val="00970CD9"/>
    <w:rsid w:val="00970D67"/>
    <w:rsid w:val="00970DFA"/>
    <w:rsid w:val="00970E3B"/>
    <w:rsid w:val="00970E45"/>
    <w:rsid w:val="00970F2E"/>
    <w:rsid w:val="00971156"/>
    <w:rsid w:val="00971189"/>
    <w:rsid w:val="00971202"/>
    <w:rsid w:val="00971206"/>
    <w:rsid w:val="0097122A"/>
    <w:rsid w:val="00971265"/>
    <w:rsid w:val="00971331"/>
    <w:rsid w:val="00971512"/>
    <w:rsid w:val="00971551"/>
    <w:rsid w:val="00971573"/>
    <w:rsid w:val="009715A1"/>
    <w:rsid w:val="0097165B"/>
    <w:rsid w:val="009716F8"/>
    <w:rsid w:val="00971718"/>
    <w:rsid w:val="00971781"/>
    <w:rsid w:val="009718E1"/>
    <w:rsid w:val="00971AA8"/>
    <w:rsid w:val="00971AE8"/>
    <w:rsid w:val="00971B38"/>
    <w:rsid w:val="00971B41"/>
    <w:rsid w:val="00971B6F"/>
    <w:rsid w:val="00971BA4"/>
    <w:rsid w:val="00971BBF"/>
    <w:rsid w:val="00971BD4"/>
    <w:rsid w:val="00971BFF"/>
    <w:rsid w:val="00971C9E"/>
    <w:rsid w:val="00971CA1"/>
    <w:rsid w:val="00971E42"/>
    <w:rsid w:val="00971E88"/>
    <w:rsid w:val="00971EDC"/>
    <w:rsid w:val="00971EF6"/>
    <w:rsid w:val="0097218C"/>
    <w:rsid w:val="00972199"/>
    <w:rsid w:val="0097223D"/>
    <w:rsid w:val="00972296"/>
    <w:rsid w:val="009722BB"/>
    <w:rsid w:val="00972330"/>
    <w:rsid w:val="0097244F"/>
    <w:rsid w:val="00972669"/>
    <w:rsid w:val="009727C9"/>
    <w:rsid w:val="00972869"/>
    <w:rsid w:val="009728C3"/>
    <w:rsid w:val="009728E2"/>
    <w:rsid w:val="00972935"/>
    <w:rsid w:val="0097294F"/>
    <w:rsid w:val="009729B5"/>
    <w:rsid w:val="00972A25"/>
    <w:rsid w:val="00972AA1"/>
    <w:rsid w:val="00972B42"/>
    <w:rsid w:val="00972BA6"/>
    <w:rsid w:val="00972CD0"/>
    <w:rsid w:val="00972E5E"/>
    <w:rsid w:val="00972FF7"/>
    <w:rsid w:val="00973165"/>
    <w:rsid w:val="00973188"/>
    <w:rsid w:val="0097324E"/>
    <w:rsid w:val="00973256"/>
    <w:rsid w:val="00973288"/>
    <w:rsid w:val="009733E0"/>
    <w:rsid w:val="0097347E"/>
    <w:rsid w:val="00973859"/>
    <w:rsid w:val="00973944"/>
    <w:rsid w:val="009739A0"/>
    <w:rsid w:val="00973A23"/>
    <w:rsid w:val="00973A25"/>
    <w:rsid w:val="00973AAA"/>
    <w:rsid w:val="00973AF6"/>
    <w:rsid w:val="00973B27"/>
    <w:rsid w:val="00973B3B"/>
    <w:rsid w:val="00973CD4"/>
    <w:rsid w:val="00973CEC"/>
    <w:rsid w:val="00973D60"/>
    <w:rsid w:val="00973E79"/>
    <w:rsid w:val="00973F68"/>
    <w:rsid w:val="009740B5"/>
    <w:rsid w:val="009740EC"/>
    <w:rsid w:val="0097414C"/>
    <w:rsid w:val="009741A6"/>
    <w:rsid w:val="009742C5"/>
    <w:rsid w:val="0097431F"/>
    <w:rsid w:val="00974329"/>
    <w:rsid w:val="0097433F"/>
    <w:rsid w:val="009743F3"/>
    <w:rsid w:val="00974416"/>
    <w:rsid w:val="00974426"/>
    <w:rsid w:val="009745BB"/>
    <w:rsid w:val="009745E0"/>
    <w:rsid w:val="009746C9"/>
    <w:rsid w:val="009746D6"/>
    <w:rsid w:val="009746D7"/>
    <w:rsid w:val="0097471E"/>
    <w:rsid w:val="0097476F"/>
    <w:rsid w:val="009747BD"/>
    <w:rsid w:val="009748F8"/>
    <w:rsid w:val="00974947"/>
    <w:rsid w:val="00974956"/>
    <w:rsid w:val="009749C3"/>
    <w:rsid w:val="009749DB"/>
    <w:rsid w:val="00974A48"/>
    <w:rsid w:val="00974B13"/>
    <w:rsid w:val="00974B24"/>
    <w:rsid w:val="00974BB7"/>
    <w:rsid w:val="00974C83"/>
    <w:rsid w:val="00974D5F"/>
    <w:rsid w:val="00974D7D"/>
    <w:rsid w:val="00974D89"/>
    <w:rsid w:val="00974E18"/>
    <w:rsid w:val="00974E6A"/>
    <w:rsid w:val="00974E7A"/>
    <w:rsid w:val="00974E84"/>
    <w:rsid w:val="00974F09"/>
    <w:rsid w:val="00975056"/>
    <w:rsid w:val="00975076"/>
    <w:rsid w:val="00975125"/>
    <w:rsid w:val="00975185"/>
    <w:rsid w:val="009753AA"/>
    <w:rsid w:val="009753C3"/>
    <w:rsid w:val="0097549F"/>
    <w:rsid w:val="00975566"/>
    <w:rsid w:val="00975651"/>
    <w:rsid w:val="00975696"/>
    <w:rsid w:val="009756A8"/>
    <w:rsid w:val="009756B0"/>
    <w:rsid w:val="00975747"/>
    <w:rsid w:val="009757EF"/>
    <w:rsid w:val="00975817"/>
    <w:rsid w:val="0097584D"/>
    <w:rsid w:val="009758A1"/>
    <w:rsid w:val="009759A6"/>
    <w:rsid w:val="00975A30"/>
    <w:rsid w:val="00975A7F"/>
    <w:rsid w:val="00975B60"/>
    <w:rsid w:val="00975D54"/>
    <w:rsid w:val="0097619F"/>
    <w:rsid w:val="0097621E"/>
    <w:rsid w:val="00976229"/>
    <w:rsid w:val="00976248"/>
    <w:rsid w:val="00976281"/>
    <w:rsid w:val="009762F6"/>
    <w:rsid w:val="0097634E"/>
    <w:rsid w:val="009763C1"/>
    <w:rsid w:val="0097652C"/>
    <w:rsid w:val="009765BF"/>
    <w:rsid w:val="009765E2"/>
    <w:rsid w:val="0097662F"/>
    <w:rsid w:val="0097663A"/>
    <w:rsid w:val="00976655"/>
    <w:rsid w:val="009766F0"/>
    <w:rsid w:val="00976903"/>
    <w:rsid w:val="00976973"/>
    <w:rsid w:val="009769A3"/>
    <w:rsid w:val="00976A2B"/>
    <w:rsid w:val="00976A47"/>
    <w:rsid w:val="00976A6B"/>
    <w:rsid w:val="00976AF6"/>
    <w:rsid w:val="00976B66"/>
    <w:rsid w:val="00976BA2"/>
    <w:rsid w:val="00976BA5"/>
    <w:rsid w:val="00976D5B"/>
    <w:rsid w:val="00976EA1"/>
    <w:rsid w:val="00976F51"/>
    <w:rsid w:val="00976F74"/>
    <w:rsid w:val="00976FB3"/>
    <w:rsid w:val="009770F6"/>
    <w:rsid w:val="00977162"/>
    <w:rsid w:val="0097717E"/>
    <w:rsid w:val="00977338"/>
    <w:rsid w:val="009773B8"/>
    <w:rsid w:val="00977418"/>
    <w:rsid w:val="00977429"/>
    <w:rsid w:val="00977468"/>
    <w:rsid w:val="0097751D"/>
    <w:rsid w:val="0097754D"/>
    <w:rsid w:val="00977647"/>
    <w:rsid w:val="009777C3"/>
    <w:rsid w:val="009779B1"/>
    <w:rsid w:val="00977A73"/>
    <w:rsid w:val="00977B58"/>
    <w:rsid w:val="00977B76"/>
    <w:rsid w:val="00977C28"/>
    <w:rsid w:val="00977CE7"/>
    <w:rsid w:val="00977DF2"/>
    <w:rsid w:val="00977E00"/>
    <w:rsid w:val="00977E2E"/>
    <w:rsid w:val="00977EAD"/>
    <w:rsid w:val="00977F39"/>
    <w:rsid w:val="00980086"/>
    <w:rsid w:val="00980196"/>
    <w:rsid w:val="009801D7"/>
    <w:rsid w:val="00980237"/>
    <w:rsid w:val="009803CE"/>
    <w:rsid w:val="00980409"/>
    <w:rsid w:val="0098054D"/>
    <w:rsid w:val="0098057B"/>
    <w:rsid w:val="00980685"/>
    <w:rsid w:val="0098068A"/>
    <w:rsid w:val="00980745"/>
    <w:rsid w:val="00980757"/>
    <w:rsid w:val="00980764"/>
    <w:rsid w:val="00980781"/>
    <w:rsid w:val="00980788"/>
    <w:rsid w:val="009807C9"/>
    <w:rsid w:val="009807CA"/>
    <w:rsid w:val="00980800"/>
    <w:rsid w:val="0098085A"/>
    <w:rsid w:val="00980945"/>
    <w:rsid w:val="00980D55"/>
    <w:rsid w:val="00980D5D"/>
    <w:rsid w:val="00980D7F"/>
    <w:rsid w:val="00980DE1"/>
    <w:rsid w:val="00980E11"/>
    <w:rsid w:val="00980E5C"/>
    <w:rsid w:val="00980E63"/>
    <w:rsid w:val="00981122"/>
    <w:rsid w:val="0098114A"/>
    <w:rsid w:val="00981217"/>
    <w:rsid w:val="0098138D"/>
    <w:rsid w:val="009813D5"/>
    <w:rsid w:val="00981624"/>
    <w:rsid w:val="0098163B"/>
    <w:rsid w:val="009816C8"/>
    <w:rsid w:val="00981776"/>
    <w:rsid w:val="00981968"/>
    <w:rsid w:val="009819D1"/>
    <w:rsid w:val="00981A27"/>
    <w:rsid w:val="00981B7C"/>
    <w:rsid w:val="00981BE8"/>
    <w:rsid w:val="00981CD6"/>
    <w:rsid w:val="00981CFF"/>
    <w:rsid w:val="00981D93"/>
    <w:rsid w:val="00981DE7"/>
    <w:rsid w:val="00981DEF"/>
    <w:rsid w:val="00981E13"/>
    <w:rsid w:val="00981F15"/>
    <w:rsid w:val="00981F1F"/>
    <w:rsid w:val="00981FA6"/>
    <w:rsid w:val="00981FE0"/>
    <w:rsid w:val="00981FF9"/>
    <w:rsid w:val="009821D1"/>
    <w:rsid w:val="0098225C"/>
    <w:rsid w:val="009822CE"/>
    <w:rsid w:val="00982389"/>
    <w:rsid w:val="0098238A"/>
    <w:rsid w:val="00982430"/>
    <w:rsid w:val="0098251B"/>
    <w:rsid w:val="009825CF"/>
    <w:rsid w:val="0098267E"/>
    <w:rsid w:val="009826D8"/>
    <w:rsid w:val="009826EC"/>
    <w:rsid w:val="009827AC"/>
    <w:rsid w:val="009827BB"/>
    <w:rsid w:val="00982A3A"/>
    <w:rsid w:val="00982A79"/>
    <w:rsid w:val="00982A7E"/>
    <w:rsid w:val="00982B1A"/>
    <w:rsid w:val="00982B47"/>
    <w:rsid w:val="00982BDE"/>
    <w:rsid w:val="00982E7B"/>
    <w:rsid w:val="00982E84"/>
    <w:rsid w:val="00982E9C"/>
    <w:rsid w:val="009830BA"/>
    <w:rsid w:val="009830FC"/>
    <w:rsid w:val="00983100"/>
    <w:rsid w:val="00983125"/>
    <w:rsid w:val="009831B8"/>
    <w:rsid w:val="009831D7"/>
    <w:rsid w:val="009831D9"/>
    <w:rsid w:val="009831E0"/>
    <w:rsid w:val="009831F2"/>
    <w:rsid w:val="0098325F"/>
    <w:rsid w:val="009833E9"/>
    <w:rsid w:val="009834B8"/>
    <w:rsid w:val="00983562"/>
    <w:rsid w:val="0098359C"/>
    <w:rsid w:val="009835B1"/>
    <w:rsid w:val="00983646"/>
    <w:rsid w:val="00983685"/>
    <w:rsid w:val="009837BA"/>
    <w:rsid w:val="00983801"/>
    <w:rsid w:val="0098383C"/>
    <w:rsid w:val="009838B3"/>
    <w:rsid w:val="009838B5"/>
    <w:rsid w:val="00983957"/>
    <w:rsid w:val="009839B0"/>
    <w:rsid w:val="00983A98"/>
    <w:rsid w:val="00983BD3"/>
    <w:rsid w:val="00983C93"/>
    <w:rsid w:val="00983CBB"/>
    <w:rsid w:val="00983CCE"/>
    <w:rsid w:val="00983DCA"/>
    <w:rsid w:val="00983DDD"/>
    <w:rsid w:val="00983E09"/>
    <w:rsid w:val="00983ECB"/>
    <w:rsid w:val="00983F85"/>
    <w:rsid w:val="00984005"/>
    <w:rsid w:val="009840D5"/>
    <w:rsid w:val="009841B9"/>
    <w:rsid w:val="00984203"/>
    <w:rsid w:val="0098431B"/>
    <w:rsid w:val="00984386"/>
    <w:rsid w:val="009843C2"/>
    <w:rsid w:val="009843C5"/>
    <w:rsid w:val="009843D7"/>
    <w:rsid w:val="0098442B"/>
    <w:rsid w:val="00984493"/>
    <w:rsid w:val="009844B4"/>
    <w:rsid w:val="00984666"/>
    <w:rsid w:val="0098479B"/>
    <w:rsid w:val="009847B5"/>
    <w:rsid w:val="009847DF"/>
    <w:rsid w:val="00984872"/>
    <w:rsid w:val="009848D6"/>
    <w:rsid w:val="009848E3"/>
    <w:rsid w:val="009848E4"/>
    <w:rsid w:val="009849FC"/>
    <w:rsid w:val="00984AD1"/>
    <w:rsid w:val="00984AFC"/>
    <w:rsid w:val="00984C85"/>
    <w:rsid w:val="00984D42"/>
    <w:rsid w:val="00984D97"/>
    <w:rsid w:val="00984FC6"/>
    <w:rsid w:val="0098507D"/>
    <w:rsid w:val="0098509A"/>
    <w:rsid w:val="00985122"/>
    <w:rsid w:val="00985144"/>
    <w:rsid w:val="0098525E"/>
    <w:rsid w:val="009852C1"/>
    <w:rsid w:val="009852F6"/>
    <w:rsid w:val="009852F7"/>
    <w:rsid w:val="0098534B"/>
    <w:rsid w:val="0098549A"/>
    <w:rsid w:val="009854D6"/>
    <w:rsid w:val="00985514"/>
    <w:rsid w:val="009855E9"/>
    <w:rsid w:val="00985624"/>
    <w:rsid w:val="009857BC"/>
    <w:rsid w:val="009858E6"/>
    <w:rsid w:val="009858E9"/>
    <w:rsid w:val="0098596A"/>
    <w:rsid w:val="009859FB"/>
    <w:rsid w:val="00985A45"/>
    <w:rsid w:val="00985B0B"/>
    <w:rsid w:val="00985D0E"/>
    <w:rsid w:val="00985D71"/>
    <w:rsid w:val="00985EC5"/>
    <w:rsid w:val="00985EFB"/>
    <w:rsid w:val="00985F8E"/>
    <w:rsid w:val="00985FDA"/>
    <w:rsid w:val="0098604D"/>
    <w:rsid w:val="009860E0"/>
    <w:rsid w:val="009861F2"/>
    <w:rsid w:val="00986233"/>
    <w:rsid w:val="00986295"/>
    <w:rsid w:val="0098631C"/>
    <w:rsid w:val="0098647E"/>
    <w:rsid w:val="0098647F"/>
    <w:rsid w:val="00986498"/>
    <w:rsid w:val="0098649A"/>
    <w:rsid w:val="0098663F"/>
    <w:rsid w:val="0098664F"/>
    <w:rsid w:val="0098665B"/>
    <w:rsid w:val="00986677"/>
    <w:rsid w:val="0098671F"/>
    <w:rsid w:val="00986731"/>
    <w:rsid w:val="00986876"/>
    <w:rsid w:val="009869F7"/>
    <w:rsid w:val="00986A05"/>
    <w:rsid w:val="00986A31"/>
    <w:rsid w:val="00986A6E"/>
    <w:rsid w:val="00986A9B"/>
    <w:rsid w:val="00986AEC"/>
    <w:rsid w:val="00986B31"/>
    <w:rsid w:val="00986B95"/>
    <w:rsid w:val="00986CCA"/>
    <w:rsid w:val="00986D3F"/>
    <w:rsid w:val="00986D7E"/>
    <w:rsid w:val="00986FAE"/>
    <w:rsid w:val="00987040"/>
    <w:rsid w:val="00987086"/>
    <w:rsid w:val="009870DB"/>
    <w:rsid w:val="0098722B"/>
    <w:rsid w:val="00987252"/>
    <w:rsid w:val="009872DD"/>
    <w:rsid w:val="00987528"/>
    <w:rsid w:val="0098776A"/>
    <w:rsid w:val="00987788"/>
    <w:rsid w:val="009877FB"/>
    <w:rsid w:val="00987853"/>
    <w:rsid w:val="00987879"/>
    <w:rsid w:val="0098795C"/>
    <w:rsid w:val="009879AF"/>
    <w:rsid w:val="00987A7B"/>
    <w:rsid w:val="00987AB9"/>
    <w:rsid w:val="00987B30"/>
    <w:rsid w:val="00987B8F"/>
    <w:rsid w:val="00987CE6"/>
    <w:rsid w:val="00987D3B"/>
    <w:rsid w:val="00987E72"/>
    <w:rsid w:val="00987F3F"/>
    <w:rsid w:val="00987FBF"/>
    <w:rsid w:val="00990138"/>
    <w:rsid w:val="00990144"/>
    <w:rsid w:val="00990240"/>
    <w:rsid w:val="009902C5"/>
    <w:rsid w:val="009903E3"/>
    <w:rsid w:val="0099041F"/>
    <w:rsid w:val="0099042E"/>
    <w:rsid w:val="00990529"/>
    <w:rsid w:val="0099060B"/>
    <w:rsid w:val="009906B3"/>
    <w:rsid w:val="009906D4"/>
    <w:rsid w:val="00990739"/>
    <w:rsid w:val="00990852"/>
    <w:rsid w:val="009908DA"/>
    <w:rsid w:val="009909AC"/>
    <w:rsid w:val="009909F7"/>
    <w:rsid w:val="00990C16"/>
    <w:rsid w:val="00990C3C"/>
    <w:rsid w:val="00990CFE"/>
    <w:rsid w:val="00990E21"/>
    <w:rsid w:val="00990EC3"/>
    <w:rsid w:val="00990F96"/>
    <w:rsid w:val="00991034"/>
    <w:rsid w:val="0099104E"/>
    <w:rsid w:val="0099118E"/>
    <w:rsid w:val="0099119C"/>
    <w:rsid w:val="009911BA"/>
    <w:rsid w:val="00991268"/>
    <w:rsid w:val="0099159F"/>
    <w:rsid w:val="009915EA"/>
    <w:rsid w:val="00991607"/>
    <w:rsid w:val="00991660"/>
    <w:rsid w:val="00991668"/>
    <w:rsid w:val="0099179A"/>
    <w:rsid w:val="009917D4"/>
    <w:rsid w:val="00991B09"/>
    <w:rsid w:val="00991BB8"/>
    <w:rsid w:val="00991BF4"/>
    <w:rsid w:val="00991D92"/>
    <w:rsid w:val="00991E90"/>
    <w:rsid w:val="00991FFD"/>
    <w:rsid w:val="00992179"/>
    <w:rsid w:val="009921E7"/>
    <w:rsid w:val="009921F8"/>
    <w:rsid w:val="00992201"/>
    <w:rsid w:val="0099225C"/>
    <w:rsid w:val="00992300"/>
    <w:rsid w:val="00992461"/>
    <w:rsid w:val="009924D4"/>
    <w:rsid w:val="00992690"/>
    <w:rsid w:val="009927E2"/>
    <w:rsid w:val="0099284B"/>
    <w:rsid w:val="00992921"/>
    <w:rsid w:val="009929AF"/>
    <w:rsid w:val="00992ACD"/>
    <w:rsid w:val="00992B8F"/>
    <w:rsid w:val="00992F14"/>
    <w:rsid w:val="00993093"/>
    <w:rsid w:val="0099309F"/>
    <w:rsid w:val="009930BD"/>
    <w:rsid w:val="0099328F"/>
    <w:rsid w:val="00993345"/>
    <w:rsid w:val="0099338C"/>
    <w:rsid w:val="009933DB"/>
    <w:rsid w:val="00993471"/>
    <w:rsid w:val="009935EB"/>
    <w:rsid w:val="00993612"/>
    <w:rsid w:val="009936C8"/>
    <w:rsid w:val="009937CF"/>
    <w:rsid w:val="009937EE"/>
    <w:rsid w:val="0099383F"/>
    <w:rsid w:val="00993876"/>
    <w:rsid w:val="009938E6"/>
    <w:rsid w:val="00993934"/>
    <w:rsid w:val="0099394F"/>
    <w:rsid w:val="0099399B"/>
    <w:rsid w:val="009939AA"/>
    <w:rsid w:val="009939B7"/>
    <w:rsid w:val="00993A5F"/>
    <w:rsid w:val="00993AA5"/>
    <w:rsid w:val="00993ADB"/>
    <w:rsid w:val="00993C22"/>
    <w:rsid w:val="00993C93"/>
    <w:rsid w:val="00993D6D"/>
    <w:rsid w:val="00993E50"/>
    <w:rsid w:val="00993E83"/>
    <w:rsid w:val="00993EA9"/>
    <w:rsid w:val="00993EC0"/>
    <w:rsid w:val="00993F2D"/>
    <w:rsid w:val="00993FD9"/>
    <w:rsid w:val="00993FE8"/>
    <w:rsid w:val="00994008"/>
    <w:rsid w:val="00994053"/>
    <w:rsid w:val="00994067"/>
    <w:rsid w:val="009940F3"/>
    <w:rsid w:val="00994148"/>
    <w:rsid w:val="009942EA"/>
    <w:rsid w:val="009942ED"/>
    <w:rsid w:val="0099439E"/>
    <w:rsid w:val="00994594"/>
    <w:rsid w:val="009945A5"/>
    <w:rsid w:val="009945B4"/>
    <w:rsid w:val="0099465C"/>
    <w:rsid w:val="00994668"/>
    <w:rsid w:val="009946B0"/>
    <w:rsid w:val="009946D8"/>
    <w:rsid w:val="00994737"/>
    <w:rsid w:val="00994836"/>
    <w:rsid w:val="0099489D"/>
    <w:rsid w:val="009948A7"/>
    <w:rsid w:val="00994929"/>
    <w:rsid w:val="00994969"/>
    <w:rsid w:val="0099496A"/>
    <w:rsid w:val="00994A19"/>
    <w:rsid w:val="00994AC5"/>
    <w:rsid w:val="00994BD3"/>
    <w:rsid w:val="00994C07"/>
    <w:rsid w:val="00994D0F"/>
    <w:rsid w:val="00994D85"/>
    <w:rsid w:val="00994D90"/>
    <w:rsid w:val="00994DF1"/>
    <w:rsid w:val="00994EEE"/>
    <w:rsid w:val="0099500F"/>
    <w:rsid w:val="00995088"/>
    <w:rsid w:val="009950E7"/>
    <w:rsid w:val="0099525C"/>
    <w:rsid w:val="0099527C"/>
    <w:rsid w:val="00995300"/>
    <w:rsid w:val="0099532F"/>
    <w:rsid w:val="00995336"/>
    <w:rsid w:val="009953C8"/>
    <w:rsid w:val="00995425"/>
    <w:rsid w:val="0099549F"/>
    <w:rsid w:val="009954B7"/>
    <w:rsid w:val="0099556D"/>
    <w:rsid w:val="0099558A"/>
    <w:rsid w:val="00995634"/>
    <w:rsid w:val="009957A1"/>
    <w:rsid w:val="009957F4"/>
    <w:rsid w:val="0099582F"/>
    <w:rsid w:val="0099594A"/>
    <w:rsid w:val="00995989"/>
    <w:rsid w:val="00995B25"/>
    <w:rsid w:val="00995BB1"/>
    <w:rsid w:val="00995BB8"/>
    <w:rsid w:val="00995D6E"/>
    <w:rsid w:val="00995F05"/>
    <w:rsid w:val="00995FAF"/>
    <w:rsid w:val="00995FEE"/>
    <w:rsid w:val="009960CE"/>
    <w:rsid w:val="00996166"/>
    <w:rsid w:val="00996219"/>
    <w:rsid w:val="00996272"/>
    <w:rsid w:val="009962F9"/>
    <w:rsid w:val="00996434"/>
    <w:rsid w:val="00996470"/>
    <w:rsid w:val="00996531"/>
    <w:rsid w:val="00996595"/>
    <w:rsid w:val="00996680"/>
    <w:rsid w:val="009966A3"/>
    <w:rsid w:val="00996746"/>
    <w:rsid w:val="0099676D"/>
    <w:rsid w:val="0099681F"/>
    <w:rsid w:val="00996898"/>
    <w:rsid w:val="009968B8"/>
    <w:rsid w:val="009968D3"/>
    <w:rsid w:val="009969BC"/>
    <w:rsid w:val="00996AA6"/>
    <w:rsid w:val="00996AD2"/>
    <w:rsid w:val="00996AFA"/>
    <w:rsid w:val="00996B33"/>
    <w:rsid w:val="00996D97"/>
    <w:rsid w:val="00996F91"/>
    <w:rsid w:val="00996F9A"/>
    <w:rsid w:val="009971F7"/>
    <w:rsid w:val="00997342"/>
    <w:rsid w:val="00997405"/>
    <w:rsid w:val="0099768B"/>
    <w:rsid w:val="00997761"/>
    <w:rsid w:val="009977F5"/>
    <w:rsid w:val="00997851"/>
    <w:rsid w:val="0099789C"/>
    <w:rsid w:val="0099792F"/>
    <w:rsid w:val="00997971"/>
    <w:rsid w:val="00997A08"/>
    <w:rsid w:val="00997AE0"/>
    <w:rsid w:val="00997BE9"/>
    <w:rsid w:val="00997C9E"/>
    <w:rsid w:val="00997D8B"/>
    <w:rsid w:val="00997EC4"/>
    <w:rsid w:val="00997FD5"/>
    <w:rsid w:val="009A00ED"/>
    <w:rsid w:val="009A0255"/>
    <w:rsid w:val="009A0524"/>
    <w:rsid w:val="009A05F3"/>
    <w:rsid w:val="009A06B6"/>
    <w:rsid w:val="009A06CF"/>
    <w:rsid w:val="009A081E"/>
    <w:rsid w:val="009A08F3"/>
    <w:rsid w:val="009A0925"/>
    <w:rsid w:val="009A095D"/>
    <w:rsid w:val="009A095E"/>
    <w:rsid w:val="009A0A6C"/>
    <w:rsid w:val="009A0A82"/>
    <w:rsid w:val="009A0AFD"/>
    <w:rsid w:val="009A0C6A"/>
    <w:rsid w:val="009A0D32"/>
    <w:rsid w:val="009A0EF0"/>
    <w:rsid w:val="009A0F69"/>
    <w:rsid w:val="009A1003"/>
    <w:rsid w:val="009A1008"/>
    <w:rsid w:val="009A1074"/>
    <w:rsid w:val="009A10EB"/>
    <w:rsid w:val="009A123B"/>
    <w:rsid w:val="009A12F5"/>
    <w:rsid w:val="009A13BA"/>
    <w:rsid w:val="009A144D"/>
    <w:rsid w:val="009A14A9"/>
    <w:rsid w:val="009A14AD"/>
    <w:rsid w:val="009A14E5"/>
    <w:rsid w:val="009A15E0"/>
    <w:rsid w:val="009A1604"/>
    <w:rsid w:val="009A1636"/>
    <w:rsid w:val="009A163B"/>
    <w:rsid w:val="009A167F"/>
    <w:rsid w:val="009A18D4"/>
    <w:rsid w:val="009A18D7"/>
    <w:rsid w:val="009A1922"/>
    <w:rsid w:val="009A1984"/>
    <w:rsid w:val="009A19AA"/>
    <w:rsid w:val="009A1CFA"/>
    <w:rsid w:val="009A1D79"/>
    <w:rsid w:val="009A1DA8"/>
    <w:rsid w:val="009A1E71"/>
    <w:rsid w:val="009A1E79"/>
    <w:rsid w:val="009A1F04"/>
    <w:rsid w:val="009A1F93"/>
    <w:rsid w:val="009A2084"/>
    <w:rsid w:val="009A2156"/>
    <w:rsid w:val="009A22EA"/>
    <w:rsid w:val="009A2441"/>
    <w:rsid w:val="009A2493"/>
    <w:rsid w:val="009A2545"/>
    <w:rsid w:val="009A2592"/>
    <w:rsid w:val="009A25A7"/>
    <w:rsid w:val="009A2604"/>
    <w:rsid w:val="009A26A0"/>
    <w:rsid w:val="009A28FC"/>
    <w:rsid w:val="009A2BB2"/>
    <w:rsid w:val="009A2CEB"/>
    <w:rsid w:val="009A2D06"/>
    <w:rsid w:val="009A2D26"/>
    <w:rsid w:val="009A2E2A"/>
    <w:rsid w:val="009A2E41"/>
    <w:rsid w:val="009A2E7D"/>
    <w:rsid w:val="009A2EEF"/>
    <w:rsid w:val="009A2F15"/>
    <w:rsid w:val="009A2F7C"/>
    <w:rsid w:val="009A3037"/>
    <w:rsid w:val="009A31DA"/>
    <w:rsid w:val="009A31E0"/>
    <w:rsid w:val="009A31E7"/>
    <w:rsid w:val="009A3202"/>
    <w:rsid w:val="009A3282"/>
    <w:rsid w:val="009A32B1"/>
    <w:rsid w:val="009A341C"/>
    <w:rsid w:val="009A3425"/>
    <w:rsid w:val="009A36DD"/>
    <w:rsid w:val="009A37CA"/>
    <w:rsid w:val="009A3A01"/>
    <w:rsid w:val="009A3ACE"/>
    <w:rsid w:val="009A3B30"/>
    <w:rsid w:val="009A3B56"/>
    <w:rsid w:val="009A3B7D"/>
    <w:rsid w:val="009A3C5F"/>
    <w:rsid w:val="009A3CA8"/>
    <w:rsid w:val="009A3CAB"/>
    <w:rsid w:val="009A3D5E"/>
    <w:rsid w:val="009A3E0B"/>
    <w:rsid w:val="009A3EC3"/>
    <w:rsid w:val="009A3F31"/>
    <w:rsid w:val="009A3F48"/>
    <w:rsid w:val="009A4000"/>
    <w:rsid w:val="009A421D"/>
    <w:rsid w:val="009A42E3"/>
    <w:rsid w:val="009A4442"/>
    <w:rsid w:val="009A44B9"/>
    <w:rsid w:val="009A462C"/>
    <w:rsid w:val="009A4723"/>
    <w:rsid w:val="009A475D"/>
    <w:rsid w:val="009A47BF"/>
    <w:rsid w:val="009A4989"/>
    <w:rsid w:val="009A49B1"/>
    <w:rsid w:val="009A4A0A"/>
    <w:rsid w:val="009A4A0F"/>
    <w:rsid w:val="009A4A49"/>
    <w:rsid w:val="009A4B53"/>
    <w:rsid w:val="009A4D37"/>
    <w:rsid w:val="009A4D45"/>
    <w:rsid w:val="009A4D67"/>
    <w:rsid w:val="009A4D7D"/>
    <w:rsid w:val="009A4F0F"/>
    <w:rsid w:val="009A4FCD"/>
    <w:rsid w:val="009A4FF2"/>
    <w:rsid w:val="009A5009"/>
    <w:rsid w:val="009A5036"/>
    <w:rsid w:val="009A504E"/>
    <w:rsid w:val="009A50C4"/>
    <w:rsid w:val="009A50E1"/>
    <w:rsid w:val="009A5175"/>
    <w:rsid w:val="009A51CD"/>
    <w:rsid w:val="009A51F5"/>
    <w:rsid w:val="009A5217"/>
    <w:rsid w:val="009A5232"/>
    <w:rsid w:val="009A5265"/>
    <w:rsid w:val="009A5268"/>
    <w:rsid w:val="009A529A"/>
    <w:rsid w:val="009A530A"/>
    <w:rsid w:val="009A5357"/>
    <w:rsid w:val="009A5430"/>
    <w:rsid w:val="009A550F"/>
    <w:rsid w:val="009A55D1"/>
    <w:rsid w:val="009A56C3"/>
    <w:rsid w:val="009A5805"/>
    <w:rsid w:val="009A5819"/>
    <w:rsid w:val="009A5995"/>
    <w:rsid w:val="009A59B9"/>
    <w:rsid w:val="009A5A94"/>
    <w:rsid w:val="009A5AC3"/>
    <w:rsid w:val="009A5BA8"/>
    <w:rsid w:val="009A5BDC"/>
    <w:rsid w:val="009A5C96"/>
    <w:rsid w:val="009A5DF8"/>
    <w:rsid w:val="009A5EA3"/>
    <w:rsid w:val="009A5EFD"/>
    <w:rsid w:val="009A5EFE"/>
    <w:rsid w:val="009A5FD9"/>
    <w:rsid w:val="009A604F"/>
    <w:rsid w:val="009A613F"/>
    <w:rsid w:val="009A617D"/>
    <w:rsid w:val="009A6180"/>
    <w:rsid w:val="009A6254"/>
    <w:rsid w:val="009A626E"/>
    <w:rsid w:val="009A64B2"/>
    <w:rsid w:val="009A65BB"/>
    <w:rsid w:val="009A662B"/>
    <w:rsid w:val="009A66F3"/>
    <w:rsid w:val="009A6752"/>
    <w:rsid w:val="009A6770"/>
    <w:rsid w:val="009A687B"/>
    <w:rsid w:val="009A6918"/>
    <w:rsid w:val="009A6A30"/>
    <w:rsid w:val="009A6A5E"/>
    <w:rsid w:val="009A6AAD"/>
    <w:rsid w:val="009A6B3B"/>
    <w:rsid w:val="009A6B3E"/>
    <w:rsid w:val="009A6CE8"/>
    <w:rsid w:val="009A6CEB"/>
    <w:rsid w:val="009A6CFF"/>
    <w:rsid w:val="009A6DD5"/>
    <w:rsid w:val="009A6DFA"/>
    <w:rsid w:val="009A6ED4"/>
    <w:rsid w:val="009A6F40"/>
    <w:rsid w:val="009A6F90"/>
    <w:rsid w:val="009A6FDE"/>
    <w:rsid w:val="009A6FF9"/>
    <w:rsid w:val="009A7063"/>
    <w:rsid w:val="009A70C0"/>
    <w:rsid w:val="009A70D1"/>
    <w:rsid w:val="009A7168"/>
    <w:rsid w:val="009A73DD"/>
    <w:rsid w:val="009A741D"/>
    <w:rsid w:val="009A7495"/>
    <w:rsid w:val="009A74A8"/>
    <w:rsid w:val="009A7513"/>
    <w:rsid w:val="009A7565"/>
    <w:rsid w:val="009A7828"/>
    <w:rsid w:val="009A78C9"/>
    <w:rsid w:val="009A794E"/>
    <w:rsid w:val="009A79C5"/>
    <w:rsid w:val="009A7B01"/>
    <w:rsid w:val="009A7C77"/>
    <w:rsid w:val="009A7D24"/>
    <w:rsid w:val="009A7F2C"/>
    <w:rsid w:val="009A7F6E"/>
    <w:rsid w:val="009A7FBB"/>
    <w:rsid w:val="009B00CB"/>
    <w:rsid w:val="009B0101"/>
    <w:rsid w:val="009B012D"/>
    <w:rsid w:val="009B0142"/>
    <w:rsid w:val="009B0185"/>
    <w:rsid w:val="009B0197"/>
    <w:rsid w:val="009B01FD"/>
    <w:rsid w:val="009B0219"/>
    <w:rsid w:val="009B0263"/>
    <w:rsid w:val="009B02B3"/>
    <w:rsid w:val="009B040A"/>
    <w:rsid w:val="009B0522"/>
    <w:rsid w:val="009B0557"/>
    <w:rsid w:val="009B06F0"/>
    <w:rsid w:val="009B07B5"/>
    <w:rsid w:val="009B0996"/>
    <w:rsid w:val="009B09C8"/>
    <w:rsid w:val="009B0A3E"/>
    <w:rsid w:val="009B0AAF"/>
    <w:rsid w:val="009B0CA4"/>
    <w:rsid w:val="009B0CAC"/>
    <w:rsid w:val="009B0CDF"/>
    <w:rsid w:val="009B0DDA"/>
    <w:rsid w:val="009B0E4E"/>
    <w:rsid w:val="009B0EA8"/>
    <w:rsid w:val="009B11D6"/>
    <w:rsid w:val="009B1210"/>
    <w:rsid w:val="009B1307"/>
    <w:rsid w:val="009B1425"/>
    <w:rsid w:val="009B14BA"/>
    <w:rsid w:val="009B16FE"/>
    <w:rsid w:val="009B1757"/>
    <w:rsid w:val="009B17E2"/>
    <w:rsid w:val="009B1815"/>
    <w:rsid w:val="009B18A0"/>
    <w:rsid w:val="009B19A3"/>
    <w:rsid w:val="009B1A3E"/>
    <w:rsid w:val="009B1A6A"/>
    <w:rsid w:val="009B1A78"/>
    <w:rsid w:val="009B1B17"/>
    <w:rsid w:val="009B1BB6"/>
    <w:rsid w:val="009B1C8C"/>
    <w:rsid w:val="009B1FE4"/>
    <w:rsid w:val="009B2037"/>
    <w:rsid w:val="009B2040"/>
    <w:rsid w:val="009B21F0"/>
    <w:rsid w:val="009B22B7"/>
    <w:rsid w:val="009B24A4"/>
    <w:rsid w:val="009B258C"/>
    <w:rsid w:val="009B25A8"/>
    <w:rsid w:val="009B2625"/>
    <w:rsid w:val="009B2650"/>
    <w:rsid w:val="009B2653"/>
    <w:rsid w:val="009B2660"/>
    <w:rsid w:val="009B2868"/>
    <w:rsid w:val="009B28FB"/>
    <w:rsid w:val="009B2AE7"/>
    <w:rsid w:val="009B2B56"/>
    <w:rsid w:val="009B2D8D"/>
    <w:rsid w:val="009B2DF0"/>
    <w:rsid w:val="009B2F18"/>
    <w:rsid w:val="009B2F19"/>
    <w:rsid w:val="009B2F6B"/>
    <w:rsid w:val="009B2FDB"/>
    <w:rsid w:val="009B3022"/>
    <w:rsid w:val="009B31D1"/>
    <w:rsid w:val="009B32E9"/>
    <w:rsid w:val="009B335D"/>
    <w:rsid w:val="009B3419"/>
    <w:rsid w:val="009B3466"/>
    <w:rsid w:val="009B347B"/>
    <w:rsid w:val="009B349C"/>
    <w:rsid w:val="009B3679"/>
    <w:rsid w:val="009B36B9"/>
    <w:rsid w:val="009B36FC"/>
    <w:rsid w:val="009B3723"/>
    <w:rsid w:val="009B372A"/>
    <w:rsid w:val="009B37DA"/>
    <w:rsid w:val="009B3802"/>
    <w:rsid w:val="009B3811"/>
    <w:rsid w:val="009B385B"/>
    <w:rsid w:val="009B387D"/>
    <w:rsid w:val="009B393A"/>
    <w:rsid w:val="009B39A2"/>
    <w:rsid w:val="009B3C05"/>
    <w:rsid w:val="009B3C1C"/>
    <w:rsid w:val="009B3C95"/>
    <w:rsid w:val="009B3CE1"/>
    <w:rsid w:val="009B3E19"/>
    <w:rsid w:val="009B3E73"/>
    <w:rsid w:val="009B40A6"/>
    <w:rsid w:val="009B42E4"/>
    <w:rsid w:val="009B44A3"/>
    <w:rsid w:val="009B455F"/>
    <w:rsid w:val="009B45A3"/>
    <w:rsid w:val="009B4689"/>
    <w:rsid w:val="009B47B2"/>
    <w:rsid w:val="009B482E"/>
    <w:rsid w:val="009B487A"/>
    <w:rsid w:val="009B4A3D"/>
    <w:rsid w:val="009B4A83"/>
    <w:rsid w:val="009B4A94"/>
    <w:rsid w:val="009B4AB3"/>
    <w:rsid w:val="009B4B28"/>
    <w:rsid w:val="009B4B37"/>
    <w:rsid w:val="009B4B74"/>
    <w:rsid w:val="009B4C52"/>
    <w:rsid w:val="009B4CBC"/>
    <w:rsid w:val="009B4CE3"/>
    <w:rsid w:val="009B4E4F"/>
    <w:rsid w:val="009B4F03"/>
    <w:rsid w:val="009B4FF0"/>
    <w:rsid w:val="009B5097"/>
    <w:rsid w:val="009B51B7"/>
    <w:rsid w:val="009B51BF"/>
    <w:rsid w:val="009B51CE"/>
    <w:rsid w:val="009B51EC"/>
    <w:rsid w:val="009B5275"/>
    <w:rsid w:val="009B52E3"/>
    <w:rsid w:val="009B54AA"/>
    <w:rsid w:val="009B55AC"/>
    <w:rsid w:val="009B55C4"/>
    <w:rsid w:val="009B55D3"/>
    <w:rsid w:val="009B570C"/>
    <w:rsid w:val="009B593C"/>
    <w:rsid w:val="009B5982"/>
    <w:rsid w:val="009B5A6C"/>
    <w:rsid w:val="009B5A93"/>
    <w:rsid w:val="009B5AA9"/>
    <w:rsid w:val="009B5B5C"/>
    <w:rsid w:val="009B5BE3"/>
    <w:rsid w:val="009B5C25"/>
    <w:rsid w:val="009B5CC1"/>
    <w:rsid w:val="009B5CC6"/>
    <w:rsid w:val="009B5CF2"/>
    <w:rsid w:val="009B5D4F"/>
    <w:rsid w:val="009B5D93"/>
    <w:rsid w:val="009B5DE2"/>
    <w:rsid w:val="009B5E5F"/>
    <w:rsid w:val="009B5F38"/>
    <w:rsid w:val="009B5F69"/>
    <w:rsid w:val="009B60C7"/>
    <w:rsid w:val="009B60DF"/>
    <w:rsid w:val="009B6129"/>
    <w:rsid w:val="009B62AF"/>
    <w:rsid w:val="009B62ED"/>
    <w:rsid w:val="009B6408"/>
    <w:rsid w:val="009B6419"/>
    <w:rsid w:val="009B6459"/>
    <w:rsid w:val="009B64D1"/>
    <w:rsid w:val="009B66E6"/>
    <w:rsid w:val="009B6734"/>
    <w:rsid w:val="009B67DB"/>
    <w:rsid w:val="009B6825"/>
    <w:rsid w:val="009B6885"/>
    <w:rsid w:val="009B6922"/>
    <w:rsid w:val="009B692C"/>
    <w:rsid w:val="009B696A"/>
    <w:rsid w:val="009B69D2"/>
    <w:rsid w:val="009B69E7"/>
    <w:rsid w:val="009B69F6"/>
    <w:rsid w:val="009B6A79"/>
    <w:rsid w:val="009B6B89"/>
    <w:rsid w:val="009B6BBC"/>
    <w:rsid w:val="009B6BF2"/>
    <w:rsid w:val="009B6C44"/>
    <w:rsid w:val="009B6D34"/>
    <w:rsid w:val="009B6D59"/>
    <w:rsid w:val="009B6ED4"/>
    <w:rsid w:val="009B6EDC"/>
    <w:rsid w:val="009B6F7E"/>
    <w:rsid w:val="009B6FAF"/>
    <w:rsid w:val="009B734C"/>
    <w:rsid w:val="009B7370"/>
    <w:rsid w:val="009B7426"/>
    <w:rsid w:val="009B74C0"/>
    <w:rsid w:val="009B74C1"/>
    <w:rsid w:val="009B75CE"/>
    <w:rsid w:val="009B77B1"/>
    <w:rsid w:val="009B77B4"/>
    <w:rsid w:val="009B788D"/>
    <w:rsid w:val="009B7899"/>
    <w:rsid w:val="009B7936"/>
    <w:rsid w:val="009B79BC"/>
    <w:rsid w:val="009B79ED"/>
    <w:rsid w:val="009B7A43"/>
    <w:rsid w:val="009B7B5C"/>
    <w:rsid w:val="009B7BE4"/>
    <w:rsid w:val="009B7C02"/>
    <w:rsid w:val="009B7C32"/>
    <w:rsid w:val="009B7C90"/>
    <w:rsid w:val="009B7CA9"/>
    <w:rsid w:val="009B7CC6"/>
    <w:rsid w:val="009B7CE7"/>
    <w:rsid w:val="009B7D23"/>
    <w:rsid w:val="009B7D61"/>
    <w:rsid w:val="009C0015"/>
    <w:rsid w:val="009C0073"/>
    <w:rsid w:val="009C00AC"/>
    <w:rsid w:val="009C0170"/>
    <w:rsid w:val="009C02EE"/>
    <w:rsid w:val="009C0321"/>
    <w:rsid w:val="009C036A"/>
    <w:rsid w:val="009C0400"/>
    <w:rsid w:val="009C0468"/>
    <w:rsid w:val="009C04FC"/>
    <w:rsid w:val="009C0519"/>
    <w:rsid w:val="009C0561"/>
    <w:rsid w:val="009C06B6"/>
    <w:rsid w:val="009C0728"/>
    <w:rsid w:val="009C0769"/>
    <w:rsid w:val="009C078F"/>
    <w:rsid w:val="009C07AC"/>
    <w:rsid w:val="009C0870"/>
    <w:rsid w:val="009C09D9"/>
    <w:rsid w:val="009C0A89"/>
    <w:rsid w:val="009C0AC9"/>
    <w:rsid w:val="009C0D06"/>
    <w:rsid w:val="009C0DDF"/>
    <w:rsid w:val="009C0E02"/>
    <w:rsid w:val="009C0FBE"/>
    <w:rsid w:val="009C1064"/>
    <w:rsid w:val="009C10B6"/>
    <w:rsid w:val="009C116A"/>
    <w:rsid w:val="009C134D"/>
    <w:rsid w:val="009C137A"/>
    <w:rsid w:val="009C144F"/>
    <w:rsid w:val="009C1469"/>
    <w:rsid w:val="009C14CC"/>
    <w:rsid w:val="009C1655"/>
    <w:rsid w:val="009C166B"/>
    <w:rsid w:val="009C176A"/>
    <w:rsid w:val="009C18DE"/>
    <w:rsid w:val="009C196F"/>
    <w:rsid w:val="009C197B"/>
    <w:rsid w:val="009C19FF"/>
    <w:rsid w:val="009C1A41"/>
    <w:rsid w:val="009C1A4B"/>
    <w:rsid w:val="009C1A61"/>
    <w:rsid w:val="009C1AAB"/>
    <w:rsid w:val="009C1B15"/>
    <w:rsid w:val="009C1BB9"/>
    <w:rsid w:val="009C1C88"/>
    <w:rsid w:val="009C1DAE"/>
    <w:rsid w:val="009C1DF8"/>
    <w:rsid w:val="009C1F37"/>
    <w:rsid w:val="009C1F83"/>
    <w:rsid w:val="009C200A"/>
    <w:rsid w:val="009C22A2"/>
    <w:rsid w:val="009C24A6"/>
    <w:rsid w:val="009C262E"/>
    <w:rsid w:val="009C26E2"/>
    <w:rsid w:val="009C2778"/>
    <w:rsid w:val="009C28E1"/>
    <w:rsid w:val="009C2959"/>
    <w:rsid w:val="009C2966"/>
    <w:rsid w:val="009C2B17"/>
    <w:rsid w:val="009C2B27"/>
    <w:rsid w:val="009C2C09"/>
    <w:rsid w:val="009C2D78"/>
    <w:rsid w:val="009C2E22"/>
    <w:rsid w:val="009C2E41"/>
    <w:rsid w:val="009C2E4B"/>
    <w:rsid w:val="009C2EA8"/>
    <w:rsid w:val="009C2EE4"/>
    <w:rsid w:val="009C2EFD"/>
    <w:rsid w:val="009C3064"/>
    <w:rsid w:val="009C30C2"/>
    <w:rsid w:val="009C3112"/>
    <w:rsid w:val="009C3241"/>
    <w:rsid w:val="009C3321"/>
    <w:rsid w:val="009C33B9"/>
    <w:rsid w:val="009C33E0"/>
    <w:rsid w:val="009C342F"/>
    <w:rsid w:val="009C3486"/>
    <w:rsid w:val="009C3489"/>
    <w:rsid w:val="009C3634"/>
    <w:rsid w:val="009C363D"/>
    <w:rsid w:val="009C3697"/>
    <w:rsid w:val="009C36C3"/>
    <w:rsid w:val="009C370E"/>
    <w:rsid w:val="009C379F"/>
    <w:rsid w:val="009C3886"/>
    <w:rsid w:val="009C38DF"/>
    <w:rsid w:val="009C396F"/>
    <w:rsid w:val="009C39C5"/>
    <w:rsid w:val="009C39D4"/>
    <w:rsid w:val="009C3A9F"/>
    <w:rsid w:val="009C3C21"/>
    <w:rsid w:val="009C3D61"/>
    <w:rsid w:val="009C3ECD"/>
    <w:rsid w:val="009C3F90"/>
    <w:rsid w:val="009C4056"/>
    <w:rsid w:val="009C406B"/>
    <w:rsid w:val="009C40D2"/>
    <w:rsid w:val="009C4206"/>
    <w:rsid w:val="009C4267"/>
    <w:rsid w:val="009C42B7"/>
    <w:rsid w:val="009C42C2"/>
    <w:rsid w:val="009C42F7"/>
    <w:rsid w:val="009C43A0"/>
    <w:rsid w:val="009C442E"/>
    <w:rsid w:val="009C44A9"/>
    <w:rsid w:val="009C458C"/>
    <w:rsid w:val="009C45F1"/>
    <w:rsid w:val="009C460C"/>
    <w:rsid w:val="009C47A4"/>
    <w:rsid w:val="009C489A"/>
    <w:rsid w:val="009C48B0"/>
    <w:rsid w:val="009C49AE"/>
    <w:rsid w:val="009C4A69"/>
    <w:rsid w:val="009C4A84"/>
    <w:rsid w:val="009C4AC5"/>
    <w:rsid w:val="009C4B9F"/>
    <w:rsid w:val="009C4DAA"/>
    <w:rsid w:val="009C4ECF"/>
    <w:rsid w:val="009C50FF"/>
    <w:rsid w:val="009C5124"/>
    <w:rsid w:val="009C513D"/>
    <w:rsid w:val="009C528D"/>
    <w:rsid w:val="009C5324"/>
    <w:rsid w:val="009C5450"/>
    <w:rsid w:val="009C5691"/>
    <w:rsid w:val="009C56D5"/>
    <w:rsid w:val="009C5737"/>
    <w:rsid w:val="009C573A"/>
    <w:rsid w:val="009C5879"/>
    <w:rsid w:val="009C59AA"/>
    <w:rsid w:val="009C59F5"/>
    <w:rsid w:val="009C5B74"/>
    <w:rsid w:val="009C5BE1"/>
    <w:rsid w:val="009C5C7A"/>
    <w:rsid w:val="009C5C98"/>
    <w:rsid w:val="009C5CD9"/>
    <w:rsid w:val="009C5D04"/>
    <w:rsid w:val="009C5E59"/>
    <w:rsid w:val="009C5E60"/>
    <w:rsid w:val="009C5E8B"/>
    <w:rsid w:val="009C61F5"/>
    <w:rsid w:val="009C62DC"/>
    <w:rsid w:val="009C63D6"/>
    <w:rsid w:val="009C6404"/>
    <w:rsid w:val="009C640B"/>
    <w:rsid w:val="009C6495"/>
    <w:rsid w:val="009C6575"/>
    <w:rsid w:val="009C65DC"/>
    <w:rsid w:val="009C663A"/>
    <w:rsid w:val="009C6704"/>
    <w:rsid w:val="009C6755"/>
    <w:rsid w:val="009C67C9"/>
    <w:rsid w:val="009C67E3"/>
    <w:rsid w:val="009C687D"/>
    <w:rsid w:val="009C68EC"/>
    <w:rsid w:val="009C6940"/>
    <w:rsid w:val="009C6959"/>
    <w:rsid w:val="009C69CC"/>
    <w:rsid w:val="009C6AC6"/>
    <w:rsid w:val="009C6B22"/>
    <w:rsid w:val="009C6BB6"/>
    <w:rsid w:val="009C6BC9"/>
    <w:rsid w:val="009C6D7B"/>
    <w:rsid w:val="009C6EA2"/>
    <w:rsid w:val="009C6EAF"/>
    <w:rsid w:val="009C6F0A"/>
    <w:rsid w:val="009C6F84"/>
    <w:rsid w:val="009C6FF2"/>
    <w:rsid w:val="009C70EF"/>
    <w:rsid w:val="009C712D"/>
    <w:rsid w:val="009C71C9"/>
    <w:rsid w:val="009C7209"/>
    <w:rsid w:val="009C7224"/>
    <w:rsid w:val="009C7237"/>
    <w:rsid w:val="009C7391"/>
    <w:rsid w:val="009C7461"/>
    <w:rsid w:val="009C76EC"/>
    <w:rsid w:val="009C77CD"/>
    <w:rsid w:val="009C7853"/>
    <w:rsid w:val="009C78BE"/>
    <w:rsid w:val="009C78D1"/>
    <w:rsid w:val="009C79FF"/>
    <w:rsid w:val="009C7A95"/>
    <w:rsid w:val="009C7AA7"/>
    <w:rsid w:val="009C7B4C"/>
    <w:rsid w:val="009C7C27"/>
    <w:rsid w:val="009C7C33"/>
    <w:rsid w:val="009C7C5D"/>
    <w:rsid w:val="009C7CC3"/>
    <w:rsid w:val="009C7CD8"/>
    <w:rsid w:val="009C7CF2"/>
    <w:rsid w:val="009C7E31"/>
    <w:rsid w:val="009C7E62"/>
    <w:rsid w:val="009C7EFB"/>
    <w:rsid w:val="009C7EFD"/>
    <w:rsid w:val="009C7F00"/>
    <w:rsid w:val="009C7F51"/>
    <w:rsid w:val="009D0048"/>
    <w:rsid w:val="009D0069"/>
    <w:rsid w:val="009D00CC"/>
    <w:rsid w:val="009D0105"/>
    <w:rsid w:val="009D0110"/>
    <w:rsid w:val="009D0202"/>
    <w:rsid w:val="009D02EF"/>
    <w:rsid w:val="009D0355"/>
    <w:rsid w:val="009D036F"/>
    <w:rsid w:val="009D0418"/>
    <w:rsid w:val="009D0435"/>
    <w:rsid w:val="009D04F7"/>
    <w:rsid w:val="009D056F"/>
    <w:rsid w:val="009D0637"/>
    <w:rsid w:val="009D076F"/>
    <w:rsid w:val="009D0792"/>
    <w:rsid w:val="009D0844"/>
    <w:rsid w:val="009D0870"/>
    <w:rsid w:val="009D092A"/>
    <w:rsid w:val="009D0933"/>
    <w:rsid w:val="009D096D"/>
    <w:rsid w:val="009D099C"/>
    <w:rsid w:val="009D09B8"/>
    <w:rsid w:val="009D0A58"/>
    <w:rsid w:val="009D0AC7"/>
    <w:rsid w:val="009D0AC8"/>
    <w:rsid w:val="009D0B13"/>
    <w:rsid w:val="009D0C5E"/>
    <w:rsid w:val="009D0D30"/>
    <w:rsid w:val="009D0F55"/>
    <w:rsid w:val="009D0F78"/>
    <w:rsid w:val="009D0FE7"/>
    <w:rsid w:val="009D104C"/>
    <w:rsid w:val="009D1120"/>
    <w:rsid w:val="009D122C"/>
    <w:rsid w:val="009D1291"/>
    <w:rsid w:val="009D12A0"/>
    <w:rsid w:val="009D134F"/>
    <w:rsid w:val="009D1386"/>
    <w:rsid w:val="009D1416"/>
    <w:rsid w:val="009D14B5"/>
    <w:rsid w:val="009D15EE"/>
    <w:rsid w:val="009D16C9"/>
    <w:rsid w:val="009D17FC"/>
    <w:rsid w:val="009D1808"/>
    <w:rsid w:val="009D1889"/>
    <w:rsid w:val="009D1920"/>
    <w:rsid w:val="009D19DD"/>
    <w:rsid w:val="009D1ABB"/>
    <w:rsid w:val="009D1C10"/>
    <w:rsid w:val="009D1C7B"/>
    <w:rsid w:val="009D1CEA"/>
    <w:rsid w:val="009D1D0C"/>
    <w:rsid w:val="009D1D4E"/>
    <w:rsid w:val="009D1EFF"/>
    <w:rsid w:val="009D1F05"/>
    <w:rsid w:val="009D2118"/>
    <w:rsid w:val="009D21BA"/>
    <w:rsid w:val="009D21CE"/>
    <w:rsid w:val="009D2238"/>
    <w:rsid w:val="009D2274"/>
    <w:rsid w:val="009D2340"/>
    <w:rsid w:val="009D2397"/>
    <w:rsid w:val="009D245D"/>
    <w:rsid w:val="009D2479"/>
    <w:rsid w:val="009D24AD"/>
    <w:rsid w:val="009D24EC"/>
    <w:rsid w:val="009D24F7"/>
    <w:rsid w:val="009D2591"/>
    <w:rsid w:val="009D2604"/>
    <w:rsid w:val="009D2643"/>
    <w:rsid w:val="009D2653"/>
    <w:rsid w:val="009D26BE"/>
    <w:rsid w:val="009D2722"/>
    <w:rsid w:val="009D2749"/>
    <w:rsid w:val="009D27DC"/>
    <w:rsid w:val="009D284D"/>
    <w:rsid w:val="009D287A"/>
    <w:rsid w:val="009D2A0D"/>
    <w:rsid w:val="009D2A2D"/>
    <w:rsid w:val="009D2B40"/>
    <w:rsid w:val="009D2B47"/>
    <w:rsid w:val="009D2B80"/>
    <w:rsid w:val="009D2BA2"/>
    <w:rsid w:val="009D2C31"/>
    <w:rsid w:val="009D2C85"/>
    <w:rsid w:val="009D2CE2"/>
    <w:rsid w:val="009D2D59"/>
    <w:rsid w:val="009D2E9F"/>
    <w:rsid w:val="009D2EE1"/>
    <w:rsid w:val="009D30E7"/>
    <w:rsid w:val="009D3157"/>
    <w:rsid w:val="009D325E"/>
    <w:rsid w:val="009D3268"/>
    <w:rsid w:val="009D3270"/>
    <w:rsid w:val="009D328F"/>
    <w:rsid w:val="009D3376"/>
    <w:rsid w:val="009D33B5"/>
    <w:rsid w:val="009D33C8"/>
    <w:rsid w:val="009D33F9"/>
    <w:rsid w:val="009D3461"/>
    <w:rsid w:val="009D34F3"/>
    <w:rsid w:val="009D364A"/>
    <w:rsid w:val="009D36AD"/>
    <w:rsid w:val="009D3711"/>
    <w:rsid w:val="009D377C"/>
    <w:rsid w:val="009D37FB"/>
    <w:rsid w:val="009D389C"/>
    <w:rsid w:val="009D399A"/>
    <w:rsid w:val="009D3A21"/>
    <w:rsid w:val="009D3A47"/>
    <w:rsid w:val="009D3A6E"/>
    <w:rsid w:val="009D3A85"/>
    <w:rsid w:val="009D3ABF"/>
    <w:rsid w:val="009D3C1F"/>
    <w:rsid w:val="009D3C42"/>
    <w:rsid w:val="009D3DFF"/>
    <w:rsid w:val="009D3E4B"/>
    <w:rsid w:val="009D3EE6"/>
    <w:rsid w:val="009D3F98"/>
    <w:rsid w:val="009D3FE0"/>
    <w:rsid w:val="009D405C"/>
    <w:rsid w:val="009D407C"/>
    <w:rsid w:val="009D4172"/>
    <w:rsid w:val="009D41C3"/>
    <w:rsid w:val="009D41F1"/>
    <w:rsid w:val="009D42B0"/>
    <w:rsid w:val="009D43A0"/>
    <w:rsid w:val="009D4458"/>
    <w:rsid w:val="009D44A7"/>
    <w:rsid w:val="009D4560"/>
    <w:rsid w:val="009D479A"/>
    <w:rsid w:val="009D4864"/>
    <w:rsid w:val="009D4C12"/>
    <w:rsid w:val="009D4C61"/>
    <w:rsid w:val="009D4E13"/>
    <w:rsid w:val="009D4E21"/>
    <w:rsid w:val="009D4F82"/>
    <w:rsid w:val="009D5017"/>
    <w:rsid w:val="009D512C"/>
    <w:rsid w:val="009D5344"/>
    <w:rsid w:val="009D53C3"/>
    <w:rsid w:val="009D53CA"/>
    <w:rsid w:val="009D53CD"/>
    <w:rsid w:val="009D5554"/>
    <w:rsid w:val="009D555E"/>
    <w:rsid w:val="009D5586"/>
    <w:rsid w:val="009D5685"/>
    <w:rsid w:val="009D592C"/>
    <w:rsid w:val="009D59F4"/>
    <w:rsid w:val="009D5A09"/>
    <w:rsid w:val="009D5A5B"/>
    <w:rsid w:val="009D5AC8"/>
    <w:rsid w:val="009D5B32"/>
    <w:rsid w:val="009D5CEC"/>
    <w:rsid w:val="009D5D4F"/>
    <w:rsid w:val="009D5D9A"/>
    <w:rsid w:val="009D5E96"/>
    <w:rsid w:val="009D5EE2"/>
    <w:rsid w:val="009D5EF4"/>
    <w:rsid w:val="009D5F76"/>
    <w:rsid w:val="009D6061"/>
    <w:rsid w:val="009D606E"/>
    <w:rsid w:val="009D6142"/>
    <w:rsid w:val="009D61C0"/>
    <w:rsid w:val="009D6257"/>
    <w:rsid w:val="009D6285"/>
    <w:rsid w:val="009D629B"/>
    <w:rsid w:val="009D62BC"/>
    <w:rsid w:val="009D62F4"/>
    <w:rsid w:val="009D645A"/>
    <w:rsid w:val="009D649A"/>
    <w:rsid w:val="009D64C7"/>
    <w:rsid w:val="009D64FC"/>
    <w:rsid w:val="009D6507"/>
    <w:rsid w:val="009D6651"/>
    <w:rsid w:val="009D66BD"/>
    <w:rsid w:val="009D677C"/>
    <w:rsid w:val="009D6879"/>
    <w:rsid w:val="009D68D9"/>
    <w:rsid w:val="009D6BA3"/>
    <w:rsid w:val="009D6C02"/>
    <w:rsid w:val="009D6C9B"/>
    <w:rsid w:val="009D6D46"/>
    <w:rsid w:val="009D6E0B"/>
    <w:rsid w:val="009D704F"/>
    <w:rsid w:val="009D7072"/>
    <w:rsid w:val="009D70C3"/>
    <w:rsid w:val="009D7102"/>
    <w:rsid w:val="009D72C9"/>
    <w:rsid w:val="009D72DD"/>
    <w:rsid w:val="009D73C6"/>
    <w:rsid w:val="009D7472"/>
    <w:rsid w:val="009D74EC"/>
    <w:rsid w:val="009D7582"/>
    <w:rsid w:val="009D770E"/>
    <w:rsid w:val="009D772B"/>
    <w:rsid w:val="009D7804"/>
    <w:rsid w:val="009D7809"/>
    <w:rsid w:val="009D7901"/>
    <w:rsid w:val="009D7902"/>
    <w:rsid w:val="009D79FD"/>
    <w:rsid w:val="009D7A6C"/>
    <w:rsid w:val="009D7B97"/>
    <w:rsid w:val="009D7BD8"/>
    <w:rsid w:val="009D7D85"/>
    <w:rsid w:val="009D7E61"/>
    <w:rsid w:val="009D7F70"/>
    <w:rsid w:val="009E00FD"/>
    <w:rsid w:val="009E0266"/>
    <w:rsid w:val="009E032C"/>
    <w:rsid w:val="009E034B"/>
    <w:rsid w:val="009E0475"/>
    <w:rsid w:val="009E04B2"/>
    <w:rsid w:val="009E0608"/>
    <w:rsid w:val="009E064C"/>
    <w:rsid w:val="009E065E"/>
    <w:rsid w:val="009E06A9"/>
    <w:rsid w:val="009E06C0"/>
    <w:rsid w:val="009E080B"/>
    <w:rsid w:val="009E08CD"/>
    <w:rsid w:val="009E098B"/>
    <w:rsid w:val="009E09B1"/>
    <w:rsid w:val="009E0A04"/>
    <w:rsid w:val="009E0A39"/>
    <w:rsid w:val="009E0AC8"/>
    <w:rsid w:val="009E0BAF"/>
    <w:rsid w:val="009E0C9F"/>
    <w:rsid w:val="009E0E5C"/>
    <w:rsid w:val="009E10AE"/>
    <w:rsid w:val="009E1195"/>
    <w:rsid w:val="009E11AD"/>
    <w:rsid w:val="009E11B4"/>
    <w:rsid w:val="009E1232"/>
    <w:rsid w:val="009E12F8"/>
    <w:rsid w:val="009E139E"/>
    <w:rsid w:val="009E1430"/>
    <w:rsid w:val="009E1511"/>
    <w:rsid w:val="009E154A"/>
    <w:rsid w:val="009E1815"/>
    <w:rsid w:val="009E185C"/>
    <w:rsid w:val="009E1941"/>
    <w:rsid w:val="009E1969"/>
    <w:rsid w:val="009E196B"/>
    <w:rsid w:val="009E1991"/>
    <w:rsid w:val="009E1A44"/>
    <w:rsid w:val="009E1A99"/>
    <w:rsid w:val="009E1D5B"/>
    <w:rsid w:val="009E1DCF"/>
    <w:rsid w:val="009E1DF9"/>
    <w:rsid w:val="009E1E36"/>
    <w:rsid w:val="009E1E37"/>
    <w:rsid w:val="009E1F87"/>
    <w:rsid w:val="009E1FE9"/>
    <w:rsid w:val="009E212C"/>
    <w:rsid w:val="009E2213"/>
    <w:rsid w:val="009E2350"/>
    <w:rsid w:val="009E2355"/>
    <w:rsid w:val="009E2374"/>
    <w:rsid w:val="009E2426"/>
    <w:rsid w:val="009E248F"/>
    <w:rsid w:val="009E24D5"/>
    <w:rsid w:val="009E24D8"/>
    <w:rsid w:val="009E2562"/>
    <w:rsid w:val="009E256E"/>
    <w:rsid w:val="009E26A9"/>
    <w:rsid w:val="009E26D7"/>
    <w:rsid w:val="009E296F"/>
    <w:rsid w:val="009E29C5"/>
    <w:rsid w:val="009E2ACE"/>
    <w:rsid w:val="009E2AEA"/>
    <w:rsid w:val="009E2B17"/>
    <w:rsid w:val="009E2B69"/>
    <w:rsid w:val="009E2B89"/>
    <w:rsid w:val="009E2B90"/>
    <w:rsid w:val="009E2BED"/>
    <w:rsid w:val="009E2EE2"/>
    <w:rsid w:val="009E2EFD"/>
    <w:rsid w:val="009E2FD0"/>
    <w:rsid w:val="009E3075"/>
    <w:rsid w:val="009E312A"/>
    <w:rsid w:val="009E31BB"/>
    <w:rsid w:val="009E32BB"/>
    <w:rsid w:val="009E32CD"/>
    <w:rsid w:val="009E333A"/>
    <w:rsid w:val="009E3350"/>
    <w:rsid w:val="009E33F5"/>
    <w:rsid w:val="009E3402"/>
    <w:rsid w:val="009E3435"/>
    <w:rsid w:val="009E35F1"/>
    <w:rsid w:val="009E36F5"/>
    <w:rsid w:val="009E3832"/>
    <w:rsid w:val="009E39A3"/>
    <w:rsid w:val="009E3A25"/>
    <w:rsid w:val="009E3C03"/>
    <w:rsid w:val="009E3D01"/>
    <w:rsid w:val="009E3DBD"/>
    <w:rsid w:val="009E3E83"/>
    <w:rsid w:val="009E3F1D"/>
    <w:rsid w:val="009E3F65"/>
    <w:rsid w:val="009E4000"/>
    <w:rsid w:val="009E40CA"/>
    <w:rsid w:val="009E414E"/>
    <w:rsid w:val="009E4240"/>
    <w:rsid w:val="009E42B6"/>
    <w:rsid w:val="009E42F2"/>
    <w:rsid w:val="009E4361"/>
    <w:rsid w:val="009E453B"/>
    <w:rsid w:val="009E454C"/>
    <w:rsid w:val="009E45C7"/>
    <w:rsid w:val="009E4713"/>
    <w:rsid w:val="009E4760"/>
    <w:rsid w:val="009E479B"/>
    <w:rsid w:val="009E47CC"/>
    <w:rsid w:val="009E47E3"/>
    <w:rsid w:val="009E4869"/>
    <w:rsid w:val="009E4A3F"/>
    <w:rsid w:val="009E4A6E"/>
    <w:rsid w:val="009E4A7F"/>
    <w:rsid w:val="009E4A9A"/>
    <w:rsid w:val="009E4AEC"/>
    <w:rsid w:val="009E4B61"/>
    <w:rsid w:val="009E4C3D"/>
    <w:rsid w:val="009E4C7A"/>
    <w:rsid w:val="009E4C86"/>
    <w:rsid w:val="009E4E3C"/>
    <w:rsid w:val="009E4E6C"/>
    <w:rsid w:val="009E4F7A"/>
    <w:rsid w:val="009E502C"/>
    <w:rsid w:val="009E50E1"/>
    <w:rsid w:val="009E50F7"/>
    <w:rsid w:val="009E51D8"/>
    <w:rsid w:val="009E52C8"/>
    <w:rsid w:val="009E5527"/>
    <w:rsid w:val="009E554C"/>
    <w:rsid w:val="009E5558"/>
    <w:rsid w:val="009E558D"/>
    <w:rsid w:val="009E55B2"/>
    <w:rsid w:val="009E56CE"/>
    <w:rsid w:val="009E574A"/>
    <w:rsid w:val="009E58C2"/>
    <w:rsid w:val="009E5949"/>
    <w:rsid w:val="009E59F7"/>
    <w:rsid w:val="009E5A34"/>
    <w:rsid w:val="009E5A9F"/>
    <w:rsid w:val="009E5AEF"/>
    <w:rsid w:val="009E5AFC"/>
    <w:rsid w:val="009E5B36"/>
    <w:rsid w:val="009E5D16"/>
    <w:rsid w:val="009E5DFF"/>
    <w:rsid w:val="009E5E43"/>
    <w:rsid w:val="009E5EF7"/>
    <w:rsid w:val="009E5F79"/>
    <w:rsid w:val="009E5F8B"/>
    <w:rsid w:val="009E5FDA"/>
    <w:rsid w:val="009E609D"/>
    <w:rsid w:val="009E611C"/>
    <w:rsid w:val="009E6288"/>
    <w:rsid w:val="009E6336"/>
    <w:rsid w:val="009E63EC"/>
    <w:rsid w:val="009E64E4"/>
    <w:rsid w:val="009E6583"/>
    <w:rsid w:val="009E65E9"/>
    <w:rsid w:val="009E663F"/>
    <w:rsid w:val="009E668B"/>
    <w:rsid w:val="009E66F7"/>
    <w:rsid w:val="009E677A"/>
    <w:rsid w:val="009E69AF"/>
    <w:rsid w:val="009E6A57"/>
    <w:rsid w:val="009E6A5A"/>
    <w:rsid w:val="009E6C5E"/>
    <w:rsid w:val="009E6C92"/>
    <w:rsid w:val="009E6D2D"/>
    <w:rsid w:val="009E6E74"/>
    <w:rsid w:val="009E6F19"/>
    <w:rsid w:val="009E6F1C"/>
    <w:rsid w:val="009E6F29"/>
    <w:rsid w:val="009E6FA9"/>
    <w:rsid w:val="009E6FC6"/>
    <w:rsid w:val="009E7243"/>
    <w:rsid w:val="009E7281"/>
    <w:rsid w:val="009E73E5"/>
    <w:rsid w:val="009E74CD"/>
    <w:rsid w:val="009E74DF"/>
    <w:rsid w:val="009E74E9"/>
    <w:rsid w:val="009E76A4"/>
    <w:rsid w:val="009E77EE"/>
    <w:rsid w:val="009E7820"/>
    <w:rsid w:val="009E79D7"/>
    <w:rsid w:val="009E7A27"/>
    <w:rsid w:val="009E7A69"/>
    <w:rsid w:val="009E7ACB"/>
    <w:rsid w:val="009E7B7B"/>
    <w:rsid w:val="009E7C20"/>
    <w:rsid w:val="009E7E21"/>
    <w:rsid w:val="009E7E96"/>
    <w:rsid w:val="009E7FA0"/>
    <w:rsid w:val="009F010E"/>
    <w:rsid w:val="009F01BA"/>
    <w:rsid w:val="009F0213"/>
    <w:rsid w:val="009F02D1"/>
    <w:rsid w:val="009F0347"/>
    <w:rsid w:val="009F0358"/>
    <w:rsid w:val="009F03DD"/>
    <w:rsid w:val="009F044D"/>
    <w:rsid w:val="009F044F"/>
    <w:rsid w:val="009F067D"/>
    <w:rsid w:val="009F0701"/>
    <w:rsid w:val="009F072E"/>
    <w:rsid w:val="009F081D"/>
    <w:rsid w:val="009F0867"/>
    <w:rsid w:val="009F0948"/>
    <w:rsid w:val="009F0ABB"/>
    <w:rsid w:val="009F0AC1"/>
    <w:rsid w:val="009F0B03"/>
    <w:rsid w:val="009F0B07"/>
    <w:rsid w:val="009F0B3E"/>
    <w:rsid w:val="009F0BA1"/>
    <w:rsid w:val="009F0BBF"/>
    <w:rsid w:val="009F0C49"/>
    <w:rsid w:val="009F0CC3"/>
    <w:rsid w:val="009F0DC3"/>
    <w:rsid w:val="009F0E4C"/>
    <w:rsid w:val="009F0E56"/>
    <w:rsid w:val="009F0EF2"/>
    <w:rsid w:val="009F0F94"/>
    <w:rsid w:val="009F0FAD"/>
    <w:rsid w:val="009F102F"/>
    <w:rsid w:val="009F104F"/>
    <w:rsid w:val="009F1060"/>
    <w:rsid w:val="009F1118"/>
    <w:rsid w:val="009F11DA"/>
    <w:rsid w:val="009F1250"/>
    <w:rsid w:val="009F125C"/>
    <w:rsid w:val="009F1279"/>
    <w:rsid w:val="009F1289"/>
    <w:rsid w:val="009F12A5"/>
    <w:rsid w:val="009F139F"/>
    <w:rsid w:val="009F140C"/>
    <w:rsid w:val="009F142F"/>
    <w:rsid w:val="009F1435"/>
    <w:rsid w:val="009F147C"/>
    <w:rsid w:val="009F1499"/>
    <w:rsid w:val="009F152A"/>
    <w:rsid w:val="009F157D"/>
    <w:rsid w:val="009F165A"/>
    <w:rsid w:val="009F1706"/>
    <w:rsid w:val="009F1879"/>
    <w:rsid w:val="009F187B"/>
    <w:rsid w:val="009F18DC"/>
    <w:rsid w:val="009F19BC"/>
    <w:rsid w:val="009F1AC4"/>
    <w:rsid w:val="009F1B0F"/>
    <w:rsid w:val="009F1C63"/>
    <w:rsid w:val="009F1DF8"/>
    <w:rsid w:val="009F1E33"/>
    <w:rsid w:val="009F1E3A"/>
    <w:rsid w:val="009F1E4C"/>
    <w:rsid w:val="009F1E5B"/>
    <w:rsid w:val="009F1EFA"/>
    <w:rsid w:val="009F2098"/>
    <w:rsid w:val="009F2233"/>
    <w:rsid w:val="009F22D2"/>
    <w:rsid w:val="009F24B1"/>
    <w:rsid w:val="009F24F9"/>
    <w:rsid w:val="009F283B"/>
    <w:rsid w:val="009F287E"/>
    <w:rsid w:val="009F28B4"/>
    <w:rsid w:val="009F29DD"/>
    <w:rsid w:val="009F2A83"/>
    <w:rsid w:val="009F2B0C"/>
    <w:rsid w:val="009F2B6A"/>
    <w:rsid w:val="009F2B8E"/>
    <w:rsid w:val="009F2C2B"/>
    <w:rsid w:val="009F2C5F"/>
    <w:rsid w:val="009F2CFD"/>
    <w:rsid w:val="009F2D87"/>
    <w:rsid w:val="009F2E03"/>
    <w:rsid w:val="009F2E2B"/>
    <w:rsid w:val="009F2E97"/>
    <w:rsid w:val="009F2F10"/>
    <w:rsid w:val="009F2F49"/>
    <w:rsid w:val="009F3038"/>
    <w:rsid w:val="009F3165"/>
    <w:rsid w:val="009F31ED"/>
    <w:rsid w:val="009F32C1"/>
    <w:rsid w:val="009F340B"/>
    <w:rsid w:val="009F366A"/>
    <w:rsid w:val="009F367A"/>
    <w:rsid w:val="009F36D4"/>
    <w:rsid w:val="009F3788"/>
    <w:rsid w:val="009F37F7"/>
    <w:rsid w:val="009F3822"/>
    <w:rsid w:val="009F38F6"/>
    <w:rsid w:val="009F398D"/>
    <w:rsid w:val="009F39A3"/>
    <w:rsid w:val="009F39BF"/>
    <w:rsid w:val="009F3A96"/>
    <w:rsid w:val="009F3B2A"/>
    <w:rsid w:val="009F3B7D"/>
    <w:rsid w:val="009F3C06"/>
    <w:rsid w:val="009F3C14"/>
    <w:rsid w:val="009F3CF1"/>
    <w:rsid w:val="009F3DD9"/>
    <w:rsid w:val="009F3F57"/>
    <w:rsid w:val="009F3FFC"/>
    <w:rsid w:val="009F41C3"/>
    <w:rsid w:val="009F4219"/>
    <w:rsid w:val="009F4242"/>
    <w:rsid w:val="009F427C"/>
    <w:rsid w:val="009F42DD"/>
    <w:rsid w:val="009F43A4"/>
    <w:rsid w:val="009F43F5"/>
    <w:rsid w:val="009F44A3"/>
    <w:rsid w:val="009F44D9"/>
    <w:rsid w:val="009F44EF"/>
    <w:rsid w:val="009F45CD"/>
    <w:rsid w:val="009F468F"/>
    <w:rsid w:val="009F4693"/>
    <w:rsid w:val="009F4759"/>
    <w:rsid w:val="009F477F"/>
    <w:rsid w:val="009F481C"/>
    <w:rsid w:val="009F4864"/>
    <w:rsid w:val="009F489B"/>
    <w:rsid w:val="009F48E1"/>
    <w:rsid w:val="009F49E9"/>
    <w:rsid w:val="009F4A37"/>
    <w:rsid w:val="009F4C19"/>
    <w:rsid w:val="009F4C1B"/>
    <w:rsid w:val="009F4CEA"/>
    <w:rsid w:val="009F4D9C"/>
    <w:rsid w:val="009F4DEA"/>
    <w:rsid w:val="009F4E0B"/>
    <w:rsid w:val="009F4E25"/>
    <w:rsid w:val="009F4ECB"/>
    <w:rsid w:val="009F4F08"/>
    <w:rsid w:val="009F5089"/>
    <w:rsid w:val="009F50FF"/>
    <w:rsid w:val="009F52B1"/>
    <w:rsid w:val="009F53CD"/>
    <w:rsid w:val="009F5415"/>
    <w:rsid w:val="009F54AF"/>
    <w:rsid w:val="009F54B0"/>
    <w:rsid w:val="009F562E"/>
    <w:rsid w:val="009F56F1"/>
    <w:rsid w:val="009F591C"/>
    <w:rsid w:val="009F5ADF"/>
    <w:rsid w:val="009F5B23"/>
    <w:rsid w:val="009F5B62"/>
    <w:rsid w:val="009F5B80"/>
    <w:rsid w:val="009F5BFC"/>
    <w:rsid w:val="009F5C5C"/>
    <w:rsid w:val="009F5D34"/>
    <w:rsid w:val="009F5D75"/>
    <w:rsid w:val="009F5E98"/>
    <w:rsid w:val="009F5EE1"/>
    <w:rsid w:val="009F5F11"/>
    <w:rsid w:val="009F5F4C"/>
    <w:rsid w:val="009F601C"/>
    <w:rsid w:val="009F604F"/>
    <w:rsid w:val="009F60AE"/>
    <w:rsid w:val="009F613C"/>
    <w:rsid w:val="009F61A0"/>
    <w:rsid w:val="009F61E6"/>
    <w:rsid w:val="009F624D"/>
    <w:rsid w:val="009F6272"/>
    <w:rsid w:val="009F6329"/>
    <w:rsid w:val="009F6359"/>
    <w:rsid w:val="009F63B1"/>
    <w:rsid w:val="009F6402"/>
    <w:rsid w:val="009F6540"/>
    <w:rsid w:val="009F65E2"/>
    <w:rsid w:val="009F65F4"/>
    <w:rsid w:val="009F6631"/>
    <w:rsid w:val="009F6674"/>
    <w:rsid w:val="009F6756"/>
    <w:rsid w:val="009F681A"/>
    <w:rsid w:val="009F681D"/>
    <w:rsid w:val="009F684F"/>
    <w:rsid w:val="009F6894"/>
    <w:rsid w:val="009F68F8"/>
    <w:rsid w:val="009F6927"/>
    <w:rsid w:val="009F696F"/>
    <w:rsid w:val="009F69A3"/>
    <w:rsid w:val="009F6A20"/>
    <w:rsid w:val="009F6A80"/>
    <w:rsid w:val="009F6AB1"/>
    <w:rsid w:val="009F6B0C"/>
    <w:rsid w:val="009F6B64"/>
    <w:rsid w:val="009F6B7F"/>
    <w:rsid w:val="009F6C2A"/>
    <w:rsid w:val="009F6C78"/>
    <w:rsid w:val="009F6DFA"/>
    <w:rsid w:val="009F6EC5"/>
    <w:rsid w:val="009F6FC9"/>
    <w:rsid w:val="009F7038"/>
    <w:rsid w:val="009F708C"/>
    <w:rsid w:val="009F710C"/>
    <w:rsid w:val="009F7160"/>
    <w:rsid w:val="009F71AC"/>
    <w:rsid w:val="009F73F5"/>
    <w:rsid w:val="009F7420"/>
    <w:rsid w:val="009F748F"/>
    <w:rsid w:val="009F757D"/>
    <w:rsid w:val="009F761B"/>
    <w:rsid w:val="009F7645"/>
    <w:rsid w:val="009F76C8"/>
    <w:rsid w:val="009F771D"/>
    <w:rsid w:val="009F77A7"/>
    <w:rsid w:val="009F77B8"/>
    <w:rsid w:val="009F77BE"/>
    <w:rsid w:val="009F786D"/>
    <w:rsid w:val="009F788E"/>
    <w:rsid w:val="009F7963"/>
    <w:rsid w:val="009F798C"/>
    <w:rsid w:val="009F7A5B"/>
    <w:rsid w:val="009F7ADE"/>
    <w:rsid w:val="009F7B2C"/>
    <w:rsid w:val="009F7B3E"/>
    <w:rsid w:val="009F7CD1"/>
    <w:rsid w:val="009F7CF3"/>
    <w:rsid w:val="009F7D20"/>
    <w:rsid w:val="009F7D39"/>
    <w:rsid w:val="009F7D84"/>
    <w:rsid w:val="009F7DCE"/>
    <w:rsid w:val="009F7E43"/>
    <w:rsid w:val="009F7F27"/>
    <w:rsid w:val="009F7F81"/>
    <w:rsid w:val="00A0015B"/>
    <w:rsid w:val="00A0022F"/>
    <w:rsid w:val="00A00265"/>
    <w:rsid w:val="00A00295"/>
    <w:rsid w:val="00A002D8"/>
    <w:rsid w:val="00A003A5"/>
    <w:rsid w:val="00A003C3"/>
    <w:rsid w:val="00A00571"/>
    <w:rsid w:val="00A00777"/>
    <w:rsid w:val="00A00786"/>
    <w:rsid w:val="00A0085D"/>
    <w:rsid w:val="00A008D5"/>
    <w:rsid w:val="00A008E7"/>
    <w:rsid w:val="00A0094A"/>
    <w:rsid w:val="00A009C6"/>
    <w:rsid w:val="00A009C7"/>
    <w:rsid w:val="00A00A05"/>
    <w:rsid w:val="00A00C08"/>
    <w:rsid w:val="00A00D3D"/>
    <w:rsid w:val="00A00DA1"/>
    <w:rsid w:val="00A00DDC"/>
    <w:rsid w:val="00A00E01"/>
    <w:rsid w:val="00A00EB2"/>
    <w:rsid w:val="00A00FB7"/>
    <w:rsid w:val="00A011BF"/>
    <w:rsid w:val="00A011DA"/>
    <w:rsid w:val="00A01286"/>
    <w:rsid w:val="00A0136C"/>
    <w:rsid w:val="00A01425"/>
    <w:rsid w:val="00A0144D"/>
    <w:rsid w:val="00A014B2"/>
    <w:rsid w:val="00A014CA"/>
    <w:rsid w:val="00A014F4"/>
    <w:rsid w:val="00A01599"/>
    <w:rsid w:val="00A01802"/>
    <w:rsid w:val="00A018ED"/>
    <w:rsid w:val="00A01917"/>
    <w:rsid w:val="00A01960"/>
    <w:rsid w:val="00A01A7B"/>
    <w:rsid w:val="00A01B54"/>
    <w:rsid w:val="00A01BB4"/>
    <w:rsid w:val="00A01BD1"/>
    <w:rsid w:val="00A01E22"/>
    <w:rsid w:val="00A01F22"/>
    <w:rsid w:val="00A01FC2"/>
    <w:rsid w:val="00A0200F"/>
    <w:rsid w:val="00A02133"/>
    <w:rsid w:val="00A02194"/>
    <w:rsid w:val="00A021CE"/>
    <w:rsid w:val="00A02273"/>
    <w:rsid w:val="00A02293"/>
    <w:rsid w:val="00A0235A"/>
    <w:rsid w:val="00A02408"/>
    <w:rsid w:val="00A02435"/>
    <w:rsid w:val="00A0259A"/>
    <w:rsid w:val="00A025C7"/>
    <w:rsid w:val="00A0268F"/>
    <w:rsid w:val="00A0270C"/>
    <w:rsid w:val="00A02938"/>
    <w:rsid w:val="00A02961"/>
    <w:rsid w:val="00A029A5"/>
    <w:rsid w:val="00A029F3"/>
    <w:rsid w:val="00A02A73"/>
    <w:rsid w:val="00A02A78"/>
    <w:rsid w:val="00A02B84"/>
    <w:rsid w:val="00A02BA1"/>
    <w:rsid w:val="00A02BF8"/>
    <w:rsid w:val="00A02CBB"/>
    <w:rsid w:val="00A02D74"/>
    <w:rsid w:val="00A02E95"/>
    <w:rsid w:val="00A02FA1"/>
    <w:rsid w:val="00A03106"/>
    <w:rsid w:val="00A03155"/>
    <w:rsid w:val="00A031BD"/>
    <w:rsid w:val="00A03285"/>
    <w:rsid w:val="00A03438"/>
    <w:rsid w:val="00A035DB"/>
    <w:rsid w:val="00A03765"/>
    <w:rsid w:val="00A03790"/>
    <w:rsid w:val="00A038E5"/>
    <w:rsid w:val="00A039E0"/>
    <w:rsid w:val="00A03A10"/>
    <w:rsid w:val="00A03A31"/>
    <w:rsid w:val="00A03A91"/>
    <w:rsid w:val="00A03ACD"/>
    <w:rsid w:val="00A03C37"/>
    <w:rsid w:val="00A03C6C"/>
    <w:rsid w:val="00A03CA7"/>
    <w:rsid w:val="00A03D83"/>
    <w:rsid w:val="00A03EF7"/>
    <w:rsid w:val="00A03FCC"/>
    <w:rsid w:val="00A040AB"/>
    <w:rsid w:val="00A04150"/>
    <w:rsid w:val="00A04198"/>
    <w:rsid w:val="00A04228"/>
    <w:rsid w:val="00A0423F"/>
    <w:rsid w:val="00A04348"/>
    <w:rsid w:val="00A0443D"/>
    <w:rsid w:val="00A04548"/>
    <w:rsid w:val="00A04611"/>
    <w:rsid w:val="00A0469B"/>
    <w:rsid w:val="00A046D0"/>
    <w:rsid w:val="00A04758"/>
    <w:rsid w:val="00A04779"/>
    <w:rsid w:val="00A0478E"/>
    <w:rsid w:val="00A04846"/>
    <w:rsid w:val="00A0489D"/>
    <w:rsid w:val="00A048D7"/>
    <w:rsid w:val="00A049A0"/>
    <w:rsid w:val="00A04AB5"/>
    <w:rsid w:val="00A04BF8"/>
    <w:rsid w:val="00A04CC5"/>
    <w:rsid w:val="00A04CE6"/>
    <w:rsid w:val="00A04F53"/>
    <w:rsid w:val="00A05097"/>
    <w:rsid w:val="00A0512C"/>
    <w:rsid w:val="00A05130"/>
    <w:rsid w:val="00A05252"/>
    <w:rsid w:val="00A05277"/>
    <w:rsid w:val="00A052EF"/>
    <w:rsid w:val="00A0536F"/>
    <w:rsid w:val="00A053D4"/>
    <w:rsid w:val="00A0541A"/>
    <w:rsid w:val="00A054DB"/>
    <w:rsid w:val="00A05626"/>
    <w:rsid w:val="00A0565D"/>
    <w:rsid w:val="00A05754"/>
    <w:rsid w:val="00A057B8"/>
    <w:rsid w:val="00A058A3"/>
    <w:rsid w:val="00A05970"/>
    <w:rsid w:val="00A059F3"/>
    <w:rsid w:val="00A05BD2"/>
    <w:rsid w:val="00A05D62"/>
    <w:rsid w:val="00A05DC9"/>
    <w:rsid w:val="00A05E18"/>
    <w:rsid w:val="00A05FA8"/>
    <w:rsid w:val="00A06012"/>
    <w:rsid w:val="00A0608E"/>
    <w:rsid w:val="00A061B9"/>
    <w:rsid w:val="00A06206"/>
    <w:rsid w:val="00A062C3"/>
    <w:rsid w:val="00A0632E"/>
    <w:rsid w:val="00A0635D"/>
    <w:rsid w:val="00A06399"/>
    <w:rsid w:val="00A064C0"/>
    <w:rsid w:val="00A064DF"/>
    <w:rsid w:val="00A064F5"/>
    <w:rsid w:val="00A06668"/>
    <w:rsid w:val="00A0669C"/>
    <w:rsid w:val="00A066F3"/>
    <w:rsid w:val="00A066FF"/>
    <w:rsid w:val="00A0670F"/>
    <w:rsid w:val="00A06731"/>
    <w:rsid w:val="00A06754"/>
    <w:rsid w:val="00A0675E"/>
    <w:rsid w:val="00A06858"/>
    <w:rsid w:val="00A068D9"/>
    <w:rsid w:val="00A0693B"/>
    <w:rsid w:val="00A06963"/>
    <w:rsid w:val="00A06A00"/>
    <w:rsid w:val="00A06AC3"/>
    <w:rsid w:val="00A06C77"/>
    <w:rsid w:val="00A06DBE"/>
    <w:rsid w:val="00A06DC8"/>
    <w:rsid w:val="00A06DE7"/>
    <w:rsid w:val="00A06E62"/>
    <w:rsid w:val="00A06F04"/>
    <w:rsid w:val="00A070C3"/>
    <w:rsid w:val="00A0719F"/>
    <w:rsid w:val="00A07259"/>
    <w:rsid w:val="00A0728B"/>
    <w:rsid w:val="00A072D7"/>
    <w:rsid w:val="00A07458"/>
    <w:rsid w:val="00A07509"/>
    <w:rsid w:val="00A07553"/>
    <w:rsid w:val="00A0757D"/>
    <w:rsid w:val="00A07655"/>
    <w:rsid w:val="00A076BD"/>
    <w:rsid w:val="00A0776C"/>
    <w:rsid w:val="00A078BB"/>
    <w:rsid w:val="00A07947"/>
    <w:rsid w:val="00A079F1"/>
    <w:rsid w:val="00A07A1D"/>
    <w:rsid w:val="00A07ACF"/>
    <w:rsid w:val="00A07AFE"/>
    <w:rsid w:val="00A07C52"/>
    <w:rsid w:val="00A07D28"/>
    <w:rsid w:val="00A07D90"/>
    <w:rsid w:val="00A07EBA"/>
    <w:rsid w:val="00A07F50"/>
    <w:rsid w:val="00A07FE8"/>
    <w:rsid w:val="00A10035"/>
    <w:rsid w:val="00A10078"/>
    <w:rsid w:val="00A1009A"/>
    <w:rsid w:val="00A1019E"/>
    <w:rsid w:val="00A101A3"/>
    <w:rsid w:val="00A102F8"/>
    <w:rsid w:val="00A103AC"/>
    <w:rsid w:val="00A103BD"/>
    <w:rsid w:val="00A1045A"/>
    <w:rsid w:val="00A10483"/>
    <w:rsid w:val="00A104BE"/>
    <w:rsid w:val="00A104C7"/>
    <w:rsid w:val="00A104DB"/>
    <w:rsid w:val="00A1058B"/>
    <w:rsid w:val="00A10873"/>
    <w:rsid w:val="00A108EF"/>
    <w:rsid w:val="00A10911"/>
    <w:rsid w:val="00A10987"/>
    <w:rsid w:val="00A10A48"/>
    <w:rsid w:val="00A10ACA"/>
    <w:rsid w:val="00A10AD4"/>
    <w:rsid w:val="00A10B0F"/>
    <w:rsid w:val="00A10BD2"/>
    <w:rsid w:val="00A10C26"/>
    <w:rsid w:val="00A10D99"/>
    <w:rsid w:val="00A10DF8"/>
    <w:rsid w:val="00A10DFB"/>
    <w:rsid w:val="00A10E0C"/>
    <w:rsid w:val="00A10E20"/>
    <w:rsid w:val="00A10E22"/>
    <w:rsid w:val="00A10E98"/>
    <w:rsid w:val="00A10F3A"/>
    <w:rsid w:val="00A110CA"/>
    <w:rsid w:val="00A11123"/>
    <w:rsid w:val="00A111C4"/>
    <w:rsid w:val="00A111FD"/>
    <w:rsid w:val="00A11228"/>
    <w:rsid w:val="00A11295"/>
    <w:rsid w:val="00A112E0"/>
    <w:rsid w:val="00A112F2"/>
    <w:rsid w:val="00A112FD"/>
    <w:rsid w:val="00A1154A"/>
    <w:rsid w:val="00A1155F"/>
    <w:rsid w:val="00A1159A"/>
    <w:rsid w:val="00A11657"/>
    <w:rsid w:val="00A1167A"/>
    <w:rsid w:val="00A116F1"/>
    <w:rsid w:val="00A11764"/>
    <w:rsid w:val="00A117B1"/>
    <w:rsid w:val="00A11811"/>
    <w:rsid w:val="00A11874"/>
    <w:rsid w:val="00A11988"/>
    <w:rsid w:val="00A119EE"/>
    <w:rsid w:val="00A11A04"/>
    <w:rsid w:val="00A11A2E"/>
    <w:rsid w:val="00A11A76"/>
    <w:rsid w:val="00A11B3C"/>
    <w:rsid w:val="00A11C49"/>
    <w:rsid w:val="00A11CA1"/>
    <w:rsid w:val="00A11E97"/>
    <w:rsid w:val="00A11F48"/>
    <w:rsid w:val="00A120A4"/>
    <w:rsid w:val="00A12177"/>
    <w:rsid w:val="00A12192"/>
    <w:rsid w:val="00A121A0"/>
    <w:rsid w:val="00A1222E"/>
    <w:rsid w:val="00A1228F"/>
    <w:rsid w:val="00A1245E"/>
    <w:rsid w:val="00A12680"/>
    <w:rsid w:val="00A126FE"/>
    <w:rsid w:val="00A12914"/>
    <w:rsid w:val="00A12A0E"/>
    <w:rsid w:val="00A12A21"/>
    <w:rsid w:val="00A12AAC"/>
    <w:rsid w:val="00A12ABB"/>
    <w:rsid w:val="00A12ABC"/>
    <w:rsid w:val="00A12C35"/>
    <w:rsid w:val="00A12CD0"/>
    <w:rsid w:val="00A12D38"/>
    <w:rsid w:val="00A12E0C"/>
    <w:rsid w:val="00A12E3B"/>
    <w:rsid w:val="00A12EC7"/>
    <w:rsid w:val="00A12F54"/>
    <w:rsid w:val="00A13006"/>
    <w:rsid w:val="00A1304E"/>
    <w:rsid w:val="00A130EE"/>
    <w:rsid w:val="00A130F9"/>
    <w:rsid w:val="00A13131"/>
    <w:rsid w:val="00A13142"/>
    <w:rsid w:val="00A13206"/>
    <w:rsid w:val="00A13276"/>
    <w:rsid w:val="00A132CD"/>
    <w:rsid w:val="00A132D9"/>
    <w:rsid w:val="00A13308"/>
    <w:rsid w:val="00A1333C"/>
    <w:rsid w:val="00A13421"/>
    <w:rsid w:val="00A13475"/>
    <w:rsid w:val="00A13581"/>
    <w:rsid w:val="00A13665"/>
    <w:rsid w:val="00A13728"/>
    <w:rsid w:val="00A1379A"/>
    <w:rsid w:val="00A1385B"/>
    <w:rsid w:val="00A138AB"/>
    <w:rsid w:val="00A1397B"/>
    <w:rsid w:val="00A139A8"/>
    <w:rsid w:val="00A13B27"/>
    <w:rsid w:val="00A13B57"/>
    <w:rsid w:val="00A13B8F"/>
    <w:rsid w:val="00A13BE2"/>
    <w:rsid w:val="00A13DB3"/>
    <w:rsid w:val="00A13E0F"/>
    <w:rsid w:val="00A13E77"/>
    <w:rsid w:val="00A13FBF"/>
    <w:rsid w:val="00A13FF8"/>
    <w:rsid w:val="00A140BA"/>
    <w:rsid w:val="00A14114"/>
    <w:rsid w:val="00A141B9"/>
    <w:rsid w:val="00A1427D"/>
    <w:rsid w:val="00A14288"/>
    <w:rsid w:val="00A142C0"/>
    <w:rsid w:val="00A143B1"/>
    <w:rsid w:val="00A14419"/>
    <w:rsid w:val="00A144B5"/>
    <w:rsid w:val="00A1454F"/>
    <w:rsid w:val="00A1460F"/>
    <w:rsid w:val="00A1464A"/>
    <w:rsid w:val="00A147F4"/>
    <w:rsid w:val="00A14824"/>
    <w:rsid w:val="00A148D0"/>
    <w:rsid w:val="00A149B3"/>
    <w:rsid w:val="00A149BC"/>
    <w:rsid w:val="00A14A5B"/>
    <w:rsid w:val="00A14AF6"/>
    <w:rsid w:val="00A14B37"/>
    <w:rsid w:val="00A14BCF"/>
    <w:rsid w:val="00A14C58"/>
    <w:rsid w:val="00A14CB5"/>
    <w:rsid w:val="00A14D2A"/>
    <w:rsid w:val="00A14DC4"/>
    <w:rsid w:val="00A14E18"/>
    <w:rsid w:val="00A14E38"/>
    <w:rsid w:val="00A14E7F"/>
    <w:rsid w:val="00A14F7D"/>
    <w:rsid w:val="00A14FF7"/>
    <w:rsid w:val="00A15076"/>
    <w:rsid w:val="00A150C2"/>
    <w:rsid w:val="00A15116"/>
    <w:rsid w:val="00A151B0"/>
    <w:rsid w:val="00A15359"/>
    <w:rsid w:val="00A1544C"/>
    <w:rsid w:val="00A15460"/>
    <w:rsid w:val="00A15482"/>
    <w:rsid w:val="00A15537"/>
    <w:rsid w:val="00A15555"/>
    <w:rsid w:val="00A15710"/>
    <w:rsid w:val="00A1575F"/>
    <w:rsid w:val="00A1581E"/>
    <w:rsid w:val="00A159BC"/>
    <w:rsid w:val="00A15A2D"/>
    <w:rsid w:val="00A15C0C"/>
    <w:rsid w:val="00A15C39"/>
    <w:rsid w:val="00A15CDC"/>
    <w:rsid w:val="00A15D43"/>
    <w:rsid w:val="00A15EAB"/>
    <w:rsid w:val="00A15F7E"/>
    <w:rsid w:val="00A160A1"/>
    <w:rsid w:val="00A160DD"/>
    <w:rsid w:val="00A16150"/>
    <w:rsid w:val="00A16184"/>
    <w:rsid w:val="00A16203"/>
    <w:rsid w:val="00A162EE"/>
    <w:rsid w:val="00A16403"/>
    <w:rsid w:val="00A16561"/>
    <w:rsid w:val="00A165F4"/>
    <w:rsid w:val="00A16606"/>
    <w:rsid w:val="00A16623"/>
    <w:rsid w:val="00A16634"/>
    <w:rsid w:val="00A16669"/>
    <w:rsid w:val="00A166E9"/>
    <w:rsid w:val="00A16721"/>
    <w:rsid w:val="00A16747"/>
    <w:rsid w:val="00A16902"/>
    <w:rsid w:val="00A1694D"/>
    <w:rsid w:val="00A169D9"/>
    <w:rsid w:val="00A16A34"/>
    <w:rsid w:val="00A16B5C"/>
    <w:rsid w:val="00A16B83"/>
    <w:rsid w:val="00A16B84"/>
    <w:rsid w:val="00A16BB4"/>
    <w:rsid w:val="00A16CF0"/>
    <w:rsid w:val="00A16D05"/>
    <w:rsid w:val="00A16D2B"/>
    <w:rsid w:val="00A16E91"/>
    <w:rsid w:val="00A16FDE"/>
    <w:rsid w:val="00A17081"/>
    <w:rsid w:val="00A170AC"/>
    <w:rsid w:val="00A170B0"/>
    <w:rsid w:val="00A172D5"/>
    <w:rsid w:val="00A17314"/>
    <w:rsid w:val="00A1732D"/>
    <w:rsid w:val="00A173A0"/>
    <w:rsid w:val="00A173CB"/>
    <w:rsid w:val="00A17479"/>
    <w:rsid w:val="00A17481"/>
    <w:rsid w:val="00A175AE"/>
    <w:rsid w:val="00A175F3"/>
    <w:rsid w:val="00A17605"/>
    <w:rsid w:val="00A1762F"/>
    <w:rsid w:val="00A17671"/>
    <w:rsid w:val="00A1769E"/>
    <w:rsid w:val="00A176F8"/>
    <w:rsid w:val="00A177FC"/>
    <w:rsid w:val="00A1783B"/>
    <w:rsid w:val="00A1785D"/>
    <w:rsid w:val="00A178BC"/>
    <w:rsid w:val="00A178BD"/>
    <w:rsid w:val="00A178C5"/>
    <w:rsid w:val="00A17975"/>
    <w:rsid w:val="00A1798F"/>
    <w:rsid w:val="00A17A31"/>
    <w:rsid w:val="00A17B15"/>
    <w:rsid w:val="00A17BA8"/>
    <w:rsid w:val="00A17BE9"/>
    <w:rsid w:val="00A17F2A"/>
    <w:rsid w:val="00A17F6F"/>
    <w:rsid w:val="00A20045"/>
    <w:rsid w:val="00A200EC"/>
    <w:rsid w:val="00A2017B"/>
    <w:rsid w:val="00A20201"/>
    <w:rsid w:val="00A2021E"/>
    <w:rsid w:val="00A20220"/>
    <w:rsid w:val="00A20312"/>
    <w:rsid w:val="00A2037B"/>
    <w:rsid w:val="00A203AC"/>
    <w:rsid w:val="00A2045B"/>
    <w:rsid w:val="00A20464"/>
    <w:rsid w:val="00A204E7"/>
    <w:rsid w:val="00A20524"/>
    <w:rsid w:val="00A20626"/>
    <w:rsid w:val="00A20650"/>
    <w:rsid w:val="00A206F4"/>
    <w:rsid w:val="00A208CC"/>
    <w:rsid w:val="00A209DF"/>
    <w:rsid w:val="00A20A9E"/>
    <w:rsid w:val="00A20B9A"/>
    <w:rsid w:val="00A20BBA"/>
    <w:rsid w:val="00A20BD1"/>
    <w:rsid w:val="00A20C27"/>
    <w:rsid w:val="00A20CF1"/>
    <w:rsid w:val="00A20DFA"/>
    <w:rsid w:val="00A20EAD"/>
    <w:rsid w:val="00A20EE4"/>
    <w:rsid w:val="00A20F05"/>
    <w:rsid w:val="00A20F13"/>
    <w:rsid w:val="00A20F3D"/>
    <w:rsid w:val="00A20F96"/>
    <w:rsid w:val="00A20FBD"/>
    <w:rsid w:val="00A21143"/>
    <w:rsid w:val="00A211DE"/>
    <w:rsid w:val="00A21272"/>
    <w:rsid w:val="00A212C9"/>
    <w:rsid w:val="00A21337"/>
    <w:rsid w:val="00A2146A"/>
    <w:rsid w:val="00A21498"/>
    <w:rsid w:val="00A21565"/>
    <w:rsid w:val="00A215B4"/>
    <w:rsid w:val="00A217C0"/>
    <w:rsid w:val="00A217CD"/>
    <w:rsid w:val="00A2185E"/>
    <w:rsid w:val="00A218C3"/>
    <w:rsid w:val="00A21A08"/>
    <w:rsid w:val="00A21B6D"/>
    <w:rsid w:val="00A21BFF"/>
    <w:rsid w:val="00A21C39"/>
    <w:rsid w:val="00A21CC6"/>
    <w:rsid w:val="00A21E9A"/>
    <w:rsid w:val="00A21F7B"/>
    <w:rsid w:val="00A21FEE"/>
    <w:rsid w:val="00A21FFA"/>
    <w:rsid w:val="00A2209B"/>
    <w:rsid w:val="00A220B4"/>
    <w:rsid w:val="00A2211A"/>
    <w:rsid w:val="00A2215E"/>
    <w:rsid w:val="00A221CD"/>
    <w:rsid w:val="00A221EB"/>
    <w:rsid w:val="00A2223D"/>
    <w:rsid w:val="00A2227A"/>
    <w:rsid w:val="00A222D0"/>
    <w:rsid w:val="00A222D3"/>
    <w:rsid w:val="00A2237E"/>
    <w:rsid w:val="00A223A1"/>
    <w:rsid w:val="00A224B9"/>
    <w:rsid w:val="00A224D5"/>
    <w:rsid w:val="00A224FB"/>
    <w:rsid w:val="00A2264D"/>
    <w:rsid w:val="00A226B0"/>
    <w:rsid w:val="00A226C1"/>
    <w:rsid w:val="00A228A7"/>
    <w:rsid w:val="00A228D1"/>
    <w:rsid w:val="00A22932"/>
    <w:rsid w:val="00A22BA3"/>
    <w:rsid w:val="00A22C7D"/>
    <w:rsid w:val="00A22CDF"/>
    <w:rsid w:val="00A22CFF"/>
    <w:rsid w:val="00A22E3E"/>
    <w:rsid w:val="00A22EEE"/>
    <w:rsid w:val="00A22EFF"/>
    <w:rsid w:val="00A22F41"/>
    <w:rsid w:val="00A22FD7"/>
    <w:rsid w:val="00A23082"/>
    <w:rsid w:val="00A230B3"/>
    <w:rsid w:val="00A233D3"/>
    <w:rsid w:val="00A23429"/>
    <w:rsid w:val="00A234A6"/>
    <w:rsid w:val="00A2366D"/>
    <w:rsid w:val="00A237B4"/>
    <w:rsid w:val="00A2389F"/>
    <w:rsid w:val="00A2394F"/>
    <w:rsid w:val="00A23A7B"/>
    <w:rsid w:val="00A23BB1"/>
    <w:rsid w:val="00A23CC5"/>
    <w:rsid w:val="00A23D8C"/>
    <w:rsid w:val="00A23FDC"/>
    <w:rsid w:val="00A24033"/>
    <w:rsid w:val="00A24054"/>
    <w:rsid w:val="00A24105"/>
    <w:rsid w:val="00A24514"/>
    <w:rsid w:val="00A2458C"/>
    <w:rsid w:val="00A2462B"/>
    <w:rsid w:val="00A247E2"/>
    <w:rsid w:val="00A24879"/>
    <w:rsid w:val="00A24974"/>
    <w:rsid w:val="00A2497C"/>
    <w:rsid w:val="00A249A4"/>
    <w:rsid w:val="00A249AD"/>
    <w:rsid w:val="00A249B8"/>
    <w:rsid w:val="00A249D8"/>
    <w:rsid w:val="00A24C54"/>
    <w:rsid w:val="00A24CEE"/>
    <w:rsid w:val="00A24D1B"/>
    <w:rsid w:val="00A24DEB"/>
    <w:rsid w:val="00A24E25"/>
    <w:rsid w:val="00A24EE9"/>
    <w:rsid w:val="00A24F42"/>
    <w:rsid w:val="00A24F49"/>
    <w:rsid w:val="00A25025"/>
    <w:rsid w:val="00A25078"/>
    <w:rsid w:val="00A25082"/>
    <w:rsid w:val="00A250AD"/>
    <w:rsid w:val="00A250CC"/>
    <w:rsid w:val="00A251D8"/>
    <w:rsid w:val="00A25248"/>
    <w:rsid w:val="00A252C9"/>
    <w:rsid w:val="00A25322"/>
    <w:rsid w:val="00A25337"/>
    <w:rsid w:val="00A253BD"/>
    <w:rsid w:val="00A254C4"/>
    <w:rsid w:val="00A25530"/>
    <w:rsid w:val="00A255B3"/>
    <w:rsid w:val="00A2564B"/>
    <w:rsid w:val="00A25654"/>
    <w:rsid w:val="00A256C7"/>
    <w:rsid w:val="00A258D7"/>
    <w:rsid w:val="00A25952"/>
    <w:rsid w:val="00A25966"/>
    <w:rsid w:val="00A259A1"/>
    <w:rsid w:val="00A259EA"/>
    <w:rsid w:val="00A259FC"/>
    <w:rsid w:val="00A25A80"/>
    <w:rsid w:val="00A25A89"/>
    <w:rsid w:val="00A25AA6"/>
    <w:rsid w:val="00A25AD3"/>
    <w:rsid w:val="00A25CA5"/>
    <w:rsid w:val="00A25CB3"/>
    <w:rsid w:val="00A25D27"/>
    <w:rsid w:val="00A25D7A"/>
    <w:rsid w:val="00A25D7D"/>
    <w:rsid w:val="00A25F2B"/>
    <w:rsid w:val="00A25FA9"/>
    <w:rsid w:val="00A25FED"/>
    <w:rsid w:val="00A260F0"/>
    <w:rsid w:val="00A260F5"/>
    <w:rsid w:val="00A261A6"/>
    <w:rsid w:val="00A26283"/>
    <w:rsid w:val="00A26398"/>
    <w:rsid w:val="00A26485"/>
    <w:rsid w:val="00A2650A"/>
    <w:rsid w:val="00A265CB"/>
    <w:rsid w:val="00A266CE"/>
    <w:rsid w:val="00A266F8"/>
    <w:rsid w:val="00A267AE"/>
    <w:rsid w:val="00A267C1"/>
    <w:rsid w:val="00A267FE"/>
    <w:rsid w:val="00A26917"/>
    <w:rsid w:val="00A269C9"/>
    <w:rsid w:val="00A26B95"/>
    <w:rsid w:val="00A26C71"/>
    <w:rsid w:val="00A26DAE"/>
    <w:rsid w:val="00A26DD7"/>
    <w:rsid w:val="00A26E0B"/>
    <w:rsid w:val="00A26EDA"/>
    <w:rsid w:val="00A26EE8"/>
    <w:rsid w:val="00A26EF5"/>
    <w:rsid w:val="00A26FF6"/>
    <w:rsid w:val="00A27070"/>
    <w:rsid w:val="00A270BC"/>
    <w:rsid w:val="00A271C0"/>
    <w:rsid w:val="00A271E6"/>
    <w:rsid w:val="00A2724A"/>
    <w:rsid w:val="00A272AD"/>
    <w:rsid w:val="00A2737C"/>
    <w:rsid w:val="00A27388"/>
    <w:rsid w:val="00A273CE"/>
    <w:rsid w:val="00A27518"/>
    <w:rsid w:val="00A276F1"/>
    <w:rsid w:val="00A27719"/>
    <w:rsid w:val="00A27736"/>
    <w:rsid w:val="00A277B8"/>
    <w:rsid w:val="00A277FB"/>
    <w:rsid w:val="00A278BE"/>
    <w:rsid w:val="00A27941"/>
    <w:rsid w:val="00A279ED"/>
    <w:rsid w:val="00A27C22"/>
    <w:rsid w:val="00A27C34"/>
    <w:rsid w:val="00A27C76"/>
    <w:rsid w:val="00A27CCA"/>
    <w:rsid w:val="00A27D0F"/>
    <w:rsid w:val="00A27D25"/>
    <w:rsid w:val="00A27DAF"/>
    <w:rsid w:val="00A27E6B"/>
    <w:rsid w:val="00A27F6D"/>
    <w:rsid w:val="00A3002D"/>
    <w:rsid w:val="00A30043"/>
    <w:rsid w:val="00A3006F"/>
    <w:rsid w:val="00A300D4"/>
    <w:rsid w:val="00A3014A"/>
    <w:rsid w:val="00A301A8"/>
    <w:rsid w:val="00A301BF"/>
    <w:rsid w:val="00A301FD"/>
    <w:rsid w:val="00A30393"/>
    <w:rsid w:val="00A303A2"/>
    <w:rsid w:val="00A30523"/>
    <w:rsid w:val="00A305E0"/>
    <w:rsid w:val="00A3078E"/>
    <w:rsid w:val="00A3089B"/>
    <w:rsid w:val="00A3096A"/>
    <w:rsid w:val="00A309E8"/>
    <w:rsid w:val="00A30A2A"/>
    <w:rsid w:val="00A30A6C"/>
    <w:rsid w:val="00A30A6F"/>
    <w:rsid w:val="00A30B1D"/>
    <w:rsid w:val="00A30B26"/>
    <w:rsid w:val="00A30B67"/>
    <w:rsid w:val="00A30C28"/>
    <w:rsid w:val="00A30D6E"/>
    <w:rsid w:val="00A30D88"/>
    <w:rsid w:val="00A30E67"/>
    <w:rsid w:val="00A30ED2"/>
    <w:rsid w:val="00A30FCA"/>
    <w:rsid w:val="00A3102B"/>
    <w:rsid w:val="00A310AF"/>
    <w:rsid w:val="00A310F7"/>
    <w:rsid w:val="00A31118"/>
    <w:rsid w:val="00A3134F"/>
    <w:rsid w:val="00A31353"/>
    <w:rsid w:val="00A313C2"/>
    <w:rsid w:val="00A31433"/>
    <w:rsid w:val="00A314F1"/>
    <w:rsid w:val="00A31571"/>
    <w:rsid w:val="00A31917"/>
    <w:rsid w:val="00A319D5"/>
    <w:rsid w:val="00A31C0E"/>
    <w:rsid w:val="00A31C3D"/>
    <w:rsid w:val="00A31F89"/>
    <w:rsid w:val="00A32005"/>
    <w:rsid w:val="00A32084"/>
    <w:rsid w:val="00A32108"/>
    <w:rsid w:val="00A3211E"/>
    <w:rsid w:val="00A32176"/>
    <w:rsid w:val="00A322F3"/>
    <w:rsid w:val="00A32314"/>
    <w:rsid w:val="00A323AE"/>
    <w:rsid w:val="00A323E1"/>
    <w:rsid w:val="00A323F2"/>
    <w:rsid w:val="00A32467"/>
    <w:rsid w:val="00A32529"/>
    <w:rsid w:val="00A3255A"/>
    <w:rsid w:val="00A325FF"/>
    <w:rsid w:val="00A326AA"/>
    <w:rsid w:val="00A32709"/>
    <w:rsid w:val="00A32798"/>
    <w:rsid w:val="00A32872"/>
    <w:rsid w:val="00A3287C"/>
    <w:rsid w:val="00A32941"/>
    <w:rsid w:val="00A329A5"/>
    <w:rsid w:val="00A329FE"/>
    <w:rsid w:val="00A32A24"/>
    <w:rsid w:val="00A32A46"/>
    <w:rsid w:val="00A32A4B"/>
    <w:rsid w:val="00A32ABF"/>
    <w:rsid w:val="00A32CAB"/>
    <w:rsid w:val="00A32D51"/>
    <w:rsid w:val="00A32D95"/>
    <w:rsid w:val="00A32DCF"/>
    <w:rsid w:val="00A32E53"/>
    <w:rsid w:val="00A32E89"/>
    <w:rsid w:val="00A32F6E"/>
    <w:rsid w:val="00A32F93"/>
    <w:rsid w:val="00A32FA8"/>
    <w:rsid w:val="00A33009"/>
    <w:rsid w:val="00A330C3"/>
    <w:rsid w:val="00A33186"/>
    <w:rsid w:val="00A331A5"/>
    <w:rsid w:val="00A3324C"/>
    <w:rsid w:val="00A33306"/>
    <w:rsid w:val="00A333D2"/>
    <w:rsid w:val="00A336EB"/>
    <w:rsid w:val="00A33733"/>
    <w:rsid w:val="00A337C6"/>
    <w:rsid w:val="00A3397B"/>
    <w:rsid w:val="00A33AD1"/>
    <w:rsid w:val="00A33B7D"/>
    <w:rsid w:val="00A33C22"/>
    <w:rsid w:val="00A33CBE"/>
    <w:rsid w:val="00A33D94"/>
    <w:rsid w:val="00A33E3C"/>
    <w:rsid w:val="00A33F5D"/>
    <w:rsid w:val="00A33F90"/>
    <w:rsid w:val="00A33F92"/>
    <w:rsid w:val="00A33FB0"/>
    <w:rsid w:val="00A33FE7"/>
    <w:rsid w:val="00A340FC"/>
    <w:rsid w:val="00A34193"/>
    <w:rsid w:val="00A34243"/>
    <w:rsid w:val="00A34289"/>
    <w:rsid w:val="00A34335"/>
    <w:rsid w:val="00A34338"/>
    <w:rsid w:val="00A3443D"/>
    <w:rsid w:val="00A34442"/>
    <w:rsid w:val="00A3444B"/>
    <w:rsid w:val="00A3451B"/>
    <w:rsid w:val="00A345B9"/>
    <w:rsid w:val="00A345BC"/>
    <w:rsid w:val="00A34835"/>
    <w:rsid w:val="00A34855"/>
    <w:rsid w:val="00A34860"/>
    <w:rsid w:val="00A348CD"/>
    <w:rsid w:val="00A348DE"/>
    <w:rsid w:val="00A34923"/>
    <w:rsid w:val="00A34CDC"/>
    <w:rsid w:val="00A34D56"/>
    <w:rsid w:val="00A34DE6"/>
    <w:rsid w:val="00A34E10"/>
    <w:rsid w:val="00A34E56"/>
    <w:rsid w:val="00A34E72"/>
    <w:rsid w:val="00A34F95"/>
    <w:rsid w:val="00A34FD1"/>
    <w:rsid w:val="00A3501D"/>
    <w:rsid w:val="00A35033"/>
    <w:rsid w:val="00A3505E"/>
    <w:rsid w:val="00A35384"/>
    <w:rsid w:val="00A353A1"/>
    <w:rsid w:val="00A353B7"/>
    <w:rsid w:val="00A35450"/>
    <w:rsid w:val="00A3548D"/>
    <w:rsid w:val="00A354B3"/>
    <w:rsid w:val="00A35574"/>
    <w:rsid w:val="00A35578"/>
    <w:rsid w:val="00A35584"/>
    <w:rsid w:val="00A3568D"/>
    <w:rsid w:val="00A356A1"/>
    <w:rsid w:val="00A35718"/>
    <w:rsid w:val="00A35791"/>
    <w:rsid w:val="00A357C8"/>
    <w:rsid w:val="00A35836"/>
    <w:rsid w:val="00A3584A"/>
    <w:rsid w:val="00A358E9"/>
    <w:rsid w:val="00A35934"/>
    <w:rsid w:val="00A3594E"/>
    <w:rsid w:val="00A3596F"/>
    <w:rsid w:val="00A35A28"/>
    <w:rsid w:val="00A35A48"/>
    <w:rsid w:val="00A35ABA"/>
    <w:rsid w:val="00A35ABC"/>
    <w:rsid w:val="00A35B15"/>
    <w:rsid w:val="00A35B90"/>
    <w:rsid w:val="00A35BB6"/>
    <w:rsid w:val="00A35C50"/>
    <w:rsid w:val="00A35CC7"/>
    <w:rsid w:val="00A35D81"/>
    <w:rsid w:val="00A35DDA"/>
    <w:rsid w:val="00A35E49"/>
    <w:rsid w:val="00A35EA6"/>
    <w:rsid w:val="00A35F6C"/>
    <w:rsid w:val="00A35F82"/>
    <w:rsid w:val="00A3601A"/>
    <w:rsid w:val="00A3601F"/>
    <w:rsid w:val="00A360B8"/>
    <w:rsid w:val="00A360D9"/>
    <w:rsid w:val="00A36231"/>
    <w:rsid w:val="00A36309"/>
    <w:rsid w:val="00A3641E"/>
    <w:rsid w:val="00A3643B"/>
    <w:rsid w:val="00A3657B"/>
    <w:rsid w:val="00A36692"/>
    <w:rsid w:val="00A3674C"/>
    <w:rsid w:val="00A3675A"/>
    <w:rsid w:val="00A36795"/>
    <w:rsid w:val="00A367C0"/>
    <w:rsid w:val="00A369DA"/>
    <w:rsid w:val="00A36A7E"/>
    <w:rsid w:val="00A36B14"/>
    <w:rsid w:val="00A36B23"/>
    <w:rsid w:val="00A36B68"/>
    <w:rsid w:val="00A36B7B"/>
    <w:rsid w:val="00A36C3F"/>
    <w:rsid w:val="00A36C84"/>
    <w:rsid w:val="00A36D56"/>
    <w:rsid w:val="00A36F01"/>
    <w:rsid w:val="00A36FCA"/>
    <w:rsid w:val="00A37026"/>
    <w:rsid w:val="00A37032"/>
    <w:rsid w:val="00A37071"/>
    <w:rsid w:val="00A37078"/>
    <w:rsid w:val="00A37129"/>
    <w:rsid w:val="00A37195"/>
    <w:rsid w:val="00A3724F"/>
    <w:rsid w:val="00A37319"/>
    <w:rsid w:val="00A3731F"/>
    <w:rsid w:val="00A3737D"/>
    <w:rsid w:val="00A37457"/>
    <w:rsid w:val="00A375AB"/>
    <w:rsid w:val="00A37604"/>
    <w:rsid w:val="00A37620"/>
    <w:rsid w:val="00A3764C"/>
    <w:rsid w:val="00A37658"/>
    <w:rsid w:val="00A376F3"/>
    <w:rsid w:val="00A37807"/>
    <w:rsid w:val="00A37848"/>
    <w:rsid w:val="00A37896"/>
    <w:rsid w:val="00A37945"/>
    <w:rsid w:val="00A3796A"/>
    <w:rsid w:val="00A379A6"/>
    <w:rsid w:val="00A37A1D"/>
    <w:rsid w:val="00A37A25"/>
    <w:rsid w:val="00A37A50"/>
    <w:rsid w:val="00A37A8A"/>
    <w:rsid w:val="00A37B43"/>
    <w:rsid w:val="00A37C02"/>
    <w:rsid w:val="00A37CA7"/>
    <w:rsid w:val="00A37CDE"/>
    <w:rsid w:val="00A37D57"/>
    <w:rsid w:val="00A37DD7"/>
    <w:rsid w:val="00A37DE6"/>
    <w:rsid w:val="00A37EAD"/>
    <w:rsid w:val="00A37EB2"/>
    <w:rsid w:val="00A400BC"/>
    <w:rsid w:val="00A40219"/>
    <w:rsid w:val="00A402B4"/>
    <w:rsid w:val="00A403B4"/>
    <w:rsid w:val="00A40469"/>
    <w:rsid w:val="00A40484"/>
    <w:rsid w:val="00A404DF"/>
    <w:rsid w:val="00A40585"/>
    <w:rsid w:val="00A405AC"/>
    <w:rsid w:val="00A405F8"/>
    <w:rsid w:val="00A4063D"/>
    <w:rsid w:val="00A406CA"/>
    <w:rsid w:val="00A4072B"/>
    <w:rsid w:val="00A40793"/>
    <w:rsid w:val="00A407F1"/>
    <w:rsid w:val="00A40831"/>
    <w:rsid w:val="00A408B1"/>
    <w:rsid w:val="00A408FD"/>
    <w:rsid w:val="00A4092D"/>
    <w:rsid w:val="00A40933"/>
    <w:rsid w:val="00A4099F"/>
    <w:rsid w:val="00A409D3"/>
    <w:rsid w:val="00A40A07"/>
    <w:rsid w:val="00A40A14"/>
    <w:rsid w:val="00A40BCA"/>
    <w:rsid w:val="00A40D79"/>
    <w:rsid w:val="00A40DE0"/>
    <w:rsid w:val="00A40DE9"/>
    <w:rsid w:val="00A40EE8"/>
    <w:rsid w:val="00A40F3A"/>
    <w:rsid w:val="00A40FEB"/>
    <w:rsid w:val="00A41023"/>
    <w:rsid w:val="00A410DC"/>
    <w:rsid w:val="00A4146F"/>
    <w:rsid w:val="00A41540"/>
    <w:rsid w:val="00A41606"/>
    <w:rsid w:val="00A41618"/>
    <w:rsid w:val="00A41663"/>
    <w:rsid w:val="00A4174A"/>
    <w:rsid w:val="00A417A2"/>
    <w:rsid w:val="00A4181F"/>
    <w:rsid w:val="00A41998"/>
    <w:rsid w:val="00A419AD"/>
    <w:rsid w:val="00A41A02"/>
    <w:rsid w:val="00A41A46"/>
    <w:rsid w:val="00A41AAD"/>
    <w:rsid w:val="00A41B87"/>
    <w:rsid w:val="00A41BC4"/>
    <w:rsid w:val="00A41BDA"/>
    <w:rsid w:val="00A41C36"/>
    <w:rsid w:val="00A41C74"/>
    <w:rsid w:val="00A41C95"/>
    <w:rsid w:val="00A41D77"/>
    <w:rsid w:val="00A41EA8"/>
    <w:rsid w:val="00A4204F"/>
    <w:rsid w:val="00A42074"/>
    <w:rsid w:val="00A420B8"/>
    <w:rsid w:val="00A420BB"/>
    <w:rsid w:val="00A4224A"/>
    <w:rsid w:val="00A422B0"/>
    <w:rsid w:val="00A422D9"/>
    <w:rsid w:val="00A42381"/>
    <w:rsid w:val="00A42391"/>
    <w:rsid w:val="00A423C4"/>
    <w:rsid w:val="00A423CE"/>
    <w:rsid w:val="00A423DB"/>
    <w:rsid w:val="00A4242A"/>
    <w:rsid w:val="00A42522"/>
    <w:rsid w:val="00A42674"/>
    <w:rsid w:val="00A4278A"/>
    <w:rsid w:val="00A427F7"/>
    <w:rsid w:val="00A42824"/>
    <w:rsid w:val="00A42951"/>
    <w:rsid w:val="00A42979"/>
    <w:rsid w:val="00A429E1"/>
    <w:rsid w:val="00A42AC8"/>
    <w:rsid w:val="00A42B76"/>
    <w:rsid w:val="00A42BA2"/>
    <w:rsid w:val="00A42BB6"/>
    <w:rsid w:val="00A42CA7"/>
    <w:rsid w:val="00A42D31"/>
    <w:rsid w:val="00A42D6A"/>
    <w:rsid w:val="00A42E44"/>
    <w:rsid w:val="00A42F3A"/>
    <w:rsid w:val="00A42F5B"/>
    <w:rsid w:val="00A42F68"/>
    <w:rsid w:val="00A43097"/>
    <w:rsid w:val="00A4329E"/>
    <w:rsid w:val="00A432EA"/>
    <w:rsid w:val="00A432F3"/>
    <w:rsid w:val="00A433CD"/>
    <w:rsid w:val="00A433E2"/>
    <w:rsid w:val="00A434A0"/>
    <w:rsid w:val="00A434D1"/>
    <w:rsid w:val="00A434DA"/>
    <w:rsid w:val="00A4356E"/>
    <w:rsid w:val="00A43778"/>
    <w:rsid w:val="00A437FE"/>
    <w:rsid w:val="00A43853"/>
    <w:rsid w:val="00A4385C"/>
    <w:rsid w:val="00A438E9"/>
    <w:rsid w:val="00A43A79"/>
    <w:rsid w:val="00A43ABE"/>
    <w:rsid w:val="00A43AC4"/>
    <w:rsid w:val="00A43BD3"/>
    <w:rsid w:val="00A43C5F"/>
    <w:rsid w:val="00A43C7F"/>
    <w:rsid w:val="00A43CB5"/>
    <w:rsid w:val="00A43E73"/>
    <w:rsid w:val="00A43E84"/>
    <w:rsid w:val="00A43E88"/>
    <w:rsid w:val="00A43F19"/>
    <w:rsid w:val="00A43F2C"/>
    <w:rsid w:val="00A43F6F"/>
    <w:rsid w:val="00A43F73"/>
    <w:rsid w:val="00A4420C"/>
    <w:rsid w:val="00A4425A"/>
    <w:rsid w:val="00A442E3"/>
    <w:rsid w:val="00A4443D"/>
    <w:rsid w:val="00A4448B"/>
    <w:rsid w:val="00A444A6"/>
    <w:rsid w:val="00A444D7"/>
    <w:rsid w:val="00A44601"/>
    <w:rsid w:val="00A44671"/>
    <w:rsid w:val="00A4467E"/>
    <w:rsid w:val="00A446B1"/>
    <w:rsid w:val="00A446C4"/>
    <w:rsid w:val="00A446E5"/>
    <w:rsid w:val="00A44706"/>
    <w:rsid w:val="00A44783"/>
    <w:rsid w:val="00A447EB"/>
    <w:rsid w:val="00A4485A"/>
    <w:rsid w:val="00A4490E"/>
    <w:rsid w:val="00A44933"/>
    <w:rsid w:val="00A449A7"/>
    <w:rsid w:val="00A44ADD"/>
    <w:rsid w:val="00A44B07"/>
    <w:rsid w:val="00A44B6F"/>
    <w:rsid w:val="00A44BBA"/>
    <w:rsid w:val="00A44C24"/>
    <w:rsid w:val="00A44C89"/>
    <w:rsid w:val="00A44C94"/>
    <w:rsid w:val="00A44CF0"/>
    <w:rsid w:val="00A44D0F"/>
    <w:rsid w:val="00A45026"/>
    <w:rsid w:val="00A450DC"/>
    <w:rsid w:val="00A450ED"/>
    <w:rsid w:val="00A4510F"/>
    <w:rsid w:val="00A451D4"/>
    <w:rsid w:val="00A45201"/>
    <w:rsid w:val="00A452AE"/>
    <w:rsid w:val="00A452E5"/>
    <w:rsid w:val="00A452E9"/>
    <w:rsid w:val="00A45354"/>
    <w:rsid w:val="00A45390"/>
    <w:rsid w:val="00A45423"/>
    <w:rsid w:val="00A45435"/>
    <w:rsid w:val="00A4546A"/>
    <w:rsid w:val="00A454E9"/>
    <w:rsid w:val="00A45512"/>
    <w:rsid w:val="00A45553"/>
    <w:rsid w:val="00A455A2"/>
    <w:rsid w:val="00A456F8"/>
    <w:rsid w:val="00A45726"/>
    <w:rsid w:val="00A4596E"/>
    <w:rsid w:val="00A45A11"/>
    <w:rsid w:val="00A45A23"/>
    <w:rsid w:val="00A45B8D"/>
    <w:rsid w:val="00A45BC6"/>
    <w:rsid w:val="00A45D12"/>
    <w:rsid w:val="00A45EFD"/>
    <w:rsid w:val="00A45F07"/>
    <w:rsid w:val="00A45F94"/>
    <w:rsid w:val="00A45FBA"/>
    <w:rsid w:val="00A4602C"/>
    <w:rsid w:val="00A461FD"/>
    <w:rsid w:val="00A462B0"/>
    <w:rsid w:val="00A462EC"/>
    <w:rsid w:val="00A46336"/>
    <w:rsid w:val="00A4637C"/>
    <w:rsid w:val="00A463E3"/>
    <w:rsid w:val="00A46445"/>
    <w:rsid w:val="00A464DD"/>
    <w:rsid w:val="00A466B4"/>
    <w:rsid w:val="00A46758"/>
    <w:rsid w:val="00A46818"/>
    <w:rsid w:val="00A468A6"/>
    <w:rsid w:val="00A468C0"/>
    <w:rsid w:val="00A46A85"/>
    <w:rsid w:val="00A46ABA"/>
    <w:rsid w:val="00A46B9F"/>
    <w:rsid w:val="00A46BDA"/>
    <w:rsid w:val="00A46C1A"/>
    <w:rsid w:val="00A46CD2"/>
    <w:rsid w:val="00A46DCE"/>
    <w:rsid w:val="00A46ECD"/>
    <w:rsid w:val="00A46F6F"/>
    <w:rsid w:val="00A46FF3"/>
    <w:rsid w:val="00A47005"/>
    <w:rsid w:val="00A47052"/>
    <w:rsid w:val="00A47094"/>
    <w:rsid w:val="00A470E4"/>
    <w:rsid w:val="00A471F8"/>
    <w:rsid w:val="00A4729A"/>
    <w:rsid w:val="00A473B1"/>
    <w:rsid w:val="00A47462"/>
    <w:rsid w:val="00A47475"/>
    <w:rsid w:val="00A477A5"/>
    <w:rsid w:val="00A477B2"/>
    <w:rsid w:val="00A477D3"/>
    <w:rsid w:val="00A477FF"/>
    <w:rsid w:val="00A4785A"/>
    <w:rsid w:val="00A4789F"/>
    <w:rsid w:val="00A47947"/>
    <w:rsid w:val="00A4797D"/>
    <w:rsid w:val="00A4798B"/>
    <w:rsid w:val="00A47A4C"/>
    <w:rsid w:val="00A47F7C"/>
    <w:rsid w:val="00A47F99"/>
    <w:rsid w:val="00A47FA6"/>
    <w:rsid w:val="00A47FC9"/>
    <w:rsid w:val="00A50079"/>
    <w:rsid w:val="00A5009D"/>
    <w:rsid w:val="00A50104"/>
    <w:rsid w:val="00A501AB"/>
    <w:rsid w:val="00A50268"/>
    <w:rsid w:val="00A502AA"/>
    <w:rsid w:val="00A5030A"/>
    <w:rsid w:val="00A50326"/>
    <w:rsid w:val="00A503A8"/>
    <w:rsid w:val="00A50404"/>
    <w:rsid w:val="00A5041E"/>
    <w:rsid w:val="00A50421"/>
    <w:rsid w:val="00A5045B"/>
    <w:rsid w:val="00A50469"/>
    <w:rsid w:val="00A504C4"/>
    <w:rsid w:val="00A504D0"/>
    <w:rsid w:val="00A5063F"/>
    <w:rsid w:val="00A5073F"/>
    <w:rsid w:val="00A5080D"/>
    <w:rsid w:val="00A5083A"/>
    <w:rsid w:val="00A508BF"/>
    <w:rsid w:val="00A508C0"/>
    <w:rsid w:val="00A508CB"/>
    <w:rsid w:val="00A50C1F"/>
    <w:rsid w:val="00A50C9A"/>
    <w:rsid w:val="00A50F19"/>
    <w:rsid w:val="00A50F2D"/>
    <w:rsid w:val="00A50F76"/>
    <w:rsid w:val="00A50F9D"/>
    <w:rsid w:val="00A51027"/>
    <w:rsid w:val="00A511C7"/>
    <w:rsid w:val="00A512B0"/>
    <w:rsid w:val="00A51323"/>
    <w:rsid w:val="00A51329"/>
    <w:rsid w:val="00A513BF"/>
    <w:rsid w:val="00A51517"/>
    <w:rsid w:val="00A5154D"/>
    <w:rsid w:val="00A51570"/>
    <w:rsid w:val="00A515B7"/>
    <w:rsid w:val="00A5165C"/>
    <w:rsid w:val="00A516F4"/>
    <w:rsid w:val="00A51786"/>
    <w:rsid w:val="00A517AC"/>
    <w:rsid w:val="00A51984"/>
    <w:rsid w:val="00A519A3"/>
    <w:rsid w:val="00A51A5D"/>
    <w:rsid w:val="00A51D99"/>
    <w:rsid w:val="00A51DEB"/>
    <w:rsid w:val="00A51E47"/>
    <w:rsid w:val="00A51E8C"/>
    <w:rsid w:val="00A51F9E"/>
    <w:rsid w:val="00A52041"/>
    <w:rsid w:val="00A5205E"/>
    <w:rsid w:val="00A52088"/>
    <w:rsid w:val="00A52209"/>
    <w:rsid w:val="00A522DC"/>
    <w:rsid w:val="00A5234F"/>
    <w:rsid w:val="00A52460"/>
    <w:rsid w:val="00A524B5"/>
    <w:rsid w:val="00A525D1"/>
    <w:rsid w:val="00A525F6"/>
    <w:rsid w:val="00A52632"/>
    <w:rsid w:val="00A52741"/>
    <w:rsid w:val="00A52752"/>
    <w:rsid w:val="00A52961"/>
    <w:rsid w:val="00A529CF"/>
    <w:rsid w:val="00A529D6"/>
    <w:rsid w:val="00A52A79"/>
    <w:rsid w:val="00A52C0A"/>
    <w:rsid w:val="00A52C7A"/>
    <w:rsid w:val="00A52D08"/>
    <w:rsid w:val="00A52D33"/>
    <w:rsid w:val="00A52D93"/>
    <w:rsid w:val="00A52E0E"/>
    <w:rsid w:val="00A52EE9"/>
    <w:rsid w:val="00A52F57"/>
    <w:rsid w:val="00A52FD4"/>
    <w:rsid w:val="00A52FFB"/>
    <w:rsid w:val="00A530E2"/>
    <w:rsid w:val="00A53145"/>
    <w:rsid w:val="00A53336"/>
    <w:rsid w:val="00A53341"/>
    <w:rsid w:val="00A5336A"/>
    <w:rsid w:val="00A5338B"/>
    <w:rsid w:val="00A533A8"/>
    <w:rsid w:val="00A533C0"/>
    <w:rsid w:val="00A53405"/>
    <w:rsid w:val="00A53449"/>
    <w:rsid w:val="00A53454"/>
    <w:rsid w:val="00A534EE"/>
    <w:rsid w:val="00A53508"/>
    <w:rsid w:val="00A5358A"/>
    <w:rsid w:val="00A535E5"/>
    <w:rsid w:val="00A535F1"/>
    <w:rsid w:val="00A5362C"/>
    <w:rsid w:val="00A5368A"/>
    <w:rsid w:val="00A537B8"/>
    <w:rsid w:val="00A5392F"/>
    <w:rsid w:val="00A539C1"/>
    <w:rsid w:val="00A53A7D"/>
    <w:rsid w:val="00A53B6F"/>
    <w:rsid w:val="00A53C1E"/>
    <w:rsid w:val="00A53D3E"/>
    <w:rsid w:val="00A53E12"/>
    <w:rsid w:val="00A53F55"/>
    <w:rsid w:val="00A53F5E"/>
    <w:rsid w:val="00A53F89"/>
    <w:rsid w:val="00A53FF8"/>
    <w:rsid w:val="00A54054"/>
    <w:rsid w:val="00A54070"/>
    <w:rsid w:val="00A5409F"/>
    <w:rsid w:val="00A54101"/>
    <w:rsid w:val="00A54149"/>
    <w:rsid w:val="00A54285"/>
    <w:rsid w:val="00A542C5"/>
    <w:rsid w:val="00A542DD"/>
    <w:rsid w:val="00A542F0"/>
    <w:rsid w:val="00A54340"/>
    <w:rsid w:val="00A54445"/>
    <w:rsid w:val="00A54495"/>
    <w:rsid w:val="00A545D6"/>
    <w:rsid w:val="00A54646"/>
    <w:rsid w:val="00A54666"/>
    <w:rsid w:val="00A5469A"/>
    <w:rsid w:val="00A546B6"/>
    <w:rsid w:val="00A5479A"/>
    <w:rsid w:val="00A547D0"/>
    <w:rsid w:val="00A548F8"/>
    <w:rsid w:val="00A54A3F"/>
    <w:rsid w:val="00A54BD5"/>
    <w:rsid w:val="00A54BF6"/>
    <w:rsid w:val="00A54CC7"/>
    <w:rsid w:val="00A54CD7"/>
    <w:rsid w:val="00A54DB2"/>
    <w:rsid w:val="00A54F92"/>
    <w:rsid w:val="00A5501C"/>
    <w:rsid w:val="00A5501F"/>
    <w:rsid w:val="00A5504D"/>
    <w:rsid w:val="00A55187"/>
    <w:rsid w:val="00A5536A"/>
    <w:rsid w:val="00A553BD"/>
    <w:rsid w:val="00A553FB"/>
    <w:rsid w:val="00A55442"/>
    <w:rsid w:val="00A554E1"/>
    <w:rsid w:val="00A556F5"/>
    <w:rsid w:val="00A5578E"/>
    <w:rsid w:val="00A55801"/>
    <w:rsid w:val="00A55864"/>
    <w:rsid w:val="00A5588D"/>
    <w:rsid w:val="00A558BD"/>
    <w:rsid w:val="00A55960"/>
    <w:rsid w:val="00A559DC"/>
    <w:rsid w:val="00A559E5"/>
    <w:rsid w:val="00A55A66"/>
    <w:rsid w:val="00A55AB3"/>
    <w:rsid w:val="00A55B44"/>
    <w:rsid w:val="00A55B58"/>
    <w:rsid w:val="00A55B8D"/>
    <w:rsid w:val="00A55CE1"/>
    <w:rsid w:val="00A55CEC"/>
    <w:rsid w:val="00A55D58"/>
    <w:rsid w:val="00A55F6E"/>
    <w:rsid w:val="00A5605F"/>
    <w:rsid w:val="00A5611B"/>
    <w:rsid w:val="00A56122"/>
    <w:rsid w:val="00A561AF"/>
    <w:rsid w:val="00A56215"/>
    <w:rsid w:val="00A56248"/>
    <w:rsid w:val="00A56273"/>
    <w:rsid w:val="00A562B0"/>
    <w:rsid w:val="00A562BB"/>
    <w:rsid w:val="00A563D4"/>
    <w:rsid w:val="00A564AA"/>
    <w:rsid w:val="00A564B7"/>
    <w:rsid w:val="00A56602"/>
    <w:rsid w:val="00A56675"/>
    <w:rsid w:val="00A566CD"/>
    <w:rsid w:val="00A566ED"/>
    <w:rsid w:val="00A5670A"/>
    <w:rsid w:val="00A56722"/>
    <w:rsid w:val="00A56738"/>
    <w:rsid w:val="00A5693E"/>
    <w:rsid w:val="00A56A02"/>
    <w:rsid w:val="00A56A64"/>
    <w:rsid w:val="00A56AD6"/>
    <w:rsid w:val="00A56B34"/>
    <w:rsid w:val="00A56C16"/>
    <w:rsid w:val="00A56C34"/>
    <w:rsid w:val="00A56C8B"/>
    <w:rsid w:val="00A56CA5"/>
    <w:rsid w:val="00A56CBF"/>
    <w:rsid w:val="00A56CE6"/>
    <w:rsid w:val="00A56E45"/>
    <w:rsid w:val="00A57012"/>
    <w:rsid w:val="00A5703C"/>
    <w:rsid w:val="00A57057"/>
    <w:rsid w:val="00A57100"/>
    <w:rsid w:val="00A57110"/>
    <w:rsid w:val="00A57193"/>
    <w:rsid w:val="00A571AC"/>
    <w:rsid w:val="00A571E4"/>
    <w:rsid w:val="00A57214"/>
    <w:rsid w:val="00A57337"/>
    <w:rsid w:val="00A5741C"/>
    <w:rsid w:val="00A5742F"/>
    <w:rsid w:val="00A57447"/>
    <w:rsid w:val="00A574BD"/>
    <w:rsid w:val="00A5765F"/>
    <w:rsid w:val="00A5774B"/>
    <w:rsid w:val="00A57773"/>
    <w:rsid w:val="00A577A4"/>
    <w:rsid w:val="00A579AF"/>
    <w:rsid w:val="00A579B9"/>
    <w:rsid w:val="00A579DE"/>
    <w:rsid w:val="00A57A20"/>
    <w:rsid w:val="00A57AB6"/>
    <w:rsid w:val="00A57C27"/>
    <w:rsid w:val="00A57CCA"/>
    <w:rsid w:val="00A57D19"/>
    <w:rsid w:val="00A57D9E"/>
    <w:rsid w:val="00A57DCF"/>
    <w:rsid w:val="00A57F14"/>
    <w:rsid w:val="00A57F65"/>
    <w:rsid w:val="00A6000E"/>
    <w:rsid w:val="00A60035"/>
    <w:rsid w:val="00A600B4"/>
    <w:rsid w:val="00A600DB"/>
    <w:rsid w:val="00A600DE"/>
    <w:rsid w:val="00A60137"/>
    <w:rsid w:val="00A60156"/>
    <w:rsid w:val="00A601AE"/>
    <w:rsid w:val="00A602DE"/>
    <w:rsid w:val="00A602F1"/>
    <w:rsid w:val="00A604A2"/>
    <w:rsid w:val="00A60559"/>
    <w:rsid w:val="00A605EA"/>
    <w:rsid w:val="00A605F9"/>
    <w:rsid w:val="00A60696"/>
    <w:rsid w:val="00A60749"/>
    <w:rsid w:val="00A607E8"/>
    <w:rsid w:val="00A607F4"/>
    <w:rsid w:val="00A60868"/>
    <w:rsid w:val="00A60983"/>
    <w:rsid w:val="00A60986"/>
    <w:rsid w:val="00A609BD"/>
    <w:rsid w:val="00A60BF0"/>
    <w:rsid w:val="00A60C0E"/>
    <w:rsid w:val="00A60CBB"/>
    <w:rsid w:val="00A60E2C"/>
    <w:rsid w:val="00A60E81"/>
    <w:rsid w:val="00A60E9D"/>
    <w:rsid w:val="00A60ED5"/>
    <w:rsid w:val="00A60EDC"/>
    <w:rsid w:val="00A60F9D"/>
    <w:rsid w:val="00A60FE3"/>
    <w:rsid w:val="00A6100A"/>
    <w:rsid w:val="00A61064"/>
    <w:rsid w:val="00A61069"/>
    <w:rsid w:val="00A6108A"/>
    <w:rsid w:val="00A61121"/>
    <w:rsid w:val="00A611C9"/>
    <w:rsid w:val="00A61220"/>
    <w:rsid w:val="00A6128B"/>
    <w:rsid w:val="00A61391"/>
    <w:rsid w:val="00A613F9"/>
    <w:rsid w:val="00A6153F"/>
    <w:rsid w:val="00A61616"/>
    <w:rsid w:val="00A6162E"/>
    <w:rsid w:val="00A61686"/>
    <w:rsid w:val="00A616A9"/>
    <w:rsid w:val="00A6174F"/>
    <w:rsid w:val="00A61773"/>
    <w:rsid w:val="00A61802"/>
    <w:rsid w:val="00A61950"/>
    <w:rsid w:val="00A61979"/>
    <w:rsid w:val="00A619B7"/>
    <w:rsid w:val="00A619BA"/>
    <w:rsid w:val="00A61B19"/>
    <w:rsid w:val="00A61B48"/>
    <w:rsid w:val="00A61B4D"/>
    <w:rsid w:val="00A61B70"/>
    <w:rsid w:val="00A61C07"/>
    <w:rsid w:val="00A61C27"/>
    <w:rsid w:val="00A61C2B"/>
    <w:rsid w:val="00A61CA0"/>
    <w:rsid w:val="00A61CE8"/>
    <w:rsid w:val="00A61E6D"/>
    <w:rsid w:val="00A61F01"/>
    <w:rsid w:val="00A61FFD"/>
    <w:rsid w:val="00A62093"/>
    <w:rsid w:val="00A620A6"/>
    <w:rsid w:val="00A6219F"/>
    <w:rsid w:val="00A6224B"/>
    <w:rsid w:val="00A6224E"/>
    <w:rsid w:val="00A62282"/>
    <w:rsid w:val="00A622F6"/>
    <w:rsid w:val="00A62339"/>
    <w:rsid w:val="00A62363"/>
    <w:rsid w:val="00A623C5"/>
    <w:rsid w:val="00A62540"/>
    <w:rsid w:val="00A625D0"/>
    <w:rsid w:val="00A627BD"/>
    <w:rsid w:val="00A627F9"/>
    <w:rsid w:val="00A628F1"/>
    <w:rsid w:val="00A6295A"/>
    <w:rsid w:val="00A62A30"/>
    <w:rsid w:val="00A62A6A"/>
    <w:rsid w:val="00A62B95"/>
    <w:rsid w:val="00A62BC5"/>
    <w:rsid w:val="00A62C63"/>
    <w:rsid w:val="00A62C92"/>
    <w:rsid w:val="00A62CC4"/>
    <w:rsid w:val="00A62D51"/>
    <w:rsid w:val="00A62DA3"/>
    <w:rsid w:val="00A62DC9"/>
    <w:rsid w:val="00A62E12"/>
    <w:rsid w:val="00A62E5F"/>
    <w:rsid w:val="00A62EAE"/>
    <w:rsid w:val="00A630B8"/>
    <w:rsid w:val="00A6314D"/>
    <w:rsid w:val="00A6330E"/>
    <w:rsid w:val="00A63360"/>
    <w:rsid w:val="00A6355F"/>
    <w:rsid w:val="00A6363A"/>
    <w:rsid w:val="00A63646"/>
    <w:rsid w:val="00A6366F"/>
    <w:rsid w:val="00A63671"/>
    <w:rsid w:val="00A63704"/>
    <w:rsid w:val="00A63802"/>
    <w:rsid w:val="00A63845"/>
    <w:rsid w:val="00A63879"/>
    <w:rsid w:val="00A63B0D"/>
    <w:rsid w:val="00A63B58"/>
    <w:rsid w:val="00A63CA5"/>
    <w:rsid w:val="00A63CBC"/>
    <w:rsid w:val="00A63D03"/>
    <w:rsid w:val="00A63D26"/>
    <w:rsid w:val="00A63DB5"/>
    <w:rsid w:val="00A63E62"/>
    <w:rsid w:val="00A63E65"/>
    <w:rsid w:val="00A63E79"/>
    <w:rsid w:val="00A63EB4"/>
    <w:rsid w:val="00A63F9E"/>
    <w:rsid w:val="00A63FB2"/>
    <w:rsid w:val="00A63FDD"/>
    <w:rsid w:val="00A63FE4"/>
    <w:rsid w:val="00A64058"/>
    <w:rsid w:val="00A64067"/>
    <w:rsid w:val="00A64085"/>
    <w:rsid w:val="00A6408A"/>
    <w:rsid w:val="00A64097"/>
    <w:rsid w:val="00A641A5"/>
    <w:rsid w:val="00A64230"/>
    <w:rsid w:val="00A643A5"/>
    <w:rsid w:val="00A643CA"/>
    <w:rsid w:val="00A644AB"/>
    <w:rsid w:val="00A644FB"/>
    <w:rsid w:val="00A6452D"/>
    <w:rsid w:val="00A64546"/>
    <w:rsid w:val="00A64556"/>
    <w:rsid w:val="00A6463A"/>
    <w:rsid w:val="00A646AD"/>
    <w:rsid w:val="00A646FC"/>
    <w:rsid w:val="00A6476D"/>
    <w:rsid w:val="00A64783"/>
    <w:rsid w:val="00A6481B"/>
    <w:rsid w:val="00A6481E"/>
    <w:rsid w:val="00A6487F"/>
    <w:rsid w:val="00A6498E"/>
    <w:rsid w:val="00A64A24"/>
    <w:rsid w:val="00A64AC2"/>
    <w:rsid w:val="00A64C80"/>
    <w:rsid w:val="00A64CEB"/>
    <w:rsid w:val="00A64DF1"/>
    <w:rsid w:val="00A64E44"/>
    <w:rsid w:val="00A64E7D"/>
    <w:rsid w:val="00A65078"/>
    <w:rsid w:val="00A65131"/>
    <w:rsid w:val="00A65317"/>
    <w:rsid w:val="00A6534A"/>
    <w:rsid w:val="00A6539C"/>
    <w:rsid w:val="00A653A5"/>
    <w:rsid w:val="00A653C2"/>
    <w:rsid w:val="00A653D6"/>
    <w:rsid w:val="00A654CB"/>
    <w:rsid w:val="00A65505"/>
    <w:rsid w:val="00A655F5"/>
    <w:rsid w:val="00A6563F"/>
    <w:rsid w:val="00A65711"/>
    <w:rsid w:val="00A657AB"/>
    <w:rsid w:val="00A65895"/>
    <w:rsid w:val="00A658CE"/>
    <w:rsid w:val="00A65903"/>
    <w:rsid w:val="00A659FC"/>
    <w:rsid w:val="00A65A57"/>
    <w:rsid w:val="00A65A6B"/>
    <w:rsid w:val="00A65B4F"/>
    <w:rsid w:val="00A65B9B"/>
    <w:rsid w:val="00A65C18"/>
    <w:rsid w:val="00A65D83"/>
    <w:rsid w:val="00A65E50"/>
    <w:rsid w:val="00A65E90"/>
    <w:rsid w:val="00A65EE0"/>
    <w:rsid w:val="00A65EE8"/>
    <w:rsid w:val="00A65FD8"/>
    <w:rsid w:val="00A660EA"/>
    <w:rsid w:val="00A661ED"/>
    <w:rsid w:val="00A66270"/>
    <w:rsid w:val="00A6635D"/>
    <w:rsid w:val="00A663AC"/>
    <w:rsid w:val="00A663C6"/>
    <w:rsid w:val="00A66417"/>
    <w:rsid w:val="00A6643C"/>
    <w:rsid w:val="00A66504"/>
    <w:rsid w:val="00A665CC"/>
    <w:rsid w:val="00A665F9"/>
    <w:rsid w:val="00A667B2"/>
    <w:rsid w:val="00A667BC"/>
    <w:rsid w:val="00A667D3"/>
    <w:rsid w:val="00A66803"/>
    <w:rsid w:val="00A66820"/>
    <w:rsid w:val="00A66855"/>
    <w:rsid w:val="00A668CA"/>
    <w:rsid w:val="00A669AC"/>
    <w:rsid w:val="00A669D9"/>
    <w:rsid w:val="00A66B03"/>
    <w:rsid w:val="00A66CC9"/>
    <w:rsid w:val="00A66D1E"/>
    <w:rsid w:val="00A66DB9"/>
    <w:rsid w:val="00A66DEA"/>
    <w:rsid w:val="00A66E4C"/>
    <w:rsid w:val="00A67009"/>
    <w:rsid w:val="00A670B2"/>
    <w:rsid w:val="00A670FE"/>
    <w:rsid w:val="00A67211"/>
    <w:rsid w:val="00A67354"/>
    <w:rsid w:val="00A673DB"/>
    <w:rsid w:val="00A673F5"/>
    <w:rsid w:val="00A674A5"/>
    <w:rsid w:val="00A67589"/>
    <w:rsid w:val="00A676C4"/>
    <w:rsid w:val="00A67718"/>
    <w:rsid w:val="00A6771F"/>
    <w:rsid w:val="00A6772D"/>
    <w:rsid w:val="00A6785D"/>
    <w:rsid w:val="00A678EC"/>
    <w:rsid w:val="00A6795B"/>
    <w:rsid w:val="00A67A96"/>
    <w:rsid w:val="00A67B3A"/>
    <w:rsid w:val="00A67C5D"/>
    <w:rsid w:val="00A67CD7"/>
    <w:rsid w:val="00A67D62"/>
    <w:rsid w:val="00A67E1C"/>
    <w:rsid w:val="00A67ECE"/>
    <w:rsid w:val="00A67EF9"/>
    <w:rsid w:val="00A7005D"/>
    <w:rsid w:val="00A700A2"/>
    <w:rsid w:val="00A700F6"/>
    <w:rsid w:val="00A70165"/>
    <w:rsid w:val="00A7020C"/>
    <w:rsid w:val="00A70220"/>
    <w:rsid w:val="00A7024D"/>
    <w:rsid w:val="00A7027D"/>
    <w:rsid w:val="00A70298"/>
    <w:rsid w:val="00A703D7"/>
    <w:rsid w:val="00A70400"/>
    <w:rsid w:val="00A7046F"/>
    <w:rsid w:val="00A704FB"/>
    <w:rsid w:val="00A70507"/>
    <w:rsid w:val="00A70563"/>
    <w:rsid w:val="00A70576"/>
    <w:rsid w:val="00A7059D"/>
    <w:rsid w:val="00A7059E"/>
    <w:rsid w:val="00A70649"/>
    <w:rsid w:val="00A706DB"/>
    <w:rsid w:val="00A70798"/>
    <w:rsid w:val="00A70817"/>
    <w:rsid w:val="00A70839"/>
    <w:rsid w:val="00A70976"/>
    <w:rsid w:val="00A70A13"/>
    <w:rsid w:val="00A70BB9"/>
    <w:rsid w:val="00A70BD1"/>
    <w:rsid w:val="00A70D21"/>
    <w:rsid w:val="00A70DE3"/>
    <w:rsid w:val="00A70F34"/>
    <w:rsid w:val="00A70F5A"/>
    <w:rsid w:val="00A7104E"/>
    <w:rsid w:val="00A711DB"/>
    <w:rsid w:val="00A71224"/>
    <w:rsid w:val="00A7135A"/>
    <w:rsid w:val="00A71505"/>
    <w:rsid w:val="00A71593"/>
    <w:rsid w:val="00A7169F"/>
    <w:rsid w:val="00A71777"/>
    <w:rsid w:val="00A71945"/>
    <w:rsid w:val="00A71A56"/>
    <w:rsid w:val="00A71AD8"/>
    <w:rsid w:val="00A71B6F"/>
    <w:rsid w:val="00A71CC1"/>
    <w:rsid w:val="00A71D18"/>
    <w:rsid w:val="00A71D31"/>
    <w:rsid w:val="00A71D69"/>
    <w:rsid w:val="00A71E24"/>
    <w:rsid w:val="00A71ED9"/>
    <w:rsid w:val="00A71F54"/>
    <w:rsid w:val="00A7203F"/>
    <w:rsid w:val="00A72055"/>
    <w:rsid w:val="00A72131"/>
    <w:rsid w:val="00A7215F"/>
    <w:rsid w:val="00A722D5"/>
    <w:rsid w:val="00A722DB"/>
    <w:rsid w:val="00A72351"/>
    <w:rsid w:val="00A723A2"/>
    <w:rsid w:val="00A723B6"/>
    <w:rsid w:val="00A724A7"/>
    <w:rsid w:val="00A724B5"/>
    <w:rsid w:val="00A72556"/>
    <w:rsid w:val="00A7257B"/>
    <w:rsid w:val="00A725CD"/>
    <w:rsid w:val="00A72601"/>
    <w:rsid w:val="00A726FE"/>
    <w:rsid w:val="00A7274A"/>
    <w:rsid w:val="00A727B2"/>
    <w:rsid w:val="00A727B3"/>
    <w:rsid w:val="00A7284A"/>
    <w:rsid w:val="00A7286C"/>
    <w:rsid w:val="00A72925"/>
    <w:rsid w:val="00A729C7"/>
    <w:rsid w:val="00A72A3D"/>
    <w:rsid w:val="00A72A4C"/>
    <w:rsid w:val="00A72AE1"/>
    <w:rsid w:val="00A72AE4"/>
    <w:rsid w:val="00A72B9E"/>
    <w:rsid w:val="00A72C11"/>
    <w:rsid w:val="00A72D30"/>
    <w:rsid w:val="00A72E54"/>
    <w:rsid w:val="00A72E86"/>
    <w:rsid w:val="00A7301C"/>
    <w:rsid w:val="00A730C0"/>
    <w:rsid w:val="00A7317B"/>
    <w:rsid w:val="00A73305"/>
    <w:rsid w:val="00A73358"/>
    <w:rsid w:val="00A7344F"/>
    <w:rsid w:val="00A7350B"/>
    <w:rsid w:val="00A73524"/>
    <w:rsid w:val="00A735C7"/>
    <w:rsid w:val="00A735C9"/>
    <w:rsid w:val="00A735E9"/>
    <w:rsid w:val="00A73635"/>
    <w:rsid w:val="00A73677"/>
    <w:rsid w:val="00A7389E"/>
    <w:rsid w:val="00A73944"/>
    <w:rsid w:val="00A73A4F"/>
    <w:rsid w:val="00A73A77"/>
    <w:rsid w:val="00A73BDE"/>
    <w:rsid w:val="00A73BDF"/>
    <w:rsid w:val="00A73C16"/>
    <w:rsid w:val="00A73CC3"/>
    <w:rsid w:val="00A73D34"/>
    <w:rsid w:val="00A73D4B"/>
    <w:rsid w:val="00A73D84"/>
    <w:rsid w:val="00A73DFE"/>
    <w:rsid w:val="00A73E40"/>
    <w:rsid w:val="00A73EA4"/>
    <w:rsid w:val="00A73EC7"/>
    <w:rsid w:val="00A73EEE"/>
    <w:rsid w:val="00A73F50"/>
    <w:rsid w:val="00A73F75"/>
    <w:rsid w:val="00A74127"/>
    <w:rsid w:val="00A741F1"/>
    <w:rsid w:val="00A74243"/>
    <w:rsid w:val="00A74316"/>
    <w:rsid w:val="00A743DF"/>
    <w:rsid w:val="00A7445D"/>
    <w:rsid w:val="00A74493"/>
    <w:rsid w:val="00A74526"/>
    <w:rsid w:val="00A745C1"/>
    <w:rsid w:val="00A745E5"/>
    <w:rsid w:val="00A74679"/>
    <w:rsid w:val="00A7468C"/>
    <w:rsid w:val="00A7473A"/>
    <w:rsid w:val="00A74788"/>
    <w:rsid w:val="00A74863"/>
    <w:rsid w:val="00A748DD"/>
    <w:rsid w:val="00A7491A"/>
    <w:rsid w:val="00A74BDA"/>
    <w:rsid w:val="00A74DB6"/>
    <w:rsid w:val="00A74EEA"/>
    <w:rsid w:val="00A74F5A"/>
    <w:rsid w:val="00A75241"/>
    <w:rsid w:val="00A7526D"/>
    <w:rsid w:val="00A75385"/>
    <w:rsid w:val="00A75408"/>
    <w:rsid w:val="00A7546F"/>
    <w:rsid w:val="00A7553B"/>
    <w:rsid w:val="00A755B1"/>
    <w:rsid w:val="00A755D9"/>
    <w:rsid w:val="00A755F4"/>
    <w:rsid w:val="00A75645"/>
    <w:rsid w:val="00A756E0"/>
    <w:rsid w:val="00A75766"/>
    <w:rsid w:val="00A75844"/>
    <w:rsid w:val="00A758AF"/>
    <w:rsid w:val="00A759DC"/>
    <w:rsid w:val="00A759F6"/>
    <w:rsid w:val="00A759FD"/>
    <w:rsid w:val="00A75A32"/>
    <w:rsid w:val="00A75ABE"/>
    <w:rsid w:val="00A75B76"/>
    <w:rsid w:val="00A75BBF"/>
    <w:rsid w:val="00A75C39"/>
    <w:rsid w:val="00A75CDB"/>
    <w:rsid w:val="00A75DB7"/>
    <w:rsid w:val="00A75DCF"/>
    <w:rsid w:val="00A75E9A"/>
    <w:rsid w:val="00A75F19"/>
    <w:rsid w:val="00A75F78"/>
    <w:rsid w:val="00A760F6"/>
    <w:rsid w:val="00A7614F"/>
    <w:rsid w:val="00A76164"/>
    <w:rsid w:val="00A76214"/>
    <w:rsid w:val="00A76272"/>
    <w:rsid w:val="00A762C7"/>
    <w:rsid w:val="00A762DF"/>
    <w:rsid w:val="00A76378"/>
    <w:rsid w:val="00A76412"/>
    <w:rsid w:val="00A7647C"/>
    <w:rsid w:val="00A7647F"/>
    <w:rsid w:val="00A76494"/>
    <w:rsid w:val="00A76498"/>
    <w:rsid w:val="00A764A8"/>
    <w:rsid w:val="00A764CA"/>
    <w:rsid w:val="00A764E0"/>
    <w:rsid w:val="00A7660F"/>
    <w:rsid w:val="00A76683"/>
    <w:rsid w:val="00A7669A"/>
    <w:rsid w:val="00A7669F"/>
    <w:rsid w:val="00A767DF"/>
    <w:rsid w:val="00A767E6"/>
    <w:rsid w:val="00A767F9"/>
    <w:rsid w:val="00A768DA"/>
    <w:rsid w:val="00A769D5"/>
    <w:rsid w:val="00A76A8B"/>
    <w:rsid w:val="00A76B2A"/>
    <w:rsid w:val="00A76B51"/>
    <w:rsid w:val="00A76BAE"/>
    <w:rsid w:val="00A76D94"/>
    <w:rsid w:val="00A76DA2"/>
    <w:rsid w:val="00A76DAF"/>
    <w:rsid w:val="00A76DB5"/>
    <w:rsid w:val="00A76F7D"/>
    <w:rsid w:val="00A76F95"/>
    <w:rsid w:val="00A76FB3"/>
    <w:rsid w:val="00A770FA"/>
    <w:rsid w:val="00A7713A"/>
    <w:rsid w:val="00A771BD"/>
    <w:rsid w:val="00A771F9"/>
    <w:rsid w:val="00A7721E"/>
    <w:rsid w:val="00A77267"/>
    <w:rsid w:val="00A7730C"/>
    <w:rsid w:val="00A7768A"/>
    <w:rsid w:val="00A776C8"/>
    <w:rsid w:val="00A779C3"/>
    <w:rsid w:val="00A779DE"/>
    <w:rsid w:val="00A77AAF"/>
    <w:rsid w:val="00A77B1B"/>
    <w:rsid w:val="00A77B55"/>
    <w:rsid w:val="00A77B97"/>
    <w:rsid w:val="00A77BCC"/>
    <w:rsid w:val="00A77C67"/>
    <w:rsid w:val="00A77D35"/>
    <w:rsid w:val="00A77DC0"/>
    <w:rsid w:val="00A77DE3"/>
    <w:rsid w:val="00A77E3C"/>
    <w:rsid w:val="00A77EC9"/>
    <w:rsid w:val="00A77F30"/>
    <w:rsid w:val="00A77F55"/>
    <w:rsid w:val="00A7E167"/>
    <w:rsid w:val="00A80042"/>
    <w:rsid w:val="00A800F8"/>
    <w:rsid w:val="00A80436"/>
    <w:rsid w:val="00A80506"/>
    <w:rsid w:val="00A8054E"/>
    <w:rsid w:val="00A806A8"/>
    <w:rsid w:val="00A80700"/>
    <w:rsid w:val="00A808D7"/>
    <w:rsid w:val="00A8092F"/>
    <w:rsid w:val="00A80B1D"/>
    <w:rsid w:val="00A80B38"/>
    <w:rsid w:val="00A80BD2"/>
    <w:rsid w:val="00A80C53"/>
    <w:rsid w:val="00A80C9A"/>
    <w:rsid w:val="00A80CA3"/>
    <w:rsid w:val="00A80CB5"/>
    <w:rsid w:val="00A80CFE"/>
    <w:rsid w:val="00A80E80"/>
    <w:rsid w:val="00A80F86"/>
    <w:rsid w:val="00A80FC9"/>
    <w:rsid w:val="00A81017"/>
    <w:rsid w:val="00A8107C"/>
    <w:rsid w:val="00A8111C"/>
    <w:rsid w:val="00A8119E"/>
    <w:rsid w:val="00A81290"/>
    <w:rsid w:val="00A812DF"/>
    <w:rsid w:val="00A81304"/>
    <w:rsid w:val="00A8132D"/>
    <w:rsid w:val="00A81376"/>
    <w:rsid w:val="00A81382"/>
    <w:rsid w:val="00A81417"/>
    <w:rsid w:val="00A81448"/>
    <w:rsid w:val="00A814AB"/>
    <w:rsid w:val="00A814D0"/>
    <w:rsid w:val="00A81503"/>
    <w:rsid w:val="00A81536"/>
    <w:rsid w:val="00A81733"/>
    <w:rsid w:val="00A817D7"/>
    <w:rsid w:val="00A817F3"/>
    <w:rsid w:val="00A818FA"/>
    <w:rsid w:val="00A81A75"/>
    <w:rsid w:val="00A81AA7"/>
    <w:rsid w:val="00A81AC7"/>
    <w:rsid w:val="00A81B04"/>
    <w:rsid w:val="00A81B0D"/>
    <w:rsid w:val="00A81B3D"/>
    <w:rsid w:val="00A81C13"/>
    <w:rsid w:val="00A81C2A"/>
    <w:rsid w:val="00A81C58"/>
    <w:rsid w:val="00A81D90"/>
    <w:rsid w:val="00A81DB3"/>
    <w:rsid w:val="00A81DDA"/>
    <w:rsid w:val="00A81E47"/>
    <w:rsid w:val="00A81E77"/>
    <w:rsid w:val="00A81E86"/>
    <w:rsid w:val="00A81EE0"/>
    <w:rsid w:val="00A81F23"/>
    <w:rsid w:val="00A81FF1"/>
    <w:rsid w:val="00A820B0"/>
    <w:rsid w:val="00A8210B"/>
    <w:rsid w:val="00A82254"/>
    <w:rsid w:val="00A8235C"/>
    <w:rsid w:val="00A823CB"/>
    <w:rsid w:val="00A823CD"/>
    <w:rsid w:val="00A82468"/>
    <w:rsid w:val="00A82660"/>
    <w:rsid w:val="00A82712"/>
    <w:rsid w:val="00A82726"/>
    <w:rsid w:val="00A82794"/>
    <w:rsid w:val="00A82863"/>
    <w:rsid w:val="00A828AD"/>
    <w:rsid w:val="00A82959"/>
    <w:rsid w:val="00A82A8A"/>
    <w:rsid w:val="00A82B14"/>
    <w:rsid w:val="00A82B47"/>
    <w:rsid w:val="00A82BE4"/>
    <w:rsid w:val="00A82D3C"/>
    <w:rsid w:val="00A82D79"/>
    <w:rsid w:val="00A82DD7"/>
    <w:rsid w:val="00A82E1F"/>
    <w:rsid w:val="00A82F90"/>
    <w:rsid w:val="00A82F9C"/>
    <w:rsid w:val="00A83066"/>
    <w:rsid w:val="00A83177"/>
    <w:rsid w:val="00A83209"/>
    <w:rsid w:val="00A832A1"/>
    <w:rsid w:val="00A83347"/>
    <w:rsid w:val="00A83358"/>
    <w:rsid w:val="00A83359"/>
    <w:rsid w:val="00A83458"/>
    <w:rsid w:val="00A83480"/>
    <w:rsid w:val="00A834DA"/>
    <w:rsid w:val="00A8353E"/>
    <w:rsid w:val="00A835EE"/>
    <w:rsid w:val="00A835F9"/>
    <w:rsid w:val="00A83687"/>
    <w:rsid w:val="00A83689"/>
    <w:rsid w:val="00A8368A"/>
    <w:rsid w:val="00A836BC"/>
    <w:rsid w:val="00A836DA"/>
    <w:rsid w:val="00A837B7"/>
    <w:rsid w:val="00A83911"/>
    <w:rsid w:val="00A8394E"/>
    <w:rsid w:val="00A839A6"/>
    <w:rsid w:val="00A839FF"/>
    <w:rsid w:val="00A83A3F"/>
    <w:rsid w:val="00A83A63"/>
    <w:rsid w:val="00A83A8F"/>
    <w:rsid w:val="00A83AFF"/>
    <w:rsid w:val="00A83C08"/>
    <w:rsid w:val="00A83C44"/>
    <w:rsid w:val="00A83C5A"/>
    <w:rsid w:val="00A83E4B"/>
    <w:rsid w:val="00A83E78"/>
    <w:rsid w:val="00A83EE4"/>
    <w:rsid w:val="00A83F59"/>
    <w:rsid w:val="00A83F82"/>
    <w:rsid w:val="00A8406F"/>
    <w:rsid w:val="00A84082"/>
    <w:rsid w:val="00A84103"/>
    <w:rsid w:val="00A841AD"/>
    <w:rsid w:val="00A841D5"/>
    <w:rsid w:val="00A84212"/>
    <w:rsid w:val="00A8426E"/>
    <w:rsid w:val="00A842C3"/>
    <w:rsid w:val="00A842E9"/>
    <w:rsid w:val="00A8433A"/>
    <w:rsid w:val="00A84363"/>
    <w:rsid w:val="00A843E4"/>
    <w:rsid w:val="00A843EB"/>
    <w:rsid w:val="00A844CF"/>
    <w:rsid w:val="00A84568"/>
    <w:rsid w:val="00A8462F"/>
    <w:rsid w:val="00A84685"/>
    <w:rsid w:val="00A846B8"/>
    <w:rsid w:val="00A8472F"/>
    <w:rsid w:val="00A847AD"/>
    <w:rsid w:val="00A847AF"/>
    <w:rsid w:val="00A848B8"/>
    <w:rsid w:val="00A849DD"/>
    <w:rsid w:val="00A84A42"/>
    <w:rsid w:val="00A84A45"/>
    <w:rsid w:val="00A84A50"/>
    <w:rsid w:val="00A84AC2"/>
    <w:rsid w:val="00A84BB8"/>
    <w:rsid w:val="00A84C02"/>
    <w:rsid w:val="00A84C07"/>
    <w:rsid w:val="00A84CD6"/>
    <w:rsid w:val="00A84D62"/>
    <w:rsid w:val="00A84D7D"/>
    <w:rsid w:val="00A84E42"/>
    <w:rsid w:val="00A84E58"/>
    <w:rsid w:val="00A84F4E"/>
    <w:rsid w:val="00A8504D"/>
    <w:rsid w:val="00A85181"/>
    <w:rsid w:val="00A85184"/>
    <w:rsid w:val="00A851DF"/>
    <w:rsid w:val="00A8529E"/>
    <w:rsid w:val="00A852C5"/>
    <w:rsid w:val="00A852DB"/>
    <w:rsid w:val="00A852E3"/>
    <w:rsid w:val="00A852EE"/>
    <w:rsid w:val="00A85359"/>
    <w:rsid w:val="00A853A5"/>
    <w:rsid w:val="00A85488"/>
    <w:rsid w:val="00A854DC"/>
    <w:rsid w:val="00A85509"/>
    <w:rsid w:val="00A8560C"/>
    <w:rsid w:val="00A85619"/>
    <w:rsid w:val="00A856AB"/>
    <w:rsid w:val="00A85733"/>
    <w:rsid w:val="00A85775"/>
    <w:rsid w:val="00A8577F"/>
    <w:rsid w:val="00A8578C"/>
    <w:rsid w:val="00A857F2"/>
    <w:rsid w:val="00A859CB"/>
    <w:rsid w:val="00A859DA"/>
    <w:rsid w:val="00A859E3"/>
    <w:rsid w:val="00A85AAB"/>
    <w:rsid w:val="00A85BE4"/>
    <w:rsid w:val="00A85BE8"/>
    <w:rsid w:val="00A85C8F"/>
    <w:rsid w:val="00A85CA6"/>
    <w:rsid w:val="00A85D16"/>
    <w:rsid w:val="00A85DC1"/>
    <w:rsid w:val="00A85DE7"/>
    <w:rsid w:val="00A85E12"/>
    <w:rsid w:val="00A85F36"/>
    <w:rsid w:val="00A85FC6"/>
    <w:rsid w:val="00A86063"/>
    <w:rsid w:val="00A86231"/>
    <w:rsid w:val="00A86318"/>
    <w:rsid w:val="00A8631A"/>
    <w:rsid w:val="00A863DA"/>
    <w:rsid w:val="00A8661C"/>
    <w:rsid w:val="00A86716"/>
    <w:rsid w:val="00A8675F"/>
    <w:rsid w:val="00A86888"/>
    <w:rsid w:val="00A868E8"/>
    <w:rsid w:val="00A868F1"/>
    <w:rsid w:val="00A86A0C"/>
    <w:rsid w:val="00A86AD1"/>
    <w:rsid w:val="00A86B0C"/>
    <w:rsid w:val="00A86B3D"/>
    <w:rsid w:val="00A86BEA"/>
    <w:rsid w:val="00A86C3E"/>
    <w:rsid w:val="00A86C61"/>
    <w:rsid w:val="00A86C71"/>
    <w:rsid w:val="00A86CFD"/>
    <w:rsid w:val="00A86E85"/>
    <w:rsid w:val="00A86F45"/>
    <w:rsid w:val="00A86F67"/>
    <w:rsid w:val="00A86FA6"/>
    <w:rsid w:val="00A86FAE"/>
    <w:rsid w:val="00A8700A"/>
    <w:rsid w:val="00A87063"/>
    <w:rsid w:val="00A8706B"/>
    <w:rsid w:val="00A87078"/>
    <w:rsid w:val="00A87111"/>
    <w:rsid w:val="00A87116"/>
    <w:rsid w:val="00A87120"/>
    <w:rsid w:val="00A87152"/>
    <w:rsid w:val="00A8717F"/>
    <w:rsid w:val="00A871FD"/>
    <w:rsid w:val="00A8726D"/>
    <w:rsid w:val="00A872E4"/>
    <w:rsid w:val="00A872F6"/>
    <w:rsid w:val="00A872FC"/>
    <w:rsid w:val="00A872FF"/>
    <w:rsid w:val="00A87347"/>
    <w:rsid w:val="00A8737C"/>
    <w:rsid w:val="00A87424"/>
    <w:rsid w:val="00A874B4"/>
    <w:rsid w:val="00A874E3"/>
    <w:rsid w:val="00A87593"/>
    <w:rsid w:val="00A875AA"/>
    <w:rsid w:val="00A875B4"/>
    <w:rsid w:val="00A875E0"/>
    <w:rsid w:val="00A876ED"/>
    <w:rsid w:val="00A87724"/>
    <w:rsid w:val="00A87875"/>
    <w:rsid w:val="00A87900"/>
    <w:rsid w:val="00A87986"/>
    <w:rsid w:val="00A87A66"/>
    <w:rsid w:val="00A87B8D"/>
    <w:rsid w:val="00A87BBB"/>
    <w:rsid w:val="00A87BE6"/>
    <w:rsid w:val="00A87C59"/>
    <w:rsid w:val="00A87D06"/>
    <w:rsid w:val="00A87E09"/>
    <w:rsid w:val="00A87E77"/>
    <w:rsid w:val="00A87E8A"/>
    <w:rsid w:val="00A87E98"/>
    <w:rsid w:val="00A87EB6"/>
    <w:rsid w:val="00A87F02"/>
    <w:rsid w:val="00A87F25"/>
    <w:rsid w:val="00A87F63"/>
    <w:rsid w:val="00A90022"/>
    <w:rsid w:val="00A90123"/>
    <w:rsid w:val="00A901B4"/>
    <w:rsid w:val="00A9025A"/>
    <w:rsid w:val="00A902AB"/>
    <w:rsid w:val="00A902D0"/>
    <w:rsid w:val="00A9053C"/>
    <w:rsid w:val="00A90601"/>
    <w:rsid w:val="00A9060B"/>
    <w:rsid w:val="00A9061F"/>
    <w:rsid w:val="00A90622"/>
    <w:rsid w:val="00A90656"/>
    <w:rsid w:val="00A906B6"/>
    <w:rsid w:val="00A90710"/>
    <w:rsid w:val="00A90762"/>
    <w:rsid w:val="00A907D4"/>
    <w:rsid w:val="00A90805"/>
    <w:rsid w:val="00A9088C"/>
    <w:rsid w:val="00A90967"/>
    <w:rsid w:val="00A90A7B"/>
    <w:rsid w:val="00A90B14"/>
    <w:rsid w:val="00A90B42"/>
    <w:rsid w:val="00A90B58"/>
    <w:rsid w:val="00A90D75"/>
    <w:rsid w:val="00A90D82"/>
    <w:rsid w:val="00A90E3E"/>
    <w:rsid w:val="00A90ECD"/>
    <w:rsid w:val="00A90F07"/>
    <w:rsid w:val="00A90F17"/>
    <w:rsid w:val="00A90F29"/>
    <w:rsid w:val="00A90F62"/>
    <w:rsid w:val="00A90FD2"/>
    <w:rsid w:val="00A91083"/>
    <w:rsid w:val="00A91181"/>
    <w:rsid w:val="00A911D2"/>
    <w:rsid w:val="00A9137E"/>
    <w:rsid w:val="00A913F0"/>
    <w:rsid w:val="00A91453"/>
    <w:rsid w:val="00A914CF"/>
    <w:rsid w:val="00A914FB"/>
    <w:rsid w:val="00A91563"/>
    <w:rsid w:val="00A9156B"/>
    <w:rsid w:val="00A91608"/>
    <w:rsid w:val="00A91766"/>
    <w:rsid w:val="00A91781"/>
    <w:rsid w:val="00A91791"/>
    <w:rsid w:val="00A917B7"/>
    <w:rsid w:val="00A917D5"/>
    <w:rsid w:val="00A917DB"/>
    <w:rsid w:val="00A917DD"/>
    <w:rsid w:val="00A91913"/>
    <w:rsid w:val="00A91AE4"/>
    <w:rsid w:val="00A91B0B"/>
    <w:rsid w:val="00A91B24"/>
    <w:rsid w:val="00A91BF5"/>
    <w:rsid w:val="00A91C8D"/>
    <w:rsid w:val="00A91E98"/>
    <w:rsid w:val="00A92086"/>
    <w:rsid w:val="00A920CF"/>
    <w:rsid w:val="00A92122"/>
    <w:rsid w:val="00A92127"/>
    <w:rsid w:val="00A92177"/>
    <w:rsid w:val="00A9219E"/>
    <w:rsid w:val="00A921BD"/>
    <w:rsid w:val="00A921E5"/>
    <w:rsid w:val="00A921EA"/>
    <w:rsid w:val="00A92271"/>
    <w:rsid w:val="00A92288"/>
    <w:rsid w:val="00A92300"/>
    <w:rsid w:val="00A92470"/>
    <w:rsid w:val="00A92475"/>
    <w:rsid w:val="00A9249D"/>
    <w:rsid w:val="00A92501"/>
    <w:rsid w:val="00A9250E"/>
    <w:rsid w:val="00A925C8"/>
    <w:rsid w:val="00A92672"/>
    <w:rsid w:val="00A92680"/>
    <w:rsid w:val="00A9270A"/>
    <w:rsid w:val="00A9272A"/>
    <w:rsid w:val="00A92781"/>
    <w:rsid w:val="00A927DD"/>
    <w:rsid w:val="00A92904"/>
    <w:rsid w:val="00A92965"/>
    <w:rsid w:val="00A9296F"/>
    <w:rsid w:val="00A929D9"/>
    <w:rsid w:val="00A929ED"/>
    <w:rsid w:val="00A92B39"/>
    <w:rsid w:val="00A92BB2"/>
    <w:rsid w:val="00A92BE3"/>
    <w:rsid w:val="00A92C9C"/>
    <w:rsid w:val="00A92D91"/>
    <w:rsid w:val="00A92DB4"/>
    <w:rsid w:val="00A92DFC"/>
    <w:rsid w:val="00A92E10"/>
    <w:rsid w:val="00A92E3A"/>
    <w:rsid w:val="00A92EBC"/>
    <w:rsid w:val="00A92F0C"/>
    <w:rsid w:val="00A930BD"/>
    <w:rsid w:val="00A930DC"/>
    <w:rsid w:val="00A930FE"/>
    <w:rsid w:val="00A93258"/>
    <w:rsid w:val="00A93304"/>
    <w:rsid w:val="00A93309"/>
    <w:rsid w:val="00A93330"/>
    <w:rsid w:val="00A9333B"/>
    <w:rsid w:val="00A933D1"/>
    <w:rsid w:val="00A933D6"/>
    <w:rsid w:val="00A934F4"/>
    <w:rsid w:val="00A936B7"/>
    <w:rsid w:val="00A937A6"/>
    <w:rsid w:val="00A937F0"/>
    <w:rsid w:val="00A938B4"/>
    <w:rsid w:val="00A938F2"/>
    <w:rsid w:val="00A93914"/>
    <w:rsid w:val="00A9392B"/>
    <w:rsid w:val="00A93967"/>
    <w:rsid w:val="00A939D1"/>
    <w:rsid w:val="00A93ABB"/>
    <w:rsid w:val="00A93B11"/>
    <w:rsid w:val="00A93BA1"/>
    <w:rsid w:val="00A93C4D"/>
    <w:rsid w:val="00A93C7A"/>
    <w:rsid w:val="00A93D20"/>
    <w:rsid w:val="00A93D41"/>
    <w:rsid w:val="00A93DF4"/>
    <w:rsid w:val="00A93E1A"/>
    <w:rsid w:val="00A93E77"/>
    <w:rsid w:val="00A93E94"/>
    <w:rsid w:val="00A93FB5"/>
    <w:rsid w:val="00A93FCF"/>
    <w:rsid w:val="00A94015"/>
    <w:rsid w:val="00A9419A"/>
    <w:rsid w:val="00A941C7"/>
    <w:rsid w:val="00A94203"/>
    <w:rsid w:val="00A94227"/>
    <w:rsid w:val="00A9423C"/>
    <w:rsid w:val="00A942C3"/>
    <w:rsid w:val="00A942F2"/>
    <w:rsid w:val="00A9451F"/>
    <w:rsid w:val="00A94682"/>
    <w:rsid w:val="00A94686"/>
    <w:rsid w:val="00A9476E"/>
    <w:rsid w:val="00A947B0"/>
    <w:rsid w:val="00A947D0"/>
    <w:rsid w:val="00A947E1"/>
    <w:rsid w:val="00A94810"/>
    <w:rsid w:val="00A94A3F"/>
    <w:rsid w:val="00A94A6F"/>
    <w:rsid w:val="00A94BCD"/>
    <w:rsid w:val="00A94C05"/>
    <w:rsid w:val="00A94C3C"/>
    <w:rsid w:val="00A94CD4"/>
    <w:rsid w:val="00A94E94"/>
    <w:rsid w:val="00A94F1F"/>
    <w:rsid w:val="00A94FA8"/>
    <w:rsid w:val="00A94FC1"/>
    <w:rsid w:val="00A94FD2"/>
    <w:rsid w:val="00A95024"/>
    <w:rsid w:val="00A951A7"/>
    <w:rsid w:val="00A9520B"/>
    <w:rsid w:val="00A95302"/>
    <w:rsid w:val="00A95390"/>
    <w:rsid w:val="00A95401"/>
    <w:rsid w:val="00A9546E"/>
    <w:rsid w:val="00A95473"/>
    <w:rsid w:val="00A954F2"/>
    <w:rsid w:val="00A95605"/>
    <w:rsid w:val="00A95678"/>
    <w:rsid w:val="00A957D1"/>
    <w:rsid w:val="00A95886"/>
    <w:rsid w:val="00A958EC"/>
    <w:rsid w:val="00A95906"/>
    <w:rsid w:val="00A959B1"/>
    <w:rsid w:val="00A959C1"/>
    <w:rsid w:val="00A95A47"/>
    <w:rsid w:val="00A95A55"/>
    <w:rsid w:val="00A95A6D"/>
    <w:rsid w:val="00A95B24"/>
    <w:rsid w:val="00A95B5B"/>
    <w:rsid w:val="00A95B93"/>
    <w:rsid w:val="00A95BB6"/>
    <w:rsid w:val="00A95C79"/>
    <w:rsid w:val="00A95CF9"/>
    <w:rsid w:val="00A95D0A"/>
    <w:rsid w:val="00A95D1D"/>
    <w:rsid w:val="00A95E20"/>
    <w:rsid w:val="00A95EAB"/>
    <w:rsid w:val="00A95FD6"/>
    <w:rsid w:val="00A96043"/>
    <w:rsid w:val="00A961BE"/>
    <w:rsid w:val="00A9629F"/>
    <w:rsid w:val="00A965D3"/>
    <w:rsid w:val="00A9674B"/>
    <w:rsid w:val="00A9686A"/>
    <w:rsid w:val="00A9693E"/>
    <w:rsid w:val="00A96990"/>
    <w:rsid w:val="00A969E7"/>
    <w:rsid w:val="00A96C48"/>
    <w:rsid w:val="00A96D07"/>
    <w:rsid w:val="00A96D50"/>
    <w:rsid w:val="00A96E03"/>
    <w:rsid w:val="00A96F9B"/>
    <w:rsid w:val="00A96FC8"/>
    <w:rsid w:val="00A9701D"/>
    <w:rsid w:val="00A97087"/>
    <w:rsid w:val="00A970A9"/>
    <w:rsid w:val="00A970B1"/>
    <w:rsid w:val="00A970BA"/>
    <w:rsid w:val="00A971EF"/>
    <w:rsid w:val="00A9743C"/>
    <w:rsid w:val="00A974E8"/>
    <w:rsid w:val="00A9751A"/>
    <w:rsid w:val="00A975C3"/>
    <w:rsid w:val="00A976FE"/>
    <w:rsid w:val="00A9774D"/>
    <w:rsid w:val="00A979AC"/>
    <w:rsid w:val="00A979B8"/>
    <w:rsid w:val="00A979E5"/>
    <w:rsid w:val="00A97A99"/>
    <w:rsid w:val="00A97B27"/>
    <w:rsid w:val="00A97C18"/>
    <w:rsid w:val="00A97C29"/>
    <w:rsid w:val="00A97CA3"/>
    <w:rsid w:val="00A97ECC"/>
    <w:rsid w:val="00A97F51"/>
    <w:rsid w:val="00A97F5E"/>
    <w:rsid w:val="00A97F72"/>
    <w:rsid w:val="00AA002B"/>
    <w:rsid w:val="00AA0048"/>
    <w:rsid w:val="00AA014A"/>
    <w:rsid w:val="00AA01FF"/>
    <w:rsid w:val="00AA03F9"/>
    <w:rsid w:val="00AA0438"/>
    <w:rsid w:val="00AA04FC"/>
    <w:rsid w:val="00AA051A"/>
    <w:rsid w:val="00AA05D3"/>
    <w:rsid w:val="00AA05D7"/>
    <w:rsid w:val="00AA060D"/>
    <w:rsid w:val="00AA062D"/>
    <w:rsid w:val="00AA06EA"/>
    <w:rsid w:val="00AA084B"/>
    <w:rsid w:val="00AA0988"/>
    <w:rsid w:val="00AA0B31"/>
    <w:rsid w:val="00AA0B52"/>
    <w:rsid w:val="00AA0BE1"/>
    <w:rsid w:val="00AA0C23"/>
    <w:rsid w:val="00AA0CDC"/>
    <w:rsid w:val="00AA0DD1"/>
    <w:rsid w:val="00AA0DED"/>
    <w:rsid w:val="00AA0E49"/>
    <w:rsid w:val="00AA0EE1"/>
    <w:rsid w:val="00AA0FCB"/>
    <w:rsid w:val="00AA0FD8"/>
    <w:rsid w:val="00AA1007"/>
    <w:rsid w:val="00AA1019"/>
    <w:rsid w:val="00AA102F"/>
    <w:rsid w:val="00AA1158"/>
    <w:rsid w:val="00AA11A3"/>
    <w:rsid w:val="00AA1240"/>
    <w:rsid w:val="00AA128B"/>
    <w:rsid w:val="00AA12C9"/>
    <w:rsid w:val="00AA1385"/>
    <w:rsid w:val="00AA1477"/>
    <w:rsid w:val="00AA14BD"/>
    <w:rsid w:val="00AA154B"/>
    <w:rsid w:val="00AA1677"/>
    <w:rsid w:val="00AA16F6"/>
    <w:rsid w:val="00AA170C"/>
    <w:rsid w:val="00AA17B0"/>
    <w:rsid w:val="00AA17CF"/>
    <w:rsid w:val="00AA17DA"/>
    <w:rsid w:val="00AA18EF"/>
    <w:rsid w:val="00AA194E"/>
    <w:rsid w:val="00AA19A8"/>
    <w:rsid w:val="00AA19B5"/>
    <w:rsid w:val="00AA1B01"/>
    <w:rsid w:val="00AA1BB4"/>
    <w:rsid w:val="00AA1CA4"/>
    <w:rsid w:val="00AA1CFE"/>
    <w:rsid w:val="00AA1F80"/>
    <w:rsid w:val="00AA1FBC"/>
    <w:rsid w:val="00AA2020"/>
    <w:rsid w:val="00AA2187"/>
    <w:rsid w:val="00AA22FB"/>
    <w:rsid w:val="00AA2327"/>
    <w:rsid w:val="00AA236E"/>
    <w:rsid w:val="00AA238C"/>
    <w:rsid w:val="00AA23B1"/>
    <w:rsid w:val="00AA247E"/>
    <w:rsid w:val="00AA24D5"/>
    <w:rsid w:val="00AA25B1"/>
    <w:rsid w:val="00AA25CA"/>
    <w:rsid w:val="00AA264C"/>
    <w:rsid w:val="00AA26A4"/>
    <w:rsid w:val="00AA2768"/>
    <w:rsid w:val="00AA28A7"/>
    <w:rsid w:val="00AA28D1"/>
    <w:rsid w:val="00AA2A84"/>
    <w:rsid w:val="00AA2AB4"/>
    <w:rsid w:val="00AA2ABA"/>
    <w:rsid w:val="00AA2B61"/>
    <w:rsid w:val="00AA2B72"/>
    <w:rsid w:val="00AA2BB1"/>
    <w:rsid w:val="00AA2C18"/>
    <w:rsid w:val="00AA2D7E"/>
    <w:rsid w:val="00AA2DB0"/>
    <w:rsid w:val="00AA2DED"/>
    <w:rsid w:val="00AA2E7E"/>
    <w:rsid w:val="00AA302D"/>
    <w:rsid w:val="00AA3081"/>
    <w:rsid w:val="00AA314A"/>
    <w:rsid w:val="00AA317D"/>
    <w:rsid w:val="00AA31B5"/>
    <w:rsid w:val="00AA329C"/>
    <w:rsid w:val="00AA33E5"/>
    <w:rsid w:val="00AA3606"/>
    <w:rsid w:val="00AA371D"/>
    <w:rsid w:val="00AA3727"/>
    <w:rsid w:val="00AA372E"/>
    <w:rsid w:val="00AA37BD"/>
    <w:rsid w:val="00AA37DF"/>
    <w:rsid w:val="00AA38AD"/>
    <w:rsid w:val="00AA3929"/>
    <w:rsid w:val="00AA3937"/>
    <w:rsid w:val="00AA394D"/>
    <w:rsid w:val="00AA3967"/>
    <w:rsid w:val="00AA396A"/>
    <w:rsid w:val="00AA3A5D"/>
    <w:rsid w:val="00AA3AFE"/>
    <w:rsid w:val="00AA3B4B"/>
    <w:rsid w:val="00AA3C1F"/>
    <w:rsid w:val="00AA3D52"/>
    <w:rsid w:val="00AA3D7B"/>
    <w:rsid w:val="00AA3F5D"/>
    <w:rsid w:val="00AA3F78"/>
    <w:rsid w:val="00AA3F87"/>
    <w:rsid w:val="00AA40A9"/>
    <w:rsid w:val="00AA41F1"/>
    <w:rsid w:val="00AA423F"/>
    <w:rsid w:val="00AA439B"/>
    <w:rsid w:val="00AA4485"/>
    <w:rsid w:val="00AA44EC"/>
    <w:rsid w:val="00AA459F"/>
    <w:rsid w:val="00AA4605"/>
    <w:rsid w:val="00AA4660"/>
    <w:rsid w:val="00AA472B"/>
    <w:rsid w:val="00AA477C"/>
    <w:rsid w:val="00AA48B0"/>
    <w:rsid w:val="00AA48E9"/>
    <w:rsid w:val="00AA4A11"/>
    <w:rsid w:val="00AA4AF4"/>
    <w:rsid w:val="00AA4BC6"/>
    <w:rsid w:val="00AA4C6C"/>
    <w:rsid w:val="00AA4C9D"/>
    <w:rsid w:val="00AA4E28"/>
    <w:rsid w:val="00AA4F00"/>
    <w:rsid w:val="00AA4FD5"/>
    <w:rsid w:val="00AA4FE1"/>
    <w:rsid w:val="00AA5003"/>
    <w:rsid w:val="00AA5228"/>
    <w:rsid w:val="00AA52A4"/>
    <w:rsid w:val="00AA5305"/>
    <w:rsid w:val="00AA534B"/>
    <w:rsid w:val="00AA5352"/>
    <w:rsid w:val="00AA5364"/>
    <w:rsid w:val="00AA53CF"/>
    <w:rsid w:val="00AA53E4"/>
    <w:rsid w:val="00AA54DE"/>
    <w:rsid w:val="00AA5515"/>
    <w:rsid w:val="00AA570F"/>
    <w:rsid w:val="00AA5907"/>
    <w:rsid w:val="00AA5921"/>
    <w:rsid w:val="00AA5B2E"/>
    <w:rsid w:val="00AA5BEF"/>
    <w:rsid w:val="00AA5CD9"/>
    <w:rsid w:val="00AA5CFB"/>
    <w:rsid w:val="00AA5D02"/>
    <w:rsid w:val="00AA5E25"/>
    <w:rsid w:val="00AA5E26"/>
    <w:rsid w:val="00AA5E7D"/>
    <w:rsid w:val="00AA5F3E"/>
    <w:rsid w:val="00AA5FBF"/>
    <w:rsid w:val="00AA6055"/>
    <w:rsid w:val="00AA606E"/>
    <w:rsid w:val="00AA60AA"/>
    <w:rsid w:val="00AA613A"/>
    <w:rsid w:val="00AA614C"/>
    <w:rsid w:val="00AA6178"/>
    <w:rsid w:val="00AA6192"/>
    <w:rsid w:val="00AA6235"/>
    <w:rsid w:val="00AA62E4"/>
    <w:rsid w:val="00AA62F1"/>
    <w:rsid w:val="00AA6313"/>
    <w:rsid w:val="00AA6381"/>
    <w:rsid w:val="00AA651C"/>
    <w:rsid w:val="00AA664A"/>
    <w:rsid w:val="00AA6659"/>
    <w:rsid w:val="00AA66C7"/>
    <w:rsid w:val="00AA6798"/>
    <w:rsid w:val="00AA6802"/>
    <w:rsid w:val="00AA68A8"/>
    <w:rsid w:val="00AA68A9"/>
    <w:rsid w:val="00AA68E5"/>
    <w:rsid w:val="00AA6A29"/>
    <w:rsid w:val="00AA6A43"/>
    <w:rsid w:val="00AA6B93"/>
    <w:rsid w:val="00AA6BCC"/>
    <w:rsid w:val="00AA6C0B"/>
    <w:rsid w:val="00AA6C6A"/>
    <w:rsid w:val="00AA6C6E"/>
    <w:rsid w:val="00AA6C9D"/>
    <w:rsid w:val="00AA6CC4"/>
    <w:rsid w:val="00AA6D37"/>
    <w:rsid w:val="00AA6D8A"/>
    <w:rsid w:val="00AA6DA4"/>
    <w:rsid w:val="00AA6DB0"/>
    <w:rsid w:val="00AA71A3"/>
    <w:rsid w:val="00AA72F7"/>
    <w:rsid w:val="00AA736B"/>
    <w:rsid w:val="00AA736D"/>
    <w:rsid w:val="00AA7371"/>
    <w:rsid w:val="00AA757A"/>
    <w:rsid w:val="00AA771E"/>
    <w:rsid w:val="00AA7730"/>
    <w:rsid w:val="00AA77F1"/>
    <w:rsid w:val="00AA785A"/>
    <w:rsid w:val="00AA7871"/>
    <w:rsid w:val="00AA78FE"/>
    <w:rsid w:val="00AA79A3"/>
    <w:rsid w:val="00AA79D4"/>
    <w:rsid w:val="00AA7BDC"/>
    <w:rsid w:val="00AA7C73"/>
    <w:rsid w:val="00AA7C86"/>
    <w:rsid w:val="00AA7CF6"/>
    <w:rsid w:val="00AA7CFC"/>
    <w:rsid w:val="00AA7D79"/>
    <w:rsid w:val="00AA7E50"/>
    <w:rsid w:val="00AA7F90"/>
    <w:rsid w:val="00AA7FDE"/>
    <w:rsid w:val="00AB029A"/>
    <w:rsid w:val="00AB02CC"/>
    <w:rsid w:val="00AB02F6"/>
    <w:rsid w:val="00AB041A"/>
    <w:rsid w:val="00AB04BC"/>
    <w:rsid w:val="00AB04EB"/>
    <w:rsid w:val="00AB0598"/>
    <w:rsid w:val="00AB0669"/>
    <w:rsid w:val="00AB06A0"/>
    <w:rsid w:val="00AB06DF"/>
    <w:rsid w:val="00AB074A"/>
    <w:rsid w:val="00AB07FB"/>
    <w:rsid w:val="00AB086E"/>
    <w:rsid w:val="00AB08C2"/>
    <w:rsid w:val="00AB0919"/>
    <w:rsid w:val="00AB096F"/>
    <w:rsid w:val="00AB09C1"/>
    <w:rsid w:val="00AB0A9A"/>
    <w:rsid w:val="00AB0BEF"/>
    <w:rsid w:val="00AB0CE4"/>
    <w:rsid w:val="00AB0CF8"/>
    <w:rsid w:val="00AB0D9C"/>
    <w:rsid w:val="00AB0E7C"/>
    <w:rsid w:val="00AB0EED"/>
    <w:rsid w:val="00AB0F54"/>
    <w:rsid w:val="00AB0F83"/>
    <w:rsid w:val="00AB1166"/>
    <w:rsid w:val="00AB1235"/>
    <w:rsid w:val="00AB123E"/>
    <w:rsid w:val="00AB126C"/>
    <w:rsid w:val="00AB130F"/>
    <w:rsid w:val="00AB1313"/>
    <w:rsid w:val="00AB1323"/>
    <w:rsid w:val="00AB13D3"/>
    <w:rsid w:val="00AB142B"/>
    <w:rsid w:val="00AB149E"/>
    <w:rsid w:val="00AB14B0"/>
    <w:rsid w:val="00AB14E8"/>
    <w:rsid w:val="00AB1638"/>
    <w:rsid w:val="00AB16C1"/>
    <w:rsid w:val="00AB173C"/>
    <w:rsid w:val="00AB17CA"/>
    <w:rsid w:val="00AB17D1"/>
    <w:rsid w:val="00AB18E0"/>
    <w:rsid w:val="00AB18F5"/>
    <w:rsid w:val="00AB1959"/>
    <w:rsid w:val="00AB1998"/>
    <w:rsid w:val="00AB1999"/>
    <w:rsid w:val="00AB1AE3"/>
    <w:rsid w:val="00AB1B46"/>
    <w:rsid w:val="00AB1BD7"/>
    <w:rsid w:val="00AB1CF4"/>
    <w:rsid w:val="00AB1D39"/>
    <w:rsid w:val="00AB1DA0"/>
    <w:rsid w:val="00AB1DCF"/>
    <w:rsid w:val="00AB1E25"/>
    <w:rsid w:val="00AB1E64"/>
    <w:rsid w:val="00AB1F3D"/>
    <w:rsid w:val="00AB1FF5"/>
    <w:rsid w:val="00AB2065"/>
    <w:rsid w:val="00AB20EE"/>
    <w:rsid w:val="00AB21B1"/>
    <w:rsid w:val="00AB21B2"/>
    <w:rsid w:val="00AB21D7"/>
    <w:rsid w:val="00AB227F"/>
    <w:rsid w:val="00AB25D6"/>
    <w:rsid w:val="00AB262A"/>
    <w:rsid w:val="00AB26A7"/>
    <w:rsid w:val="00AB277D"/>
    <w:rsid w:val="00AB27A6"/>
    <w:rsid w:val="00AB27C0"/>
    <w:rsid w:val="00AB27DC"/>
    <w:rsid w:val="00AB2800"/>
    <w:rsid w:val="00AB28C8"/>
    <w:rsid w:val="00AB2929"/>
    <w:rsid w:val="00AB2966"/>
    <w:rsid w:val="00AB2A10"/>
    <w:rsid w:val="00AB2A45"/>
    <w:rsid w:val="00AB2A4B"/>
    <w:rsid w:val="00AB2B6E"/>
    <w:rsid w:val="00AB2C96"/>
    <w:rsid w:val="00AB2CBF"/>
    <w:rsid w:val="00AB2CCF"/>
    <w:rsid w:val="00AB2D23"/>
    <w:rsid w:val="00AB2DC7"/>
    <w:rsid w:val="00AB2E13"/>
    <w:rsid w:val="00AB2E6A"/>
    <w:rsid w:val="00AB2E92"/>
    <w:rsid w:val="00AB2EDB"/>
    <w:rsid w:val="00AB2EDE"/>
    <w:rsid w:val="00AB2FC0"/>
    <w:rsid w:val="00AB305C"/>
    <w:rsid w:val="00AB3095"/>
    <w:rsid w:val="00AB309D"/>
    <w:rsid w:val="00AB314B"/>
    <w:rsid w:val="00AB31B1"/>
    <w:rsid w:val="00AB31D9"/>
    <w:rsid w:val="00AB3256"/>
    <w:rsid w:val="00AB3257"/>
    <w:rsid w:val="00AB32A3"/>
    <w:rsid w:val="00AB33E4"/>
    <w:rsid w:val="00AB33F8"/>
    <w:rsid w:val="00AB3446"/>
    <w:rsid w:val="00AB34AC"/>
    <w:rsid w:val="00AB34C2"/>
    <w:rsid w:val="00AB351F"/>
    <w:rsid w:val="00AB3551"/>
    <w:rsid w:val="00AB3575"/>
    <w:rsid w:val="00AB36A3"/>
    <w:rsid w:val="00AB36D2"/>
    <w:rsid w:val="00AB3742"/>
    <w:rsid w:val="00AB3893"/>
    <w:rsid w:val="00AB3982"/>
    <w:rsid w:val="00AB3A33"/>
    <w:rsid w:val="00AB3AB3"/>
    <w:rsid w:val="00AB3B8D"/>
    <w:rsid w:val="00AB3B96"/>
    <w:rsid w:val="00AB3C16"/>
    <w:rsid w:val="00AB3CA4"/>
    <w:rsid w:val="00AB3D80"/>
    <w:rsid w:val="00AB3D9A"/>
    <w:rsid w:val="00AB3DFB"/>
    <w:rsid w:val="00AB3E27"/>
    <w:rsid w:val="00AB3E5E"/>
    <w:rsid w:val="00AB3E8F"/>
    <w:rsid w:val="00AB3E90"/>
    <w:rsid w:val="00AB40C2"/>
    <w:rsid w:val="00AB4117"/>
    <w:rsid w:val="00AB4159"/>
    <w:rsid w:val="00AB425D"/>
    <w:rsid w:val="00AB44F8"/>
    <w:rsid w:val="00AB450B"/>
    <w:rsid w:val="00AB45A7"/>
    <w:rsid w:val="00AB4649"/>
    <w:rsid w:val="00AB470A"/>
    <w:rsid w:val="00AB474E"/>
    <w:rsid w:val="00AB4803"/>
    <w:rsid w:val="00AB485B"/>
    <w:rsid w:val="00AB48AC"/>
    <w:rsid w:val="00AB4A33"/>
    <w:rsid w:val="00AB4A5B"/>
    <w:rsid w:val="00AB4A84"/>
    <w:rsid w:val="00AB4B60"/>
    <w:rsid w:val="00AB4B9D"/>
    <w:rsid w:val="00AB4C31"/>
    <w:rsid w:val="00AB4DED"/>
    <w:rsid w:val="00AB4E67"/>
    <w:rsid w:val="00AB4F3F"/>
    <w:rsid w:val="00AB4FE8"/>
    <w:rsid w:val="00AB5094"/>
    <w:rsid w:val="00AB5188"/>
    <w:rsid w:val="00AB54C2"/>
    <w:rsid w:val="00AB5520"/>
    <w:rsid w:val="00AB5659"/>
    <w:rsid w:val="00AB566A"/>
    <w:rsid w:val="00AB568A"/>
    <w:rsid w:val="00AB5741"/>
    <w:rsid w:val="00AB576E"/>
    <w:rsid w:val="00AB57E5"/>
    <w:rsid w:val="00AB5890"/>
    <w:rsid w:val="00AB58A5"/>
    <w:rsid w:val="00AB58D8"/>
    <w:rsid w:val="00AB59BA"/>
    <w:rsid w:val="00AB59F8"/>
    <w:rsid w:val="00AB5AC0"/>
    <w:rsid w:val="00AB5AD6"/>
    <w:rsid w:val="00AB5B5B"/>
    <w:rsid w:val="00AB5C31"/>
    <w:rsid w:val="00AB5D0B"/>
    <w:rsid w:val="00AB5F19"/>
    <w:rsid w:val="00AB5F1B"/>
    <w:rsid w:val="00AB5F79"/>
    <w:rsid w:val="00AB5FD6"/>
    <w:rsid w:val="00AB61CA"/>
    <w:rsid w:val="00AB635C"/>
    <w:rsid w:val="00AB63A7"/>
    <w:rsid w:val="00AB63B1"/>
    <w:rsid w:val="00AB63D8"/>
    <w:rsid w:val="00AB63FA"/>
    <w:rsid w:val="00AB658D"/>
    <w:rsid w:val="00AB65C8"/>
    <w:rsid w:val="00AB65FF"/>
    <w:rsid w:val="00AB66D4"/>
    <w:rsid w:val="00AB672C"/>
    <w:rsid w:val="00AB67CE"/>
    <w:rsid w:val="00AB6898"/>
    <w:rsid w:val="00AB6A2C"/>
    <w:rsid w:val="00AB6B9B"/>
    <w:rsid w:val="00AB6BE3"/>
    <w:rsid w:val="00AB6C4A"/>
    <w:rsid w:val="00AB6C5F"/>
    <w:rsid w:val="00AB6C99"/>
    <w:rsid w:val="00AB6CE6"/>
    <w:rsid w:val="00AB6DA3"/>
    <w:rsid w:val="00AB6DB7"/>
    <w:rsid w:val="00AB6E7E"/>
    <w:rsid w:val="00AB6F67"/>
    <w:rsid w:val="00AB705C"/>
    <w:rsid w:val="00AB706E"/>
    <w:rsid w:val="00AB7104"/>
    <w:rsid w:val="00AB71B5"/>
    <w:rsid w:val="00AB74C4"/>
    <w:rsid w:val="00AB7545"/>
    <w:rsid w:val="00AB7592"/>
    <w:rsid w:val="00AB75E3"/>
    <w:rsid w:val="00AB769F"/>
    <w:rsid w:val="00AB7744"/>
    <w:rsid w:val="00AB7828"/>
    <w:rsid w:val="00AB79F3"/>
    <w:rsid w:val="00AB7B12"/>
    <w:rsid w:val="00AB7B57"/>
    <w:rsid w:val="00AB7CAF"/>
    <w:rsid w:val="00AB7D90"/>
    <w:rsid w:val="00AB7DEA"/>
    <w:rsid w:val="00AB7EE9"/>
    <w:rsid w:val="00AB7F82"/>
    <w:rsid w:val="00AB7FDF"/>
    <w:rsid w:val="00AC00F6"/>
    <w:rsid w:val="00AC012A"/>
    <w:rsid w:val="00AC0155"/>
    <w:rsid w:val="00AC016B"/>
    <w:rsid w:val="00AC01BE"/>
    <w:rsid w:val="00AC037A"/>
    <w:rsid w:val="00AC03F2"/>
    <w:rsid w:val="00AC0474"/>
    <w:rsid w:val="00AC0524"/>
    <w:rsid w:val="00AC0565"/>
    <w:rsid w:val="00AC061B"/>
    <w:rsid w:val="00AC0708"/>
    <w:rsid w:val="00AC07D0"/>
    <w:rsid w:val="00AC07E1"/>
    <w:rsid w:val="00AC0826"/>
    <w:rsid w:val="00AC088D"/>
    <w:rsid w:val="00AC0894"/>
    <w:rsid w:val="00AC0944"/>
    <w:rsid w:val="00AC09A8"/>
    <w:rsid w:val="00AC0A3D"/>
    <w:rsid w:val="00AC0A44"/>
    <w:rsid w:val="00AC0BA0"/>
    <w:rsid w:val="00AC0BD9"/>
    <w:rsid w:val="00AC0BDA"/>
    <w:rsid w:val="00AC0BFB"/>
    <w:rsid w:val="00AC0C88"/>
    <w:rsid w:val="00AC0D3F"/>
    <w:rsid w:val="00AC113A"/>
    <w:rsid w:val="00AC11F4"/>
    <w:rsid w:val="00AC136C"/>
    <w:rsid w:val="00AC13C2"/>
    <w:rsid w:val="00AC14D7"/>
    <w:rsid w:val="00AC15A2"/>
    <w:rsid w:val="00AC1776"/>
    <w:rsid w:val="00AC1784"/>
    <w:rsid w:val="00AC17C5"/>
    <w:rsid w:val="00AC17D1"/>
    <w:rsid w:val="00AC1803"/>
    <w:rsid w:val="00AC1852"/>
    <w:rsid w:val="00AC18D6"/>
    <w:rsid w:val="00AC18ED"/>
    <w:rsid w:val="00AC193A"/>
    <w:rsid w:val="00AC1A4C"/>
    <w:rsid w:val="00AC1B17"/>
    <w:rsid w:val="00AC1BAE"/>
    <w:rsid w:val="00AC1BC6"/>
    <w:rsid w:val="00AC1C08"/>
    <w:rsid w:val="00AC1C7D"/>
    <w:rsid w:val="00AC1CA1"/>
    <w:rsid w:val="00AC1DA8"/>
    <w:rsid w:val="00AC1ECE"/>
    <w:rsid w:val="00AC20CD"/>
    <w:rsid w:val="00AC219D"/>
    <w:rsid w:val="00AC22B7"/>
    <w:rsid w:val="00AC2471"/>
    <w:rsid w:val="00AC2560"/>
    <w:rsid w:val="00AC2585"/>
    <w:rsid w:val="00AC25C1"/>
    <w:rsid w:val="00AC25E5"/>
    <w:rsid w:val="00AC27AD"/>
    <w:rsid w:val="00AC2836"/>
    <w:rsid w:val="00AC2854"/>
    <w:rsid w:val="00AC2862"/>
    <w:rsid w:val="00AC28D4"/>
    <w:rsid w:val="00AC28E3"/>
    <w:rsid w:val="00AC2A21"/>
    <w:rsid w:val="00AC2A9A"/>
    <w:rsid w:val="00AC2AE4"/>
    <w:rsid w:val="00AC2BD2"/>
    <w:rsid w:val="00AC2C58"/>
    <w:rsid w:val="00AC2C73"/>
    <w:rsid w:val="00AC2CBB"/>
    <w:rsid w:val="00AC2ED3"/>
    <w:rsid w:val="00AC3008"/>
    <w:rsid w:val="00AC31F2"/>
    <w:rsid w:val="00AC325D"/>
    <w:rsid w:val="00AC32EC"/>
    <w:rsid w:val="00AC33D6"/>
    <w:rsid w:val="00AC3568"/>
    <w:rsid w:val="00AC3603"/>
    <w:rsid w:val="00AC3735"/>
    <w:rsid w:val="00AC3740"/>
    <w:rsid w:val="00AC3776"/>
    <w:rsid w:val="00AC3798"/>
    <w:rsid w:val="00AC3812"/>
    <w:rsid w:val="00AC382E"/>
    <w:rsid w:val="00AC3867"/>
    <w:rsid w:val="00AC3873"/>
    <w:rsid w:val="00AC38DE"/>
    <w:rsid w:val="00AC392A"/>
    <w:rsid w:val="00AC39A5"/>
    <w:rsid w:val="00AC39B9"/>
    <w:rsid w:val="00AC3A99"/>
    <w:rsid w:val="00AC3B00"/>
    <w:rsid w:val="00AC3B94"/>
    <w:rsid w:val="00AC3BB4"/>
    <w:rsid w:val="00AC3C5C"/>
    <w:rsid w:val="00AC3E53"/>
    <w:rsid w:val="00AC3EE2"/>
    <w:rsid w:val="00AC3F31"/>
    <w:rsid w:val="00AC3FC9"/>
    <w:rsid w:val="00AC41FF"/>
    <w:rsid w:val="00AC4211"/>
    <w:rsid w:val="00AC423E"/>
    <w:rsid w:val="00AC42EE"/>
    <w:rsid w:val="00AC4327"/>
    <w:rsid w:val="00AC4398"/>
    <w:rsid w:val="00AC43E0"/>
    <w:rsid w:val="00AC4482"/>
    <w:rsid w:val="00AC44FA"/>
    <w:rsid w:val="00AC4584"/>
    <w:rsid w:val="00AC45F1"/>
    <w:rsid w:val="00AC45FA"/>
    <w:rsid w:val="00AC46B1"/>
    <w:rsid w:val="00AC46B5"/>
    <w:rsid w:val="00AC46BC"/>
    <w:rsid w:val="00AC46F1"/>
    <w:rsid w:val="00AC4712"/>
    <w:rsid w:val="00AC4722"/>
    <w:rsid w:val="00AC475E"/>
    <w:rsid w:val="00AC4840"/>
    <w:rsid w:val="00AC4934"/>
    <w:rsid w:val="00AC4955"/>
    <w:rsid w:val="00AC49F6"/>
    <w:rsid w:val="00AC4A83"/>
    <w:rsid w:val="00AC4B57"/>
    <w:rsid w:val="00AC4B8B"/>
    <w:rsid w:val="00AC4BD8"/>
    <w:rsid w:val="00AC4CA6"/>
    <w:rsid w:val="00AC4CAD"/>
    <w:rsid w:val="00AC4D0D"/>
    <w:rsid w:val="00AC4D7E"/>
    <w:rsid w:val="00AC4DBE"/>
    <w:rsid w:val="00AC4DC0"/>
    <w:rsid w:val="00AC4DDB"/>
    <w:rsid w:val="00AC4E4A"/>
    <w:rsid w:val="00AC4E71"/>
    <w:rsid w:val="00AC4EB0"/>
    <w:rsid w:val="00AC50F0"/>
    <w:rsid w:val="00AC5205"/>
    <w:rsid w:val="00AC534E"/>
    <w:rsid w:val="00AC53C5"/>
    <w:rsid w:val="00AC543A"/>
    <w:rsid w:val="00AC543C"/>
    <w:rsid w:val="00AC5491"/>
    <w:rsid w:val="00AC54C3"/>
    <w:rsid w:val="00AC5572"/>
    <w:rsid w:val="00AC55B4"/>
    <w:rsid w:val="00AC57F2"/>
    <w:rsid w:val="00AC586C"/>
    <w:rsid w:val="00AC587C"/>
    <w:rsid w:val="00AC58BE"/>
    <w:rsid w:val="00AC58ED"/>
    <w:rsid w:val="00AC5983"/>
    <w:rsid w:val="00AC5AD3"/>
    <w:rsid w:val="00AC5B29"/>
    <w:rsid w:val="00AC5BFA"/>
    <w:rsid w:val="00AC5C02"/>
    <w:rsid w:val="00AC5E49"/>
    <w:rsid w:val="00AC61CE"/>
    <w:rsid w:val="00AC61FC"/>
    <w:rsid w:val="00AC62CC"/>
    <w:rsid w:val="00AC6321"/>
    <w:rsid w:val="00AC641A"/>
    <w:rsid w:val="00AC6421"/>
    <w:rsid w:val="00AC6457"/>
    <w:rsid w:val="00AC6471"/>
    <w:rsid w:val="00AC652F"/>
    <w:rsid w:val="00AC677E"/>
    <w:rsid w:val="00AC67BC"/>
    <w:rsid w:val="00AC6851"/>
    <w:rsid w:val="00AC69F9"/>
    <w:rsid w:val="00AC6C76"/>
    <w:rsid w:val="00AC6C82"/>
    <w:rsid w:val="00AC6CA3"/>
    <w:rsid w:val="00AC6CD6"/>
    <w:rsid w:val="00AC6D43"/>
    <w:rsid w:val="00AC6D5F"/>
    <w:rsid w:val="00AC6E8C"/>
    <w:rsid w:val="00AC6E92"/>
    <w:rsid w:val="00AC6FC5"/>
    <w:rsid w:val="00AC7048"/>
    <w:rsid w:val="00AC7223"/>
    <w:rsid w:val="00AC7393"/>
    <w:rsid w:val="00AC73BA"/>
    <w:rsid w:val="00AC749D"/>
    <w:rsid w:val="00AC74C3"/>
    <w:rsid w:val="00AC7526"/>
    <w:rsid w:val="00AC767B"/>
    <w:rsid w:val="00AC79BD"/>
    <w:rsid w:val="00AC7A13"/>
    <w:rsid w:val="00AC7A8A"/>
    <w:rsid w:val="00AC7AC2"/>
    <w:rsid w:val="00AC7BA7"/>
    <w:rsid w:val="00AC7C12"/>
    <w:rsid w:val="00AC7D22"/>
    <w:rsid w:val="00AC7F60"/>
    <w:rsid w:val="00AC7FD5"/>
    <w:rsid w:val="00AD004B"/>
    <w:rsid w:val="00AD00F4"/>
    <w:rsid w:val="00AD0150"/>
    <w:rsid w:val="00AD0209"/>
    <w:rsid w:val="00AD0220"/>
    <w:rsid w:val="00AD0313"/>
    <w:rsid w:val="00AD03D0"/>
    <w:rsid w:val="00AD0513"/>
    <w:rsid w:val="00AD05B9"/>
    <w:rsid w:val="00AD0657"/>
    <w:rsid w:val="00AD067E"/>
    <w:rsid w:val="00AD0777"/>
    <w:rsid w:val="00AD078B"/>
    <w:rsid w:val="00AD0791"/>
    <w:rsid w:val="00AD0832"/>
    <w:rsid w:val="00AD08A3"/>
    <w:rsid w:val="00AD08C9"/>
    <w:rsid w:val="00AD0A2C"/>
    <w:rsid w:val="00AD0BDD"/>
    <w:rsid w:val="00AD0BF3"/>
    <w:rsid w:val="00AD0C0D"/>
    <w:rsid w:val="00AD0D2F"/>
    <w:rsid w:val="00AD0E5A"/>
    <w:rsid w:val="00AD0E9A"/>
    <w:rsid w:val="00AD0F9F"/>
    <w:rsid w:val="00AD0FF4"/>
    <w:rsid w:val="00AD11E6"/>
    <w:rsid w:val="00AD123D"/>
    <w:rsid w:val="00AD13BF"/>
    <w:rsid w:val="00AD1484"/>
    <w:rsid w:val="00AD1584"/>
    <w:rsid w:val="00AD15C0"/>
    <w:rsid w:val="00AD15E7"/>
    <w:rsid w:val="00AD1619"/>
    <w:rsid w:val="00AD1676"/>
    <w:rsid w:val="00AD1688"/>
    <w:rsid w:val="00AD17BF"/>
    <w:rsid w:val="00AD17C9"/>
    <w:rsid w:val="00AD1812"/>
    <w:rsid w:val="00AD18A8"/>
    <w:rsid w:val="00AD18C3"/>
    <w:rsid w:val="00AD1915"/>
    <w:rsid w:val="00AD1985"/>
    <w:rsid w:val="00AD1B2C"/>
    <w:rsid w:val="00AD1B48"/>
    <w:rsid w:val="00AD1B4E"/>
    <w:rsid w:val="00AD1B8A"/>
    <w:rsid w:val="00AD1E41"/>
    <w:rsid w:val="00AD1EB0"/>
    <w:rsid w:val="00AD1F5F"/>
    <w:rsid w:val="00AD1F7B"/>
    <w:rsid w:val="00AD1F8A"/>
    <w:rsid w:val="00AD201B"/>
    <w:rsid w:val="00AD2037"/>
    <w:rsid w:val="00AD2141"/>
    <w:rsid w:val="00AD21E5"/>
    <w:rsid w:val="00AD223D"/>
    <w:rsid w:val="00AD22F8"/>
    <w:rsid w:val="00AD233B"/>
    <w:rsid w:val="00AD23EB"/>
    <w:rsid w:val="00AD2477"/>
    <w:rsid w:val="00AD25A1"/>
    <w:rsid w:val="00AD25C6"/>
    <w:rsid w:val="00AD26DC"/>
    <w:rsid w:val="00AD2745"/>
    <w:rsid w:val="00AD2797"/>
    <w:rsid w:val="00AD27C6"/>
    <w:rsid w:val="00AD284E"/>
    <w:rsid w:val="00AD299A"/>
    <w:rsid w:val="00AD29FA"/>
    <w:rsid w:val="00AD2A94"/>
    <w:rsid w:val="00AD2AD1"/>
    <w:rsid w:val="00AD2B98"/>
    <w:rsid w:val="00AD2D5F"/>
    <w:rsid w:val="00AD2F9E"/>
    <w:rsid w:val="00AD30E7"/>
    <w:rsid w:val="00AD3185"/>
    <w:rsid w:val="00AD3196"/>
    <w:rsid w:val="00AD320D"/>
    <w:rsid w:val="00AD3481"/>
    <w:rsid w:val="00AD34DC"/>
    <w:rsid w:val="00AD3561"/>
    <w:rsid w:val="00AD3737"/>
    <w:rsid w:val="00AD37E3"/>
    <w:rsid w:val="00AD388B"/>
    <w:rsid w:val="00AD38B1"/>
    <w:rsid w:val="00AD3971"/>
    <w:rsid w:val="00AD39C2"/>
    <w:rsid w:val="00AD3AD5"/>
    <w:rsid w:val="00AD3AEC"/>
    <w:rsid w:val="00AD3BE7"/>
    <w:rsid w:val="00AD3CAF"/>
    <w:rsid w:val="00AD3CC1"/>
    <w:rsid w:val="00AD3D57"/>
    <w:rsid w:val="00AD3D6F"/>
    <w:rsid w:val="00AD3E2C"/>
    <w:rsid w:val="00AD3E47"/>
    <w:rsid w:val="00AD3EDD"/>
    <w:rsid w:val="00AD3F54"/>
    <w:rsid w:val="00AD3F77"/>
    <w:rsid w:val="00AD405F"/>
    <w:rsid w:val="00AD407A"/>
    <w:rsid w:val="00AD4082"/>
    <w:rsid w:val="00AD40FD"/>
    <w:rsid w:val="00AD4178"/>
    <w:rsid w:val="00AD41C3"/>
    <w:rsid w:val="00AD41CB"/>
    <w:rsid w:val="00AD41EE"/>
    <w:rsid w:val="00AD41F5"/>
    <w:rsid w:val="00AD43FC"/>
    <w:rsid w:val="00AD4419"/>
    <w:rsid w:val="00AD442B"/>
    <w:rsid w:val="00AD4515"/>
    <w:rsid w:val="00AD4555"/>
    <w:rsid w:val="00AD4638"/>
    <w:rsid w:val="00AD4668"/>
    <w:rsid w:val="00AD4754"/>
    <w:rsid w:val="00AD482A"/>
    <w:rsid w:val="00AD48A5"/>
    <w:rsid w:val="00AD48F3"/>
    <w:rsid w:val="00AD494D"/>
    <w:rsid w:val="00AD49F9"/>
    <w:rsid w:val="00AD4A51"/>
    <w:rsid w:val="00AD4B74"/>
    <w:rsid w:val="00AD4BBA"/>
    <w:rsid w:val="00AD4BC9"/>
    <w:rsid w:val="00AD4C15"/>
    <w:rsid w:val="00AD4C50"/>
    <w:rsid w:val="00AD4CC2"/>
    <w:rsid w:val="00AD4D3C"/>
    <w:rsid w:val="00AD4E60"/>
    <w:rsid w:val="00AD4F42"/>
    <w:rsid w:val="00AD4FA1"/>
    <w:rsid w:val="00AD505F"/>
    <w:rsid w:val="00AD510F"/>
    <w:rsid w:val="00AD52F8"/>
    <w:rsid w:val="00AD5330"/>
    <w:rsid w:val="00AD54C3"/>
    <w:rsid w:val="00AD558C"/>
    <w:rsid w:val="00AD559D"/>
    <w:rsid w:val="00AD55D1"/>
    <w:rsid w:val="00AD561B"/>
    <w:rsid w:val="00AD56FF"/>
    <w:rsid w:val="00AD5715"/>
    <w:rsid w:val="00AD57E4"/>
    <w:rsid w:val="00AD5889"/>
    <w:rsid w:val="00AD59BF"/>
    <w:rsid w:val="00AD5A8E"/>
    <w:rsid w:val="00AD5BA6"/>
    <w:rsid w:val="00AD5D4A"/>
    <w:rsid w:val="00AD5D55"/>
    <w:rsid w:val="00AD5E7A"/>
    <w:rsid w:val="00AD5EBA"/>
    <w:rsid w:val="00AD5FA3"/>
    <w:rsid w:val="00AD6009"/>
    <w:rsid w:val="00AD60E8"/>
    <w:rsid w:val="00AD6196"/>
    <w:rsid w:val="00AD6256"/>
    <w:rsid w:val="00AD6310"/>
    <w:rsid w:val="00AD6378"/>
    <w:rsid w:val="00AD6384"/>
    <w:rsid w:val="00AD63EB"/>
    <w:rsid w:val="00AD6442"/>
    <w:rsid w:val="00AD6459"/>
    <w:rsid w:val="00AD64B9"/>
    <w:rsid w:val="00AD64BF"/>
    <w:rsid w:val="00AD651E"/>
    <w:rsid w:val="00AD66DB"/>
    <w:rsid w:val="00AD683E"/>
    <w:rsid w:val="00AD6967"/>
    <w:rsid w:val="00AD697A"/>
    <w:rsid w:val="00AD6988"/>
    <w:rsid w:val="00AD6A46"/>
    <w:rsid w:val="00AD6D45"/>
    <w:rsid w:val="00AD6E62"/>
    <w:rsid w:val="00AD6E66"/>
    <w:rsid w:val="00AD6E9C"/>
    <w:rsid w:val="00AD6FF6"/>
    <w:rsid w:val="00AD707A"/>
    <w:rsid w:val="00AD7092"/>
    <w:rsid w:val="00AD712C"/>
    <w:rsid w:val="00AD71C9"/>
    <w:rsid w:val="00AD7258"/>
    <w:rsid w:val="00AD72E4"/>
    <w:rsid w:val="00AD72FD"/>
    <w:rsid w:val="00AD742D"/>
    <w:rsid w:val="00AD7473"/>
    <w:rsid w:val="00AD74AD"/>
    <w:rsid w:val="00AD75A2"/>
    <w:rsid w:val="00AD75B4"/>
    <w:rsid w:val="00AD76F0"/>
    <w:rsid w:val="00AD7778"/>
    <w:rsid w:val="00AD7784"/>
    <w:rsid w:val="00AD77EE"/>
    <w:rsid w:val="00AD7840"/>
    <w:rsid w:val="00AD79E1"/>
    <w:rsid w:val="00AD7A37"/>
    <w:rsid w:val="00AD7AF2"/>
    <w:rsid w:val="00AD7BBB"/>
    <w:rsid w:val="00AD7C06"/>
    <w:rsid w:val="00AD7CB6"/>
    <w:rsid w:val="00AD7CF9"/>
    <w:rsid w:val="00AD7D5B"/>
    <w:rsid w:val="00AD7D72"/>
    <w:rsid w:val="00AD7D7A"/>
    <w:rsid w:val="00AD7D88"/>
    <w:rsid w:val="00AD7DF1"/>
    <w:rsid w:val="00AE01D4"/>
    <w:rsid w:val="00AE02B3"/>
    <w:rsid w:val="00AE02C0"/>
    <w:rsid w:val="00AE02D5"/>
    <w:rsid w:val="00AE0350"/>
    <w:rsid w:val="00AE0405"/>
    <w:rsid w:val="00AE04C1"/>
    <w:rsid w:val="00AE0563"/>
    <w:rsid w:val="00AE0589"/>
    <w:rsid w:val="00AE05D0"/>
    <w:rsid w:val="00AE06C2"/>
    <w:rsid w:val="00AE06F0"/>
    <w:rsid w:val="00AE0792"/>
    <w:rsid w:val="00AE07FB"/>
    <w:rsid w:val="00AE0811"/>
    <w:rsid w:val="00AE099B"/>
    <w:rsid w:val="00AE09E1"/>
    <w:rsid w:val="00AE0A93"/>
    <w:rsid w:val="00AE0B3E"/>
    <w:rsid w:val="00AE0B7F"/>
    <w:rsid w:val="00AE0CD4"/>
    <w:rsid w:val="00AE0E42"/>
    <w:rsid w:val="00AE0E7D"/>
    <w:rsid w:val="00AE0EC1"/>
    <w:rsid w:val="00AE0F6F"/>
    <w:rsid w:val="00AE1139"/>
    <w:rsid w:val="00AE1195"/>
    <w:rsid w:val="00AE11AE"/>
    <w:rsid w:val="00AE124C"/>
    <w:rsid w:val="00AE127F"/>
    <w:rsid w:val="00AE1381"/>
    <w:rsid w:val="00AE1460"/>
    <w:rsid w:val="00AE1512"/>
    <w:rsid w:val="00AE152F"/>
    <w:rsid w:val="00AE15DA"/>
    <w:rsid w:val="00AE15FA"/>
    <w:rsid w:val="00AE1719"/>
    <w:rsid w:val="00AE178B"/>
    <w:rsid w:val="00AE17EA"/>
    <w:rsid w:val="00AE18CE"/>
    <w:rsid w:val="00AE19C7"/>
    <w:rsid w:val="00AE1ADF"/>
    <w:rsid w:val="00AE1AF5"/>
    <w:rsid w:val="00AE1BF8"/>
    <w:rsid w:val="00AE1C8F"/>
    <w:rsid w:val="00AE1CCD"/>
    <w:rsid w:val="00AE1CDA"/>
    <w:rsid w:val="00AE1CDF"/>
    <w:rsid w:val="00AE1D2F"/>
    <w:rsid w:val="00AE1D3D"/>
    <w:rsid w:val="00AE1E48"/>
    <w:rsid w:val="00AE1F27"/>
    <w:rsid w:val="00AE1F7A"/>
    <w:rsid w:val="00AE202E"/>
    <w:rsid w:val="00AE2058"/>
    <w:rsid w:val="00AE21C1"/>
    <w:rsid w:val="00AE21C7"/>
    <w:rsid w:val="00AE224B"/>
    <w:rsid w:val="00AE2252"/>
    <w:rsid w:val="00AE225E"/>
    <w:rsid w:val="00AE22E9"/>
    <w:rsid w:val="00AE23F0"/>
    <w:rsid w:val="00AE268A"/>
    <w:rsid w:val="00AE2863"/>
    <w:rsid w:val="00AE2884"/>
    <w:rsid w:val="00AE2893"/>
    <w:rsid w:val="00AE2B13"/>
    <w:rsid w:val="00AE2B64"/>
    <w:rsid w:val="00AE2C46"/>
    <w:rsid w:val="00AE2C48"/>
    <w:rsid w:val="00AE2C89"/>
    <w:rsid w:val="00AE2CEE"/>
    <w:rsid w:val="00AE2D01"/>
    <w:rsid w:val="00AE2D13"/>
    <w:rsid w:val="00AE2DE2"/>
    <w:rsid w:val="00AE2EEB"/>
    <w:rsid w:val="00AE2EF0"/>
    <w:rsid w:val="00AE3054"/>
    <w:rsid w:val="00AE317B"/>
    <w:rsid w:val="00AE3210"/>
    <w:rsid w:val="00AE3244"/>
    <w:rsid w:val="00AE333D"/>
    <w:rsid w:val="00AE338C"/>
    <w:rsid w:val="00AE33E3"/>
    <w:rsid w:val="00AE34F7"/>
    <w:rsid w:val="00AE362E"/>
    <w:rsid w:val="00AE3706"/>
    <w:rsid w:val="00AE3894"/>
    <w:rsid w:val="00AE39B4"/>
    <w:rsid w:val="00AE3A08"/>
    <w:rsid w:val="00AE3C33"/>
    <w:rsid w:val="00AE3C48"/>
    <w:rsid w:val="00AE3C63"/>
    <w:rsid w:val="00AE3D5D"/>
    <w:rsid w:val="00AE3DE8"/>
    <w:rsid w:val="00AE3E20"/>
    <w:rsid w:val="00AE3EFD"/>
    <w:rsid w:val="00AE3F1D"/>
    <w:rsid w:val="00AE3F3E"/>
    <w:rsid w:val="00AE3F46"/>
    <w:rsid w:val="00AE4081"/>
    <w:rsid w:val="00AE40DE"/>
    <w:rsid w:val="00AE4179"/>
    <w:rsid w:val="00AE4226"/>
    <w:rsid w:val="00AE425C"/>
    <w:rsid w:val="00AE4300"/>
    <w:rsid w:val="00AE4344"/>
    <w:rsid w:val="00AE44F4"/>
    <w:rsid w:val="00AE4553"/>
    <w:rsid w:val="00AE4560"/>
    <w:rsid w:val="00AE4678"/>
    <w:rsid w:val="00AE469E"/>
    <w:rsid w:val="00AE47E0"/>
    <w:rsid w:val="00AE484B"/>
    <w:rsid w:val="00AE4896"/>
    <w:rsid w:val="00AE492F"/>
    <w:rsid w:val="00AE4976"/>
    <w:rsid w:val="00AE4AED"/>
    <w:rsid w:val="00AE4B52"/>
    <w:rsid w:val="00AE4C0E"/>
    <w:rsid w:val="00AE4C59"/>
    <w:rsid w:val="00AE4D37"/>
    <w:rsid w:val="00AE4D73"/>
    <w:rsid w:val="00AE4E1A"/>
    <w:rsid w:val="00AE4EF2"/>
    <w:rsid w:val="00AE4F58"/>
    <w:rsid w:val="00AE4FC6"/>
    <w:rsid w:val="00AE4FFE"/>
    <w:rsid w:val="00AE5162"/>
    <w:rsid w:val="00AE518A"/>
    <w:rsid w:val="00AE51C6"/>
    <w:rsid w:val="00AE52BF"/>
    <w:rsid w:val="00AE531C"/>
    <w:rsid w:val="00AE5384"/>
    <w:rsid w:val="00AE5410"/>
    <w:rsid w:val="00AE550C"/>
    <w:rsid w:val="00AE5536"/>
    <w:rsid w:val="00AE567A"/>
    <w:rsid w:val="00AE5802"/>
    <w:rsid w:val="00AE58A8"/>
    <w:rsid w:val="00AE58D8"/>
    <w:rsid w:val="00AE58F8"/>
    <w:rsid w:val="00AE594C"/>
    <w:rsid w:val="00AE59D6"/>
    <w:rsid w:val="00AE5CF4"/>
    <w:rsid w:val="00AE5ED6"/>
    <w:rsid w:val="00AE5F10"/>
    <w:rsid w:val="00AE6078"/>
    <w:rsid w:val="00AE6099"/>
    <w:rsid w:val="00AE6121"/>
    <w:rsid w:val="00AE61A2"/>
    <w:rsid w:val="00AE61D6"/>
    <w:rsid w:val="00AE6313"/>
    <w:rsid w:val="00AE635E"/>
    <w:rsid w:val="00AE638B"/>
    <w:rsid w:val="00AE63B6"/>
    <w:rsid w:val="00AE6422"/>
    <w:rsid w:val="00AE6541"/>
    <w:rsid w:val="00AE65F3"/>
    <w:rsid w:val="00AE6650"/>
    <w:rsid w:val="00AE68D8"/>
    <w:rsid w:val="00AE69F4"/>
    <w:rsid w:val="00AE6B2F"/>
    <w:rsid w:val="00AE6D09"/>
    <w:rsid w:val="00AE6D77"/>
    <w:rsid w:val="00AE6DCF"/>
    <w:rsid w:val="00AE6DE3"/>
    <w:rsid w:val="00AE6E73"/>
    <w:rsid w:val="00AE6E75"/>
    <w:rsid w:val="00AE7032"/>
    <w:rsid w:val="00AE710A"/>
    <w:rsid w:val="00AE718D"/>
    <w:rsid w:val="00AE71C6"/>
    <w:rsid w:val="00AE7218"/>
    <w:rsid w:val="00AE722E"/>
    <w:rsid w:val="00AE72B4"/>
    <w:rsid w:val="00AE733E"/>
    <w:rsid w:val="00AE7348"/>
    <w:rsid w:val="00AE735C"/>
    <w:rsid w:val="00AE73AA"/>
    <w:rsid w:val="00AE765D"/>
    <w:rsid w:val="00AE773D"/>
    <w:rsid w:val="00AE775D"/>
    <w:rsid w:val="00AE77AA"/>
    <w:rsid w:val="00AE7952"/>
    <w:rsid w:val="00AE799E"/>
    <w:rsid w:val="00AE79EF"/>
    <w:rsid w:val="00AE7CD8"/>
    <w:rsid w:val="00AE7D50"/>
    <w:rsid w:val="00AE7D8E"/>
    <w:rsid w:val="00AE7E6D"/>
    <w:rsid w:val="00AE7FF3"/>
    <w:rsid w:val="00AF00FE"/>
    <w:rsid w:val="00AF01E2"/>
    <w:rsid w:val="00AF0265"/>
    <w:rsid w:val="00AF031D"/>
    <w:rsid w:val="00AF034C"/>
    <w:rsid w:val="00AF0361"/>
    <w:rsid w:val="00AF0569"/>
    <w:rsid w:val="00AF05C8"/>
    <w:rsid w:val="00AF06C6"/>
    <w:rsid w:val="00AF071F"/>
    <w:rsid w:val="00AF0813"/>
    <w:rsid w:val="00AF0888"/>
    <w:rsid w:val="00AF08FB"/>
    <w:rsid w:val="00AF09B0"/>
    <w:rsid w:val="00AF0A5E"/>
    <w:rsid w:val="00AF0A79"/>
    <w:rsid w:val="00AF0ADA"/>
    <w:rsid w:val="00AF0B01"/>
    <w:rsid w:val="00AF0BF1"/>
    <w:rsid w:val="00AF0C78"/>
    <w:rsid w:val="00AF0D47"/>
    <w:rsid w:val="00AF0EA0"/>
    <w:rsid w:val="00AF0EA2"/>
    <w:rsid w:val="00AF0F17"/>
    <w:rsid w:val="00AF0FE3"/>
    <w:rsid w:val="00AF10F0"/>
    <w:rsid w:val="00AF1145"/>
    <w:rsid w:val="00AF11BA"/>
    <w:rsid w:val="00AF11BB"/>
    <w:rsid w:val="00AF128C"/>
    <w:rsid w:val="00AF1383"/>
    <w:rsid w:val="00AF1466"/>
    <w:rsid w:val="00AF14CE"/>
    <w:rsid w:val="00AF15CF"/>
    <w:rsid w:val="00AF15E0"/>
    <w:rsid w:val="00AF1610"/>
    <w:rsid w:val="00AF1775"/>
    <w:rsid w:val="00AF179A"/>
    <w:rsid w:val="00AF1804"/>
    <w:rsid w:val="00AF1816"/>
    <w:rsid w:val="00AF181B"/>
    <w:rsid w:val="00AF18B4"/>
    <w:rsid w:val="00AF18E0"/>
    <w:rsid w:val="00AF1A76"/>
    <w:rsid w:val="00AF1ABB"/>
    <w:rsid w:val="00AF1AE3"/>
    <w:rsid w:val="00AF1BB7"/>
    <w:rsid w:val="00AF1D10"/>
    <w:rsid w:val="00AF1D3A"/>
    <w:rsid w:val="00AF1E44"/>
    <w:rsid w:val="00AF1F11"/>
    <w:rsid w:val="00AF1F97"/>
    <w:rsid w:val="00AF207E"/>
    <w:rsid w:val="00AF2130"/>
    <w:rsid w:val="00AF2175"/>
    <w:rsid w:val="00AF217C"/>
    <w:rsid w:val="00AF2214"/>
    <w:rsid w:val="00AF23AB"/>
    <w:rsid w:val="00AF2402"/>
    <w:rsid w:val="00AF245E"/>
    <w:rsid w:val="00AF2838"/>
    <w:rsid w:val="00AF2A02"/>
    <w:rsid w:val="00AF2B57"/>
    <w:rsid w:val="00AF2BA5"/>
    <w:rsid w:val="00AF2F44"/>
    <w:rsid w:val="00AF2F55"/>
    <w:rsid w:val="00AF2F5D"/>
    <w:rsid w:val="00AF308E"/>
    <w:rsid w:val="00AF30E3"/>
    <w:rsid w:val="00AF31A6"/>
    <w:rsid w:val="00AF3292"/>
    <w:rsid w:val="00AF330E"/>
    <w:rsid w:val="00AF336D"/>
    <w:rsid w:val="00AF33FF"/>
    <w:rsid w:val="00AF340A"/>
    <w:rsid w:val="00AF34FB"/>
    <w:rsid w:val="00AF36DB"/>
    <w:rsid w:val="00AF370B"/>
    <w:rsid w:val="00AF3726"/>
    <w:rsid w:val="00AF373B"/>
    <w:rsid w:val="00AF374B"/>
    <w:rsid w:val="00AF3759"/>
    <w:rsid w:val="00AF389E"/>
    <w:rsid w:val="00AF39FA"/>
    <w:rsid w:val="00AF3A0E"/>
    <w:rsid w:val="00AF3ACF"/>
    <w:rsid w:val="00AF3BB5"/>
    <w:rsid w:val="00AF3C14"/>
    <w:rsid w:val="00AF3C85"/>
    <w:rsid w:val="00AF3D12"/>
    <w:rsid w:val="00AF3D23"/>
    <w:rsid w:val="00AF3DE4"/>
    <w:rsid w:val="00AF3EF4"/>
    <w:rsid w:val="00AF3F4A"/>
    <w:rsid w:val="00AF3F59"/>
    <w:rsid w:val="00AF3F7C"/>
    <w:rsid w:val="00AF4017"/>
    <w:rsid w:val="00AF403B"/>
    <w:rsid w:val="00AF4258"/>
    <w:rsid w:val="00AF432E"/>
    <w:rsid w:val="00AF4477"/>
    <w:rsid w:val="00AF44D0"/>
    <w:rsid w:val="00AF44DB"/>
    <w:rsid w:val="00AF4501"/>
    <w:rsid w:val="00AF45D1"/>
    <w:rsid w:val="00AF464C"/>
    <w:rsid w:val="00AF46E3"/>
    <w:rsid w:val="00AF47C2"/>
    <w:rsid w:val="00AF4802"/>
    <w:rsid w:val="00AF491B"/>
    <w:rsid w:val="00AF49A4"/>
    <w:rsid w:val="00AF49A6"/>
    <w:rsid w:val="00AF49BE"/>
    <w:rsid w:val="00AF49CC"/>
    <w:rsid w:val="00AF4A79"/>
    <w:rsid w:val="00AF4B12"/>
    <w:rsid w:val="00AF4B77"/>
    <w:rsid w:val="00AF4BF5"/>
    <w:rsid w:val="00AF4C41"/>
    <w:rsid w:val="00AF4D68"/>
    <w:rsid w:val="00AF4D6C"/>
    <w:rsid w:val="00AF4E32"/>
    <w:rsid w:val="00AF4EB8"/>
    <w:rsid w:val="00AF4F36"/>
    <w:rsid w:val="00AF5072"/>
    <w:rsid w:val="00AF50C6"/>
    <w:rsid w:val="00AF50D8"/>
    <w:rsid w:val="00AF50DE"/>
    <w:rsid w:val="00AF50FD"/>
    <w:rsid w:val="00AF5103"/>
    <w:rsid w:val="00AF512D"/>
    <w:rsid w:val="00AF51B7"/>
    <w:rsid w:val="00AF5305"/>
    <w:rsid w:val="00AF550C"/>
    <w:rsid w:val="00AF5520"/>
    <w:rsid w:val="00AF55D2"/>
    <w:rsid w:val="00AF55D3"/>
    <w:rsid w:val="00AF56FC"/>
    <w:rsid w:val="00AF5709"/>
    <w:rsid w:val="00AF57CF"/>
    <w:rsid w:val="00AF58CB"/>
    <w:rsid w:val="00AF5BF5"/>
    <w:rsid w:val="00AF5C42"/>
    <w:rsid w:val="00AF5DCD"/>
    <w:rsid w:val="00AF5DEB"/>
    <w:rsid w:val="00AF5DED"/>
    <w:rsid w:val="00AF5E0E"/>
    <w:rsid w:val="00AF5E28"/>
    <w:rsid w:val="00AF5F00"/>
    <w:rsid w:val="00AF5F4F"/>
    <w:rsid w:val="00AF5F6C"/>
    <w:rsid w:val="00AF5F8B"/>
    <w:rsid w:val="00AF6000"/>
    <w:rsid w:val="00AF606D"/>
    <w:rsid w:val="00AF6086"/>
    <w:rsid w:val="00AF60B1"/>
    <w:rsid w:val="00AF6224"/>
    <w:rsid w:val="00AF62AA"/>
    <w:rsid w:val="00AF6353"/>
    <w:rsid w:val="00AF6469"/>
    <w:rsid w:val="00AF64CF"/>
    <w:rsid w:val="00AF6656"/>
    <w:rsid w:val="00AF6784"/>
    <w:rsid w:val="00AF679F"/>
    <w:rsid w:val="00AF6842"/>
    <w:rsid w:val="00AF6857"/>
    <w:rsid w:val="00AF6933"/>
    <w:rsid w:val="00AF6A0B"/>
    <w:rsid w:val="00AF6A0E"/>
    <w:rsid w:val="00AF6A81"/>
    <w:rsid w:val="00AF6B42"/>
    <w:rsid w:val="00AF6BC9"/>
    <w:rsid w:val="00AF6C58"/>
    <w:rsid w:val="00AF6CEF"/>
    <w:rsid w:val="00AF6D31"/>
    <w:rsid w:val="00AF6DAA"/>
    <w:rsid w:val="00AF6E64"/>
    <w:rsid w:val="00AF6FDB"/>
    <w:rsid w:val="00AF6FEC"/>
    <w:rsid w:val="00AF70E5"/>
    <w:rsid w:val="00AF7140"/>
    <w:rsid w:val="00AF71BD"/>
    <w:rsid w:val="00AF71FB"/>
    <w:rsid w:val="00AF72F4"/>
    <w:rsid w:val="00AF73BF"/>
    <w:rsid w:val="00AF74F4"/>
    <w:rsid w:val="00AF7564"/>
    <w:rsid w:val="00AF768A"/>
    <w:rsid w:val="00AF7693"/>
    <w:rsid w:val="00AF7828"/>
    <w:rsid w:val="00AF78A0"/>
    <w:rsid w:val="00AF7972"/>
    <w:rsid w:val="00AF7A53"/>
    <w:rsid w:val="00AF7DC5"/>
    <w:rsid w:val="00AF7DDA"/>
    <w:rsid w:val="00AF7F2E"/>
    <w:rsid w:val="00B00036"/>
    <w:rsid w:val="00B000DC"/>
    <w:rsid w:val="00B00127"/>
    <w:rsid w:val="00B00144"/>
    <w:rsid w:val="00B0016C"/>
    <w:rsid w:val="00B001B0"/>
    <w:rsid w:val="00B001E0"/>
    <w:rsid w:val="00B00209"/>
    <w:rsid w:val="00B00304"/>
    <w:rsid w:val="00B00331"/>
    <w:rsid w:val="00B004FA"/>
    <w:rsid w:val="00B0051E"/>
    <w:rsid w:val="00B0057A"/>
    <w:rsid w:val="00B005CA"/>
    <w:rsid w:val="00B0063F"/>
    <w:rsid w:val="00B006B0"/>
    <w:rsid w:val="00B0074A"/>
    <w:rsid w:val="00B00795"/>
    <w:rsid w:val="00B0092D"/>
    <w:rsid w:val="00B009E5"/>
    <w:rsid w:val="00B00AB8"/>
    <w:rsid w:val="00B00B53"/>
    <w:rsid w:val="00B00BDE"/>
    <w:rsid w:val="00B00C3D"/>
    <w:rsid w:val="00B00DB3"/>
    <w:rsid w:val="00B00E1E"/>
    <w:rsid w:val="00B00E36"/>
    <w:rsid w:val="00B00EE4"/>
    <w:rsid w:val="00B00F6A"/>
    <w:rsid w:val="00B00FB1"/>
    <w:rsid w:val="00B01020"/>
    <w:rsid w:val="00B01032"/>
    <w:rsid w:val="00B0105C"/>
    <w:rsid w:val="00B010C2"/>
    <w:rsid w:val="00B01170"/>
    <w:rsid w:val="00B011CD"/>
    <w:rsid w:val="00B01263"/>
    <w:rsid w:val="00B0129B"/>
    <w:rsid w:val="00B0135E"/>
    <w:rsid w:val="00B015C6"/>
    <w:rsid w:val="00B015F4"/>
    <w:rsid w:val="00B01632"/>
    <w:rsid w:val="00B0169C"/>
    <w:rsid w:val="00B01713"/>
    <w:rsid w:val="00B0174B"/>
    <w:rsid w:val="00B01758"/>
    <w:rsid w:val="00B01834"/>
    <w:rsid w:val="00B018A4"/>
    <w:rsid w:val="00B01905"/>
    <w:rsid w:val="00B019A7"/>
    <w:rsid w:val="00B01A11"/>
    <w:rsid w:val="00B01A81"/>
    <w:rsid w:val="00B01B2B"/>
    <w:rsid w:val="00B01BDE"/>
    <w:rsid w:val="00B01BE2"/>
    <w:rsid w:val="00B01D9A"/>
    <w:rsid w:val="00B01DC5"/>
    <w:rsid w:val="00B01E66"/>
    <w:rsid w:val="00B01E6A"/>
    <w:rsid w:val="00B01E93"/>
    <w:rsid w:val="00B01F2D"/>
    <w:rsid w:val="00B01F4C"/>
    <w:rsid w:val="00B02028"/>
    <w:rsid w:val="00B02046"/>
    <w:rsid w:val="00B020F8"/>
    <w:rsid w:val="00B02222"/>
    <w:rsid w:val="00B0223B"/>
    <w:rsid w:val="00B0224B"/>
    <w:rsid w:val="00B023BC"/>
    <w:rsid w:val="00B02467"/>
    <w:rsid w:val="00B02698"/>
    <w:rsid w:val="00B027DB"/>
    <w:rsid w:val="00B027E8"/>
    <w:rsid w:val="00B0280E"/>
    <w:rsid w:val="00B028DB"/>
    <w:rsid w:val="00B028FB"/>
    <w:rsid w:val="00B02957"/>
    <w:rsid w:val="00B0299F"/>
    <w:rsid w:val="00B029BB"/>
    <w:rsid w:val="00B02A13"/>
    <w:rsid w:val="00B02AF4"/>
    <w:rsid w:val="00B02B2D"/>
    <w:rsid w:val="00B02BFC"/>
    <w:rsid w:val="00B02C28"/>
    <w:rsid w:val="00B02C3B"/>
    <w:rsid w:val="00B02E9A"/>
    <w:rsid w:val="00B02FB8"/>
    <w:rsid w:val="00B02FBE"/>
    <w:rsid w:val="00B03062"/>
    <w:rsid w:val="00B030A0"/>
    <w:rsid w:val="00B031C2"/>
    <w:rsid w:val="00B0323A"/>
    <w:rsid w:val="00B033A1"/>
    <w:rsid w:val="00B033A7"/>
    <w:rsid w:val="00B03448"/>
    <w:rsid w:val="00B034A3"/>
    <w:rsid w:val="00B0352F"/>
    <w:rsid w:val="00B03586"/>
    <w:rsid w:val="00B035ED"/>
    <w:rsid w:val="00B036C5"/>
    <w:rsid w:val="00B03776"/>
    <w:rsid w:val="00B03796"/>
    <w:rsid w:val="00B038B4"/>
    <w:rsid w:val="00B0398F"/>
    <w:rsid w:val="00B039B2"/>
    <w:rsid w:val="00B03A6C"/>
    <w:rsid w:val="00B03AA9"/>
    <w:rsid w:val="00B03C52"/>
    <w:rsid w:val="00B03C53"/>
    <w:rsid w:val="00B03CBD"/>
    <w:rsid w:val="00B03D26"/>
    <w:rsid w:val="00B03E3C"/>
    <w:rsid w:val="00B03E75"/>
    <w:rsid w:val="00B03F48"/>
    <w:rsid w:val="00B03F58"/>
    <w:rsid w:val="00B03F95"/>
    <w:rsid w:val="00B03FB9"/>
    <w:rsid w:val="00B03FCC"/>
    <w:rsid w:val="00B0405F"/>
    <w:rsid w:val="00B040BC"/>
    <w:rsid w:val="00B04162"/>
    <w:rsid w:val="00B04180"/>
    <w:rsid w:val="00B041D2"/>
    <w:rsid w:val="00B04231"/>
    <w:rsid w:val="00B04271"/>
    <w:rsid w:val="00B042A9"/>
    <w:rsid w:val="00B042FA"/>
    <w:rsid w:val="00B0439A"/>
    <w:rsid w:val="00B04415"/>
    <w:rsid w:val="00B0446A"/>
    <w:rsid w:val="00B0449C"/>
    <w:rsid w:val="00B04844"/>
    <w:rsid w:val="00B048DE"/>
    <w:rsid w:val="00B04926"/>
    <w:rsid w:val="00B0498F"/>
    <w:rsid w:val="00B04A47"/>
    <w:rsid w:val="00B04ADE"/>
    <w:rsid w:val="00B04BAB"/>
    <w:rsid w:val="00B04D1D"/>
    <w:rsid w:val="00B04DE1"/>
    <w:rsid w:val="00B04F76"/>
    <w:rsid w:val="00B04F7D"/>
    <w:rsid w:val="00B0500F"/>
    <w:rsid w:val="00B05017"/>
    <w:rsid w:val="00B050CA"/>
    <w:rsid w:val="00B051B4"/>
    <w:rsid w:val="00B051E1"/>
    <w:rsid w:val="00B05225"/>
    <w:rsid w:val="00B05281"/>
    <w:rsid w:val="00B05374"/>
    <w:rsid w:val="00B053FE"/>
    <w:rsid w:val="00B05524"/>
    <w:rsid w:val="00B05658"/>
    <w:rsid w:val="00B056AC"/>
    <w:rsid w:val="00B056B7"/>
    <w:rsid w:val="00B0571B"/>
    <w:rsid w:val="00B05737"/>
    <w:rsid w:val="00B05833"/>
    <w:rsid w:val="00B05844"/>
    <w:rsid w:val="00B05854"/>
    <w:rsid w:val="00B0592B"/>
    <w:rsid w:val="00B0593C"/>
    <w:rsid w:val="00B05983"/>
    <w:rsid w:val="00B059F3"/>
    <w:rsid w:val="00B05A5F"/>
    <w:rsid w:val="00B05B57"/>
    <w:rsid w:val="00B05B7B"/>
    <w:rsid w:val="00B05CA9"/>
    <w:rsid w:val="00B05CAB"/>
    <w:rsid w:val="00B05CDB"/>
    <w:rsid w:val="00B05D82"/>
    <w:rsid w:val="00B06018"/>
    <w:rsid w:val="00B061C1"/>
    <w:rsid w:val="00B06327"/>
    <w:rsid w:val="00B063D8"/>
    <w:rsid w:val="00B0645C"/>
    <w:rsid w:val="00B064BE"/>
    <w:rsid w:val="00B064E5"/>
    <w:rsid w:val="00B064F8"/>
    <w:rsid w:val="00B065C2"/>
    <w:rsid w:val="00B065E6"/>
    <w:rsid w:val="00B065F1"/>
    <w:rsid w:val="00B06656"/>
    <w:rsid w:val="00B06659"/>
    <w:rsid w:val="00B06691"/>
    <w:rsid w:val="00B066AE"/>
    <w:rsid w:val="00B0670F"/>
    <w:rsid w:val="00B067B5"/>
    <w:rsid w:val="00B06910"/>
    <w:rsid w:val="00B0697E"/>
    <w:rsid w:val="00B06A69"/>
    <w:rsid w:val="00B06AB2"/>
    <w:rsid w:val="00B06B47"/>
    <w:rsid w:val="00B06B49"/>
    <w:rsid w:val="00B06B5B"/>
    <w:rsid w:val="00B06E66"/>
    <w:rsid w:val="00B06F2C"/>
    <w:rsid w:val="00B07066"/>
    <w:rsid w:val="00B0717B"/>
    <w:rsid w:val="00B07296"/>
    <w:rsid w:val="00B07299"/>
    <w:rsid w:val="00B07458"/>
    <w:rsid w:val="00B0760D"/>
    <w:rsid w:val="00B07659"/>
    <w:rsid w:val="00B0767A"/>
    <w:rsid w:val="00B0780E"/>
    <w:rsid w:val="00B0787C"/>
    <w:rsid w:val="00B078F3"/>
    <w:rsid w:val="00B079AC"/>
    <w:rsid w:val="00B07A36"/>
    <w:rsid w:val="00B07ACD"/>
    <w:rsid w:val="00B07B86"/>
    <w:rsid w:val="00B07C04"/>
    <w:rsid w:val="00B07E10"/>
    <w:rsid w:val="00B07EFE"/>
    <w:rsid w:val="00B07FD8"/>
    <w:rsid w:val="00B10031"/>
    <w:rsid w:val="00B10041"/>
    <w:rsid w:val="00B1005F"/>
    <w:rsid w:val="00B1013C"/>
    <w:rsid w:val="00B1016D"/>
    <w:rsid w:val="00B10235"/>
    <w:rsid w:val="00B10265"/>
    <w:rsid w:val="00B102DA"/>
    <w:rsid w:val="00B103A4"/>
    <w:rsid w:val="00B1043E"/>
    <w:rsid w:val="00B10444"/>
    <w:rsid w:val="00B1048C"/>
    <w:rsid w:val="00B10671"/>
    <w:rsid w:val="00B10691"/>
    <w:rsid w:val="00B10708"/>
    <w:rsid w:val="00B10747"/>
    <w:rsid w:val="00B1079E"/>
    <w:rsid w:val="00B107A6"/>
    <w:rsid w:val="00B1095B"/>
    <w:rsid w:val="00B10B4C"/>
    <w:rsid w:val="00B10C7E"/>
    <w:rsid w:val="00B10CE8"/>
    <w:rsid w:val="00B10CED"/>
    <w:rsid w:val="00B10D4C"/>
    <w:rsid w:val="00B10DD6"/>
    <w:rsid w:val="00B10EA5"/>
    <w:rsid w:val="00B10F98"/>
    <w:rsid w:val="00B10FAF"/>
    <w:rsid w:val="00B10FB7"/>
    <w:rsid w:val="00B10FBB"/>
    <w:rsid w:val="00B11020"/>
    <w:rsid w:val="00B11070"/>
    <w:rsid w:val="00B110F4"/>
    <w:rsid w:val="00B1115C"/>
    <w:rsid w:val="00B111DF"/>
    <w:rsid w:val="00B11280"/>
    <w:rsid w:val="00B112E2"/>
    <w:rsid w:val="00B11334"/>
    <w:rsid w:val="00B11393"/>
    <w:rsid w:val="00B11537"/>
    <w:rsid w:val="00B1156F"/>
    <w:rsid w:val="00B115C7"/>
    <w:rsid w:val="00B118B1"/>
    <w:rsid w:val="00B118BE"/>
    <w:rsid w:val="00B1190C"/>
    <w:rsid w:val="00B11945"/>
    <w:rsid w:val="00B119C6"/>
    <w:rsid w:val="00B11ACA"/>
    <w:rsid w:val="00B11CE6"/>
    <w:rsid w:val="00B11D1C"/>
    <w:rsid w:val="00B11D3A"/>
    <w:rsid w:val="00B11E6B"/>
    <w:rsid w:val="00B11E77"/>
    <w:rsid w:val="00B11E90"/>
    <w:rsid w:val="00B11FA7"/>
    <w:rsid w:val="00B120D6"/>
    <w:rsid w:val="00B120DB"/>
    <w:rsid w:val="00B121B0"/>
    <w:rsid w:val="00B121C2"/>
    <w:rsid w:val="00B12252"/>
    <w:rsid w:val="00B122A4"/>
    <w:rsid w:val="00B122C1"/>
    <w:rsid w:val="00B12312"/>
    <w:rsid w:val="00B123EC"/>
    <w:rsid w:val="00B12476"/>
    <w:rsid w:val="00B1248E"/>
    <w:rsid w:val="00B12493"/>
    <w:rsid w:val="00B12537"/>
    <w:rsid w:val="00B1254E"/>
    <w:rsid w:val="00B125A4"/>
    <w:rsid w:val="00B1262F"/>
    <w:rsid w:val="00B12638"/>
    <w:rsid w:val="00B1267B"/>
    <w:rsid w:val="00B12802"/>
    <w:rsid w:val="00B1280D"/>
    <w:rsid w:val="00B12875"/>
    <w:rsid w:val="00B12905"/>
    <w:rsid w:val="00B12A04"/>
    <w:rsid w:val="00B12A23"/>
    <w:rsid w:val="00B12ADE"/>
    <w:rsid w:val="00B12AE8"/>
    <w:rsid w:val="00B12C15"/>
    <w:rsid w:val="00B12DA6"/>
    <w:rsid w:val="00B12DC8"/>
    <w:rsid w:val="00B12E0F"/>
    <w:rsid w:val="00B12E2A"/>
    <w:rsid w:val="00B12E54"/>
    <w:rsid w:val="00B12EAD"/>
    <w:rsid w:val="00B12EEE"/>
    <w:rsid w:val="00B12EF4"/>
    <w:rsid w:val="00B12FB5"/>
    <w:rsid w:val="00B12FD9"/>
    <w:rsid w:val="00B1312E"/>
    <w:rsid w:val="00B131BC"/>
    <w:rsid w:val="00B1323B"/>
    <w:rsid w:val="00B13271"/>
    <w:rsid w:val="00B1327A"/>
    <w:rsid w:val="00B1327F"/>
    <w:rsid w:val="00B132C4"/>
    <w:rsid w:val="00B13370"/>
    <w:rsid w:val="00B133CA"/>
    <w:rsid w:val="00B13429"/>
    <w:rsid w:val="00B13534"/>
    <w:rsid w:val="00B1365F"/>
    <w:rsid w:val="00B13782"/>
    <w:rsid w:val="00B13A13"/>
    <w:rsid w:val="00B13A85"/>
    <w:rsid w:val="00B13ABE"/>
    <w:rsid w:val="00B13BA4"/>
    <w:rsid w:val="00B13D0A"/>
    <w:rsid w:val="00B13D3A"/>
    <w:rsid w:val="00B13D95"/>
    <w:rsid w:val="00B13DDB"/>
    <w:rsid w:val="00B13E07"/>
    <w:rsid w:val="00B13E1C"/>
    <w:rsid w:val="00B13E1D"/>
    <w:rsid w:val="00B13EFF"/>
    <w:rsid w:val="00B13F0A"/>
    <w:rsid w:val="00B13F4A"/>
    <w:rsid w:val="00B14136"/>
    <w:rsid w:val="00B14137"/>
    <w:rsid w:val="00B14177"/>
    <w:rsid w:val="00B14193"/>
    <w:rsid w:val="00B1419D"/>
    <w:rsid w:val="00B14238"/>
    <w:rsid w:val="00B14258"/>
    <w:rsid w:val="00B142C5"/>
    <w:rsid w:val="00B14322"/>
    <w:rsid w:val="00B1433C"/>
    <w:rsid w:val="00B1439E"/>
    <w:rsid w:val="00B143B9"/>
    <w:rsid w:val="00B1442A"/>
    <w:rsid w:val="00B14453"/>
    <w:rsid w:val="00B144FF"/>
    <w:rsid w:val="00B146AF"/>
    <w:rsid w:val="00B1471B"/>
    <w:rsid w:val="00B1476F"/>
    <w:rsid w:val="00B1485D"/>
    <w:rsid w:val="00B1487A"/>
    <w:rsid w:val="00B148D7"/>
    <w:rsid w:val="00B14A6C"/>
    <w:rsid w:val="00B14AD2"/>
    <w:rsid w:val="00B14AF3"/>
    <w:rsid w:val="00B14B5A"/>
    <w:rsid w:val="00B14BFF"/>
    <w:rsid w:val="00B14C83"/>
    <w:rsid w:val="00B14CFB"/>
    <w:rsid w:val="00B14D03"/>
    <w:rsid w:val="00B14EC9"/>
    <w:rsid w:val="00B14EFB"/>
    <w:rsid w:val="00B14F71"/>
    <w:rsid w:val="00B15008"/>
    <w:rsid w:val="00B1500D"/>
    <w:rsid w:val="00B150CF"/>
    <w:rsid w:val="00B1511D"/>
    <w:rsid w:val="00B152C9"/>
    <w:rsid w:val="00B1531F"/>
    <w:rsid w:val="00B15399"/>
    <w:rsid w:val="00B15423"/>
    <w:rsid w:val="00B1553C"/>
    <w:rsid w:val="00B15604"/>
    <w:rsid w:val="00B15790"/>
    <w:rsid w:val="00B157A5"/>
    <w:rsid w:val="00B157A6"/>
    <w:rsid w:val="00B158DC"/>
    <w:rsid w:val="00B1599D"/>
    <w:rsid w:val="00B15A9E"/>
    <w:rsid w:val="00B15AA4"/>
    <w:rsid w:val="00B15AA7"/>
    <w:rsid w:val="00B15B5F"/>
    <w:rsid w:val="00B15BCF"/>
    <w:rsid w:val="00B15BF9"/>
    <w:rsid w:val="00B15C28"/>
    <w:rsid w:val="00B15C6D"/>
    <w:rsid w:val="00B15DCE"/>
    <w:rsid w:val="00B15E2B"/>
    <w:rsid w:val="00B15E9C"/>
    <w:rsid w:val="00B15EA9"/>
    <w:rsid w:val="00B15F01"/>
    <w:rsid w:val="00B15FC0"/>
    <w:rsid w:val="00B15FCD"/>
    <w:rsid w:val="00B16039"/>
    <w:rsid w:val="00B1606B"/>
    <w:rsid w:val="00B161CE"/>
    <w:rsid w:val="00B16263"/>
    <w:rsid w:val="00B1631D"/>
    <w:rsid w:val="00B163BE"/>
    <w:rsid w:val="00B1645E"/>
    <w:rsid w:val="00B165C7"/>
    <w:rsid w:val="00B16771"/>
    <w:rsid w:val="00B16807"/>
    <w:rsid w:val="00B16809"/>
    <w:rsid w:val="00B16847"/>
    <w:rsid w:val="00B16885"/>
    <w:rsid w:val="00B16906"/>
    <w:rsid w:val="00B16940"/>
    <w:rsid w:val="00B169F4"/>
    <w:rsid w:val="00B16A6E"/>
    <w:rsid w:val="00B16AD9"/>
    <w:rsid w:val="00B16BE6"/>
    <w:rsid w:val="00B16CD4"/>
    <w:rsid w:val="00B16CE2"/>
    <w:rsid w:val="00B16D11"/>
    <w:rsid w:val="00B16D1A"/>
    <w:rsid w:val="00B16D34"/>
    <w:rsid w:val="00B16DF9"/>
    <w:rsid w:val="00B17038"/>
    <w:rsid w:val="00B17070"/>
    <w:rsid w:val="00B1708B"/>
    <w:rsid w:val="00B170A1"/>
    <w:rsid w:val="00B172A7"/>
    <w:rsid w:val="00B17302"/>
    <w:rsid w:val="00B1742E"/>
    <w:rsid w:val="00B1747E"/>
    <w:rsid w:val="00B175DC"/>
    <w:rsid w:val="00B1766C"/>
    <w:rsid w:val="00B17792"/>
    <w:rsid w:val="00B177B5"/>
    <w:rsid w:val="00B1787B"/>
    <w:rsid w:val="00B178EE"/>
    <w:rsid w:val="00B17902"/>
    <w:rsid w:val="00B17927"/>
    <w:rsid w:val="00B1795C"/>
    <w:rsid w:val="00B17AA5"/>
    <w:rsid w:val="00B17B88"/>
    <w:rsid w:val="00B17C6B"/>
    <w:rsid w:val="00B17CC8"/>
    <w:rsid w:val="00B17DB0"/>
    <w:rsid w:val="00B17E3D"/>
    <w:rsid w:val="00B17F61"/>
    <w:rsid w:val="00B200AB"/>
    <w:rsid w:val="00B200F9"/>
    <w:rsid w:val="00B2027C"/>
    <w:rsid w:val="00B202B8"/>
    <w:rsid w:val="00B2034D"/>
    <w:rsid w:val="00B2040F"/>
    <w:rsid w:val="00B204CE"/>
    <w:rsid w:val="00B20524"/>
    <w:rsid w:val="00B2063C"/>
    <w:rsid w:val="00B206FC"/>
    <w:rsid w:val="00B2072A"/>
    <w:rsid w:val="00B207C2"/>
    <w:rsid w:val="00B207FA"/>
    <w:rsid w:val="00B20833"/>
    <w:rsid w:val="00B20873"/>
    <w:rsid w:val="00B208B0"/>
    <w:rsid w:val="00B208B5"/>
    <w:rsid w:val="00B2093C"/>
    <w:rsid w:val="00B20958"/>
    <w:rsid w:val="00B209A4"/>
    <w:rsid w:val="00B20A5A"/>
    <w:rsid w:val="00B20AFE"/>
    <w:rsid w:val="00B20B28"/>
    <w:rsid w:val="00B20BD5"/>
    <w:rsid w:val="00B20C84"/>
    <w:rsid w:val="00B20CDA"/>
    <w:rsid w:val="00B20D90"/>
    <w:rsid w:val="00B20DAB"/>
    <w:rsid w:val="00B20DB7"/>
    <w:rsid w:val="00B20DFE"/>
    <w:rsid w:val="00B20E70"/>
    <w:rsid w:val="00B20FE4"/>
    <w:rsid w:val="00B21004"/>
    <w:rsid w:val="00B2116F"/>
    <w:rsid w:val="00B213DF"/>
    <w:rsid w:val="00B213F3"/>
    <w:rsid w:val="00B2150C"/>
    <w:rsid w:val="00B21537"/>
    <w:rsid w:val="00B215BF"/>
    <w:rsid w:val="00B215DA"/>
    <w:rsid w:val="00B2164A"/>
    <w:rsid w:val="00B217D5"/>
    <w:rsid w:val="00B2197E"/>
    <w:rsid w:val="00B21A55"/>
    <w:rsid w:val="00B21A81"/>
    <w:rsid w:val="00B21ADF"/>
    <w:rsid w:val="00B21B1E"/>
    <w:rsid w:val="00B21C16"/>
    <w:rsid w:val="00B21CAF"/>
    <w:rsid w:val="00B21D73"/>
    <w:rsid w:val="00B21D81"/>
    <w:rsid w:val="00B21DD8"/>
    <w:rsid w:val="00B21E37"/>
    <w:rsid w:val="00B21E53"/>
    <w:rsid w:val="00B21F56"/>
    <w:rsid w:val="00B21FCD"/>
    <w:rsid w:val="00B21FE0"/>
    <w:rsid w:val="00B220B9"/>
    <w:rsid w:val="00B221C6"/>
    <w:rsid w:val="00B221C7"/>
    <w:rsid w:val="00B2226F"/>
    <w:rsid w:val="00B22353"/>
    <w:rsid w:val="00B22360"/>
    <w:rsid w:val="00B22363"/>
    <w:rsid w:val="00B2241F"/>
    <w:rsid w:val="00B22453"/>
    <w:rsid w:val="00B225D0"/>
    <w:rsid w:val="00B22622"/>
    <w:rsid w:val="00B228D0"/>
    <w:rsid w:val="00B22952"/>
    <w:rsid w:val="00B229B9"/>
    <w:rsid w:val="00B22A3A"/>
    <w:rsid w:val="00B22BE2"/>
    <w:rsid w:val="00B22C18"/>
    <w:rsid w:val="00B22C68"/>
    <w:rsid w:val="00B22CA7"/>
    <w:rsid w:val="00B22D7E"/>
    <w:rsid w:val="00B22DEC"/>
    <w:rsid w:val="00B22E65"/>
    <w:rsid w:val="00B2300D"/>
    <w:rsid w:val="00B230A5"/>
    <w:rsid w:val="00B230C6"/>
    <w:rsid w:val="00B2311D"/>
    <w:rsid w:val="00B231B1"/>
    <w:rsid w:val="00B23236"/>
    <w:rsid w:val="00B23284"/>
    <w:rsid w:val="00B232AC"/>
    <w:rsid w:val="00B23330"/>
    <w:rsid w:val="00B233A0"/>
    <w:rsid w:val="00B23556"/>
    <w:rsid w:val="00B23594"/>
    <w:rsid w:val="00B23621"/>
    <w:rsid w:val="00B23776"/>
    <w:rsid w:val="00B23887"/>
    <w:rsid w:val="00B238C8"/>
    <w:rsid w:val="00B23A0C"/>
    <w:rsid w:val="00B23A3A"/>
    <w:rsid w:val="00B23A59"/>
    <w:rsid w:val="00B23AAA"/>
    <w:rsid w:val="00B23B86"/>
    <w:rsid w:val="00B23B98"/>
    <w:rsid w:val="00B23BF4"/>
    <w:rsid w:val="00B23D75"/>
    <w:rsid w:val="00B23DA8"/>
    <w:rsid w:val="00B23E7A"/>
    <w:rsid w:val="00B23E7F"/>
    <w:rsid w:val="00B23EA9"/>
    <w:rsid w:val="00B23EEA"/>
    <w:rsid w:val="00B23F49"/>
    <w:rsid w:val="00B23F4B"/>
    <w:rsid w:val="00B24029"/>
    <w:rsid w:val="00B2406C"/>
    <w:rsid w:val="00B240D9"/>
    <w:rsid w:val="00B240EE"/>
    <w:rsid w:val="00B24114"/>
    <w:rsid w:val="00B241AF"/>
    <w:rsid w:val="00B241D6"/>
    <w:rsid w:val="00B24271"/>
    <w:rsid w:val="00B2427E"/>
    <w:rsid w:val="00B24353"/>
    <w:rsid w:val="00B243F4"/>
    <w:rsid w:val="00B2442A"/>
    <w:rsid w:val="00B24554"/>
    <w:rsid w:val="00B24576"/>
    <w:rsid w:val="00B2457B"/>
    <w:rsid w:val="00B245DE"/>
    <w:rsid w:val="00B245E5"/>
    <w:rsid w:val="00B2465C"/>
    <w:rsid w:val="00B2466D"/>
    <w:rsid w:val="00B246FA"/>
    <w:rsid w:val="00B24716"/>
    <w:rsid w:val="00B24765"/>
    <w:rsid w:val="00B247E6"/>
    <w:rsid w:val="00B247EA"/>
    <w:rsid w:val="00B2485B"/>
    <w:rsid w:val="00B248FD"/>
    <w:rsid w:val="00B2497A"/>
    <w:rsid w:val="00B24AF6"/>
    <w:rsid w:val="00B24AFB"/>
    <w:rsid w:val="00B24B9D"/>
    <w:rsid w:val="00B24D02"/>
    <w:rsid w:val="00B24E22"/>
    <w:rsid w:val="00B24E9D"/>
    <w:rsid w:val="00B24F0F"/>
    <w:rsid w:val="00B24F4C"/>
    <w:rsid w:val="00B24F7B"/>
    <w:rsid w:val="00B24FE2"/>
    <w:rsid w:val="00B250A6"/>
    <w:rsid w:val="00B2512C"/>
    <w:rsid w:val="00B2520F"/>
    <w:rsid w:val="00B25243"/>
    <w:rsid w:val="00B2528F"/>
    <w:rsid w:val="00B253CD"/>
    <w:rsid w:val="00B25415"/>
    <w:rsid w:val="00B254DD"/>
    <w:rsid w:val="00B25526"/>
    <w:rsid w:val="00B25543"/>
    <w:rsid w:val="00B2555F"/>
    <w:rsid w:val="00B25677"/>
    <w:rsid w:val="00B256BF"/>
    <w:rsid w:val="00B2570D"/>
    <w:rsid w:val="00B25827"/>
    <w:rsid w:val="00B2587A"/>
    <w:rsid w:val="00B258CA"/>
    <w:rsid w:val="00B25959"/>
    <w:rsid w:val="00B25978"/>
    <w:rsid w:val="00B25B07"/>
    <w:rsid w:val="00B25B8D"/>
    <w:rsid w:val="00B25C16"/>
    <w:rsid w:val="00B25C47"/>
    <w:rsid w:val="00B25C49"/>
    <w:rsid w:val="00B25CE0"/>
    <w:rsid w:val="00B25D59"/>
    <w:rsid w:val="00B25D8E"/>
    <w:rsid w:val="00B25DBB"/>
    <w:rsid w:val="00B25F1E"/>
    <w:rsid w:val="00B25F91"/>
    <w:rsid w:val="00B26086"/>
    <w:rsid w:val="00B260E0"/>
    <w:rsid w:val="00B26102"/>
    <w:rsid w:val="00B2611E"/>
    <w:rsid w:val="00B26163"/>
    <w:rsid w:val="00B262ED"/>
    <w:rsid w:val="00B26334"/>
    <w:rsid w:val="00B26384"/>
    <w:rsid w:val="00B263F2"/>
    <w:rsid w:val="00B26468"/>
    <w:rsid w:val="00B26483"/>
    <w:rsid w:val="00B2675D"/>
    <w:rsid w:val="00B2677D"/>
    <w:rsid w:val="00B26866"/>
    <w:rsid w:val="00B26889"/>
    <w:rsid w:val="00B26926"/>
    <w:rsid w:val="00B269A5"/>
    <w:rsid w:val="00B26A7D"/>
    <w:rsid w:val="00B26AAB"/>
    <w:rsid w:val="00B26BA2"/>
    <w:rsid w:val="00B26C11"/>
    <w:rsid w:val="00B26C43"/>
    <w:rsid w:val="00B26C52"/>
    <w:rsid w:val="00B26C62"/>
    <w:rsid w:val="00B26E20"/>
    <w:rsid w:val="00B26E30"/>
    <w:rsid w:val="00B26EEA"/>
    <w:rsid w:val="00B26F22"/>
    <w:rsid w:val="00B26F58"/>
    <w:rsid w:val="00B2702F"/>
    <w:rsid w:val="00B27049"/>
    <w:rsid w:val="00B27050"/>
    <w:rsid w:val="00B2707D"/>
    <w:rsid w:val="00B27255"/>
    <w:rsid w:val="00B2726A"/>
    <w:rsid w:val="00B2728C"/>
    <w:rsid w:val="00B272B2"/>
    <w:rsid w:val="00B27312"/>
    <w:rsid w:val="00B274F4"/>
    <w:rsid w:val="00B27661"/>
    <w:rsid w:val="00B27832"/>
    <w:rsid w:val="00B27850"/>
    <w:rsid w:val="00B278D6"/>
    <w:rsid w:val="00B27937"/>
    <w:rsid w:val="00B279C9"/>
    <w:rsid w:val="00B27A00"/>
    <w:rsid w:val="00B27A96"/>
    <w:rsid w:val="00B27B6D"/>
    <w:rsid w:val="00B27C4C"/>
    <w:rsid w:val="00B27D5A"/>
    <w:rsid w:val="00B27DB4"/>
    <w:rsid w:val="00B27DE6"/>
    <w:rsid w:val="00B27F82"/>
    <w:rsid w:val="00B3003B"/>
    <w:rsid w:val="00B300D4"/>
    <w:rsid w:val="00B300D8"/>
    <w:rsid w:val="00B30107"/>
    <w:rsid w:val="00B301AB"/>
    <w:rsid w:val="00B301AC"/>
    <w:rsid w:val="00B30307"/>
    <w:rsid w:val="00B30369"/>
    <w:rsid w:val="00B304E1"/>
    <w:rsid w:val="00B30555"/>
    <w:rsid w:val="00B30556"/>
    <w:rsid w:val="00B30602"/>
    <w:rsid w:val="00B306B9"/>
    <w:rsid w:val="00B30786"/>
    <w:rsid w:val="00B30845"/>
    <w:rsid w:val="00B30860"/>
    <w:rsid w:val="00B30866"/>
    <w:rsid w:val="00B308FC"/>
    <w:rsid w:val="00B309A7"/>
    <w:rsid w:val="00B30A31"/>
    <w:rsid w:val="00B30A5B"/>
    <w:rsid w:val="00B30A73"/>
    <w:rsid w:val="00B30B56"/>
    <w:rsid w:val="00B30BC6"/>
    <w:rsid w:val="00B30C3B"/>
    <w:rsid w:val="00B30DD5"/>
    <w:rsid w:val="00B31008"/>
    <w:rsid w:val="00B31027"/>
    <w:rsid w:val="00B310B0"/>
    <w:rsid w:val="00B310D6"/>
    <w:rsid w:val="00B3114E"/>
    <w:rsid w:val="00B3115C"/>
    <w:rsid w:val="00B31289"/>
    <w:rsid w:val="00B312B5"/>
    <w:rsid w:val="00B312E4"/>
    <w:rsid w:val="00B31332"/>
    <w:rsid w:val="00B313C6"/>
    <w:rsid w:val="00B31428"/>
    <w:rsid w:val="00B3152A"/>
    <w:rsid w:val="00B31626"/>
    <w:rsid w:val="00B316DB"/>
    <w:rsid w:val="00B31761"/>
    <w:rsid w:val="00B3177D"/>
    <w:rsid w:val="00B317C1"/>
    <w:rsid w:val="00B3184A"/>
    <w:rsid w:val="00B318BB"/>
    <w:rsid w:val="00B319D6"/>
    <w:rsid w:val="00B31BB2"/>
    <w:rsid w:val="00B31C16"/>
    <w:rsid w:val="00B31C1F"/>
    <w:rsid w:val="00B31C65"/>
    <w:rsid w:val="00B31D21"/>
    <w:rsid w:val="00B31DBC"/>
    <w:rsid w:val="00B31E1A"/>
    <w:rsid w:val="00B31E48"/>
    <w:rsid w:val="00B31EAA"/>
    <w:rsid w:val="00B31EDB"/>
    <w:rsid w:val="00B32030"/>
    <w:rsid w:val="00B32031"/>
    <w:rsid w:val="00B320CC"/>
    <w:rsid w:val="00B32110"/>
    <w:rsid w:val="00B3215B"/>
    <w:rsid w:val="00B3220B"/>
    <w:rsid w:val="00B322F5"/>
    <w:rsid w:val="00B3230B"/>
    <w:rsid w:val="00B32318"/>
    <w:rsid w:val="00B324B5"/>
    <w:rsid w:val="00B324C0"/>
    <w:rsid w:val="00B32507"/>
    <w:rsid w:val="00B325FC"/>
    <w:rsid w:val="00B326AE"/>
    <w:rsid w:val="00B326BF"/>
    <w:rsid w:val="00B326D4"/>
    <w:rsid w:val="00B3270F"/>
    <w:rsid w:val="00B3272C"/>
    <w:rsid w:val="00B32744"/>
    <w:rsid w:val="00B32784"/>
    <w:rsid w:val="00B32923"/>
    <w:rsid w:val="00B3296C"/>
    <w:rsid w:val="00B32A34"/>
    <w:rsid w:val="00B32AA4"/>
    <w:rsid w:val="00B32ABD"/>
    <w:rsid w:val="00B32AC2"/>
    <w:rsid w:val="00B32B30"/>
    <w:rsid w:val="00B32B74"/>
    <w:rsid w:val="00B32C76"/>
    <w:rsid w:val="00B32D2C"/>
    <w:rsid w:val="00B32D9D"/>
    <w:rsid w:val="00B32E29"/>
    <w:rsid w:val="00B32EF9"/>
    <w:rsid w:val="00B32F55"/>
    <w:rsid w:val="00B32F7F"/>
    <w:rsid w:val="00B3306B"/>
    <w:rsid w:val="00B333D0"/>
    <w:rsid w:val="00B33444"/>
    <w:rsid w:val="00B3345B"/>
    <w:rsid w:val="00B33484"/>
    <w:rsid w:val="00B334F7"/>
    <w:rsid w:val="00B3358B"/>
    <w:rsid w:val="00B3373F"/>
    <w:rsid w:val="00B33751"/>
    <w:rsid w:val="00B337B2"/>
    <w:rsid w:val="00B33843"/>
    <w:rsid w:val="00B338AB"/>
    <w:rsid w:val="00B33961"/>
    <w:rsid w:val="00B33A04"/>
    <w:rsid w:val="00B33A88"/>
    <w:rsid w:val="00B33AB1"/>
    <w:rsid w:val="00B33ACE"/>
    <w:rsid w:val="00B33BB0"/>
    <w:rsid w:val="00B33C58"/>
    <w:rsid w:val="00B33CF0"/>
    <w:rsid w:val="00B33E73"/>
    <w:rsid w:val="00B33EA9"/>
    <w:rsid w:val="00B33EBE"/>
    <w:rsid w:val="00B33F78"/>
    <w:rsid w:val="00B33FD3"/>
    <w:rsid w:val="00B3401C"/>
    <w:rsid w:val="00B34102"/>
    <w:rsid w:val="00B341BB"/>
    <w:rsid w:val="00B342E3"/>
    <w:rsid w:val="00B342FB"/>
    <w:rsid w:val="00B3437A"/>
    <w:rsid w:val="00B34386"/>
    <w:rsid w:val="00B344D9"/>
    <w:rsid w:val="00B34527"/>
    <w:rsid w:val="00B34747"/>
    <w:rsid w:val="00B34763"/>
    <w:rsid w:val="00B347AC"/>
    <w:rsid w:val="00B348DD"/>
    <w:rsid w:val="00B348E8"/>
    <w:rsid w:val="00B34923"/>
    <w:rsid w:val="00B34A88"/>
    <w:rsid w:val="00B34B71"/>
    <w:rsid w:val="00B34BF0"/>
    <w:rsid w:val="00B34CA7"/>
    <w:rsid w:val="00B34D12"/>
    <w:rsid w:val="00B34D80"/>
    <w:rsid w:val="00B34E87"/>
    <w:rsid w:val="00B34F0D"/>
    <w:rsid w:val="00B34F40"/>
    <w:rsid w:val="00B34FA4"/>
    <w:rsid w:val="00B35042"/>
    <w:rsid w:val="00B35148"/>
    <w:rsid w:val="00B35217"/>
    <w:rsid w:val="00B35259"/>
    <w:rsid w:val="00B352E5"/>
    <w:rsid w:val="00B35307"/>
    <w:rsid w:val="00B354A1"/>
    <w:rsid w:val="00B35651"/>
    <w:rsid w:val="00B3567E"/>
    <w:rsid w:val="00B35763"/>
    <w:rsid w:val="00B35797"/>
    <w:rsid w:val="00B357EC"/>
    <w:rsid w:val="00B35882"/>
    <w:rsid w:val="00B359B8"/>
    <w:rsid w:val="00B35BC7"/>
    <w:rsid w:val="00B35BFC"/>
    <w:rsid w:val="00B35C71"/>
    <w:rsid w:val="00B35D07"/>
    <w:rsid w:val="00B35DA4"/>
    <w:rsid w:val="00B35DFA"/>
    <w:rsid w:val="00B35EF6"/>
    <w:rsid w:val="00B35F16"/>
    <w:rsid w:val="00B35F29"/>
    <w:rsid w:val="00B35F91"/>
    <w:rsid w:val="00B35FF4"/>
    <w:rsid w:val="00B363A8"/>
    <w:rsid w:val="00B36509"/>
    <w:rsid w:val="00B36529"/>
    <w:rsid w:val="00B36568"/>
    <w:rsid w:val="00B36574"/>
    <w:rsid w:val="00B365FA"/>
    <w:rsid w:val="00B3661C"/>
    <w:rsid w:val="00B367E6"/>
    <w:rsid w:val="00B367EB"/>
    <w:rsid w:val="00B36803"/>
    <w:rsid w:val="00B368C7"/>
    <w:rsid w:val="00B368CB"/>
    <w:rsid w:val="00B36948"/>
    <w:rsid w:val="00B36996"/>
    <w:rsid w:val="00B36A72"/>
    <w:rsid w:val="00B36B88"/>
    <w:rsid w:val="00B36BC2"/>
    <w:rsid w:val="00B36BE1"/>
    <w:rsid w:val="00B36C39"/>
    <w:rsid w:val="00B36CCF"/>
    <w:rsid w:val="00B36D05"/>
    <w:rsid w:val="00B36D0E"/>
    <w:rsid w:val="00B36D21"/>
    <w:rsid w:val="00B36E59"/>
    <w:rsid w:val="00B37198"/>
    <w:rsid w:val="00B37204"/>
    <w:rsid w:val="00B3727D"/>
    <w:rsid w:val="00B372C8"/>
    <w:rsid w:val="00B372EF"/>
    <w:rsid w:val="00B37367"/>
    <w:rsid w:val="00B3738C"/>
    <w:rsid w:val="00B374FD"/>
    <w:rsid w:val="00B37505"/>
    <w:rsid w:val="00B375C5"/>
    <w:rsid w:val="00B375CA"/>
    <w:rsid w:val="00B3761A"/>
    <w:rsid w:val="00B3761D"/>
    <w:rsid w:val="00B3763D"/>
    <w:rsid w:val="00B3764A"/>
    <w:rsid w:val="00B3774E"/>
    <w:rsid w:val="00B37789"/>
    <w:rsid w:val="00B37799"/>
    <w:rsid w:val="00B3780F"/>
    <w:rsid w:val="00B378FC"/>
    <w:rsid w:val="00B3792D"/>
    <w:rsid w:val="00B379A1"/>
    <w:rsid w:val="00B379F9"/>
    <w:rsid w:val="00B37A2B"/>
    <w:rsid w:val="00B37A55"/>
    <w:rsid w:val="00B37AA6"/>
    <w:rsid w:val="00B37B19"/>
    <w:rsid w:val="00B37CF4"/>
    <w:rsid w:val="00B37EC9"/>
    <w:rsid w:val="00B37F48"/>
    <w:rsid w:val="00B40003"/>
    <w:rsid w:val="00B40004"/>
    <w:rsid w:val="00B40023"/>
    <w:rsid w:val="00B40199"/>
    <w:rsid w:val="00B401A3"/>
    <w:rsid w:val="00B4031B"/>
    <w:rsid w:val="00B4032B"/>
    <w:rsid w:val="00B40338"/>
    <w:rsid w:val="00B403A5"/>
    <w:rsid w:val="00B403B1"/>
    <w:rsid w:val="00B40444"/>
    <w:rsid w:val="00B4052E"/>
    <w:rsid w:val="00B4056C"/>
    <w:rsid w:val="00B4065B"/>
    <w:rsid w:val="00B4066A"/>
    <w:rsid w:val="00B40677"/>
    <w:rsid w:val="00B407A5"/>
    <w:rsid w:val="00B407A6"/>
    <w:rsid w:val="00B40839"/>
    <w:rsid w:val="00B40897"/>
    <w:rsid w:val="00B4099A"/>
    <w:rsid w:val="00B409C3"/>
    <w:rsid w:val="00B40ABA"/>
    <w:rsid w:val="00B40C71"/>
    <w:rsid w:val="00B40C9F"/>
    <w:rsid w:val="00B40CEE"/>
    <w:rsid w:val="00B40D9C"/>
    <w:rsid w:val="00B40F95"/>
    <w:rsid w:val="00B4109B"/>
    <w:rsid w:val="00B410A6"/>
    <w:rsid w:val="00B410DA"/>
    <w:rsid w:val="00B410FA"/>
    <w:rsid w:val="00B41111"/>
    <w:rsid w:val="00B41166"/>
    <w:rsid w:val="00B411F3"/>
    <w:rsid w:val="00B4125F"/>
    <w:rsid w:val="00B4128E"/>
    <w:rsid w:val="00B412DC"/>
    <w:rsid w:val="00B413C6"/>
    <w:rsid w:val="00B413F3"/>
    <w:rsid w:val="00B4145D"/>
    <w:rsid w:val="00B4158C"/>
    <w:rsid w:val="00B415E0"/>
    <w:rsid w:val="00B41713"/>
    <w:rsid w:val="00B41912"/>
    <w:rsid w:val="00B4199E"/>
    <w:rsid w:val="00B41A6F"/>
    <w:rsid w:val="00B41A8A"/>
    <w:rsid w:val="00B41ADC"/>
    <w:rsid w:val="00B41B22"/>
    <w:rsid w:val="00B41B77"/>
    <w:rsid w:val="00B41C16"/>
    <w:rsid w:val="00B41D51"/>
    <w:rsid w:val="00B41D70"/>
    <w:rsid w:val="00B41E0E"/>
    <w:rsid w:val="00B41E25"/>
    <w:rsid w:val="00B41E9D"/>
    <w:rsid w:val="00B41ED7"/>
    <w:rsid w:val="00B41FFD"/>
    <w:rsid w:val="00B42016"/>
    <w:rsid w:val="00B42068"/>
    <w:rsid w:val="00B4218E"/>
    <w:rsid w:val="00B4219E"/>
    <w:rsid w:val="00B422AD"/>
    <w:rsid w:val="00B42311"/>
    <w:rsid w:val="00B42326"/>
    <w:rsid w:val="00B42332"/>
    <w:rsid w:val="00B4237D"/>
    <w:rsid w:val="00B4238E"/>
    <w:rsid w:val="00B4248E"/>
    <w:rsid w:val="00B42553"/>
    <w:rsid w:val="00B4266C"/>
    <w:rsid w:val="00B42682"/>
    <w:rsid w:val="00B426BD"/>
    <w:rsid w:val="00B42727"/>
    <w:rsid w:val="00B42767"/>
    <w:rsid w:val="00B42820"/>
    <w:rsid w:val="00B428FB"/>
    <w:rsid w:val="00B42936"/>
    <w:rsid w:val="00B4299C"/>
    <w:rsid w:val="00B42B1B"/>
    <w:rsid w:val="00B42B40"/>
    <w:rsid w:val="00B42C38"/>
    <w:rsid w:val="00B42C98"/>
    <w:rsid w:val="00B42CC2"/>
    <w:rsid w:val="00B42D0E"/>
    <w:rsid w:val="00B42D10"/>
    <w:rsid w:val="00B42D1E"/>
    <w:rsid w:val="00B42D41"/>
    <w:rsid w:val="00B42D9C"/>
    <w:rsid w:val="00B42DA2"/>
    <w:rsid w:val="00B42E39"/>
    <w:rsid w:val="00B42E6F"/>
    <w:rsid w:val="00B42ECE"/>
    <w:rsid w:val="00B42F18"/>
    <w:rsid w:val="00B42F39"/>
    <w:rsid w:val="00B4312B"/>
    <w:rsid w:val="00B4318B"/>
    <w:rsid w:val="00B431CF"/>
    <w:rsid w:val="00B43264"/>
    <w:rsid w:val="00B43379"/>
    <w:rsid w:val="00B4337E"/>
    <w:rsid w:val="00B433DE"/>
    <w:rsid w:val="00B4350D"/>
    <w:rsid w:val="00B43522"/>
    <w:rsid w:val="00B43581"/>
    <w:rsid w:val="00B43719"/>
    <w:rsid w:val="00B43765"/>
    <w:rsid w:val="00B4377D"/>
    <w:rsid w:val="00B439DE"/>
    <w:rsid w:val="00B43A71"/>
    <w:rsid w:val="00B43AAD"/>
    <w:rsid w:val="00B43BA0"/>
    <w:rsid w:val="00B43C55"/>
    <w:rsid w:val="00B43D53"/>
    <w:rsid w:val="00B43DFC"/>
    <w:rsid w:val="00B43FE0"/>
    <w:rsid w:val="00B4403D"/>
    <w:rsid w:val="00B44078"/>
    <w:rsid w:val="00B4407E"/>
    <w:rsid w:val="00B440E7"/>
    <w:rsid w:val="00B4429A"/>
    <w:rsid w:val="00B44393"/>
    <w:rsid w:val="00B443B9"/>
    <w:rsid w:val="00B443E5"/>
    <w:rsid w:val="00B4444D"/>
    <w:rsid w:val="00B444E0"/>
    <w:rsid w:val="00B44543"/>
    <w:rsid w:val="00B4460A"/>
    <w:rsid w:val="00B44622"/>
    <w:rsid w:val="00B446CD"/>
    <w:rsid w:val="00B446F6"/>
    <w:rsid w:val="00B44710"/>
    <w:rsid w:val="00B44728"/>
    <w:rsid w:val="00B44781"/>
    <w:rsid w:val="00B44917"/>
    <w:rsid w:val="00B44976"/>
    <w:rsid w:val="00B449BC"/>
    <w:rsid w:val="00B44BD0"/>
    <w:rsid w:val="00B44C76"/>
    <w:rsid w:val="00B44D71"/>
    <w:rsid w:val="00B44DED"/>
    <w:rsid w:val="00B44EFF"/>
    <w:rsid w:val="00B4505C"/>
    <w:rsid w:val="00B45089"/>
    <w:rsid w:val="00B450D2"/>
    <w:rsid w:val="00B45193"/>
    <w:rsid w:val="00B452C7"/>
    <w:rsid w:val="00B452E3"/>
    <w:rsid w:val="00B453BE"/>
    <w:rsid w:val="00B4554B"/>
    <w:rsid w:val="00B45591"/>
    <w:rsid w:val="00B455BD"/>
    <w:rsid w:val="00B455CE"/>
    <w:rsid w:val="00B455FE"/>
    <w:rsid w:val="00B45689"/>
    <w:rsid w:val="00B45701"/>
    <w:rsid w:val="00B45714"/>
    <w:rsid w:val="00B457A2"/>
    <w:rsid w:val="00B45893"/>
    <w:rsid w:val="00B45989"/>
    <w:rsid w:val="00B45999"/>
    <w:rsid w:val="00B45A2D"/>
    <w:rsid w:val="00B45AE9"/>
    <w:rsid w:val="00B45BC3"/>
    <w:rsid w:val="00B45BC7"/>
    <w:rsid w:val="00B45C54"/>
    <w:rsid w:val="00B45C80"/>
    <w:rsid w:val="00B45E71"/>
    <w:rsid w:val="00B4610A"/>
    <w:rsid w:val="00B4619F"/>
    <w:rsid w:val="00B461C7"/>
    <w:rsid w:val="00B46271"/>
    <w:rsid w:val="00B462BF"/>
    <w:rsid w:val="00B462CB"/>
    <w:rsid w:val="00B463A0"/>
    <w:rsid w:val="00B463AD"/>
    <w:rsid w:val="00B463FE"/>
    <w:rsid w:val="00B46487"/>
    <w:rsid w:val="00B464FF"/>
    <w:rsid w:val="00B465CE"/>
    <w:rsid w:val="00B4670C"/>
    <w:rsid w:val="00B4687F"/>
    <w:rsid w:val="00B4688F"/>
    <w:rsid w:val="00B468E1"/>
    <w:rsid w:val="00B468EC"/>
    <w:rsid w:val="00B46921"/>
    <w:rsid w:val="00B46953"/>
    <w:rsid w:val="00B46A39"/>
    <w:rsid w:val="00B46A4A"/>
    <w:rsid w:val="00B46AE9"/>
    <w:rsid w:val="00B46CC7"/>
    <w:rsid w:val="00B46CC8"/>
    <w:rsid w:val="00B46CFE"/>
    <w:rsid w:val="00B46E59"/>
    <w:rsid w:val="00B46F28"/>
    <w:rsid w:val="00B47057"/>
    <w:rsid w:val="00B4719E"/>
    <w:rsid w:val="00B471B7"/>
    <w:rsid w:val="00B472A0"/>
    <w:rsid w:val="00B472B3"/>
    <w:rsid w:val="00B472C1"/>
    <w:rsid w:val="00B472DB"/>
    <w:rsid w:val="00B47311"/>
    <w:rsid w:val="00B47315"/>
    <w:rsid w:val="00B47334"/>
    <w:rsid w:val="00B47370"/>
    <w:rsid w:val="00B4739A"/>
    <w:rsid w:val="00B47404"/>
    <w:rsid w:val="00B47468"/>
    <w:rsid w:val="00B47481"/>
    <w:rsid w:val="00B476F9"/>
    <w:rsid w:val="00B4784D"/>
    <w:rsid w:val="00B47859"/>
    <w:rsid w:val="00B47915"/>
    <w:rsid w:val="00B4794C"/>
    <w:rsid w:val="00B47986"/>
    <w:rsid w:val="00B479C7"/>
    <w:rsid w:val="00B47A10"/>
    <w:rsid w:val="00B47B68"/>
    <w:rsid w:val="00B47CC4"/>
    <w:rsid w:val="00B500B5"/>
    <w:rsid w:val="00B50164"/>
    <w:rsid w:val="00B503D8"/>
    <w:rsid w:val="00B503F6"/>
    <w:rsid w:val="00B50463"/>
    <w:rsid w:val="00B50470"/>
    <w:rsid w:val="00B504AA"/>
    <w:rsid w:val="00B504EB"/>
    <w:rsid w:val="00B5055F"/>
    <w:rsid w:val="00B50587"/>
    <w:rsid w:val="00B506F2"/>
    <w:rsid w:val="00B50767"/>
    <w:rsid w:val="00B5089E"/>
    <w:rsid w:val="00B5097D"/>
    <w:rsid w:val="00B50A23"/>
    <w:rsid w:val="00B50A43"/>
    <w:rsid w:val="00B50A59"/>
    <w:rsid w:val="00B50A62"/>
    <w:rsid w:val="00B50AB3"/>
    <w:rsid w:val="00B50ABA"/>
    <w:rsid w:val="00B50CAF"/>
    <w:rsid w:val="00B50DAA"/>
    <w:rsid w:val="00B50DEA"/>
    <w:rsid w:val="00B50F07"/>
    <w:rsid w:val="00B50F78"/>
    <w:rsid w:val="00B5103A"/>
    <w:rsid w:val="00B510A8"/>
    <w:rsid w:val="00B510EC"/>
    <w:rsid w:val="00B510F9"/>
    <w:rsid w:val="00B511A6"/>
    <w:rsid w:val="00B51205"/>
    <w:rsid w:val="00B51222"/>
    <w:rsid w:val="00B512CD"/>
    <w:rsid w:val="00B51331"/>
    <w:rsid w:val="00B5137B"/>
    <w:rsid w:val="00B513D3"/>
    <w:rsid w:val="00B514F5"/>
    <w:rsid w:val="00B515CD"/>
    <w:rsid w:val="00B51723"/>
    <w:rsid w:val="00B517DD"/>
    <w:rsid w:val="00B518F3"/>
    <w:rsid w:val="00B51982"/>
    <w:rsid w:val="00B51A5E"/>
    <w:rsid w:val="00B51B70"/>
    <w:rsid w:val="00B51D6F"/>
    <w:rsid w:val="00B51DF3"/>
    <w:rsid w:val="00B51DF4"/>
    <w:rsid w:val="00B51E04"/>
    <w:rsid w:val="00B51E3F"/>
    <w:rsid w:val="00B51EB7"/>
    <w:rsid w:val="00B51F92"/>
    <w:rsid w:val="00B51FF7"/>
    <w:rsid w:val="00B52079"/>
    <w:rsid w:val="00B5214D"/>
    <w:rsid w:val="00B5215D"/>
    <w:rsid w:val="00B521DD"/>
    <w:rsid w:val="00B521EB"/>
    <w:rsid w:val="00B52259"/>
    <w:rsid w:val="00B52261"/>
    <w:rsid w:val="00B522DF"/>
    <w:rsid w:val="00B5239B"/>
    <w:rsid w:val="00B5241B"/>
    <w:rsid w:val="00B52472"/>
    <w:rsid w:val="00B52555"/>
    <w:rsid w:val="00B52593"/>
    <w:rsid w:val="00B525F3"/>
    <w:rsid w:val="00B52646"/>
    <w:rsid w:val="00B52757"/>
    <w:rsid w:val="00B527FC"/>
    <w:rsid w:val="00B52980"/>
    <w:rsid w:val="00B529F5"/>
    <w:rsid w:val="00B52A09"/>
    <w:rsid w:val="00B52A6D"/>
    <w:rsid w:val="00B52AF0"/>
    <w:rsid w:val="00B52BF9"/>
    <w:rsid w:val="00B52C99"/>
    <w:rsid w:val="00B52CC2"/>
    <w:rsid w:val="00B52D9E"/>
    <w:rsid w:val="00B52E53"/>
    <w:rsid w:val="00B52EC2"/>
    <w:rsid w:val="00B52ECE"/>
    <w:rsid w:val="00B52F06"/>
    <w:rsid w:val="00B52F2C"/>
    <w:rsid w:val="00B52F7E"/>
    <w:rsid w:val="00B52FDD"/>
    <w:rsid w:val="00B530D0"/>
    <w:rsid w:val="00B530F0"/>
    <w:rsid w:val="00B53146"/>
    <w:rsid w:val="00B5331B"/>
    <w:rsid w:val="00B53389"/>
    <w:rsid w:val="00B53405"/>
    <w:rsid w:val="00B53437"/>
    <w:rsid w:val="00B5358A"/>
    <w:rsid w:val="00B5358B"/>
    <w:rsid w:val="00B535E0"/>
    <w:rsid w:val="00B537BC"/>
    <w:rsid w:val="00B53879"/>
    <w:rsid w:val="00B538AC"/>
    <w:rsid w:val="00B538CB"/>
    <w:rsid w:val="00B5391F"/>
    <w:rsid w:val="00B5394A"/>
    <w:rsid w:val="00B539A0"/>
    <w:rsid w:val="00B539F5"/>
    <w:rsid w:val="00B53A03"/>
    <w:rsid w:val="00B53B51"/>
    <w:rsid w:val="00B53BB2"/>
    <w:rsid w:val="00B53E23"/>
    <w:rsid w:val="00B53F31"/>
    <w:rsid w:val="00B53F98"/>
    <w:rsid w:val="00B54005"/>
    <w:rsid w:val="00B541F3"/>
    <w:rsid w:val="00B54331"/>
    <w:rsid w:val="00B544D9"/>
    <w:rsid w:val="00B544F0"/>
    <w:rsid w:val="00B54510"/>
    <w:rsid w:val="00B54678"/>
    <w:rsid w:val="00B54744"/>
    <w:rsid w:val="00B547CC"/>
    <w:rsid w:val="00B54869"/>
    <w:rsid w:val="00B5494E"/>
    <w:rsid w:val="00B54A3D"/>
    <w:rsid w:val="00B54A5A"/>
    <w:rsid w:val="00B54A77"/>
    <w:rsid w:val="00B54A90"/>
    <w:rsid w:val="00B54ACC"/>
    <w:rsid w:val="00B54B94"/>
    <w:rsid w:val="00B54C6C"/>
    <w:rsid w:val="00B54CF1"/>
    <w:rsid w:val="00B54EFC"/>
    <w:rsid w:val="00B54F64"/>
    <w:rsid w:val="00B54FF3"/>
    <w:rsid w:val="00B550F1"/>
    <w:rsid w:val="00B55259"/>
    <w:rsid w:val="00B5537F"/>
    <w:rsid w:val="00B55380"/>
    <w:rsid w:val="00B554E8"/>
    <w:rsid w:val="00B55533"/>
    <w:rsid w:val="00B555D6"/>
    <w:rsid w:val="00B555F6"/>
    <w:rsid w:val="00B55764"/>
    <w:rsid w:val="00B558A5"/>
    <w:rsid w:val="00B5592D"/>
    <w:rsid w:val="00B55B8C"/>
    <w:rsid w:val="00B55C17"/>
    <w:rsid w:val="00B55C55"/>
    <w:rsid w:val="00B55C8F"/>
    <w:rsid w:val="00B55D22"/>
    <w:rsid w:val="00B55E16"/>
    <w:rsid w:val="00B55E40"/>
    <w:rsid w:val="00B55ED7"/>
    <w:rsid w:val="00B55FEB"/>
    <w:rsid w:val="00B56011"/>
    <w:rsid w:val="00B560F3"/>
    <w:rsid w:val="00B56186"/>
    <w:rsid w:val="00B561AA"/>
    <w:rsid w:val="00B56301"/>
    <w:rsid w:val="00B563C7"/>
    <w:rsid w:val="00B565BD"/>
    <w:rsid w:val="00B56617"/>
    <w:rsid w:val="00B567F4"/>
    <w:rsid w:val="00B56838"/>
    <w:rsid w:val="00B56851"/>
    <w:rsid w:val="00B5686E"/>
    <w:rsid w:val="00B5689F"/>
    <w:rsid w:val="00B568E0"/>
    <w:rsid w:val="00B5691C"/>
    <w:rsid w:val="00B56963"/>
    <w:rsid w:val="00B569EB"/>
    <w:rsid w:val="00B56A09"/>
    <w:rsid w:val="00B56A86"/>
    <w:rsid w:val="00B56A8B"/>
    <w:rsid w:val="00B56A93"/>
    <w:rsid w:val="00B56A9C"/>
    <w:rsid w:val="00B56B31"/>
    <w:rsid w:val="00B56C61"/>
    <w:rsid w:val="00B56C67"/>
    <w:rsid w:val="00B56C8D"/>
    <w:rsid w:val="00B56C92"/>
    <w:rsid w:val="00B56D06"/>
    <w:rsid w:val="00B56D99"/>
    <w:rsid w:val="00B56E8D"/>
    <w:rsid w:val="00B56EEC"/>
    <w:rsid w:val="00B56F01"/>
    <w:rsid w:val="00B57031"/>
    <w:rsid w:val="00B570E0"/>
    <w:rsid w:val="00B57104"/>
    <w:rsid w:val="00B57134"/>
    <w:rsid w:val="00B571AA"/>
    <w:rsid w:val="00B57230"/>
    <w:rsid w:val="00B572AD"/>
    <w:rsid w:val="00B57342"/>
    <w:rsid w:val="00B5742A"/>
    <w:rsid w:val="00B57430"/>
    <w:rsid w:val="00B574D5"/>
    <w:rsid w:val="00B57583"/>
    <w:rsid w:val="00B57628"/>
    <w:rsid w:val="00B57785"/>
    <w:rsid w:val="00B5782C"/>
    <w:rsid w:val="00B57877"/>
    <w:rsid w:val="00B578F9"/>
    <w:rsid w:val="00B579EC"/>
    <w:rsid w:val="00B57A8D"/>
    <w:rsid w:val="00B57BE8"/>
    <w:rsid w:val="00B57CF8"/>
    <w:rsid w:val="00B57D3B"/>
    <w:rsid w:val="00B57D72"/>
    <w:rsid w:val="00B57D91"/>
    <w:rsid w:val="00B57DBE"/>
    <w:rsid w:val="00B57DE9"/>
    <w:rsid w:val="00B57E4C"/>
    <w:rsid w:val="00B57F08"/>
    <w:rsid w:val="00B57F9A"/>
    <w:rsid w:val="00B600E1"/>
    <w:rsid w:val="00B6011F"/>
    <w:rsid w:val="00B6019C"/>
    <w:rsid w:val="00B601C1"/>
    <w:rsid w:val="00B60281"/>
    <w:rsid w:val="00B602F4"/>
    <w:rsid w:val="00B60321"/>
    <w:rsid w:val="00B60446"/>
    <w:rsid w:val="00B604D7"/>
    <w:rsid w:val="00B604D8"/>
    <w:rsid w:val="00B60574"/>
    <w:rsid w:val="00B605B5"/>
    <w:rsid w:val="00B605CC"/>
    <w:rsid w:val="00B6060D"/>
    <w:rsid w:val="00B6063B"/>
    <w:rsid w:val="00B60670"/>
    <w:rsid w:val="00B60746"/>
    <w:rsid w:val="00B607EA"/>
    <w:rsid w:val="00B60881"/>
    <w:rsid w:val="00B609E2"/>
    <w:rsid w:val="00B60B51"/>
    <w:rsid w:val="00B60BBE"/>
    <w:rsid w:val="00B60BC2"/>
    <w:rsid w:val="00B60C4A"/>
    <w:rsid w:val="00B60C5A"/>
    <w:rsid w:val="00B60CE2"/>
    <w:rsid w:val="00B60D28"/>
    <w:rsid w:val="00B6111E"/>
    <w:rsid w:val="00B6116F"/>
    <w:rsid w:val="00B61221"/>
    <w:rsid w:val="00B6123A"/>
    <w:rsid w:val="00B6130D"/>
    <w:rsid w:val="00B6134A"/>
    <w:rsid w:val="00B61401"/>
    <w:rsid w:val="00B6140D"/>
    <w:rsid w:val="00B6157A"/>
    <w:rsid w:val="00B61697"/>
    <w:rsid w:val="00B616B4"/>
    <w:rsid w:val="00B61850"/>
    <w:rsid w:val="00B61936"/>
    <w:rsid w:val="00B6197F"/>
    <w:rsid w:val="00B6198A"/>
    <w:rsid w:val="00B61A76"/>
    <w:rsid w:val="00B61ACA"/>
    <w:rsid w:val="00B61BD2"/>
    <w:rsid w:val="00B61C5A"/>
    <w:rsid w:val="00B61D2E"/>
    <w:rsid w:val="00B61D6A"/>
    <w:rsid w:val="00B61DD1"/>
    <w:rsid w:val="00B61DF0"/>
    <w:rsid w:val="00B61E04"/>
    <w:rsid w:val="00B61E62"/>
    <w:rsid w:val="00B61EBE"/>
    <w:rsid w:val="00B61F73"/>
    <w:rsid w:val="00B61F7B"/>
    <w:rsid w:val="00B62182"/>
    <w:rsid w:val="00B62205"/>
    <w:rsid w:val="00B62231"/>
    <w:rsid w:val="00B622FE"/>
    <w:rsid w:val="00B62427"/>
    <w:rsid w:val="00B62467"/>
    <w:rsid w:val="00B6247C"/>
    <w:rsid w:val="00B62605"/>
    <w:rsid w:val="00B62683"/>
    <w:rsid w:val="00B62710"/>
    <w:rsid w:val="00B627B6"/>
    <w:rsid w:val="00B6291E"/>
    <w:rsid w:val="00B6297B"/>
    <w:rsid w:val="00B629D6"/>
    <w:rsid w:val="00B629EF"/>
    <w:rsid w:val="00B62A37"/>
    <w:rsid w:val="00B62A6D"/>
    <w:rsid w:val="00B62ADA"/>
    <w:rsid w:val="00B62B38"/>
    <w:rsid w:val="00B62BDA"/>
    <w:rsid w:val="00B62D75"/>
    <w:rsid w:val="00B62FA6"/>
    <w:rsid w:val="00B62FD6"/>
    <w:rsid w:val="00B62FEA"/>
    <w:rsid w:val="00B63012"/>
    <w:rsid w:val="00B63173"/>
    <w:rsid w:val="00B63178"/>
    <w:rsid w:val="00B63231"/>
    <w:rsid w:val="00B63312"/>
    <w:rsid w:val="00B633FA"/>
    <w:rsid w:val="00B6342E"/>
    <w:rsid w:val="00B63443"/>
    <w:rsid w:val="00B636D6"/>
    <w:rsid w:val="00B636F0"/>
    <w:rsid w:val="00B6371A"/>
    <w:rsid w:val="00B63759"/>
    <w:rsid w:val="00B63790"/>
    <w:rsid w:val="00B637D5"/>
    <w:rsid w:val="00B639B4"/>
    <w:rsid w:val="00B639C0"/>
    <w:rsid w:val="00B639DD"/>
    <w:rsid w:val="00B63A0A"/>
    <w:rsid w:val="00B63A80"/>
    <w:rsid w:val="00B63B0A"/>
    <w:rsid w:val="00B63B2D"/>
    <w:rsid w:val="00B63B66"/>
    <w:rsid w:val="00B63C8F"/>
    <w:rsid w:val="00B63CC5"/>
    <w:rsid w:val="00B63D21"/>
    <w:rsid w:val="00B63D3A"/>
    <w:rsid w:val="00B63D9C"/>
    <w:rsid w:val="00B63E1B"/>
    <w:rsid w:val="00B63E1E"/>
    <w:rsid w:val="00B63E8C"/>
    <w:rsid w:val="00B63EA5"/>
    <w:rsid w:val="00B64018"/>
    <w:rsid w:val="00B64156"/>
    <w:rsid w:val="00B642AC"/>
    <w:rsid w:val="00B6436B"/>
    <w:rsid w:val="00B643A5"/>
    <w:rsid w:val="00B64425"/>
    <w:rsid w:val="00B6443B"/>
    <w:rsid w:val="00B644E0"/>
    <w:rsid w:val="00B645E7"/>
    <w:rsid w:val="00B64799"/>
    <w:rsid w:val="00B64847"/>
    <w:rsid w:val="00B6488D"/>
    <w:rsid w:val="00B64894"/>
    <w:rsid w:val="00B648CD"/>
    <w:rsid w:val="00B648FA"/>
    <w:rsid w:val="00B649FA"/>
    <w:rsid w:val="00B64A64"/>
    <w:rsid w:val="00B64AE3"/>
    <w:rsid w:val="00B64B62"/>
    <w:rsid w:val="00B64B9E"/>
    <w:rsid w:val="00B64C0B"/>
    <w:rsid w:val="00B64C21"/>
    <w:rsid w:val="00B64C89"/>
    <w:rsid w:val="00B64CC4"/>
    <w:rsid w:val="00B64D0D"/>
    <w:rsid w:val="00B64DA0"/>
    <w:rsid w:val="00B64E6C"/>
    <w:rsid w:val="00B650E6"/>
    <w:rsid w:val="00B650F4"/>
    <w:rsid w:val="00B65119"/>
    <w:rsid w:val="00B65134"/>
    <w:rsid w:val="00B651AC"/>
    <w:rsid w:val="00B65208"/>
    <w:rsid w:val="00B652BA"/>
    <w:rsid w:val="00B652C4"/>
    <w:rsid w:val="00B6533C"/>
    <w:rsid w:val="00B6536D"/>
    <w:rsid w:val="00B653C8"/>
    <w:rsid w:val="00B653FA"/>
    <w:rsid w:val="00B65428"/>
    <w:rsid w:val="00B6553C"/>
    <w:rsid w:val="00B6553E"/>
    <w:rsid w:val="00B655BD"/>
    <w:rsid w:val="00B655F0"/>
    <w:rsid w:val="00B6566D"/>
    <w:rsid w:val="00B65672"/>
    <w:rsid w:val="00B656AA"/>
    <w:rsid w:val="00B656E3"/>
    <w:rsid w:val="00B658FB"/>
    <w:rsid w:val="00B659C7"/>
    <w:rsid w:val="00B659F1"/>
    <w:rsid w:val="00B65B30"/>
    <w:rsid w:val="00B65B4B"/>
    <w:rsid w:val="00B65BAB"/>
    <w:rsid w:val="00B65DA2"/>
    <w:rsid w:val="00B65F08"/>
    <w:rsid w:val="00B66032"/>
    <w:rsid w:val="00B66046"/>
    <w:rsid w:val="00B660EF"/>
    <w:rsid w:val="00B66123"/>
    <w:rsid w:val="00B66174"/>
    <w:rsid w:val="00B6631C"/>
    <w:rsid w:val="00B66467"/>
    <w:rsid w:val="00B6654F"/>
    <w:rsid w:val="00B6655A"/>
    <w:rsid w:val="00B66587"/>
    <w:rsid w:val="00B665AB"/>
    <w:rsid w:val="00B666B6"/>
    <w:rsid w:val="00B666C6"/>
    <w:rsid w:val="00B66748"/>
    <w:rsid w:val="00B66795"/>
    <w:rsid w:val="00B66808"/>
    <w:rsid w:val="00B6695B"/>
    <w:rsid w:val="00B669B7"/>
    <w:rsid w:val="00B66A5D"/>
    <w:rsid w:val="00B66A6A"/>
    <w:rsid w:val="00B66B42"/>
    <w:rsid w:val="00B66C80"/>
    <w:rsid w:val="00B66D65"/>
    <w:rsid w:val="00B66E24"/>
    <w:rsid w:val="00B66E57"/>
    <w:rsid w:val="00B66E9F"/>
    <w:rsid w:val="00B66F58"/>
    <w:rsid w:val="00B66F89"/>
    <w:rsid w:val="00B67094"/>
    <w:rsid w:val="00B670AD"/>
    <w:rsid w:val="00B6710E"/>
    <w:rsid w:val="00B67124"/>
    <w:rsid w:val="00B671D3"/>
    <w:rsid w:val="00B671DF"/>
    <w:rsid w:val="00B6722F"/>
    <w:rsid w:val="00B672FF"/>
    <w:rsid w:val="00B67346"/>
    <w:rsid w:val="00B673ED"/>
    <w:rsid w:val="00B674B3"/>
    <w:rsid w:val="00B6763E"/>
    <w:rsid w:val="00B6774E"/>
    <w:rsid w:val="00B67884"/>
    <w:rsid w:val="00B678BE"/>
    <w:rsid w:val="00B678FE"/>
    <w:rsid w:val="00B67918"/>
    <w:rsid w:val="00B67A8E"/>
    <w:rsid w:val="00B67B28"/>
    <w:rsid w:val="00B67B4E"/>
    <w:rsid w:val="00B67B5D"/>
    <w:rsid w:val="00B67B88"/>
    <w:rsid w:val="00B67BFE"/>
    <w:rsid w:val="00B67D4A"/>
    <w:rsid w:val="00B67D71"/>
    <w:rsid w:val="00B67DB5"/>
    <w:rsid w:val="00B67DBB"/>
    <w:rsid w:val="00B67F2D"/>
    <w:rsid w:val="00B67FBA"/>
    <w:rsid w:val="00B700DC"/>
    <w:rsid w:val="00B7027A"/>
    <w:rsid w:val="00B702E5"/>
    <w:rsid w:val="00B70385"/>
    <w:rsid w:val="00B7038E"/>
    <w:rsid w:val="00B703B5"/>
    <w:rsid w:val="00B70482"/>
    <w:rsid w:val="00B7057F"/>
    <w:rsid w:val="00B7064B"/>
    <w:rsid w:val="00B706A1"/>
    <w:rsid w:val="00B7080B"/>
    <w:rsid w:val="00B7085B"/>
    <w:rsid w:val="00B7088A"/>
    <w:rsid w:val="00B708B4"/>
    <w:rsid w:val="00B7096D"/>
    <w:rsid w:val="00B70995"/>
    <w:rsid w:val="00B70A5C"/>
    <w:rsid w:val="00B70BA9"/>
    <w:rsid w:val="00B70C92"/>
    <w:rsid w:val="00B70E0C"/>
    <w:rsid w:val="00B70E2C"/>
    <w:rsid w:val="00B70E55"/>
    <w:rsid w:val="00B70ED5"/>
    <w:rsid w:val="00B70EDE"/>
    <w:rsid w:val="00B70F0F"/>
    <w:rsid w:val="00B70F48"/>
    <w:rsid w:val="00B70F80"/>
    <w:rsid w:val="00B70F8F"/>
    <w:rsid w:val="00B710E9"/>
    <w:rsid w:val="00B711AC"/>
    <w:rsid w:val="00B7137B"/>
    <w:rsid w:val="00B71380"/>
    <w:rsid w:val="00B71389"/>
    <w:rsid w:val="00B713F8"/>
    <w:rsid w:val="00B71404"/>
    <w:rsid w:val="00B71638"/>
    <w:rsid w:val="00B7163E"/>
    <w:rsid w:val="00B71696"/>
    <w:rsid w:val="00B716AB"/>
    <w:rsid w:val="00B71703"/>
    <w:rsid w:val="00B7179E"/>
    <w:rsid w:val="00B717BF"/>
    <w:rsid w:val="00B718DF"/>
    <w:rsid w:val="00B71916"/>
    <w:rsid w:val="00B71996"/>
    <w:rsid w:val="00B719E4"/>
    <w:rsid w:val="00B71A49"/>
    <w:rsid w:val="00B71B6E"/>
    <w:rsid w:val="00B71B8F"/>
    <w:rsid w:val="00B71BD8"/>
    <w:rsid w:val="00B71C06"/>
    <w:rsid w:val="00B71CE7"/>
    <w:rsid w:val="00B71CF5"/>
    <w:rsid w:val="00B71D18"/>
    <w:rsid w:val="00B71D34"/>
    <w:rsid w:val="00B71DC5"/>
    <w:rsid w:val="00B71E04"/>
    <w:rsid w:val="00B71E30"/>
    <w:rsid w:val="00B71E40"/>
    <w:rsid w:val="00B71E74"/>
    <w:rsid w:val="00B71E7F"/>
    <w:rsid w:val="00B71EBF"/>
    <w:rsid w:val="00B71EF0"/>
    <w:rsid w:val="00B71F0C"/>
    <w:rsid w:val="00B71F73"/>
    <w:rsid w:val="00B71FA3"/>
    <w:rsid w:val="00B7216D"/>
    <w:rsid w:val="00B721B5"/>
    <w:rsid w:val="00B72250"/>
    <w:rsid w:val="00B723B3"/>
    <w:rsid w:val="00B724B2"/>
    <w:rsid w:val="00B724FF"/>
    <w:rsid w:val="00B725B7"/>
    <w:rsid w:val="00B72677"/>
    <w:rsid w:val="00B7271A"/>
    <w:rsid w:val="00B727AC"/>
    <w:rsid w:val="00B728D6"/>
    <w:rsid w:val="00B72959"/>
    <w:rsid w:val="00B72986"/>
    <w:rsid w:val="00B7298C"/>
    <w:rsid w:val="00B72A11"/>
    <w:rsid w:val="00B72A74"/>
    <w:rsid w:val="00B72AFD"/>
    <w:rsid w:val="00B72B1A"/>
    <w:rsid w:val="00B72C99"/>
    <w:rsid w:val="00B72EE0"/>
    <w:rsid w:val="00B73078"/>
    <w:rsid w:val="00B73213"/>
    <w:rsid w:val="00B7334B"/>
    <w:rsid w:val="00B73376"/>
    <w:rsid w:val="00B73383"/>
    <w:rsid w:val="00B73474"/>
    <w:rsid w:val="00B734A8"/>
    <w:rsid w:val="00B7359A"/>
    <w:rsid w:val="00B735BF"/>
    <w:rsid w:val="00B73687"/>
    <w:rsid w:val="00B736F8"/>
    <w:rsid w:val="00B736FD"/>
    <w:rsid w:val="00B7371D"/>
    <w:rsid w:val="00B73879"/>
    <w:rsid w:val="00B73883"/>
    <w:rsid w:val="00B73934"/>
    <w:rsid w:val="00B73951"/>
    <w:rsid w:val="00B73A15"/>
    <w:rsid w:val="00B73A3B"/>
    <w:rsid w:val="00B73A3D"/>
    <w:rsid w:val="00B73A5A"/>
    <w:rsid w:val="00B73B1A"/>
    <w:rsid w:val="00B73C0D"/>
    <w:rsid w:val="00B73CC2"/>
    <w:rsid w:val="00B73DC2"/>
    <w:rsid w:val="00B73E50"/>
    <w:rsid w:val="00B73F04"/>
    <w:rsid w:val="00B73F4B"/>
    <w:rsid w:val="00B73FD0"/>
    <w:rsid w:val="00B74298"/>
    <w:rsid w:val="00B742BF"/>
    <w:rsid w:val="00B74334"/>
    <w:rsid w:val="00B743CC"/>
    <w:rsid w:val="00B74425"/>
    <w:rsid w:val="00B7444A"/>
    <w:rsid w:val="00B745C5"/>
    <w:rsid w:val="00B745DA"/>
    <w:rsid w:val="00B74663"/>
    <w:rsid w:val="00B7466C"/>
    <w:rsid w:val="00B7473B"/>
    <w:rsid w:val="00B74823"/>
    <w:rsid w:val="00B74839"/>
    <w:rsid w:val="00B7492E"/>
    <w:rsid w:val="00B74A01"/>
    <w:rsid w:val="00B74A27"/>
    <w:rsid w:val="00B74A66"/>
    <w:rsid w:val="00B74B52"/>
    <w:rsid w:val="00B74B87"/>
    <w:rsid w:val="00B74BA2"/>
    <w:rsid w:val="00B74C8B"/>
    <w:rsid w:val="00B74C9E"/>
    <w:rsid w:val="00B74D54"/>
    <w:rsid w:val="00B74D5B"/>
    <w:rsid w:val="00B74DF6"/>
    <w:rsid w:val="00B75068"/>
    <w:rsid w:val="00B7508B"/>
    <w:rsid w:val="00B75092"/>
    <w:rsid w:val="00B7510D"/>
    <w:rsid w:val="00B75143"/>
    <w:rsid w:val="00B751C8"/>
    <w:rsid w:val="00B752EC"/>
    <w:rsid w:val="00B7557F"/>
    <w:rsid w:val="00B755EA"/>
    <w:rsid w:val="00B755FE"/>
    <w:rsid w:val="00B756B0"/>
    <w:rsid w:val="00B75791"/>
    <w:rsid w:val="00B75C1E"/>
    <w:rsid w:val="00B75C3B"/>
    <w:rsid w:val="00B75C6E"/>
    <w:rsid w:val="00B75CE7"/>
    <w:rsid w:val="00B75DE0"/>
    <w:rsid w:val="00B75E8B"/>
    <w:rsid w:val="00B75EE4"/>
    <w:rsid w:val="00B75F55"/>
    <w:rsid w:val="00B760FF"/>
    <w:rsid w:val="00B762D1"/>
    <w:rsid w:val="00B7631C"/>
    <w:rsid w:val="00B763BB"/>
    <w:rsid w:val="00B76455"/>
    <w:rsid w:val="00B764AB"/>
    <w:rsid w:val="00B764C2"/>
    <w:rsid w:val="00B764FD"/>
    <w:rsid w:val="00B7654A"/>
    <w:rsid w:val="00B76552"/>
    <w:rsid w:val="00B765DC"/>
    <w:rsid w:val="00B76607"/>
    <w:rsid w:val="00B76632"/>
    <w:rsid w:val="00B7676C"/>
    <w:rsid w:val="00B767C7"/>
    <w:rsid w:val="00B768B7"/>
    <w:rsid w:val="00B768BE"/>
    <w:rsid w:val="00B7695B"/>
    <w:rsid w:val="00B7697D"/>
    <w:rsid w:val="00B76A80"/>
    <w:rsid w:val="00B76AEE"/>
    <w:rsid w:val="00B76BC9"/>
    <w:rsid w:val="00B76BE2"/>
    <w:rsid w:val="00B76BF5"/>
    <w:rsid w:val="00B76C38"/>
    <w:rsid w:val="00B76C84"/>
    <w:rsid w:val="00B76D1A"/>
    <w:rsid w:val="00B76DBD"/>
    <w:rsid w:val="00B76E66"/>
    <w:rsid w:val="00B76EBF"/>
    <w:rsid w:val="00B76EC0"/>
    <w:rsid w:val="00B76EE8"/>
    <w:rsid w:val="00B76F41"/>
    <w:rsid w:val="00B77087"/>
    <w:rsid w:val="00B77132"/>
    <w:rsid w:val="00B771C4"/>
    <w:rsid w:val="00B771FB"/>
    <w:rsid w:val="00B773C3"/>
    <w:rsid w:val="00B7748D"/>
    <w:rsid w:val="00B77544"/>
    <w:rsid w:val="00B775AE"/>
    <w:rsid w:val="00B776C6"/>
    <w:rsid w:val="00B777B0"/>
    <w:rsid w:val="00B77898"/>
    <w:rsid w:val="00B778C6"/>
    <w:rsid w:val="00B77D5F"/>
    <w:rsid w:val="00B77D73"/>
    <w:rsid w:val="00B77DBB"/>
    <w:rsid w:val="00B77F3E"/>
    <w:rsid w:val="00B80100"/>
    <w:rsid w:val="00B80126"/>
    <w:rsid w:val="00B80200"/>
    <w:rsid w:val="00B80331"/>
    <w:rsid w:val="00B803C5"/>
    <w:rsid w:val="00B80424"/>
    <w:rsid w:val="00B80433"/>
    <w:rsid w:val="00B805A9"/>
    <w:rsid w:val="00B80700"/>
    <w:rsid w:val="00B8074F"/>
    <w:rsid w:val="00B8078A"/>
    <w:rsid w:val="00B80793"/>
    <w:rsid w:val="00B80924"/>
    <w:rsid w:val="00B8093F"/>
    <w:rsid w:val="00B80AD9"/>
    <w:rsid w:val="00B80B8D"/>
    <w:rsid w:val="00B80C18"/>
    <w:rsid w:val="00B80C65"/>
    <w:rsid w:val="00B80CA6"/>
    <w:rsid w:val="00B80CB5"/>
    <w:rsid w:val="00B80D04"/>
    <w:rsid w:val="00B80D6E"/>
    <w:rsid w:val="00B80E0A"/>
    <w:rsid w:val="00B80E44"/>
    <w:rsid w:val="00B80E50"/>
    <w:rsid w:val="00B80E59"/>
    <w:rsid w:val="00B80F06"/>
    <w:rsid w:val="00B80FDA"/>
    <w:rsid w:val="00B8101B"/>
    <w:rsid w:val="00B81020"/>
    <w:rsid w:val="00B81087"/>
    <w:rsid w:val="00B81104"/>
    <w:rsid w:val="00B81126"/>
    <w:rsid w:val="00B8113A"/>
    <w:rsid w:val="00B811F1"/>
    <w:rsid w:val="00B81209"/>
    <w:rsid w:val="00B81294"/>
    <w:rsid w:val="00B812DA"/>
    <w:rsid w:val="00B8136E"/>
    <w:rsid w:val="00B81466"/>
    <w:rsid w:val="00B81499"/>
    <w:rsid w:val="00B8149C"/>
    <w:rsid w:val="00B8149E"/>
    <w:rsid w:val="00B814F4"/>
    <w:rsid w:val="00B814FF"/>
    <w:rsid w:val="00B81555"/>
    <w:rsid w:val="00B81567"/>
    <w:rsid w:val="00B817C7"/>
    <w:rsid w:val="00B818D0"/>
    <w:rsid w:val="00B8190D"/>
    <w:rsid w:val="00B8191A"/>
    <w:rsid w:val="00B81991"/>
    <w:rsid w:val="00B819AB"/>
    <w:rsid w:val="00B81A4C"/>
    <w:rsid w:val="00B81B27"/>
    <w:rsid w:val="00B81B4E"/>
    <w:rsid w:val="00B81B67"/>
    <w:rsid w:val="00B81BF3"/>
    <w:rsid w:val="00B81D99"/>
    <w:rsid w:val="00B81DD8"/>
    <w:rsid w:val="00B81DF3"/>
    <w:rsid w:val="00B81E84"/>
    <w:rsid w:val="00B81EB3"/>
    <w:rsid w:val="00B81F6E"/>
    <w:rsid w:val="00B81FFA"/>
    <w:rsid w:val="00B82017"/>
    <w:rsid w:val="00B820F9"/>
    <w:rsid w:val="00B822A5"/>
    <w:rsid w:val="00B822AC"/>
    <w:rsid w:val="00B822FE"/>
    <w:rsid w:val="00B82348"/>
    <w:rsid w:val="00B823D5"/>
    <w:rsid w:val="00B823F9"/>
    <w:rsid w:val="00B82484"/>
    <w:rsid w:val="00B82554"/>
    <w:rsid w:val="00B8258E"/>
    <w:rsid w:val="00B825AC"/>
    <w:rsid w:val="00B8279D"/>
    <w:rsid w:val="00B8280E"/>
    <w:rsid w:val="00B8281C"/>
    <w:rsid w:val="00B8282C"/>
    <w:rsid w:val="00B82907"/>
    <w:rsid w:val="00B8292F"/>
    <w:rsid w:val="00B82997"/>
    <w:rsid w:val="00B829A2"/>
    <w:rsid w:val="00B82A82"/>
    <w:rsid w:val="00B82AAF"/>
    <w:rsid w:val="00B82AF5"/>
    <w:rsid w:val="00B82B19"/>
    <w:rsid w:val="00B82B80"/>
    <w:rsid w:val="00B82C24"/>
    <w:rsid w:val="00B82D39"/>
    <w:rsid w:val="00B82E1A"/>
    <w:rsid w:val="00B82E83"/>
    <w:rsid w:val="00B82EBC"/>
    <w:rsid w:val="00B82F52"/>
    <w:rsid w:val="00B82FD4"/>
    <w:rsid w:val="00B83030"/>
    <w:rsid w:val="00B83190"/>
    <w:rsid w:val="00B831DE"/>
    <w:rsid w:val="00B8322D"/>
    <w:rsid w:val="00B8323A"/>
    <w:rsid w:val="00B832C1"/>
    <w:rsid w:val="00B83311"/>
    <w:rsid w:val="00B83333"/>
    <w:rsid w:val="00B8334E"/>
    <w:rsid w:val="00B833DC"/>
    <w:rsid w:val="00B8348D"/>
    <w:rsid w:val="00B836B2"/>
    <w:rsid w:val="00B8374D"/>
    <w:rsid w:val="00B83761"/>
    <w:rsid w:val="00B837F9"/>
    <w:rsid w:val="00B83823"/>
    <w:rsid w:val="00B83829"/>
    <w:rsid w:val="00B838A4"/>
    <w:rsid w:val="00B839B2"/>
    <w:rsid w:val="00B83A9C"/>
    <w:rsid w:val="00B83AF9"/>
    <w:rsid w:val="00B83AFF"/>
    <w:rsid w:val="00B83B4A"/>
    <w:rsid w:val="00B83B5F"/>
    <w:rsid w:val="00B83DD1"/>
    <w:rsid w:val="00B83E4C"/>
    <w:rsid w:val="00B83E93"/>
    <w:rsid w:val="00B83EC1"/>
    <w:rsid w:val="00B83EFE"/>
    <w:rsid w:val="00B83F7D"/>
    <w:rsid w:val="00B83F8F"/>
    <w:rsid w:val="00B84079"/>
    <w:rsid w:val="00B84082"/>
    <w:rsid w:val="00B84104"/>
    <w:rsid w:val="00B841F7"/>
    <w:rsid w:val="00B842CC"/>
    <w:rsid w:val="00B8435D"/>
    <w:rsid w:val="00B84366"/>
    <w:rsid w:val="00B843C9"/>
    <w:rsid w:val="00B8449E"/>
    <w:rsid w:val="00B84547"/>
    <w:rsid w:val="00B845E5"/>
    <w:rsid w:val="00B84689"/>
    <w:rsid w:val="00B8469C"/>
    <w:rsid w:val="00B8487D"/>
    <w:rsid w:val="00B84ABE"/>
    <w:rsid w:val="00B84C41"/>
    <w:rsid w:val="00B84C48"/>
    <w:rsid w:val="00B84C69"/>
    <w:rsid w:val="00B84C7A"/>
    <w:rsid w:val="00B84D0C"/>
    <w:rsid w:val="00B84E7D"/>
    <w:rsid w:val="00B84F0D"/>
    <w:rsid w:val="00B84F80"/>
    <w:rsid w:val="00B850AE"/>
    <w:rsid w:val="00B85172"/>
    <w:rsid w:val="00B851A2"/>
    <w:rsid w:val="00B8538E"/>
    <w:rsid w:val="00B8546E"/>
    <w:rsid w:val="00B85482"/>
    <w:rsid w:val="00B85530"/>
    <w:rsid w:val="00B855C5"/>
    <w:rsid w:val="00B856B4"/>
    <w:rsid w:val="00B856DC"/>
    <w:rsid w:val="00B85702"/>
    <w:rsid w:val="00B85793"/>
    <w:rsid w:val="00B8579F"/>
    <w:rsid w:val="00B8584D"/>
    <w:rsid w:val="00B858AA"/>
    <w:rsid w:val="00B85919"/>
    <w:rsid w:val="00B85935"/>
    <w:rsid w:val="00B85A01"/>
    <w:rsid w:val="00B85AFB"/>
    <w:rsid w:val="00B85C3F"/>
    <w:rsid w:val="00B85D05"/>
    <w:rsid w:val="00B85D4E"/>
    <w:rsid w:val="00B85D81"/>
    <w:rsid w:val="00B85D8C"/>
    <w:rsid w:val="00B85E4F"/>
    <w:rsid w:val="00B85E72"/>
    <w:rsid w:val="00B85EC1"/>
    <w:rsid w:val="00B85ED6"/>
    <w:rsid w:val="00B85F54"/>
    <w:rsid w:val="00B860E6"/>
    <w:rsid w:val="00B8610D"/>
    <w:rsid w:val="00B86274"/>
    <w:rsid w:val="00B8627C"/>
    <w:rsid w:val="00B862A1"/>
    <w:rsid w:val="00B86454"/>
    <w:rsid w:val="00B86559"/>
    <w:rsid w:val="00B865DE"/>
    <w:rsid w:val="00B866B0"/>
    <w:rsid w:val="00B866B9"/>
    <w:rsid w:val="00B866EF"/>
    <w:rsid w:val="00B86885"/>
    <w:rsid w:val="00B86912"/>
    <w:rsid w:val="00B86974"/>
    <w:rsid w:val="00B86A8B"/>
    <w:rsid w:val="00B86B72"/>
    <w:rsid w:val="00B86BF1"/>
    <w:rsid w:val="00B86D49"/>
    <w:rsid w:val="00B86E3E"/>
    <w:rsid w:val="00B86E7B"/>
    <w:rsid w:val="00B86EDD"/>
    <w:rsid w:val="00B86EF9"/>
    <w:rsid w:val="00B86F57"/>
    <w:rsid w:val="00B86F9D"/>
    <w:rsid w:val="00B8704C"/>
    <w:rsid w:val="00B871B6"/>
    <w:rsid w:val="00B87252"/>
    <w:rsid w:val="00B87278"/>
    <w:rsid w:val="00B872E1"/>
    <w:rsid w:val="00B873E3"/>
    <w:rsid w:val="00B873E4"/>
    <w:rsid w:val="00B8752D"/>
    <w:rsid w:val="00B8753E"/>
    <w:rsid w:val="00B87552"/>
    <w:rsid w:val="00B875CA"/>
    <w:rsid w:val="00B87629"/>
    <w:rsid w:val="00B876DA"/>
    <w:rsid w:val="00B8771B"/>
    <w:rsid w:val="00B87771"/>
    <w:rsid w:val="00B87870"/>
    <w:rsid w:val="00B87946"/>
    <w:rsid w:val="00B87986"/>
    <w:rsid w:val="00B87BFF"/>
    <w:rsid w:val="00B87C0C"/>
    <w:rsid w:val="00B87C43"/>
    <w:rsid w:val="00B87D9B"/>
    <w:rsid w:val="00B87DA6"/>
    <w:rsid w:val="00B87DCD"/>
    <w:rsid w:val="00B87E69"/>
    <w:rsid w:val="00B87E75"/>
    <w:rsid w:val="00B87EE6"/>
    <w:rsid w:val="00B87EF1"/>
    <w:rsid w:val="00B87FCF"/>
    <w:rsid w:val="00B89776"/>
    <w:rsid w:val="00B90050"/>
    <w:rsid w:val="00B90099"/>
    <w:rsid w:val="00B900E5"/>
    <w:rsid w:val="00B9019D"/>
    <w:rsid w:val="00B901C6"/>
    <w:rsid w:val="00B901EC"/>
    <w:rsid w:val="00B9027D"/>
    <w:rsid w:val="00B903F6"/>
    <w:rsid w:val="00B90457"/>
    <w:rsid w:val="00B9048F"/>
    <w:rsid w:val="00B904FD"/>
    <w:rsid w:val="00B906AA"/>
    <w:rsid w:val="00B906BE"/>
    <w:rsid w:val="00B90841"/>
    <w:rsid w:val="00B90852"/>
    <w:rsid w:val="00B9088E"/>
    <w:rsid w:val="00B908C3"/>
    <w:rsid w:val="00B90930"/>
    <w:rsid w:val="00B90A4D"/>
    <w:rsid w:val="00B90B82"/>
    <w:rsid w:val="00B90B86"/>
    <w:rsid w:val="00B90C98"/>
    <w:rsid w:val="00B90CD9"/>
    <w:rsid w:val="00B90D33"/>
    <w:rsid w:val="00B90DC6"/>
    <w:rsid w:val="00B90E8D"/>
    <w:rsid w:val="00B90F10"/>
    <w:rsid w:val="00B90F36"/>
    <w:rsid w:val="00B90F50"/>
    <w:rsid w:val="00B90F80"/>
    <w:rsid w:val="00B90F97"/>
    <w:rsid w:val="00B911CA"/>
    <w:rsid w:val="00B91221"/>
    <w:rsid w:val="00B912D0"/>
    <w:rsid w:val="00B9131B"/>
    <w:rsid w:val="00B913A7"/>
    <w:rsid w:val="00B91420"/>
    <w:rsid w:val="00B91434"/>
    <w:rsid w:val="00B91516"/>
    <w:rsid w:val="00B91558"/>
    <w:rsid w:val="00B91642"/>
    <w:rsid w:val="00B91679"/>
    <w:rsid w:val="00B916B4"/>
    <w:rsid w:val="00B916DB"/>
    <w:rsid w:val="00B917B8"/>
    <w:rsid w:val="00B917F7"/>
    <w:rsid w:val="00B9180C"/>
    <w:rsid w:val="00B91852"/>
    <w:rsid w:val="00B918B0"/>
    <w:rsid w:val="00B918F1"/>
    <w:rsid w:val="00B91C06"/>
    <w:rsid w:val="00B91C17"/>
    <w:rsid w:val="00B91D3B"/>
    <w:rsid w:val="00B91E4D"/>
    <w:rsid w:val="00B91EC9"/>
    <w:rsid w:val="00B91F05"/>
    <w:rsid w:val="00B91FE7"/>
    <w:rsid w:val="00B920F8"/>
    <w:rsid w:val="00B922D9"/>
    <w:rsid w:val="00B923DF"/>
    <w:rsid w:val="00B924D3"/>
    <w:rsid w:val="00B9253D"/>
    <w:rsid w:val="00B92573"/>
    <w:rsid w:val="00B9257F"/>
    <w:rsid w:val="00B925A4"/>
    <w:rsid w:val="00B9271B"/>
    <w:rsid w:val="00B92787"/>
    <w:rsid w:val="00B927AD"/>
    <w:rsid w:val="00B927B0"/>
    <w:rsid w:val="00B92813"/>
    <w:rsid w:val="00B92866"/>
    <w:rsid w:val="00B928A6"/>
    <w:rsid w:val="00B929C3"/>
    <w:rsid w:val="00B929D4"/>
    <w:rsid w:val="00B929E4"/>
    <w:rsid w:val="00B92A3E"/>
    <w:rsid w:val="00B92A51"/>
    <w:rsid w:val="00B92AAA"/>
    <w:rsid w:val="00B92AE4"/>
    <w:rsid w:val="00B92C41"/>
    <w:rsid w:val="00B92D97"/>
    <w:rsid w:val="00B92F23"/>
    <w:rsid w:val="00B92F2D"/>
    <w:rsid w:val="00B92F5F"/>
    <w:rsid w:val="00B92FE8"/>
    <w:rsid w:val="00B93037"/>
    <w:rsid w:val="00B930D8"/>
    <w:rsid w:val="00B9328F"/>
    <w:rsid w:val="00B9341C"/>
    <w:rsid w:val="00B934AA"/>
    <w:rsid w:val="00B934E7"/>
    <w:rsid w:val="00B9359F"/>
    <w:rsid w:val="00B935C8"/>
    <w:rsid w:val="00B935F3"/>
    <w:rsid w:val="00B936DC"/>
    <w:rsid w:val="00B936E2"/>
    <w:rsid w:val="00B9375E"/>
    <w:rsid w:val="00B93786"/>
    <w:rsid w:val="00B9382B"/>
    <w:rsid w:val="00B93857"/>
    <w:rsid w:val="00B9389D"/>
    <w:rsid w:val="00B939E7"/>
    <w:rsid w:val="00B93A3C"/>
    <w:rsid w:val="00B93B01"/>
    <w:rsid w:val="00B93B47"/>
    <w:rsid w:val="00B93B93"/>
    <w:rsid w:val="00B93BB5"/>
    <w:rsid w:val="00B93BB7"/>
    <w:rsid w:val="00B93C2B"/>
    <w:rsid w:val="00B93CA7"/>
    <w:rsid w:val="00B93D29"/>
    <w:rsid w:val="00B93F5B"/>
    <w:rsid w:val="00B93FF4"/>
    <w:rsid w:val="00B94099"/>
    <w:rsid w:val="00B9410D"/>
    <w:rsid w:val="00B941C2"/>
    <w:rsid w:val="00B9435F"/>
    <w:rsid w:val="00B9440D"/>
    <w:rsid w:val="00B94511"/>
    <w:rsid w:val="00B945C3"/>
    <w:rsid w:val="00B9468F"/>
    <w:rsid w:val="00B94699"/>
    <w:rsid w:val="00B946AA"/>
    <w:rsid w:val="00B94746"/>
    <w:rsid w:val="00B94793"/>
    <w:rsid w:val="00B94846"/>
    <w:rsid w:val="00B94940"/>
    <w:rsid w:val="00B94A62"/>
    <w:rsid w:val="00B94A6E"/>
    <w:rsid w:val="00B94CB2"/>
    <w:rsid w:val="00B94DE9"/>
    <w:rsid w:val="00B94EB6"/>
    <w:rsid w:val="00B94ECE"/>
    <w:rsid w:val="00B94ED1"/>
    <w:rsid w:val="00B94EEB"/>
    <w:rsid w:val="00B94F92"/>
    <w:rsid w:val="00B95015"/>
    <w:rsid w:val="00B95022"/>
    <w:rsid w:val="00B9518C"/>
    <w:rsid w:val="00B95229"/>
    <w:rsid w:val="00B95339"/>
    <w:rsid w:val="00B95380"/>
    <w:rsid w:val="00B95462"/>
    <w:rsid w:val="00B95513"/>
    <w:rsid w:val="00B9560F"/>
    <w:rsid w:val="00B956C5"/>
    <w:rsid w:val="00B95706"/>
    <w:rsid w:val="00B9570B"/>
    <w:rsid w:val="00B95756"/>
    <w:rsid w:val="00B9575A"/>
    <w:rsid w:val="00B95783"/>
    <w:rsid w:val="00B95834"/>
    <w:rsid w:val="00B9585B"/>
    <w:rsid w:val="00B9588D"/>
    <w:rsid w:val="00B958C4"/>
    <w:rsid w:val="00B95A3F"/>
    <w:rsid w:val="00B95ACC"/>
    <w:rsid w:val="00B95B70"/>
    <w:rsid w:val="00B95BAA"/>
    <w:rsid w:val="00B95CDD"/>
    <w:rsid w:val="00B95CE5"/>
    <w:rsid w:val="00B95E00"/>
    <w:rsid w:val="00B95E01"/>
    <w:rsid w:val="00B95EB5"/>
    <w:rsid w:val="00B95EC9"/>
    <w:rsid w:val="00B95FB0"/>
    <w:rsid w:val="00B96075"/>
    <w:rsid w:val="00B960F4"/>
    <w:rsid w:val="00B961AB"/>
    <w:rsid w:val="00B96211"/>
    <w:rsid w:val="00B96295"/>
    <w:rsid w:val="00B96343"/>
    <w:rsid w:val="00B963AB"/>
    <w:rsid w:val="00B963B8"/>
    <w:rsid w:val="00B9643A"/>
    <w:rsid w:val="00B96443"/>
    <w:rsid w:val="00B96467"/>
    <w:rsid w:val="00B96482"/>
    <w:rsid w:val="00B96559"/>
    <w:rsid w:val="00B965DF"/>
    <w:rsid w:val="00B9672C"/>
    <w:rsid w:val="00B96793"/>
    <w:rsid w:val="00B968DE"/>
    <w:rsid w:val="00B9694F"/>
    <w:rsid w:val="00B969C9"/>
    <w:rsid w:val="00B96A52"/>
    <w:rsid w:val="00B96A80"/>
    <w:rsid w:val="00B96BD6"/>
    <w:rsid w:val="00B96C50"/>
    <w:rsid w:val="00B96CF4"/>
    <w:rsid w:val="00B96D58"/>
    <w:rsid w:val="00B96DD8"/>
    <w:rsid w:val="00B96F1B"/>
    <w:rsid w:val="00B96F91"/>
    <w:rsid w:val="00B9717B"/>
    <w:rsid w:val="00B97240"/>
    <w:rsid w:val="00B9727F"/>
    <w:rsid w:val="00B973A2"/>
    <w:rsid w:val="00B973D2"/>
    <w:rsid w:val="00B973E9"/>
    <w:rsid w:val="00B975B4"/>
    <w:rsid w:val="00B976EC"/>
    <w:rsid w:val="00B97708"/>
    <w:rsid w:val="00B977A6"/>
    <w:rsid w:val="00B977C7"/>
    <w:rsid w:val="00B97875"/>
    <w:rsid w:val="00B97879"/>
    <w:rsid w:val="00B97925"/>
    <w:rsid w:val="00B97A0E"/>
    <w:rsid w:val="00B97A38"/>
    <w:rsid w:val="00B97AB5"/>
    <w:rsid w:val="00B97BF7"/>
    <w:rsid w:val="00B97CDD"/>
    <w:rsid w:val="00B97D13"/>
    <w:rsid w:val="00B97E89"/>
    <w:rsid w:val="00B97F18"/>
    <w:rsid w:val="00B97F3F"/>
    <w:rsid w:val="00BA00F4"/>
    <w:rsid w:val="00BA01CB"/>
    <w:rsid w:val="00BA0391"/>
    <w:rsid w:val="00BA03ED"/>
    <w:rsid w:val="00BA0574"/>
    <w:rsid w:val="00BA0674"/>
    <w:rsid w:val="00BA099C"/>
    <w:rsid w:val="00BA0AE6"/>
    <w:rsid w:val="00BA0AF1"/>
    <w:rsid w:val="00BA0CD3"/>
    <w:rsid w:val="00BA0D7F"/>
    <w:rsid w:val="00BA0EDB"/>
    <w:rsid w:val="00BA1032"/>
    <w:rsid w:val="00BA1148"/>
    <w:rsid w:val="00BA12C6"/>
    <w:rsid w:val="00BA12CC"/>
    <w:rsid w:val="00BA1309"/>
    <w:rsid w:val="00BA1408"/>
    <w:rsid w:val="00BA147F"/>
    <w:rsid w:val="00BA149E"/>
    <w:rsid w:val="00BA15D2"/>
    <w:rsid w:val="00BA16E9"/>
    <w:rsid w:val="00BA16EE"/>
    <w:rsid w:val="00BA1867"/>
    <w:rsid w:val="00BA194D"/>
    <w:rsid w:val="00BA1974"/>
    <w:rsid w:val="00BA199C"/>
    <w:rsid w:val="00BA1A33"/>
    <w:rsid w:val="00BA1A94"/>
    <w:rsid w:val="00BA1B6D"/>
    <w:rsid w:val="00BA1B7C"/>
    <w:rsid w:val="00BA1BD5"/>
    <w:rsid w:val="00BA1C58"/>
    <w:rsid w:val="00BA1CC9"/>
    <w:rsid w:val="00BA1CD3"/>
    <w:rsid w:val="00BA1D6A"/>
    <w:rsid w:val="00BA1DEA"/>
    <w:rsid w:val="00BA1E0C"/>
    <w:rsid w:val="00BA1F0D"/>
    <w:rsid w:val="00BA1F4D"/>
    <w:rsid w:val="00BA1F80"/>
    <w:rsid w:val="00BA1FC5"/>
    <w:rsid w:val="00BA207F"/>
    <w:rsid w:val="00BA20A3"/>
    <w:rsid w:val="00BA22B8"/>
    <w:rsid w:val="00BA2313"/>
    <w:rsid w:val="00BA2344"/>
    <w:rsid w:val="00BA239B"/>
    <w:rsid w:val="00BA23F6"/>
    <w:rsid w:val="00BA2415"/>
    <w:rsid w:val="00BA2434"/>
    <w:rsid w:val="00BA244F"/>
    <w:rsid w:val="00BA268D"/>
    <w:rsid w:val="00BA2719"/>
    <w:rsid w:val="00BA27CB"/>
    <w:rsid w:val="00BA2849"/>
    <w:rsid w:val="00BA28B0"/>
    <w:rsid w:val="00BA29D8"/>
    <w:rsid w:val="00BA2A53"/>
    <w:rsid w:val="00BA2B40"/>
    <w:rsid w:val="00BA2B4B"/>
    <w:rsid w:val="00BA2B82"/>
    <w:rsid w:val="00BA2CE8"/>
    <w:rsid w:val="00BA2DD2"/>
    <w:rsid w:val="00BA2DFA"/>
    <w:rsid w:val="00BA2E2A"/>
    <w:rsid w:val="00BA3028"/>
    <w:rsid w:val="00BA3095"/>
    <w:rsid w:val="00BA30F4"/>
    <w:rsid w:val="00BA32D6"/>
    <w:rsid w:val="00BA32EA"/>
    <w:rsid w:val="00BA32F3"/>
    <w:rsid w:val="00BA3318"/>
    <w:rsid w:val="00BA3476"/>
    <w:rsid w:val="00BA3558"/>
    <w:rsid w:val="00BA35B4"/>
    <w:rsid w:val="00BA361B"/>
    <w:rsid w:val="00BA36BE"/>
    <w:rsid w:val="00BA3750"/>
    <w:rsid w:val="00BA37BB"/>
    <w:rsid w:val="00BA388A"/>
    <w:rsid w:val="00BA3978"/>
    <w:rsid w:val="00BA397F"/>
    <w:rsid w:val="00BA39AE"/>
    <w:rsid w:val="00BA3A1B"/>
    <w:rsid w:val="00BA3A9B"/>
    <w:rsid w:val="00BA3B10"/>
    <w:rsid w:val="00BA3B74"/>
    <w:rsid w:val="00BA3CBD"/>
    <w:rsid w:val="00BA3D5C"/>
    <w:rsid w:val="00BA3D92"/>
    <w:rsid w:val="00BA3E4D"/>
    <w:rsid w:val="00BA3EDA"/>
    <w:rsid w:val="00BA3F93"/>
    <w:rsid w:val="00BA3FC9"/>
    <w:rsid w:val="00BA40A6"/>
    <w:rsid w:val="00BA4202"/>
    <w:rsid w:val="00BA44BD"/>
    <w:rsid w:val="00BA44C5"/>
    <w:rsid w:val="00BA4500"/>
    <w:rsid w:val="00BA4579"/>
    <w:rsid w:val="00BA45CB"/>
    <w:rsid w:val="00BA4672"/>
    <w:rsid w:val="00BA46DA"/>
    <w:rsid w:val="00BA46F9"/>
    <w:rsid w:val="00BA4732"/>
    <w:rsid w:val="00BA4789"/>
    <w:rsid w:val="00BA47BD"/>
    <w:rsid w:val="00BA482F"/>
    <w:rsid w:val="00BA489F"/>
    <w:rsid w:val="00BA48AA"/>
    <w:rsid w:val="00BA48C7"/>
    <w:rsid w:val="00BA4961"/>
    <w:rsid w:val="00BA4A30"/>
    <w:rsid w:val="00BA4B2B"/>
    <w:rsid w:val="00BA4B49"/>
    <w:rsid w:val="00BA4B7A"/>
    <w:rsid w:val="00BA4C25"/>
    <w:rsid w:val="00BA4CC9"/>
    <w:rsid w:val="00BA4D16"/>
    <w:rsid w:val="00BA4E6D"/>
    <w:rsid w:val="00BA4F0E"/>
    <w:rsid w:val="00BA4F4B"/>
    <w:rsid w:val="00BA4F85"/>
    <w:rsid w:val="00BA4F8B"/>
    <w:rsid w:val="00BA50A7"/>
    <w:rsid w:val="00BA520D"/>
    <w:rsid w:val="00BA52AF"/>
    <w:rsid w:val="00BA5434"/>
    <w:rsid w:val="00BA5475"/>
    <w:rsid w:val="00BA5572"/>
    <w:rsid w:val="00BA55FE"/>
    <w:rsid w:val="00BA5639"/>
    <w:rsid w:val="00BA570E"/>
    <w:rsid w:val="00BA5711"/>
    <w:rsid w:val="00BA5788"/>
    <w:rsid w:val="00BA57FE"/>
    <w:rsid w:val="00BA5807"/>
    <w:rsid w:val="00BA5995"/>
    <w:rsid w:val="00BA5AAA"/>
    <w:rsid w:val="00BA5B74"/>
    <w:rsid w:val="00BA5BBD"/>
    <w:rsid w:val="00BA5BDA"/>
    <w:rsid w:val="00BA5C0D"/>
    <w:rsid w:val="00BA5C26"/>
    <w:rsid w:val="00BA5C31"/>
    <w:rsid w:val="00BA5CFD"/>
    <w:rsid w:val="00BA5D58"/>
    <w:rsid w:val="00BA5DF6"/>
    <w:rsid w:val="00BA6068"/>
    <w:rsid w:val="00BA6260"/>
    <w:rsid w:val="00BA6305"/>
    <w:rsid w:val="00BA6421"/>
    <w:rsid w:val="00BA6428"/>
    <w:rsid w:val="00BA6510"/>
    <w:rsid w:val="00BA65A5"/>
    <w:rsid w:val="00BA65D4"/>
    <w:rsid w:val="00BA6680"/>
    <w:rsid w:val="00BA66E2"/>
    <w:rsid w:val="00BA66EB"/>
    <w:rsid w:val="00BA6723"/>
    <w:rsid w:val="00BA68F7"/>
    <w:rsid w:val="00BA69A3"/>
    <w:rsid w:val="00BA69FE"/>
    <w:rsid w:val="00BA6A06"/>
    <w:rsid w:val="00BA6A19"/>
    <w:rsid w:val="00BA6B17"/>
    <w:rsid w:val="00BA6B96"/>
    <w:rsid w:val="00BA6BD3"/>
    <w:rsid w:val="00BA6CB0"/>
    <w:rsid w:val="00BA6D1C"/>
    <w:rsid w:val="00BA6D3A"/>
    <w:rsid w:val="00BA6D3E"/>
    <w:rsid w:val="00BA6D45"/>
    <w:rsid w:val="00BA6D9F"/>
    <w:rsid w:val="00BA6DD5"/>
    <w:rsid w:val="00BA6DE3"/>
    <w:rsid w:val="00BA6FA8"/>
    <w:rsid w:val="00BA701A"/>
    <w:rsid w:val="00BA7021"/>
    <w:rsid w:val="00BA710B"/>
    <w:rsid w:val="00BA722B"/>
    <w:rsid w:val="00BA7364"/>
    <w:rsid w:val="00BA743C"/>
    <w:rsid w:val="00BA74E1"/>
    <w:rsid w:val="00BA752E"/>
    <w:rsid w:val="00BA75EE"/>
    <w:rsid w:val="00BA78A5"/>
    <w:rsid w:val="00BA78CA"/>
    <w:rsid w:val="00BA795A"/>
    <w:rsid w:val="00BA79E7"/>
    <w:rsid w:val="00BA7A0F"/>
    <w:rsid w:val="00BA7A25"/>
    <w:rsid w:val="00BA7C30"/>
    <w:rsid w:val="00BA7C9F"/>
    <w:rsid w:val="00BA7CA8"/>
    <w:rsid w:val="00BA7CAA"/>
    <w:rsid w:val="00BA7CCA"/>
    <w:rsid w:val="00BA7D4D"/>
    <w:rsid w:val="00BA7E1B"/>
    <w:rsid w:val="00BA7E37"/>
    <w:rsid w:val="00BA7F47"/>
    <w:rsid w:val="00BA7FFC"/>
    <w:rsid w:val="00BB034F"/>
    <w:rsid w:val="00BB048D"/>
    <w:rsid w:val="00BB04BF"/>
    <w:rsid w:val="00BB0697"/>
    <w:rsid w:val="00BB06BA"/>
    <w:rsid w:val="00BB070C"/>
    <w:rsid w:val="00BB0965"/>
    <w:rsid w:val="00BB0B16"/>
    <w:rsid w:val="00BB0B44"/>
    <w:rsid w:val="00BB0B54"/>
    <w:rsid w:val="00BB0CA7"/>
    <w:rsid w:val="00BB0DA2"/>
    <w:rsid w:val="00BB0DB3"/>
    <w:rsid w:val="00BB0EDB"/>
    <w:rsid w:val="00BB10BA"/>
    <w:rsid w:val="00BB1133"/>
    <w:rsid w:val="00BB115C"/>
    <w:rsid w:val="00BB118F"/>
    <w:rsid w:val="00BB12BB"/>
    <w:rsid w:val="00BB12C3"/>
    <w:rsid w:val="00BB1513"/>
    <w:rsid w:val="00BB1660"/>
    <w:rsid w:val="00BB1684"/>
    <w:rsid w:val="00BB1796"/>
    <w:rsid w:val="00BB1866"/>
    <w:rsid w:val="00BB18B5"/>
    <w:rsid w:val="00BB18BD"/>
    <w:rsid w:val="00BB19AB"/>
    <w:rsid w:val="00BB1A68"/>
    <w:rsid w:val="00BB1A75"/>
    <w:rsid w:val="00BB1C94"/>
    <w:rsid w:val="00BB1E27"/>
    <w:rsid w:val="00BB1F67"/>
    <w:rsid w:val="00BB20FA"/>
    <w:rsid w:val="00BB2131"/>
    <w:rsid w:val="00BB2181"/>
    <w:rsid w:val="00BB22B8"/>
    <w:rsid w:val="00BB22D0"/>
    <w:rsid w:val="00BB2310"/>
    <w:rsid w:val="00BB2389"/>
    <w:rsid w:val="00BB2409"/>
    <w:rsid w:val="00BB240E"/>
    <w:rsid w:val="00BB2440"/>
    <w:rsid w:val="00BB24AB"/>
    <w:rsid w:val="00BB24B7"/>
    <w:rsid w:val="00BB24F5"/>
    <w:rsid w:val="00BB2535"/>
    <w:rsid w:val="00BB25E9"/>
    <w:rsid w:val="00BB260A"/>
    <w:rsid w:val="00BB274E"/>
    <w:rsid w:val="00BB2802"/>
    <w:rsid w:val="00BB288B"/>
    <w:rsid w:val="00BB28B7"/>
    <w:rsid w:val="00BB28F4"/>
    <w:rsid w:val="00BB292B"/>
    <w:rsid w:val="00BB2945"/>
    <w:rsid w:val="00BB2A64"/>
    <w:rsid w:val="00BB2B83"/>
    <w:rsid w:val="00BB2C40"/>
    <w:rsid w:val="00BB2C7C"/>
    <w:rsid w:val="00BB2CD0"/>
    <w:rsid w:val="00BB2CF6"/>
    <w:rsid w:val="00BB2E43"/>
    <w:rsid w:val="00BB3088"/>
    <w:rsid w:val="00BB308E"/>
    <w:rsid w:val="00BB3336"/>
    <w:rsid w:val="00BB335A"/>
    <w:rsid w:val="00BB339E"/>
    <w:rsid w:val="00BB33EA"/>
    <w:rsid w:val="00BB34E5"/>
    <w:rsid w:val="00BB37E2"/>
    <w:rsid w:val="00BB3A3D"/>
    <w:rsid w:val="00BB3ABC"/>
    <w:rsid w:val="00BB3AC3"/>
    <w:rsid w:val="00BB3C38"/>
    <w:rsid w:val="00BB3CC7"/>
    <w:rsid w:val="00BB3CF7"/>
    <w:rsid w:val="00BB3DE9"/>
    <w:rsid w:val="00BB3F43"/>
    <w:rsid w:val="00BB3F89"/>
    <w:rsid w:val="00BB3FB4"/>
    <w:rsid w:val="00BB40C7"/>
    <w:rsid w:val="00BB41A4"/>
    <w:rsid w:val="00BB41F9"/>
    <w:rsid w:val="00BB4219"/>
    <w:rsid w:val="00BB427C"/>
    <w:rsid w:val="00BB42CA"/>
    <w:rsid w:val="00BB4326"/>
    <w:rsid w:val="00BB43BC"/>
    <w:rsid w:val="00BB449E"/>
    <w:rsid w:val="00BB4509"/>
    <w:rsid w:val="00BB45A6"/>
    <w:rsid w:val="00BB4640"/>
    <w:rsid w:val="00BB4676"/>
    <w:rsid w:val="00BB470A"/>
    <w:rsid w:val="00BB4725"/>
    <w:rsid w:val="00BB47BB"/>
    <w:rsid w:val="00BB4822"/>
    <w:rsid w:val="00BB4A40"/>
    <w:rsid w:val="00BB4A8F"/>
    <w:rsid w:val="00BB4B0E"/>
    <w:rsid w:val="00BB4BBC"/>
    <w:rsid w:val="00BB4BFB"/>
    <w:rsid w:val="00BB4D0E"/>
    <w:rsid w:val="00BB4D70"/>
    <w:rsid w:val="00BB4E99"/>
    <w:rsid w:val="00BB4F95"/>
    <w:rsid w:val="00BB5093"/>
    <w:rsid w:val="00BB5124"/>
    <w:rsid w:val="00BB5215"/>
    <w:rsid w:val="00BB5232"/>
    <w:rsid w:val="00BB52B6"/>
    <w:rsid w:val="00BB5377"/>
    <w:rsid w:val="00BB5395"/>
    <w:rsid w:val="00BB552B"/>
    <w:rsid w:val="00BB5644"/>
    <w:rsid w:val="00BB5801"/>
    <w:rsid w:val="00BB5823"/>
    <w:rsid w:val="00BB5855"/>
    <w:rsid w:val="00BB585F"/>
    <w:rsid w:val="00BB58F0"/>
    <w:rsid w:val="00BB5A30"/>
    <w:rsid w:val="00BB5AB5"/>
    <w:rsid w:val="00BB5BCF"/>
    <w:rsid w:val="00BB5C17"/>
    <w:rsid w:val="00BB5F34"/>
    <w:rsid w:val="00BB5FAB"/>
    <w:rsid w:val="00BB605A"/>
    <w:rsid w:val="00BB6191"/>
    <w:rsid w:val="00BB61F7"/>
    <w:rsid w:val="00BB625E"/>
    <w:rsid w:val="00BB6261"/>
    <w:rsid w:val="00BB62D4"/>
    <w:rsid w:val="00BB631D"/>
    <w:rsid w:val="00BB63F0"/>
    <w:rsid w:val="00BB640B"/>
    <w:rsid w:val="00BB641F"/>
    <w:rsid w:val="00BB645E"/>
    <w:rsid w:val="00BB6475"/>
    <w:rsid w:val="00BB6517"/>
    <w:rsid w:val="00BB654E"/>
    <w:rsid w:val="00BB6657"/>
    <w:rsid w:val="00BB665A"/>
    <w:rsid w:val="00BB6742"/>
    <w:rsid w:val="00BB6816"/>
    <w:rsid w:val="00BB6895"/>
    <w:rsid w:val="00BB6904"/>
    <w:rsid w:val="00BB6A1F"/>
    <w:rsid w:val="00BB6A28"/>
    <w:rsid w:val="00BB6B51"/>
    <w:rsid w:val="00BB6BF5"/>
    <w:rsid w:val="00BB6D10"/>
    <w:rsid w:val="00BB6FDC"/>
    <w:rsid w:val="00BB6FF9"/>
    <w:rsid w:val="00BB733A"/>
    <w:rsid w:val="00BB734F"/>
    <w:rsid w:val="00BB73FB"/>
    <w:rsid w:val="00BB749C"/>
    <w:rsid w:val="00BB74B0"/>
    <w:rsid w:val="00BB753A"/>
    <w:rsid w:val="00BB7570"/>
    <w:rsid w:val="00BB7583"/>
    <w:rsid w:val="00BB7626"/>
    <w:rsid w:val="00BB76AF"/>
    <w:rsid w:val="00BB7721"/>
    <w:rsid w:val="00BB77C1"/>
    <w:rsid w:val="00BB77F6"/>
    <w:rsid w:val="00BB7919"/>
    <w:rsid w:val="00BB7966"/>
    <w:rsid w:val="00BB7C6D"/>
    <w:rsid w:val="00BB7C9C"/>
    <w:rsid w:val="00BB7D52"/>
    <w:rsid w:val="00BB7D6B"/>
    <w:rsid w:val="00BB7DA6"/>
    <w:rsid w:val="00BB7F59"/>
    <w:rsid w:val="00BC009C"/>
    <w:rsid w:val="00BC00E8"/>
    <w:rsid w:val="00BC0141"/>
    <w:rsid w:val="00BC031B"/>
    <w:rsid w:val="00BC040F"/>
    <w:rsid w:val="00BC0456"/>
    <w:rsid w:val="00BC04CB"/>
    <w:rsid w:val="00BC04D0"/>
    <w:rsid w:val="00BC05D7"/>
    <w:rsid w:val="00BC0651"/>
    <w:rsid w:val="00BC06BE"/>
    <w:rsid w:val="00BC06DF"/>
    <w:rsid w:val="00BC072E"/>
    <w:rsid w:val="00BC083D"/>
    <w:rsid w:val="00BC08A9"/>
    <w:rsid w:val="00BC0B14"/>
    <w:rsid w:val="00BC0B63"/>
    <w:rsid w:val="00BC0B6E"/>
    <w:rsid w:val="00BC0B99"/>
    <w:rsid w:val="00BC0BC5"/>
    <w:rsid w:val="00BC0BF7"/>
    <w:rsid w:val="00BC0C46"/>
    <w:rsid w:val="00BC0C58"/>
    <w:rsid w:val="00BC0CDC"/>
    <w:rsid w:val="00BC0DD6"/>
    <w:rsid w:val="00BC0F32"/>
    <w:rsid w:val="00BC1125"/>
    <w:rsid w:val="00BC1140"/>
    <w:rsid w:val="00BC115B"/>
    <w:rsid w:val="00BC11BB"/>
    <w:rsid w:val="00BC11C7"/>
    <w:rsid w:val="00BC1237"/>
    <w:rsid w:val="00BC1243"/>
    <w:rsid w:val="00BC126D"/>
    <w:rsid w:val="00BC1270"/>
    <w:rsid w:val="00BC12E8"/>
    <w:rsid w:val="00BC1303"/>
    <w:rsid w:val="00BC133E"/>
    <w:rsid w:val="00BC144E"/>
    <w:rsid w:val="00BC1453"/>
    <w:rsid w:val="00BC1465"/>
    <w:rsid w:val="00BC1563"/>
    <w:rsid w:val="00BC19E5"/>
    <w:rsid w:val="00BC1A06"/>
    <w:rsid w:val="00BC1ADC"/>
    <w:rsid w:val="00BC1CC6"/>
    <w:rsid w:val="00BC1CD7"/>
    <w:rsid w:val="00BC1CFB"/>
    <w:rsid w:val="00BC1D00"/>
    <w:rsid w:val="00BC1DD1"/>
    <w:rsid w:val="00BC1EF9"/>
    <w:rsid w:val="00BC1F29"/>
    <w:rsid w:val="00BC1FC0"/>
    <w:rsid w:val="00BC2082"/>
    <w:rsid w:val="00BC2190"/>
    <w:rsid w:val="00BC21E7"/>
    <w:rsid w:val="00BC21FA"/>
    <w:rsid w:val="00BC235D"/>
    <w:rsid w:val="00BC257A"/>
    <w:rsid w:val="00BC257C"/>
    <w:rsid w:val="00BC2715"/>
    <w:rsid w:val="00BC276F"/>
    <w:rsid w:val="00BC28B3"/>
    <w:rsid w:val="00BC28EE"/>
    <w:rsid w:val="00BC293B"/>
    <w:rsid w:val="00BC2944"/>
    <w:rsid w:val="00BC2985"/>
    <w:rsid w:val="00BC29AD"/>
    <w:rsid w:val="00BC29DE"/>
    <w:rsid w:val="00BC2AC0"/>
    <w:rsid w:val="00BC2C72"/>
    <w:rsid w:val="00BC2DF0"/>
    <w:rsid w:val="00BC3189"/>
    <w:rsid w:val="00BC3224"/>
    <w:rsid w:val="00BC3260"/>
    <w:rsid w:val="00BC329C"/>
    <w:rsid w:val="00BC3348"/>
    <w:rsid w:val="00BC33FF"/>
    <w:rsid w:val="00BC3480"/>
    <w:rsid w:val="00BC352A"/>
    <w:rsid w:val="00BC3601"/>
    <w:rsid w:val="00BC36D9"/>
    <w:rsid w:val="00BC3788"/>
    <w:rsid w:val="00BC37D5"/>
    <w:rsid w:val="00BC3884"/>
    <w:rsid w:val="00BC39B8"/>
    <w:rsid w:val="00BC39D6"/>
    <w:rsid w:val="00BC39DA"/>
    <w:rsid w:val="00BC3AA9"/>
    <w:rsid w:val="00BC3AE5"/>
    <w:rsid w:val="00BC3D54"/>
    <w:rsid w:val="00BC3E26"/>
    <w:rsid w:val="00BC3F82"/>
    <w:rsid w:val="00BC4013"/>
    <w:rsid w:val="00BC4039"/>
    <w:rsid w:val="00BC4130"/>
    <w:rsid w:val="00BC41D7"/>
    <w:rsid w:val="00BC42E3"/>
    <w:rsid w:val="00BC432A"/>
    <w:rsid w:val="00BC4464"/>
    <w:rsid w:val="00BC446F"/>
    <w:rsid w:val="00BC44A6"/>
    <w:rsid w:val="00BC44B1"/>
    <w:rsid w:val="00BC44BE"/>
    <w:rsid w:val="00BC4526"/>
    <w:rsid w:val="00BC45FA"/>
    <w:rsid w:val="00BC46C3"/>
    <w:rsid w:val="00BC4703"/>
    <w:rsid w:val="00BC47B7"/>
    <w:rsid w:val="00BC47EA"/>
    <w:rsid w:val="00BC47EB"/>
    <w:rsid w:val="00BC4865"/>
    <w:rsid w:val="00BC48AE"/>
    <w:rsid w:val="00BC4C75"/>
    <w:rsid w:val="00BC4D0F"/>
    <w:rsid w:val="00BC4DED"/>
    <w:rsid w:val="00BC4EB5"/>
    <w:rsid w:val="00BC501D"/>
    <w:rsid w:val="00BC5072"/>
    <w:rsid w:val="00BC5111"/>
    <w:rsid w:val="00BC51B5"/>
    <w:rsid w:val="00BC538F"/>
    <w:rsid w:val="00BC53DF"/>
    <w:rsid w:val="00BC5416"/>
    <w:rsid w:val="00BC55E2"/>
    <w:rsid w:val="00BC56C8"/>
    <w:rsid w:val="00BC5737"/>
    <w:rsid w:val="00BC57E4"/>
    <w:rsid w:val="00BC586C"/>
    <w:rsid w:val="00BC588C"/>
    <w:rsid w:val="00BC58E4"/>
    <w:rsid w:val="00BC5933"/>
    <w:rsid w:val="00BC59FF"/>
    <w:rsid w:val="00BC5A26"/>
    <w:rsid w:val="00BC5B55"/>
    <w:rsid w:val="00BC5C1A"/>
    <w:rsid w:val="00BC5EDA"/>
    <w:rsid w:val="00BC5FAA"/>
    <w:rsid w:val="00BC61F7"/>
    <w:rsid w:val="00BC6210"/>
    <w:rsid w:val="00BC623D"/>
    <w:rsid w:val="00BC628F"/>
    <w:rsid w:val="00BC62F5"/>
    <w:rsid w:val="00BC6349"/>
    <w:rsid w:val="00BC642C"/>
    <w:rsid w:val="00BC651F"/>
    <w:rsid w:val="00BC65B9"/>
    <w:rsid w:val="00BC660C"/>
    <w:rsid w:val="00BC6827"/>
    <w:rsid w:val="00BC686A"/>
    <w:rsid w:val="00BC6931"/>
    <w:rsid w:val="00BC69A4"/>
    <w:rsid w:val="00BC6ADF"/>
    <w:rsid w:val="00BC6BA7"/>
    <w:rsid w:val="00BC6BBE"/>
    <w:rsid w:val="00BC6D47"/>
    <w:rsid w:val="00BC6DFE"/>
    <w:rsid w:val="00BC711A"/>
    <w:rsid w:val="00BC71B3"/>
    <w:rsid w:val="00BC71E6"/>
    <w:rsid w:val="00BC7272"/>
    <w:rsid w:val="00BC729B"/>
    <w:rsid w:val="00BC7301"/>
    <w:rsid w:val="00BC73EF"/>
    <w:rsid w:val="00BC7454"/>
    <w:rsid w:val="00BC750F"/>
    <w:rsid w:val="00BC7535"/>
    <w:rsid w:val="00BC75B9"/>
    <w:rsid w:val="00BC75EC"/>
    <w:rsid w:val="00BC775A"/>
    <w:rsid w:val="00BC77A8"/>
    <w:rsid w:val="00BC796B"/>
    <w:rsid w:val="00BC798A"/>
    <w:rsid w:val="00BC7A2F"/>
    <w:rsid w:val="00BC7A98"/>
    <w:rsid w:val="00BC7B24"/>
    <w:rsid w:val="00BC7DAA"/>
    <w:rsid w:val="00BC7E38"/>
    <w:rsid w:val="00BCB2CF"/>
    <w:rsid w:val="00BCD042"/>
    <w:rsid w:val="00BD00F6"/>
    <w:rsid w:val="00BD01FE"/>
    <w:rsid w:val="00BD026E"/>
    <w:rsid w:val="00BD02A1"/>
    <w:rsid w:val="00BD02EB"/>
    <w:rsid w:val="00BD039A"/>
    <w:rsid w:val="00BD043F"/>
    <w:rsid w:val="00BD06E5"/>
    <w:rsid w:val="00BD083F"/>
    <w:rsid w:val="00BD085C"/>
    <w:rsid w:val="00BD0860"/>
    <w:rsid w:val="00BD0891"/>
    <w:rsid w:val="00BD09C5"/>
    <w:rsid w:val="00BD09CD"/>
    <w:rsid w:val="00BD0A8D"/>
    <w:rsid w:val="00BD0AB7"/>
    <w:rsid w:val="00BD0AE9"/>
    <w:rsid w:val="00BD0C1A"/>
    <w:rsid w:val="00BD0CB1"/>
    <w:rsid w:val="00BD0DCD"/>
    <w:rsid w:val="00BD0E24"/>
    <w:rsid w:val="00BD0E89"/>
    <w:rsid w:val="00BD0F96"/>
    <w:rsid w:val="00BD0FD5"/>
    <w:rsid w:val="00BD10EE"/>
    <w:rsid w:val="00BD1213"/>
    <w:rsid w:val="00BD14F3"/>
    <w:rsid w:val="00BD171D"/>
    <w:rsid w:val="00BD181A"/>
    <w:rsid w:val="00BD186D"/>
    <w:rsid w:val="00BD1904"/>
    <w:rsid w:val="00BD193C"/>
    <w:rsid w:val="00BD1A06"/>
    <w:rsid w:val="00BD1A95"/>
    <w:rsid w:val="00BD1B07"/>
    <w:rsid w:val="00BD1B3D"/>
    <w:rsid w:val="00BD1D17"/>
    <w:rsid w:val="00BD1D46"/>
    <w:rsid w:val="00BD1DA1"/>
    <w:rsid w:val="00BD1DFB"/>
    <w:rsid w:val="00BD1F66"/>
    <w:rsid w:val="00BD2009"/>
    <w:rsid w:val="00BD2023"/>
    <w:rsid w:val="00BD2178"/>
    <w:rsid w:val="00BD22B2"/>
    <w:rsid w:val="00BD2350"/>
    <w:rsid w:val="00BD2403"/>
    <w:rsid w:val="00BD2479"/>
    <w:rsid w:val="00BD24E3"/>
    <w:rsid w:val="00BD2532"/>
    <w:rsid w:val="00BD2535"/>
    <w:rsid w:val="00BD2669"/>
    <w:rsid w:val="00BD26A3"/>
    <w:rsid w:val="00BD27D1"/>
    <w:rsid w:val="00BD2846"/>
    <w:rsid w:val="00BD29FF"/>
    <w:rsid w:val="00BD2A65"/>
    <w:rsid w:val="00BD2ABB"/>
    <w:rsid w:val="00BD2B94"/>
    <w:rsid w:val="00BD2C4A"/>
    <w:rsid w:val="00BD2C7E"/>
    <w:rsid w:val="00BD2C82"/>
    <w:rsid w:val="00BD2C8F"/>
    <w:rsid w:val="00BD2CA6"/>
    <w:rsid w:val="00BD2D4B"/>
    <w:rsid w:val="00BD2D88"/>
    <w:rsid w:val="00BD2E53"/>
    <w:rsid w:val="00BD2F1D"/>
    <w:rsid w:val="00BD2FD3"/>
    <w:rsid w:val="00BD2FF0"/>
    <w:rsid w:val="00BD306B"/>
    <w:rsid w:val="00BD314B"/>
    <w:rsid w:val="00BD3159"/>
    <w:rsid w:val="00BD316D"/>
    <w:rsid w:val="00BD3216"/>
    <w:rsid w:val="00BD32BE"/>
    <w:rsid w:val="00BD32C3"/>
    <w:rsid w:val="00BD336F"/>
    <w:rsid w:val="00BD33E1"/>
    <w:rsid w:val="00BD340C"/>
    <w:rsid w:val="00BD3485"/>
    <w:rsid w:val="00BD34E5"/>
    <w:rsid w:val="00BD3628"/>
    <w:rsid w:val="00BD3695"/>
    <w:rsid w:val="00BD3776"/>
    <w:rsid w:val="00BD3960"/>
    <w:rsid w:val="00BD39EA"/>
    <w:rsid w:val="00BD3A1E"/>
    <w:rsid w:val="00BD3A94"/>
    <w:rsid w:val="00BD3CE4"/>
    <w:rsid w:val="00BD3CF3"/>
    <w:rsid w:val="00BD3D26"/>
    <w:rsid w:val="00BD3D99"/>
    <w:rsid w:val="00BD3DC0"/>
    <w:rsid w:val="00BD3E6D"/>
    <w:rsid w:val="00BD3E9D"/>
    <w:rsid w:val="00BD3F3B"/>
    <w:rsid w:val="00BD40E8"/>
    <w:rsid w:val="00BD4182"/>
    <w:rsid w:val="00BD41C0"/>
    <w:rsid w:val="00BD41D9"/>
    <w:rsid w:val="00BD4218"/>
    <w:rsid w:val="00BD42C5"/>
    <w:rsid w:val="00BD4362"/>
    <w:rsid w:val="00BD43E0"/>
    <w:rsid w:val="00BD440D"/>
    <w:rsid w:val="00BD4418"/>
    <w:rsid w:val="00BD4446"/>
    <w:rsid w:val="00BD4558"/>
    <w:rsid w:val="00BD4614"/>
    <w:rsid w:val="00BD466C"/>
    <w:rsid w:val="00BD482F"/>
    <w:rsid w:val="00BD48F7"/>
    <w:rsid w:val="00BD49A6"/>
    <w:rsid w:val="00BD4A0C"/>
    <w:rsid w:val="00BD4A40"/>
    <w:rsid w:val="00BD4A75"/>
    <w:rsid w:val="00BD4AB3"/>
    <w:rsid w:val="00BD4ADD"/>
    <w:rsid w:val="00BD4BC4"/>
    <w:rsid w:val="00BD4C53"/>
    <w:rsid w:val="00BD4CD2"/>
    <w:rsid w:val="00BD4D85"/>
    <w:rsid w:val="00BD4DB2"/>
    <w:rsid w:val="00BD4EFE"/>
    <w:rsid w:val="00BD4F27"/>
    <w:rsid w:val="00BD4FE1"/>
    <w:rsid w:val="00BD505B"/>
    <w:rsid w:val="00BD505C"/>
    <w:rsid w:val="00BD522C"/>
    <w:rsid w:val="00BD52F0"/>
    <w:rsid w:val="00BD53C3"/>
    <w:rsid w:val="00BD549F"/>
    <w:rsid w:val="00BD54D0"/>
    <w:rsid w:val="00BD5526"/>
    <w:rsid w:val="00BD5603"/>
    <w:rsid w:val="00BD56C6"/>
    <w:rsid w:val="00BD56C9"/>
    <w:rsid w:val="00BD56FC"/>
    <w:rsid w:val="00BD57BA"/>
    <w:rsid w:val="00BD5802"/>
    <w:rsid w:val="00BD58F9"/>
    <w:rsid w:val="00BD5925"/>
    <w:rsid w:val="00BD59CB"/>
    <w:rsid w:val="00BD5A5C"/>
    <w:rsid w:val="00BD5AC2"/>
    <w:rsid w:val="00BD5B03"/>
    <w:rsid w:val="00BD5BDD"/>
    <w:rsid w:val="00BD5C1F"/>
    <w:rsid w:val="00BD5C4C"/>
    <w:rsid w:val="00BD5D16"/>
    <w:rsid w:val="00BD5D1C"/>
    <w:rsid w:val="00BD5E43"/>
    <w:rsid w:val="00BD6032"/>
    <w:rsid w:val="00BD605E"/>
    <w:rsid w:val="00BD61E5"/>
    <w:rsid w:val="00BD6209"/>
    <w:rsid w:val="00BD6329"/>
    <w:rsid w:val="00BD6524"/>
    <w:rsid w:val="00BD669D"/>
    <w:rsid w:val="00BD66A1"/>
    <w:rsid w:val="00BD66A9"/>
    <w:rsid w:val="00BD672E"/>
    <w:rsid w:val="00BD68D9"/>
    <w:rsid w:val="00BD68E0"/>
    <w:rsid w:val="00BD6941"/>
    <w:rsid w:val="00BD698A"/>
    <w:rsid w:val="00BD69B8"/>
    <w:rsid w:val="00BD69C6"/>
    <w:rsid w:val="00BD69F2"/>
    <w:rsid w:val="00BD69FD"/>
    <w:rsid w:val="00BD6A75"/>
    <w:rsid w:val="00BD6A7F"/>
    <w:rsid w:val="00BD6B93"/>
    <w:rsid w:val="00BD6BB2"/>
    <w:rsid w:val="00BD6D24"/>
    <w:rsid w:val="00BD6DEF"/>
    <w:rsid w:val="00BD6E87"/>
    <w:rsid w:val="00BD6F91"/>
    <w:rsid w:val="00BD70A7"/>
    <w:rsid w:val="00BD7107"/>
    <w:rsid w:val="00BD711B"/>
    <w:rsid w:val="00BD73D4"/>
    <w:rsid w:val="00BD7496"/>
    <w:rsid w:val="00BD75CD"/>
    <w:rsid w:val="00BD75E4"/>
    <w:rsid w:val="00BD7864"/>
    <w:rsid w:val="00BD7876"/>
    <w:rsid w:val="00BD78E7"/>
    <w:rsid w:val="00BD7A1F"/>
    <w:rsid w:val="00BD7A7C"/>
    <w:rsid w:val="00BD7A80"/>
    <w:rsid w:val="00BD7A9E"/>
    <w:rsid w:val="00BD7B43"/>
    <w:rsid w:val="00BD7B6F"/>
    <w:rsid w:val="00BD7C4C"/>
    <w:rsid w:val="00BD7CAE"/>
    <w:rsid w:val="00BD7D22"/>
    <w:rsid w:val="00BD7DBC"/>
    <w:rsid w:val="00BD7E7E"/>
    <w:rsid w:val="00BD7ECB"/>
    <w:rsid w:val="00BD7EDB"/>
    <w:rsid w:val="00BD7FB4"/>
    <w:rsid w:val="00BD7FD9"/>
    <w:rsid w:val="00BE005F"/>
    <w:rsid w:val="00BE0061"/>
    <w:rsid w:val="00BE00CA"/>
    <w:rsid w:val="00BE0244"/>
    <w:rsid w:val="00BE0246"/>
    <w:rsid w:val="00BE0265"/>
    <w:rsid w:val="00BE03FA"/>
    <w:rsid w:val="00BE0458"/>
    <w:rsid w:val="00BE0517"/>
    <w:rsid w:val="00BE0607"/>
    <w:rsid w:val="00BE0722"/>
    <w:rsid w:val="00BE075A"/>
    <w:rsid w:val="00BE0783"/>
    <w:rsid w:val="00BE0957"/>
    <w:rsid w:val="00BE098C"/>
    <w:rsid w:val="00BE0A93"/>
    <w:rsid w:val="00BE0AC5"/>
    <w:rsid w:val="00BE0ADC"/>
    <w:rsid w:val="00BE0AFE"/>
    <w:rsid w:val="00BE0CBD"/>
    <w:rsid w:val="00BE0DBA"/>
    <w:rsid w:val="00BE0E7D"/>
    <w:rsid w:val="00BE0EF3"/>
    <w:rsid w:val="00BE0FCB"/>
    <w:rsid w:val="00BE1010"/>
    <w:rsid w:val="00BE10F4"/>
    <w:rsid w:val="00BE1233"/>
    <w:rsid w:val="00BE128F"/>
    <w:rsid w:val="00BE1297"/>
    <w:rsid w:val="00BE1379"/>
    <w:rsid w:val="00BE1531"/>
    <w:rsid w:val="00BE1546"/>
    <w:rsid w:val="00BE15D4"/>
    <w:rsid w:val="00BE164B"/>
    <w:rsid w:val="00BE1706"/>
    <w:rsid w:val="00BE1713"/>
    <w:rsid w:val="00BE1754"/>
    <w:rsid w:val="00BE178F"/>
    <w:rsid w:val="00BE1857"/>
    <w:rsid w:val="00BE1985"/>
    <w:rsid w:val="00BE199C"/>
    <w:rsid w:val="00BE19D8"/>
    <w:rsid w:val="00BE1A09"/>
    <w:rsid w:val="00BE1A41"/>
    <w:rsid w:val="00BE1A8B"/>
    <w:rsid w:val="00BE1A8F"/>
    <w:rsid w:val="00BE1BAF"/>
    <w:rsid w:val="00BE1BC8"/>
    <w:rsid w:val="00BE1C39"/>
    <w:rsid w:val="00BE1CD1"/>
    <w:rsid w:val="00BE1D06"/>
    <w:rsid w:val="00BE1D5D"/>
    <w:rsid w:val="00BE1D88"/>
    <w:rsid w:val="00BE1E17"/>
    <w:rsid w:val="00BE1EB8"/>
    <w:rsid w:val="00BE1FFF"/>
    <w:rsid w:val="00BE2027"/>
    <w:rsid w:val="00BE206E"/>
    <w:rsid w:val="00BE20F2"/>
    <w:rsid w:val="00BE21DB"/>
    <w:rsid w:val="00BE22CB"/>
    <w:rsid w:val="00BE235A"/>
    <w:rsid w:val="00BE2442"/>
    <w:rsid w:val="00BE2521"/>
    <w:rsid w:val="00BE2553"/>
    <w:rsid w:val="00BE2593"/>
    <w:rsid w:val="00BE25D5"/>
    <w:rsid w:val="00BE2615"/>
    <w:rsid w:val="00BE26F4"/>
    <w:rsid w:val="00BE27AA"/>
    <w:rsid w:val="00BE28BB"/>
    <w:rsid w:val="00BE2934"/>
    <w:rsid w:val="00BE2952"/>
    <w:rsid w:val="00BE2953"/>
    <w:rsid w:val="00BE296A"/>
    <w:rsid w:val="00BE2A58"/>
    <w:rsid w:val="00BE2B09"/>
    <w:rsid w:val="00BE2C2F"/>
    <w:rsid w:val="00BE2E3B"/>
    <w:rsid w:val="00BE2F1B"/>
    <w:rsid w:val="00BE3055"/>
    <w:rsid w:val="00BE3178"/>
    <w:rsid w:val="00BE3272"/>
    <w:rsid w:val="00BE3331"/>
    <w:rsid w:val="00BE342D"/>
    <w:rsid w:val="00BE3487"/>
    <w:rsid w:val="00BE34B8"/>
    <w:rsid w:val="00BE353F"/>
    <w:rsid w:val="00BE354E"/>
    <w:rsid w:val="00BE3590"/>
    <w:rsid w:val="00BE359A"/>
    <w:rsid w:val="00BE35C2"/>
    <w:rsid w:val="00BE362D"/>
    <w:rsid w:val="00BE37AA"/>
    <w:rsid w:val="00BE37AC"/>
    <w:rsid w:val="00BE37B3"/>
    <w:rsid w:val="00BE3865"/>
    <w:rsid w:val="00BE3A57"/>
    <w:rsid w:val="00BE3A65"/>
    <w:rsid w:val="00BE3B1D"/>
    <w:rsid w:val="00BE3BD9"/>
    <w:rsid w:val="00BE3BEC"/>
    <w:rsid w:val="00BE3D43"/>
    <w:rsid w:val="00BE3E03"/>
    <w:rsid w:val="00BE3E4A"/>
    <w:rsid w:val="00BE3F17"/>
    <w:rsid w:val="00BE3F2D"/>
    <w:rsid w:val="00BE3F8E"/>
    <w:rsid w:val="00BE4060"/>
    <w:rsid w:val="00BE40AC"/>
    <w:rsid w:val="00BE40CA"/>
    <w:rsid w:val="00BE40F1"/>
    <w:rsid w:val="00BE4136"/>
    <w:rsid w:val="00BE4164"/>
    <w:rsid w:val="00BE4200"/>
    <w:rsid w:val="00BE4254"/>
    <w:rsid w:val="00BE42F6"/>
    <w:rsid w:val="00BE43B8"/>
    <w:rsid w:val="00BE445A"/>
    <w:rsid w:val="00BE4585"/>
    <w:rsid w:val="00BE469D"/>
    <w:rsid w:val="00BE4704"/>
    <w:rsid w:val="00BE47FD"/>
    <w:rsid w:val="00BE484D"/>
    <w:rsid w:val="00BE4924"/>
    <w:rsid w:val="00BE4941"/>
    <w:rsid w:val="00BE49B4"/>
    <w:rsid w:val="00BE49CA"/>
    <w:rsid w:val="00BE4B0D"/>
    <w:rsid w:val="00BE4D07"/>
    <w:rsid w:val="00BE4D0A"/>
    <w:rsid w:val="00BE4D0B"/>
    <w:rsid w:val="00BE4D45"/>
    <w:rsid w:val="00BE4DE8"/>
    <w:rsid w:val="00BE50EA"/>
    <w:rsid w:val="00BE5150"/>
    <w:rsid w:val="00BE531B"/>
    <w:rsid w:val="00BE5339"/>
    <w:rsid w:val="00BE5424"/>
    <w:rsid w:val="00BE5474"/>
    <w:rsid w:val="00BE5503"/>
    <w:rsid w:val="00BE5511"/>
    <w:rsid w:val="00BE5596"/>
    <w:rsid w:val="00BE560D"/>
    <w:rsid w:val="00BE5653"/>
    <w:rsid w:val="00BE57F7"/>
    <w:rsid w:val="00BE585C"/>
    <w:rsid w:val="00BE5875"/>
    <w:rsid w:val="00BE58E6"/>
    <w:rsid w:val="00BE5917"/>
    <w:rsid w:val="00BE593F"/>
    <w:rsid w:val="00BE5A10"/>
    <w:rsid w:val="00BE5AB9"/>
    <w:rsid w:val="00BE5B45"/>
    <w:rsid w:val="00BE5CD8"/>
    <w:rsid w:val="00BE5DA8"/>
    <w:rsid w:val="00BE5DFA"/>
    <w:rsid w:val="00BE5E03"/>
    <w:rsid w:val="00BE5E0F"/>
    <w:rsid w:val="00BE5E5A"/>
    <w:rsid w:val="00BE5EA8"/>
    <w:rsid w:val="00BE5F1C"/>
    <w:rsid w:val="00BE5FBD"/>
    <w:rsid w:val="00BE5FC7"/>
    <w:rsid w:val="00BE60E9"/>
    <w:rsid w:val="00BE6115"/>
    <w:rsid w:val="00BE62BF"/>
    <w:rsid w:val="00BE62DF"/>
    <w:rsid w:val="00BE6345"/>
    <w:rsid w:val="00BE65D4"/>
    <w:rsid w:val="00BE6669"/>
    <w:rsid w:val="00BE66BC"/>
    <w:rsid w:val="00BE66FE"/>
    <w:rsid w:val="00BE6879"/>
    <w:rsid w:val="00BE69BB"/>
    <w:rsid w:val="00BE69E4"/>
    <w:rsid w:val="00BE69F7"/>
    <w:rsid w:val="00BE6AAD"/>
    <w:rsid w:val="00BE6AFF"/>
    <w:rsid w:val="00BE6BC2"/>
    <w:rsid w:val="00BE6C15"/>
    <w:rsid w:val="00BE6C8B"/>
    <w:rsid w:val="00BE6D2F"/>
    <w:rsid w:val="00BE6DBD"/>
    <w:rsid w:val="00BE6E0D"/>
    <w:rsid w:val="00BE6E48"/>
    <w:rsid w:val="00BE6E6E"/>
    <w:rsid w:val="00BE6E8F"/>
    <w:rsid w:val="00BE6F3B"/>
    <w:rsid w:val="00BE71D3"/>
    <w:rsid w:val="00BE7251"/>
    <w:rsid w:val="00BE72D7"/>
    <w:rsid w:val="00BE738E"/>
    <w:rsid w:val="00BE73A5"/>
    <w:rsid w:val="00BE742B"/>
    <w:rsid w:val="00BE74A3"/>
    <w:rsid w:val="00BE7503"/>
    <w:rsid w:val="00BE761A"/>
    <w:rsid w:val="00BE7681"/>
    <w:rsid w:val="00BE770E"/>
    <w:rsid w:val="00BE7746"/>
    <w:rsid w:val="00BE77A8"/>
    <w:rsid w:val="00BE77E7"/>
    <w:rsid w:val="00BE77E9"/>
    <w:rsid w:val="00BE784C"/>
    <w:rsid w:val="00BE78B7"/>
    <w:rsid w:val="00BE79B8"/>
    <w:rsid w:val="00BE7A2A"/>
    <w:rsid w:val="00BE7A49"/>
    <w:rsid w:val="00BE7AFB"/>
    <w:rsid w:val="00BE7AFD"/>
    <w:rsid w:val="00BE7B67"/>
    <w:rsid w:val="00BE7D3B"/>
    <w:rsid w:val="00BE7EAB"/>
    <w:rsid w:val="00BF004A"/>
    <w:rsid w:val="00BF0072"/>
    <w:rsid w:val="00BF0128"/>
    <w:rsid w:val="00BF01AE"/>
    <w:rsid w:val="00BF01E2"/>
    <w:rsid w:val="00BF01F1"/>
    <w:rsid w:val="00BF02C5"/>
    <w:rsid w:val="00BF02F6"/>
    <w:rsid w:val="00BF03A2"/>
    <w:rsid w:val="00BF0450"/>
    <w:rsid w:val="00BF04F6"/>
    <w:rsid w:val="00BF063A"/>
    <w:rsid w:val="00BF06ED"/>
    <w:rsid w:val="00BF06FE"/>
    <w:rsid w:val="00BF07E2"/>
    <w:rsid w:val="00BF07E3"/>
    <w:rsid w:val="00BF0842"/>
    <w:rsid w:val="00BF099F"/>
    <w:rsid w:val="00BF0A0F"/>
    <w:rsid w:val="00BF0A29"/>
    <w:rsid w:val="00BF0AA5"/>
    <w:rsid w:val="00BF0B87"/>
    <w:rsid w:val="00BF0C72"/>
    <w:rsid w:val="00BF0CBE"/>
    <w:rsid w:val="00BF0D86"/>
    <w:rsid w:val="00BF0DAB"/>
    <w:rsid w:val="00BF0F6E"/>
    <w:rsid w:val="00BF0FC8"/>
    <w:rsid w:val="00BF0FCC"/>
    <w:rsid w:val="00BF0FCF"/>
    <w:rsid w:val="00BF0FE8"/>
    <w:rsid w:val="00BF106D"/>
    <w:rsid w:val="00BF1076"/>
    <w:rsid w:val="00BF116B"/>
    <w:rsid w:val="00BF1204"/>
    <w:rsid w:val="00BF1274"/>
    <w:rsid w:val="00BF130E"/>
    <w:rsid w:val="00BF131E"/>
    <w:rsid w:val="00BF1395"/>
    <w:rsid w:val="00BF169D"/>
    <w:rsid w:val="00BF1876"/>
    <w:rsid w:val="00BF18C9"/>
    <w:rsid w:val="00BF1962"/>
    <w:rsid w:val="00BF19BE"/>
    <w:rsid w:val="00BF1A11"/>
    <w:rsid w:val="00BF1A5E"/>
    <w:rsid w:val="00BF1B18"/>
    <w:rsid w:val="00BF1B5A"/>
    <w:rsid w:val="00BF1DA0"/>
    <w:rsid w:val="00BF1F33"/>
    <w:rsid w:val="00BF2036"/>
    <w:rsid w:val="00BF2245"/>
    <w:rsid w:val="00BF22F9"/>
    <w:rsid w:val="00BF2332"/>
    <w:rsid w:val="00BF246B"/>
    <w:rsid w:val="00BF2496"/>
    <w:rsid w:val="00BF2515"/>
    <w:rsid w:val="00BF27A8"/>
    <w:rsid w:val="00BF2944"/>
    <w:rsid w:val="00BF2963"/>
    <w:rsid w:val="00BF2A1C"/>
    <w:rsid w:val="00BF2ABA"/>
    <w:rsid w:val="00BF2AC1"/>
    <w:rsid w:val="00BF2B97"/>
    <w:rsid w:val="00BF2BF5"/>
    <w:rsid w:val="00BF2E90"/>
    <w:rsid w:val="00BF2EBB"/>
    <w:rsid w:val="00BF2F53"/>
    <w:rsid w:val="00BF2F74"/>
    <w:rsid w:val="00BF301F"/>
    <w:rsid w:val="00BF3131"/>
    <w:rsid w:val="00BF3202"/>
    <w:rsid w:val="00BF323B"/>
    <w:rsid w:val="00BF3295"/>
    <w:rsid w:val="00BF330B"/>
    <w:rsid w:val="00BF336A"/>
    <w:rsid w:val="00BF348A"/>
    <w:rsid w:val="00BF34E6"/>
    <w:rsid w:val="00BF3554"/>
    <w:rsid w:val="00BF3564"/>
    <w:rsid w:val="00BF36B9"/>
    <w:rsid w:val="00BF3721"/>
    <w:rsid w:val="00BF372A"/>
    <w:rsid w:val="00BF3771"/>
    <w:rsid w:val="00BF37E9"/>
    <w:rsid w:val="00BF3863"/>
    <w:rsid w:val="00BF3A50"/>
    <w:rsid w:val="00BF3A6E"/>
    <w:rsid w:val="00BF3AA5"/>
    <w:rsid w:val="00BF3CA2"/>
    <w:rsid w:val="00BF3CBB"/>
    <w:rsid w:val="00BF3CDA"/>
    <w:rsid w:val="00BF3CF2"/>
    <w:rsid w:val="00BF3D2D"/>
    <w:rsid w:val="00BF3DCE"/>
    <w:rsid w:val="00BF3E08"/>
    <w:rsid w:val="00BF3E53"/>
    <w:rsid w:val="00BF3E61"/>
    <w:rsid w:val="00BF3F1F"/>
    <w:rsid w:val="00BF3F62"/>
    <w:rsid w:val="00BF3FCB"/>
    <w:rsid w:val="00BF4048"/>
    <w:rsid w:val="00BF410E"/>
    <w:rsid w:val="00BF41C9"/>
    <w:rsid w:val="00BF41D4"/>
    <w:rsid w:val="00BF4261"/>
    <w:rsid w:val="00BF4270"/>
    <w:rsid w:val="00BF44DE"/>
    <w:rsid w:val="00BF462E"/>
    <w:rsid w:val="00BF468D"/>
    <w:rsid w:val="00BF4725"/>
    <w:rsid w:val="00BF4759"/>
    <w:rsid w:val="00BF480F"/>
    <w:rsid w:val="00BF4818"/>
    <w:rsid w:val="00BF4875"/>
    <w:rsid w:val="00BF48B1"/>
    <w:rsid w:val="00BF493F"/>
    <w:rsid w:val="00BF49A9"/>
    <w:rsid w:val="00BF4AA4"/>
    <w:rsid w:val="00BF4AB1"/>
    <w:rsid w:val="00BF4C1D"/>
    <w:rsid w:val="00BF4C6C"/>
    <w:rsid w:val="00BF4D41"/>
    <w:rsid w:val="00BF4D95"/>
    <w:rsid w:val="00BF4DD7"/>
    <w:rsid w:val="00BF4E85"/>
    <w:rsid w:val="00BF4E8B"/>
    <w:rsid w:val="00BF5059"/>
    <w:rsid w:val="00BF50B9"/>
    <w:rsid w:val="00BF5121"/>
    <w:rsid w:val="00BF51C7"/>
    <w:rsid w:val="00BF5202"/>
    <w:rsid w:val="00BF5348"/>
    <w:rsid w:val="00BF536B"/>
    <w:rsid w:val="00BF53C1"/>
    <w:rsid w:val="00BF53FF"/>
    <w:rsid w:val="00BF5438"/>
    <w:rsid w:val="00BF5522"/>
    <w:rsid w:val="00BF5586"/>
    <w:rsid w:val="00BF5602"/>
    <w:rsid w:val="00BF5615"/>
    <w:rsid w:val="00BF563C"/>
    <w:rsid w:val="00BF5675"/>
    <w:rsid w:val="00BF57D1"/>
    <w:rsid w:val="00BF595A"/>
    <w:rsid w:val="00BF5A14"/>
    <w:rsid w:val="00BF5A88"/>
    <w:rsid w:val="00BF5A9B"/>
    <w:rsid w:val="00BF5BE2"/>
    <w:rsid w:val="00BF5C66"/>
    <w:rsid w:val="00BF5C82"/>
    <w:rsid w:val="00BF5DE8"/>
    <w:rsid w:val="00BF5F4D"/>
    <w:rsid w:val="00BF5FFB"/>
    <w:rsid w:val="00BF6129"/>
    <w:rsid w:val="00BF6208"/>
    <w:rsid w:val="00BF627A"/>
    <w:rsid w:val="00BF6368"/>
    <w:rsid w:val="00BF640D"/>
    <w:rsid w:val="00BF6497"/>
    <w:rsid w:val="00BF6579"/>
    <w:rsid w:val="00BF6637"/>
    <w:rsid w:val="00BF6658"/>
    <w:rsid w:val="00BF6726"/>
    <w:rsid w:val="00BF687E"/>
    <w:rsid w:val="00BF68C2"/>
    <w:rsid w:val="00BF6A3F"/>
    <w:rsid w:val="00BF6A9F"/>
    <w:rsid w:val="00BF6C2C"/>
    <w:rsid w:val="00BF6C44"/>
    <w:rsid w:val="00BF6C70"/>
    <w:rsid w:val="00BF6C94"/>
    <w:rsid w:val="00BF6CCA"/>
    <w:rsid w:val="00BF6D25"/>
    <w:rsid w:val="00BF6D58"/>
    <w:rsid w:val="00BF6DCD"/>
    <w:rsid w:val="00BF6E24"/>
    <w:rsid w:val="00BF6E3E"/>
    <w:rsid w:val="00BF6E9D"/>
    <w:rsid w:val="00BF6F26"/>
    <w:rsid w:val="00BF6FE7"/>
    <w:rsid w:val="00BF707F"/>
    <w:rsid w:val="00BF71C2"/>
    <w:rsid w:val="00BF722A"/>
    <w:rsid w:val="00BF72AA"/>
    <w:rsid w:val="00BF72CB"/>
    <w:rsid w:val="00BF738A"/>
    <w:rsid w:val="00BF73D5"/>
    <w:rsid w:val="00BF74C9"/>
    <w:rsid w:val="00BF752B"/>
    <w:rsid w:val="00BF75C9"/>
    <w:rsid w:val="00BF7673"/>
    <w:rsid w:val="00BF7798"/>
    <w:rsid w:val="00BF77A2"/>
    <w:rsid w:val="00BF791D"/>
    <w:rsid w:val="00BF7A4E"/>
    <w:rsid w:val="00BF7A6F"/>
    <w:rsid w:val="00BF7A9D"/>
    <w:rsid w:val="00BF7B84"/>
    <w:rsid w:val="00BF7B9E"/>
    <w:rsid w:val="00BF7BC0"/>
    <w:rsid w:val="00BF7BCB"/>
    <w:rsid w:val="00BF7C06"/>
    <w:rsid w:val="00BF7C53"/>
    <w:rsid w:val="00BF7C81"/>
    <w:rsid w:val="00BF7C83"/>
    <w:rsid w:val="00BF7CDD"/>
    <w:rsid w:val="00BF7CE9"/>
    <w:rsid w:val="00BF7D1E"/>
    <w:rsid w:val="00BF7DBC"/>
    <w:rsid w:val="00BF7EB0"/>
    <w:rsid w:val="00BF7EEE"/>
    <w:rsid w:val="00BF7F56"/>
    <w:rsid w:val="00BF7F5E"/>
    <w:rsid w:val="00C0017F"/>
    <w:rsid w:val="00C00189"/>
    <w:rsid w:val="00C001FC"/>
    <w:rsid w:val="00C00277"/>
    <w:rsid w:val="00C00285"/>
    <w:rsid w:val="00C00391"/>
    <w:rsid w:val="00C003D1"/>
    <w:rsid w:val="00C003E6"/>
    <w:rsid w:val="00C00411"/>
    <w:rsid w:val="00C004E9"/>
    <w:rsid w:val="00C004F5"/>
    <w:rsid w:val="00C00598"/>
    <w:rsid w:val="00C005E8"/>
    <w:rsid w:val="00C006E3"/>
    <w:rsid w:val="00C0071A"/>
    <w:rsid w:val="00C00769"/>
    <w:rsid w:val="00C007AD"/>
    <w:rsid w:val="00C00910"/>
    <w:rsid w:val="00C00A1E"/>
    <w:rsid w:val="00C00A9A"/>
    <w:rsid w:val="00C00B2B"/>
    <w:rsid w:val="00C00B62"/>
    <w:rsid w:val="00C00B92"/>
    <w:rsid w:val="00C00C03"/>
    <w:rsid w:val="00C00C96"/>
    <w:rsid w:val="00C00CD5"/>
    <w:rsid w:val="00C00D39"/>
    <w:rsid w:val="00C00DAD"/>
    <w:rsid w:val="00C00ED4"/>
    <w:rsid w:val="00C00F0B"/>
    <w:rsid w:val="00C00F2D"/>
    <w:rsid w:val="00C00F4D"/>
    <w:rsid w:val="00C00F68"/>
    <w:rsid w:val="00C01064"/>
    <w:rsid w:val="00C01071"/>
    <w:rsid w:val="00C01129"/>
    <w:rsid w:val="00C01149"/>
    <w:rsid w:val="00C011FA"/>
    <w:rsid w:val="00C01212"/>
    <w:rsid w:val="00C0125E"/>
    <w:rsid w:val="00C0138C"/>
    <w:rsid w:val="00C01407"/>
    <w:rsid w:val="00C01457"/>
    <w:rsid w:val="00C01488"/>
    <w:rsid w:val="00C014C5"/>
    <w:rsid w:val="00C0152C"/>
    <w:rsid w:val="00C01614"/>
    <w:rsid w:val="00C0162F"/>
    <w:rsid w:val="00C0165B"/>
    <w:rsid w:val="00C01C89"/>
    <w:rsid w:val="00C01CAE"/>
    <w:rsid w:val="00C01D2A"/>
    <w:rsid w:val="00C01EA0"/>
    <w:rsid w:val="00C01F86"/>
    <w:rsid w:val="00C01FB6"/>
    <w:rsid w:val="00C02048"/>
    <w:rsid w:val="00C02086"/>
    <w:rsid w:val="00C02179"/>
    <w:rsid w:val="00C02192"/>
    <w:rsid w:val="00C02194"/>
    <w:rsid w:val="00C021D0"/>
    <w:rsid w:val="00C023AD"/>
    <w:rsid w:val="00C02494"/>
    <w:rsid w:val="00C0251D"/>
    <w:rsid w:val="00C02703"/>
    <w:rsid w:val="00C0271B"/>
    <w:rsid w:val="00C027E1"/>
    <w:rsid w:val="00C028E3"/>
    <w:rsid w:val="00C0291B"/>
    <w:rsid w:val="00C02936"/>
    <w:rsid w:val="00C02952"/>
    <w:rsid w:val="00C02A91"/>
    <w:rsid w:val="00C02B77"/>
    <w:rsid w:val="00C02C03"/>
    <w:rsid w:val="00C02E01"/>
    <w:rsid w:val="00C02E8C"/>
    <w:rsid w:val="00C02ED6"/>
    <w:rsid w:val="00C02F63"/>
    <w:rsid w:val="00C02F82"/>
    <w:rsid w:val="00C02FDE"/>
    <w:rsid w:val="00C030AD"/>
    <w:rsid w:val="00C031AB"/>
    <w:rsid w:val="00C031DE"/>
    <w:rsid w:val="00C03206"/>
    <w:rsid w:val="00C03212"/>
    <w:rsid w:val="00C0324A"/>
    <w:rsid w:val="00C0329F"/>
    <w:rsid w:val="00C03504"/>
    <w:rsid w:val="00C03623"/>
    <w:rsid w:val="00C03752"/>
    <w:rsid w:val="00C03757"/>
    <w:rsid w:val="00C03775"/>
    <w:rsid w:val="00C038AF"/>
    <w:rsid w:val="00C03928"/>
    <w:rsid w:val="00C03962"/>
    <w:rsid w:val="00C03A15"/>
    <w:rsid w:val="00C03AA8"/>
    <w:rsid w:val="00C03ACF"/>
    <w:rsid w:val="00C03AD8"/>
    <w:rsid w:val="00C03B92"/>
    <w:rsid w:val="00C03C2E"/>
    <w:rsid w:val="00C03C61"/>
    <w:rsid w:val="00C03D95"/>
    <w:rsid w:val="00C03DFB"/>
    <w:rsid w:val="00C03E3A"/>
    <w:rsid w:val="00C03F5D"/>
    <w:rsid w:val="00C03FAF"/>
    <w:rsid w:val="00C0402D"/>
    <w:rsid w:val="00C0405D"/>
    <w:rsid w:val="00C0431F"/>
    <w:rsid w:val="00C04379"/>
    <w:rsid w:val="00C0438A"/>
    <w:rsid w:val="00C04419"/>
    <w:rsid w:val="00C044D4"/>
    <w:rsid w:val="00C0455C"/>
    <w:rsid w:val="00C04598"/>
    <w:rsid w:val="00C045A3"/>
    <w:rsid w:val="00C04604"/>
    <w:rsid w:val="00C04667"/>
    <w:rsid w:val="00C046C4"/>
    <w:rsid w:val="00C0475B"/>
    <w:rsid w:val="00C047D2"/>
    <w:rsid w:val="00C0482A"/>
    <w:rsid w:val="00C049BC"/>
    <w:rsid w:val="00C04A7B"/>
    <w:rsid w:val="00C04B3D"/>
    <w:rsid w:val="00C04B71"/>
    <w:rsid w:val="00C04C3F"/>
    <w:rsid w:val="00C04CAA"/>
    <w:rsid w:val="00C04D56"/>
    <w:rsid w:val="00C04EAF"/>
    <w:rsid w:val="00C04F64"/>
    <w:rsid w:val="00C04F9E"/>
    <w:rsid w:val="00C05011"/>
    <w:rsid w:val="00C050E7"/>
    <w:rsid w:val="00C05150"/>
    <w:rsid w:val="00C051CA"/>
    <w:rsid w:val="00C05292"/>
    <w:rsid w:val="00C05304"/>
    <w:rsid w:val="00C05322"/>
    <w:rsid w:val="00C05347"/>
    <w:rsid w:val="00C0539E"/>
    <w:rsid w:val="00C053EC"/>
    <w:rsid w:val="00C054E6"/>
    <w:rsid w:val="00C055A7"/>
    <w:rsid w:val="00C055F1"/>
    <w:rsid w:val="00C05606"/>
    <w:rsid w:val="00C05623"/>
    <w:rsid w:val="00C056DB"/>
    <w:rsid w:val="00C056E5"/>
    <w:rsid w:val="00C057C7"/>
    <w:rsid w:val="00C057E7"/>
    <w:rsid w:val="00C0588E"/>
    <w:rsid w:val="00C058BB"/>
    <w:rsid w:val="00C05A0F"/>
    <w:rsid w:val="00C05A60"/>
    <w:rsid w:val="00C05A98"/>
    <w:rsid w:val="00C05B0A"/>
    <w:rsid w:val="00C05B3B"/>
    <w:rsid w:val="00C05BCD"/>
    <w:rsid w:val="00C05C9B"/>
    <w:rsid w:val="00C05DCE"/>
    <w:rsid w:val="00C05DF4"/>
    <w:rsid w:val="00C05EE4"/>
    <w:rsid w:val="00C05EFF"/>
    <w:rsid w:val="00C05FAD"/>
    <w:rsid w:val="00C05FFC"/>
    <w:rsid w:val="00C060F8"/>
    <w:rsid w:val="00C06116"/>
    <w:rsid w:val="00C0611C"/>
    <w:rsid w:val="00C062AA"/>
    <w:rsid w:val="00C062FC"/>
    <w:rsid w:val="00C0634A"/>
    <w:rsid w:val="00C063AB"/>
    <w:rsid w:val="00C064A2"/>
    <w:rsid w:val="00C06502"/>
    <w:rsid w:val="00C06510"/>
    <w:rsid w:val="00C0653B"/>
    <w:rsid w:val="00C06571"/>
    <w:rsid w:val="00C06672"/>
    <w:rsid w:val="00C066FD"/>
    <w:rsid w:val="00C06790"/>
    <w:rsid w:val="00C067EC"/>
    <w:rsid w:val="00C06825"/>
    <w:rsid w:val="00C0686D"/>
    <w:rsid w:val="00C0689E"/>
    <w:rsid w:val="00C068B5"/>
    <w:rsid w:val="00C06938"/>
    <w:rsid w:val="00C0695F"/>
    <w:rsid w:val="00C06AB4"/>
    <w:rsid w:val="00C06B75"/>
    <w:rsid w:val="00C06C12"/>
    <w:rsid w:val="00C06CF8"/>
    <w:rsid w:val="00C06D4B"/>
    <w:rsid w:val="00C06DEA"/>
    <w:rsid w:val="00C06E4C"/>
    <w:rsid w:val="00C06EB3"/>
    <w:rsid w:val="00C06F22"/>
    <w:rsid w:val="00C07032"/>
    <w:rsid w:val="00C070A1"/>
    <w:rsid w:val="00C070D4"/>
    <w:rsid w:val="00C0716D"/>
    <w:rsid w:val="00C07194"/>
    <w:rsid w:val="00C071A9"/>
    <w:rsid w:val="00C072AD"/>
    <w:rsid w:val="00C072C5"/>
    <w:rsid w:val="00C0748F"/>
    <w:rsid w:val="00C075BA"/>
    <w:rsid w:val="00C075CD"/>
    <w:rsid w:val="00C0762E"/>
    <w:rsid w:val="00C07684"/>
    <w:rsid w:val="00C076CA"/>
    <w:rsid w:val="00C076D2"/>
    <w:rsid w:val="00C0770C"/>
    <w:rsid w:val="00C07812"/>
    <w:rsid w:val="00C07814"/>
    <w:rsid w:val="00C078BB"/>
    <w:rsid w:val="00C0798F"/>
    <w:rsid w:val="00C079E9"/>
    <w:rsid w:val="00C07A6E"/>
    <w:rsid w:val="00C07A91"/>
    <w:rsid w:val="00C07BC4"/>
    <w:rsid w:val="00C07F26"/>
    <w:rsid w:val="00C07F42"/>
    <w:rsid w:val="00C07F54"/>
    <w:rsid w:val="00C07FD0"/>
    <w:rsid w:val="00C10076"/>
    <w:rsid w:val="00C100A7"/>
    <w:rsid w:val="00C1016E"/>
    <w:rsid w:val="00C10170"/>
    <w:rsid w:val="00C1020D"/>
    <w:rsid w:val="00C10296"/>
    <w:rsid w:val="00C103A7"/>
    <w:rsid w:val="00C103DC"/>
    <w:rsid w:val="00C10427"/>
    <w:rsid w:val="00C10455"/>
    <w:rsid w:val="00C104C4"/>
    <w:rsid w:val="00C10511"/>
    <w:rsid w:val="00C105CE"/>
    <w:rsid w:val="00C10631"/>
    <w:rsid w:val="00C106B2"/>
    <w:rsid w:val="00C107BF"/>
    <w:rsid w:val="00C107C6"/>
    <w:rsid w:val="00C107F7"/>
    <w:rsid w:val="00C10869"/>
    <w:rsid w:val="00C1088C"/>
    <w:rsid w:val="00C1095E"/>
    <w:rsid w:val="00C109BC"/>
    <w:rsid w:val="00C10CD4"/>
    <w:rsid w:val="00C10D28"/>
    <w:rsid w:val="00C10D49"/>
    <w:rsid w:val="00C10E39"/>
    <w:rsid w:val="00C10E5E"/>
    <w:rsid w:val="00C10ED7"/>
    <w:rsid w:val="00C10F08"/>
    <w:rsid w:val="00C10F52"/>
    <w:rsid w:val="00C10FF8"/>
    <w:rsid w:val="00C1104C"/>
    <w:rsid w:val="00C1105B"/>
    <w:rsid w:val="00C1121B"/>
    <w:rsid w:val="00C11284"/>
    <w:rsid w:val="00C11384"/>
    <w:rsid w:val="00C1139C"/>
    <w:rsid w:val="00C113D4"/>
    <w:rsid w:val="00C116E4"/>
    <w:rsid w:val="00C11795"/>
    <w:rsid w:val="00C11866"/>
    <w:rsid w:val="00C119DC"/>
    <w:rsid w:val="00C11A50"/>
    <w:rsid w:val="00C11B00"/>
    <w:rsid w:val="00C11B29"/>
    <w:rsid w:val="00C11B6B"/>
    <w:rsid w:val="00C11BE5"/>
    <w:rsid w:val="00C11CF9"/>
    <w:rsid w:val="00C11D46"/>
    <w:rsid w:val="00C11EE5"/>
    <w:rsid w:val="00C11F56"/>
    <w:rsid w:val="00C12010"/>
    <w:rsid w:val="00C120D8"/>
    <w:rsid w:val="00C12323"/>
    <w:rsid w:val="00C1234D"/>
    <w:rsid w:val="00C1238E"/>
    <w:rsid w:val="00C1239C"/>
    <w:rsid w:val="00C12526"/>
    <w:rsid w:val="00C12746"/>
    <w:rsid w:val="00C1279C"/>
    <w:rsid w:val="00C127D5"/>
    <w:rsid w:val="00C12802"/>
    <w:rsid w:val="00C1284D"/>
    <w:rsid w:val="00C12881"/>
    <w:rsid w:val="00C128F3"/>
    <w:rsid w:val="00C1295F"/>
    <w:rsid w:val="00C129CA"/>
    <w:rsid w:val="00C12B62"/>
    <w:rsid w:val="00C12C6F"/>
    <w:rsid w:val="00C12D24"/>
    <w:rsid w:val="00C12D39"/>
    <w:rsid w:val="00C12D52"/>
    <w:rsid w:val="00C12DAA"/>
    <w:rsid w:val="00C12DCC"/>
    <w:rsid w:val="00C12E35"/>
    <w:rsid w:val="00C12E54"/>
    <w:rsid w:val="00C1300E"/>
    <w:rsid w:val="00C1309D"/>
    <w:rsid w:val="00C13165"/>
    <w:rsid w:val="00C13232"/>
    <w:rsid w:val="00C132BA"/>
    <w:rsid w:val="00C1334A"/>
    <w:rsid w:val="00C1337B"/>
    <w:rsid w:val="00C133CE"/>
    <w:rsid w:val="00C134A0"/>
    <w:rsid w:val="00C134E2"/>
    <w:rsid w:val="00C136AD"/>
    <w:rsid w:val="00C136B3"/>
    <w:rsid w:val="00C136E9"/>
    <w:rsid w:val="00C13709"/>
    <w:rsid w:val="00C13765"/>
    <w:rsid w:val="00C137B1"/>
    <w:rsid w:val="00C13971"/>
    <w:rsid w:val="00C139A7"/>
    <w:rsid w:val="00C139AB"/>
    <w:rsid w:val="00C13A03"/>
    <w:rsid w:val="00C13AF7"/>
    <w:rsid w:val="00C13C76"/>
    <w:rsid w:val="00C13CB9"/>
    <w:rsid w:val="00C13D41"/>
    <w:rsid w:val="00C13DC7"/>
    <w:rsid w:val="00C13F70"/>
    <w:rsid w:val="00C13FFD"/>
    <w:rsid w:val="00C14049"/>
    <w:rsid w:val="00C140C1"/>
    <w:rsid w:val="00C14204"/>
    <w:rsid w:val="00C14280"/>
    <w:rsid w:val="00C14414"/>
    <w:rsid w:val="00C14426"/>
    <w:rsid w:val="00C144C4"/>
    <w:rsid w:val="00C14623"/>
    <w:rsid w:val="00C14665"/>
    <w:rsid w:val="00C1466F"/>
    <w:rsid w:val="00C1467F"/>
    <w:rsid w:val="00C14708"/>
    <w:rsid w:val="00C1475F"/>
    <w:rsid w:val="00C1479A"/>
    <w:rsid w:val="00C1481C"/>
    <w:rsid w:val="00C14831"/>
    <w:rsid w:val="00C148C1"/>
    <w:rsid w:val="00C148E8"/>
    <w:rsid w:val="00C14988"/>
    <w:rsid w:val="00C149C2"/>
    <w:rsid w:val="00C14A4B"/>
    <w:rsid w:val="00C14B02"/>
    <w:rsid w:val="00C14BAD"/>
    <w:rsid w:val="00C14BE3"/>
    <w:rsid w:val="00C14C84"/>
    <w:rsid w:val="00C14C8C"/>
    <w:rsid w:val="00C14CC7"/>
    <w:rsid w:val="00C14CF9"/>
    <w:rsid w:val="00C14D77"/>
    <w:rsid w:val="00C14E47"/>
    <w:rsid w:val="00C14E56"/>
    <w:rsid w:val="00C14EBD"/>
    <w:rsid w:val="00C14ED6"/>
    <w:rsid w:val="00C14F83"/>
    <w:rsid w:val="00C14FFA"/>
    <w:rsid w:val="00C150FA"/>
    <w:rsid w:val="00C151E0"/>
    <w:rsid w:val="00C15254"/>
    <w:rsid w:val="00C152A0"/>
    <w:rsid w:val="00C152A7"/>
    <w:rsid w:val="00C153DB"/>
    <w:rsid w:val="00C153FF"/>
    <w:rsid w:val="00C1541D"/>
    <w:rsid w:val="00C1544F"/>
    <w:rsid w:val="00C157D1"/>
    <w:rsid w:val="00C15981"/>
    <w:rsid w:val="00C159CD"/>
    <w:rsid w:val="00C15A19"/>
    <w:rsid w:val="00C15A27"/>
    <w:rsid w:val="00C15AC0"/>
    <w:rsid w:val="00C15BC9"/>
    <w:rsid w:val="00C15BE1"/>
    <w:rsid w:val="00C15BF6"/>
    <w:rsid w:val="00C15C22"/>
    <w:rsid w:val="00C15C5F"/>
    <w:rsid w:val="00C15C7B"/>
    <w:rsid w:val="00C15EDA"/>
    <w:rsid w:val="00C15EE0"/>
    <w:rsid w:val="00C15F32"/>
    <w:rsid w:val="00C15F4D"/>
    <w:rsid w:val="00C16096"/>
    <w:rsid w:val="00C1619F"/>
    <w:rsid w:val="00C161FD"/>
    <w:rsid w:val="00C16271"/>
    <w:rsid w:val="00C162CF"/>
    <w:rsid w:val="00C16386"/>
    <w:rsid w:val="00C1638B"/>
    <w:rsid w:val="00C163A0"/>
    <w:rsid w:val="00C164F0"/>
    <w:rsid w:val="00C1650D"/>
    <w:rsid w:val="00C1655E"/>
    <w:rsid w:val="00C16587"/>
    <w:rsid w:val="00C1675B"/>
    <w:rsid w:val="00C167EC"/>
    <w:rsid w:val="00C16872"/>
    <w:rsid w:val="00C16913"/>
    <w:rsid w:val="00C16930"/>
    <w:rsid w:val="00C16A07"/>
    <w:rsid w:val="00C16AF0"/>
    <w:rsid w:val="00C16AF9"/>
    <w:rsid w:val="00C16B59"/>
    <w:rsid w:val="00C16C83"/>
    <w:rsid w:val="00C16D91"/>
    <w:rsid w:val="00C16DFA"/>
    <w:rsid w:val="00C16E17"/>
    <w:rsid w:val="00C16EEA"/>
    <w:rsid w:val="00C170C1"/>
    <w:rsid w:val="00C170D4"/>
    <w:rsid w:val="00C1710B"/>
    <w:rsid w:val="00C17166"/>
    <w:rsid w:val="00C171A6"/>
    <w:rsid w:val="00C171B7"/>
    <w:rsid w:val="00C171CD"/>
    <w:rsid w:val="00C1724F"/>
    <w:rsid w:val="00C17277"/>
    <w:rsid w:val="00C1729C"/>
    <w:rsid w:val="00C173DC"/>
    <w:rsid w:val="00C1750D"/>
    <w:rsid w:val="00C1752E"/>
    <w:rsid w:val="00C175BC"/>
    <w:rsid w:val="00C1765F"/>
    <w:rsid w:val="00C17742"/>
    <w:rsid w:val="00C1777E"/>
    <w:rsid w:val="00C1779C"/>
    <w:rsid w:val="00C17865"/>
    <w:rsid w:val="00C17AD5"/>
    <w:rsid w:val="00C17B51"/>
    <w:rsid w:val="00C17B92"/>
    <w:rsid w:val="00C17CAF"/>
    <w:rsid w:val="00C17CD8"/>
    <w:rsid w:val="00C17CDB"/>
    <w:rsid w:val="00C17D98"/>
    <w:rsid w:val="00C17E2C"/>
    <w:rsid w:val="00C17EBC"/>
    <w:rsid w:val="00C20026"/>
    <w:rsid w:val="00C200A4"/>
    <w:rsid w:val="00C2012F"/>
    <w:rsid w:val="00C20258"/>
    <w:rsid w:val="00C20459"/>
    <w:rsid w:val="00C20510"/>
    <w:rsid w:val="00C205AB"/>
    <w:rsid w:val="00C205F9"/>
    <w:rsid w:val="00C20617"/>
    <w:rsid w:val="00C2063C"/>
    <w:rsid w:val="00C20944"/>
    <w:rsid w:val="00C209ED"/>
    <w:rsid w:val="00C20A14"/>
    <w:rsid w:val="00C20A64"/>
    <w:rsid w:val="00C20C6D"/>
    <w:rsid w:val="00C20CA4"/>
    <w:rsid w:val="00C20E19"/>
    <w:rsid w:val="00C20F9D"/>
    <w:rsid w:val="00C20FA2"/>
    <w:rsid w:val="00C210A4"/>
    <w:rsid w:val="00C2113A"/>
    <w:rsid w:val="00C211EB"/>
    <w:rsid w:val="00C212FA"/>
    <w:rsid w:val="00C21344"/>
    <w:rsid w:val="00C2137C"/>
    <w:rsid w:val="00C21528"/>
    <w:rsid w:val="00C215C1"/>
    <w:rsid w:val="00C215FD"/>
    <w:rsid w:val="00C2166F"/>
    <w:rsid w:val="00C216C8"/>
    <w:rsid w:val="00C217EB"/>
    <w:rsid w:val="00C2181B"/>
    <w:rsid w:val="00C21920"/>
    <w:rsid w:val="00C21A82"/>
    <w:rsid w:val="00C21A8D"/>
    <w:rsid w:val="00C21A95"/>
    <w:rsid w:val="00C21ABA"/>
    <w:rsid w:val="00C21B7C"/>
    <w:rsid w:val="00C21BC1"/>
    <w:rsid w:val="00C21C36"/>
    <w:rsid w:val="00C21C9A"/>
    <w:rsid w:val="00C21CA8"/>
    <w:rsid w:val="00C21D07"/>
    <w:rsid w:val="00C21D65"/>
    <w:rsid w:val="00C21D7E"/>
    <w:rsid w:val="00C21D88"/>
    <w:rsid w:val="00C21DBB"/>
    <w:rsid w:val="00C21E2D"/>
    <w:rsid w:val="00C21EEF"/>
    <w:rsid w:val="00C21F4D"/>
    <w:rsid w:val="00C21F83"/>
    <w:rsid w:val="00C21FB7"/>
    <w:rsid w:val="00C22056"/>
    <w:rsid w:val="00C2215C"/>
    <w:rsid w:val="00C221B2"/>
    <w:rsid w:val="00C222C4"/>
    <w:rsid w:val="00C222F3"/>
    <w:rsid w:val="00C22302"/>
    <w:rsid w:val="00C223E0"/>
    <w:rsid w:val="00C2251A"/>
    <w:rsid w:val="00C2255F"/>
    <w:rsid w:val="00C22624"/>
    <w:rsid w:val="00C226C9"/>
    <w:rsid w:val="00C226DC"/>
    <w:rsid w:val="00C226FE"/>
    <w:rsid w:val="00C2278C"/>
    <w:rsid w:val="00C22829"/>
    <w:rsid w:val="00C22874"/>
    <w:rsid w:val="00C22BF8"/>
    <w:rsid w:val="00C22C00"/>
    <w:rsid w:val="00C22C13"/>
    <w:rsid w:val="00C22C29"/>
    <w:rsid w:val="00C22C69"/>
    <w:rsid w:val="00C22D43"/>
    <w:rsid w:val="00C22D6A"/>
    <w:rsid w:val="00C22DD2"/>
    <w:rsid w:val="00C22E7E"/>
    <w:rsid w:val="00C22EE0"/>
    <w:rsid w:val="00C22F2E"/>
    <w:rsid w:val="00C23110"/>
    <w:rsid w:val="00C231C3"/>
    <w:rsid w:val="00C232D3"/>
    <w:rsid w:val="00C2330C"/>
    <w:rsid w:val="00C23312"/>
    <w:rsid w:val="00C2348C"/>
    <w:rsid w:val="00C236D8"/>
    <w:rsid w:val="00C23860"/>
    <w:rsid w:val="00C2395A"/>
    <w:rsid w:val="00C239C7"/>
    <w:rsid w:val="00C23A5F"/>
    <w:rsid w:val="00C23A8A"/>
    <w:rsid w:val="00C23B58"/>
    <w:rsid w:val="00C23BB2"/>
    <w:rsid w:val="00C23C8B"/>
    <w:rsid w:val="00C23D6D"/>
    <w:rsid w:val="00C23E3A"/>
    <w:rsid w:val="00C23FDC"/>
    <w:rsid w:val="00C240C6"/>
    <w:rsid w:val="00C24176"/>
    <w:rsid w:val="00C24283"/>
    <w:rsid w:val="00C24292"/>
    <w:rsid w:val="00C24687"/>
    <w:rsid w:val="00C2472B"/>
    <w:rsid w:val="00C24A5B"/>
    <w:rsid w:val="00C24A94"/>
    <w:rsid w:val="00C24AC7"/>
    <w:rsid w:val="00C24C26"/>
    <w:rsid w:val="00C24DD1"/>
    <w:rsid w:val="00C24E18"/>
    <w:rsid w:val="00C24E50"/>
    <w:rsid w:val="00C24E86"/>
    <w:rsid w:val="00C251D5"/>
    <w:rsid w:val="00C25218"/>
    <w:rsid w:val="00C25243"/>
    <w:rsid w:val="00C253DA"/>
    <w:rsid w:val="00C25417"/>
    <w:rsid w:val="00C25468"/>
    <w:rsid w:val="00C254CF"/>
    <w:rsid w:val="00C2550D"/>
    <w:rsid w:val="00C25697"/>
    <w:rsid w:val="00C25702"/>
    <w:rsid w:val="00C257A7"/>
    <w:rsid w:val="00C258C6"/>
    <w:rsid w:val="00C258DE"/>
    <w:rsid w:val="00C25A23"/>
    <w:rsid w:val="00C25B79"/>
    <w:rsid w:val="00C25B86"/>
    <w:rsid w:val="00C25C43"/>
    <w:rsid w:val="00C25D0F"/>
    <w:rsid w:val="00C25E77"/>
    <w:rsid w:val="00C25E92"/>
    <w:rsid w:val="00C25F86"/>
    <w:rsid w:val="00C26045"/>
    <w:rsid w:val="00C26051"/>
    <w:rsid w:val="00C26074"/>
    <w:rsid w:val="00C260EF"/>
    <w:rsid w:val="00C26161"/>
    <w:rsid w:val="00C2616D"/>
    <w:rsid w:val="00C2619C"/>
    <w:rsid w:val="00C261AE"/>
    <w:rsid w:val="00C262E7"/>
    <w:rsid w:val="00C26302"/>
    <w:rsid w:val="00C26315"/>
    <w:rsid w:val="00C2634F"/>
    <w:rsid w:val="00C26407"/>
    <w:rsid w:val="00C26408"/>
    <w:rsid w:val="00C2640A"/>
    <w:rsid w:val="00C2645E"/>
    <w:rsid w:val="00C264A4"/>
    <w:rsid w:val="00C26524"/>
    <w:rsid w:val="00C26622"/>
    <w:rsid w:val="00C26779"/>
    <w:rsid w:val="00C26782"/>
    <w:rsid w:val="00C267C2"/>
    <w:rsid w:val="00C267D3"/>
    <w:rsid w:val="00C267F6"/>
    <w:rsid w:val="00C26836"/>
    <w:rsid w:val="00C269AD"/>
    <w:rsid w:val="00C26A2B"/>
    <w:rsid w:val="00C26A56"/>
    <w:rsid w:val="00C26A75"/>
    <w:rsid w:val="00C26AD1"/>
    <w:rsid w:val="00C26B2A"/>
    <w:rsid w:val="00C26B3B"/>
    <w:rsid w:val="00C26B95"/>
    <w:rsid w:val="00C26C39"/>
    <w:rsid w:val="00C26C7C"/>
    <w:rsid w:val="00C26D65"/>
    <w:rsid w:val="00C26E8B"/>
    <w:rsid w:val="00C26F4E"/>
    <w:rsid w:val="00C26F6E"/>
    <w:rsid w:val="00C270B5"/>
    <w:rsid w:val="00C27137"/>
    <w:rsid w:val="00C27174"/>
    <w:rsid w:val="00C27188"/>
    <w:rsid w:val="00C271C3"/>
    <w:rsid w:val="00C27246"/>
    <w:rsid w:val="00C272BC"/>
    <w:rsid w:val="00C27347"/>
    <w:rsid w:val="00C2743F"/>
    <w:rsid w:val="00C27461"/>
    <w:rsid w:val="00C2747B"/>
    <w:rsid w:val="00C27481"/>
    <w:rsid w:val="00C2759B"/>
    <w:rsid w:val="00C275BF"/>
    <w:rsid w:val="00C275F1"/>
    <w:rsid w:val="00C2761C"/>
    <w:rsid w:val="00C276C3"/>
    <w:rsid w:val="00C277BF"/>
    <w:rsid w:val="00C278A2"/>
    <w:rsid w:val="00C2796F"/>
    <w:rsid w:val="00C279C3"/>
    <w:rsid w:val="00C27B28"/>
    <w:rsid w:val="00C27B63"/>
    <w:rsid w:val="00C27BA4"/>
    <w:rsid w:val="00C27C5B"/>
    <w:rsid w:val="00C27CA2"/>
    <w:rsid w:val="00C27D5E"/>
    <w:rsid w:val="00C27EBF"/>
    <w:rsid w:val="00C27F49"/>
    <w:rsid w:val="00C27F56"/>
    <w:rsid w:val="00C27F82"/>
    <w:rsid w:val="00C30074"/>
    <w:rsid w:val="00C30104"/>
    <w:rsid w:val="00C301BB"/>
    <w:rsid w:val="00C301DA"/>
    <w:rsid w:val="00C3020B"/>
    <w:rsid w:val="00C30338"/>
    <w:rsid w:val="00C30419"/>
    <w:rsid w:val="00C3049B"/>
    <w:rsid w:val="00C30530"/>
    <w:rsid w:val="00C3053E"/>
    <w:rsid w:val="00C30573"/>
    <w:rsid w:val="00C3058B"/>
    <w:rsid w:val="00C306E1"/>
    <w:rsid w:val="00C30741"/>
    <w:rsid w:val="00C307B0"/>
    <w:rsid w:val="00C30806"/>
    <w:rsid w:val="00C3082D"/>
    <w:rsid w:val="00C308B6"/>
    <w:rsid w:val="00C30978"/>
    <w:rsid w:val="00C3098A"/>
    <w:rsid w:val="00C309E4"/>
    <w:rsid w:val="00C30B54"/>
    <w:rsid w:val="00C30BBB"/>
    <w:rsid w:val="00C30CC7"/>
    <w:rsid w:val="00C30D69"/>
    <w:rsid w:val="00C30DDD"/>
    <w:rsid w:val="00C30EFC"/>
    <w:rsid w:val="00C30F22"/>
    <w:rsid w:val="00C30F35"/>
    <w:rsid w:val="00C30FDE"/>
    <w:rsid w:val="00C3106D"/>
    <w:rsid w:val="00C310F3"/>
    <w:rsid w:val="00C3110B"/>
    <w:rsid w:val="00C31147"/>
    <w:rsid w:val="00C31197"/>
    <w:rsid w:val="00C312C2"/>
    <w:rsid w:val="00C312E6"/>
    <w:rsid w:val="00C312F0"/>
    <w:rsid w:val="00C31550"/>
    <w:rsid w:val="00C315BB"/>
    <w:rsid w:val="00C3161B"/>
    <w:rsid w:val="00C31777"/>
    <w:rsid w:val="00C31793"/>
    <w:rsid w:val="00C317A2"/>
    <w:rsid w:val="00C3189C"/>
    <w:rsid w:val="00C31930"/>
    <w:rsid w:val="00C319A2"/>
    <w:rsid w:val="00C319CE"/>
    <w:rsid w:val="00C319E1"/>
    <w:rsid w:val="00C31A5B"/>
    <w:rsid w:val="00C31ADD"/>
    <w:rsid w:val="00C31B37"/>
    <w:rsid w:val="00C31C72"/>
    <w:rsid w:val="00C31C97"/>
    <w:rsid w:val="00C31CBB"/>
    <w:rsid w:val="00C31CD0"/>
    <w:rsid w:val="00C31D0E"/>
    <w:rsid w:val="00C31E3D"/>
    <w:rsid w:val="00C3200F"/>
    <w:rsid w:val="00C32012"/>
    <w:rsid w:val="00C320F6"/>
    <w:rsid w:val="00C3210C"/>
    <w:rsid w:val="00C32154"/>
    <w:rsid w:val="00C32159"/>
    <w:rsid w:val="00C32240"/>
    <w:rsid w:val="00C322BF"/>
    <w:rsid w:val="00C323A2"/>
    <w:rsid w:val="00C323AE"/>
    <w:rsid w:val="00C324B3"/>
    <w:rsid w:val="00C32503"/>
    <w:rsid w:val="00C326CD"/>
    <w:rsid w:val="00C32862"/>
    <w:rsid w:val="00C328E8"/>
    <w:rsid w:val="00C32A36"/>
    <w:rsid w:val="00C32A97"/>
    <w:rsid w:val="00C32ABE"/>
    <w:rsid w:val="00C32AF2"/>
    <w:rsid w:val="00C32BAF"/>
    <w:rsid w:val="00C32C3B"/>
    <w:rsid w:val="00C32C99"/>
    <w:rsid w:val="00C32D1A"/>
    <w:rsid w:val="00C32ED9"/>
    <w:rsid w:val="00C32F24"/>
    <w:rsid w:val="00C32F72"/>
    <w:rsid w:val="00C330D7"/>
    <w:rsid w:val="00C330FB"/>
    <w:rsid w:val="00C33150"/>
    <w:rsid w:val="00C3318A"/>
    <w:rsid w:val="00C33596"/>
    <w:rsid w:val="00C3367F"/>
    <w:rsid w:val="00C336C3"/>
    <w:rsid w:val="00C3375A"/>
    <w:rsid w:val="00C338EA"/>
    <w:rsid w:val="00C33910"/>
    <w:rsid w:val="00C33A3F"/>
    <w:rsid w:val="00C33B76"/>
    <w:rsid w:val="00C33BF9"/>
    <w:rsid w:val="00C33C3E"/>
    <w:rsid w:val="00C33C8E"/>
    <w:rsid w:val="00C33D1E"/>
    <w:rsid w:val="00C33D58"/>
    <w:rsid w:val="00C33D96"/>
    <w:rsid w:val="00C33EF7"/>
    <w:rsid w:val="00C33F6B"/>
    <w:rsid w:val="00C33FCD"/>
    <w:rsid w:val="00C33FEB"/>
    <w:rsid w:val="00C34022"/>
    <w:rsid w:val="00C340B5"/>
    <w:rsid w:val="00C340C6"/>
    <w:rsid w:val="00C340E7"/>
    <w:rsid w:val="00C34150"/>
    <w:rsid w:val="00C341FD"/>
    <w:rsid w:val="00C342C1"/>
    <w:rsid w:val="00C342CD"/>
    <w:rsid w:val="00C34327"/>
    <w:rsid w:val="00C346FB"/>
    <w:rsid w:val="00C34BC2"/>
    <w:rsid w:val="00C34BD2"/>
    <w:rsid w:val="00C34BDB"/>
    <w:rsid w:val="00C34C1C"/>
    <w:rsid w:val="00C34C2D"/>
    <w:rsid w:val="00C34C44"/>
    <w:rsid w:val="00C34D15"/>
    <w:rsid w:val="00C34D37"/>
    <w:rsid w:val="00C34E05"/>
    <w:rsid w:val="00C34E23"/>
    <w:rsid w:val="00C34F09"/>
    <w:rsid w:val="00C352BA"/>
    <w:rsid w:val="00C35398"/>
    <w:rsid w:val="00C353DA"/>
    <w:rsid w:val="00C35449"/>
    <w:rsid w:val="00C3548C"/>
    <w:rsid w:val="00C3554F"/>
    <w:rsid w:val="00C356A7"/>
    <w:rsid w:val="00C35742"/>
    <w:rsid w:val="00C35769"/>
    <w:rsid w:val="00C35820"/>
    <w:rsid w:val="00C358C0"/>
    <w:rsid w:val="00C359AD"/>
    <w:rsid w:val="00C359F0"/>
    <w:rsid w:val="00C35B5B"/>
    <w:rsid w:val="00C35BBD"/>
    <w:rsid w:val="00C35C85"/>
    <w:rsid w:val="00C35CFF"/>
    <w:rsid w:val="00C35D79"/>
    <w:rsid w:val="00C35E67"/>
    <w:rsid w:val="00C35E7E"/>
    <w:rsid w:val="00C35EB7"/>
    <w:rsid w:val="00C35FBD"/>
    <w:rsid w:val="00C3602A"/>
    <w:rsid w:val="00C360C4"/>
    <w:rsid w:val="00C3617D"/>
    <w:rsid w:val="00C36195"/>
    <w:rsid w:val="00C3619E"/>
    <w:rsid w:val="00C3620C"/>
    <w:rsid w:val="00C3631B"/>
    <w:rsid w:val="00C3637D"/>
    <w:rsid w:val="00C363B9"/>
    <w:rsid w:val="00C3646C"/>
    <w:rsid w:val="00C36470"/>
    <w:rsid w:val="00C364C4"/>
    <w:rsid w:val="00C36507"/>
    <w:rsid w:val="00C36608"/>
    <w:rsid w:val="00C366EA"/>
    <w:rsid w:val="00C368C3"/>
    <w:rsid w:val="00C36A93"/>
    <w:rsid w:val="00C36A9C"/>
    <w:rsid w:val="00C36B3A"/>
    <w:rsid w:val="00C36BB6"/>
    <w:rsid w:val="00C36BD0"/>
    <w:rsid w:val="00C36C0D"/>
    <w:rsid w:val="00C36D41"/>
    <w:rsid w:val="00C36E00"/>
    <w:rsid w:val="00C36E03"/>
    <w:rsid w:val="00C36E37"/>
    <w:rsid w:val="00C36E67"/>
    <w:rsid w:val="00C36EB5"/>
    <w:rsid w:val="00C36EFC"/>
    <w:rsid w:val="00C36F6E"/>
    <w:rsid w:val="00C36FAC"/>
    <w:rsid w:val="00C36FB0"/>
    <w:rsid w:val="00C36FB9"/>
    <w:rsid w:val="00C36FCD"/>
    <w:rsid w:val="00C370A4"/>
    <w:rsid w:val="00C370C2"/>
    <w:rsid w:val="00C37315"/>
    <w:rsid w:val="00C3748C"/>
    <w:rsid w:val="00C375A4"/>
    <w:rsid w:val="00C37602"/>
    <w:rsid w:val="00C37614"/>
    <w:rsid w:val="00C3771C"/>
    <w:rsid w:val="00C37874"/>
    <w:rsid w:val="00C378D1"/>
    <w:rsid w:val="00C37920"/>
    <w:rsid w:val="00C379B3"/>
    <w:rsid w:val="00C37A95"/>
    <w:rsid w:val="00C37B4A"/>
    <w:rsid w:val="00C37B6A"/>
    <w:rsid w:val="00C37B82"/>
    <w:rsid w:val="00C37B8C"/>
    <w:rsid w:val="00C37BF1"/>
    <w:rsid w:val="00C37C96"/>
    <w:rsid w:val="00C37CFD"/>
    <w:rsid w:val="00C37D49"/>
    <w:rsid w:val="00C37DBF"/>
    <w:rsid w:val="00C37E6C"/>
    <w:rsid w:val="00C37ECE"/>
    <w:rsid w:val="00C37F14"/>
    <w:rsid w:val="00C37FB0"/>
    <w:rsid w:val="00C40023"/>
    <w:rsid w:val="00C40047"/>
    <w:rsid w:val="00C400BC"/>
    <w:rsid w:val="00C4019C"/>
    <w:rsid w:val="00C402D4"/>
    <w:rsid w:val="00C402E6"/>
    <w:rsid w:val="00C40303"/>
    <w:rsid w:val="00C403C9"/>
    <w:rsid w:val="00C40478"/>
    <w:rsid w:val="00C4063A"/>
    <w:rsid w:val="00C407C5"/>
    <w:rsid w:val="00C4088B"/>
    <w:rsid w:val="00C4090C"/>
    <w:rsid w:val="00C40B1A"/>
    <w:rsid w:val="00C40BB8"/>
    <w:rsid w:val="00C40C02"/>
    <w:rsid w:val="00C4113B"/>
    <w:rsid w:val="00C4125A"/>
    <w:rsid w:val="00C41271"/>
    <w:rsid w:val="00C41292"/>
    <w:rsid w:val="00C413DB"/>
    <w:rsid w:val="00C41459"/>
    <w:rsid w:val="00C41509"/>
    <w:rsid w:val="00C4153B"/>
    <w:rsid w:val="00C41547"/>
    <w:rsid w:val="00C41629"/>
    <w:rsid w:val="00C416E7"/>
    <w:rsid w:val="00C41792"/>
    <w:rsid w:val="00C417A9"/>
    <w:rsid w:val="00C418CB"/>
    <w:rsid w:val="00C41933"/>
    <w:rsid w:val="00C4194C"/>
    <w:rsid w:val="00C4198E"/>
    <w:rsid w:val="00C41AA7"/>
    <w:rsid w:val="00C41AD5"/>
    <w:rsid w:val="00C41C7F"/>
    <w:rsid w:val="00C41EBF"/>
    <w:rsid w:val="00C4205E"/>
    <w:rsid w:val="00C421F3"/>
    <w:rsid w:val="00C422E8"/>
    <w:rsid w:val="00C422E9"/>
    <w:rsid w:val="00C4239C"/>
    <w:rsid w:val="00C4244C"/>
    <w:rsid w:val="00C42525"/>
    <w:rsid w:val="00C4253D"/>
    <w:rsid w:val="00C4261B"/>
    <w:rsid w:val="00C4276B"/>
    <w:rsid w:val="00C42803"/>
    <w:rsid w:val="00C4286C"/>
    <w:rsid w:val="00C428A7"/>
    <w:rsid w:val="00C429BD"/>
    <w:rsid w:val="00C42B80"/>
    <w:rsid w:val="00C42C23"/>
    <w:rsid w:val="00C42C72"/>
    <w:rsid w:val="00C42CFF"/>
    <w:rsid w:val="00C42D09"/>
    <w:rsid w:val="00C42D1C"/>
    <w:rsid w:val="00C42D3A"/>
    <w:rsid w:val="00C42D65"/>
    <w:rsid w:val="00C42E00"/>
    <w:rsid w:val="00C42E72"/>
    <w:rsid w:val="00C430C8"/>
    <w:rsid w:val="00C4349C"/>
    <w:rsid w:val="00C434C2"/>
    <w:rsid w:val="00C43721"/>
    <w:rsid w:val="00C43787"/>
    <w:rsid w:val="00C437CB"/>
    <w:rsid w:val="00C43824"/>
    <w:rsid w:val="00C438B6"/>
    <w:rsid w:val="00C439B6"/>
    <w:rsid w:val="00C439F9"/>
    <w:rsid w:val="00C439FC"/>
    <w:rsid w:val="00C43BED"/>
    <w:rsid w:val="00C43C2D"/>
    <w:rsid w:val="00C43C3E"/>
    <w:rsid w:val="00C43C9E"/>
    <w:rsid w:val="00C43CA7"/>
    <w:rsid w:val="00C43CF2"/>
    <w:rsid w:val="00C43E14"/>
    <w:rsid w:val="00C43E34"/>
    <w:rsid w:val="00C43E41"/>
    <w:rsid w:val="00C43E5E"/>
    <w:rsid w:val="00C43E76"/>
    <w:rsid w:val="00C43E80"/>
    <w:rsid w:val="00C43F06"/>
    <w:rsid w:val="00C43F19"/>
    <w:rsid w:val="00C44172"/>
    <w:rsid w:val="00C44237"/>
    <w:rsid w:val="00C4440A"/>
    <w:rsid w:val="00C4448A"/>
    <w:rsid w:val="00C4454C"/>
    <w:rsid w:val="00C445FE"/>
    <w:rsid w:val="00C4466B"/>
    <w:rsid w:val="00C44721"/>
    <w:rsid w:val="00C4477F"/>
    <w:rsid w:val="00C4481E"/>
    <w:rsid w:val="00C448C0"/>
    <w:rsid w:val="00C448C5"/>
    <w:rsid w:val="00C448C8"/>
    <w:rsid w:val="00C44910"/>
    <w:rsid w:val="00C44981"/>
    <w:rsid w:val="00C44A92"/>
    <w:rsid w:val="00C44B1B"/>
    <w:rsid w:val="00C44B87"/>
    <w:rsid w:val="00C44BC6"/>
    <w:rsid w:val="00C44C21"/>
    <w:rsid w:val="00C44C9E"/>
    <w:rsid w:val="00C44D8C"/>
    <w:rsid w:val="00C44D95"/>
    <w:rsid w:val="00C44EF0"/>
    <w:rsid w:val="00C45090"/>
    <w:rsid w:val="00C450D3"/>
    <w:rsid w:val="00C4510F"/>
    <w:rsid w:val="00C45114"/>
    <w:rsid w:val="00C452BC"/>
    <w:rsid w:val="00C45317"/>
    <w:rsid w:val="00C454B9"/>
    <w:rsid w:val="00C45507"/>
    <w:rsid w:val="00C45512"/>
    <w:rsid w:val="00C455B8"/>
    <w:rsid w:val="00C455D8"/>
    <w:rsid w:val="00C4567C"/>
    <w:rsid w:val="00C456BC"/>
    <w:rsid w:val="00C45745"/>
    <w:rsid w:val="00C45762"/>
    <w:rsid w:val="00C457D4"/>
    <w:rsid w:val="00C457EC"/>
    <w:rsid w:val="00C457F3"/>
    <w:rsid w:val="00C45864"/>
    <w:rsid w:val="00C458AE"/>
    <w:rsid w:val="00C458CB"/>
    <w:rsid w:val="00C458E9"/>
    <w:rsid w:val="00C459DF"/>
    <w:rsid w:val="00C45A4E"/>
    <w:rsid w:val="00C45BD7"/>
    <w:rsid w:val="00C45C84"/>
    <w:rsid w:val="00C45CEC"/>
    <w:rsid w:val="00C45CFF"/>
    <w:rsid w:val="00C45D10"/>
    <w:rsid w:val="00C45DD7"/>
    <w:rsid w:val="00C45E08"/>
    <w:rsid w:val="00C45E0C"/>
    <w:rsid w:val="00C45ED7"/>
    <w:rsid w:val="00C45FF0"/>
    <w:rsid w:val="00C46075"/>
    <w:rsid w:val="00C462C3"/>
    <w:rsid w:val="00C46340"/>
    <w:rsid w:val="00C463BB"/>
    <w:rsid w:val="00C46481"/>
    <w:rsid w:val="00C464AC"/>
    <w:rsid w:val="00C4654E"/>
    <w:rsid w:val="00C4655F"/>
    <w:rsid w:val="00C46725"/>
    <w:rsid w:val="00C46839"/>
    <w:rsid w:val="00C46947"/>
    <w:rsid w:val="00C4699D"/>
    <w:rsid w:val="00C46A42"/>
    <w:rsid w:val="00C46A4C"/>
    <w:rsid w:val="00C46A60"/>
    <w:rsid w:val="00C46B9F"/>
    <w:rsid w:val="00C46D0C"/>
    <w:rsid w:val="00C46DF2"/>
    <w:rsid w:val="00C46E80"/>
    <w:rsid w:val="00C46F03"/>
    <w:rsid w:val="00C46F71"/>
    <w:rsid w:val="00C46FC6"/>
    <w:rsid w:val="00C46FEB"/>
    <w:rsid w:val="00C470FD"/>
    <w:rsid w:val="00C4744D"/>
    <w:rsid w:val="00C47529"/>
    <w:rsid w:val="00C475EF"/>
    <w:rsid w:val="00C47647"/>
    <w:rsid w:val="00C4768F"/>
    <w:rsid w:val="00C476C1"/>
    <w:rsid w:val="00C47763"/>
    <w:rsid w:val="00C477A2"/>
    <w:rsid w:val="00C47899"/>
    <w:rsid w:val="00C478CF"/>
    <w:rsid w:val="00C4796F"/>
    <w:rsid w:val="00C479AD"/>
    <w:rsid w:val="00C47A65"/>
    <w:rsid w:val="00C47A6F"/>
    <w:rsid w:val="00C47B0D"/>
    <w:rsid w:val="00C47B33"/>
    <w:rsid w:val="00C47BB5"/>
    <w:rsid w:val="00C47BC6"/>
    <w:rsid w:val="00C47C21"/>
    <w:rsid w:val="00C47C6C"/>
    <w:rsid w:val="00C47C80"/>
    <w:rsid w:val="00C47CAF"/>
    <w:rsid w:val="00C47D21"/>
    <w:rsid w:val="00C47D5E"/>
    <w:rsid w:val="00C47D6F"/>
    <w:rsid w:val="00C47DEB"/>
    <w:rsid w:val="00C47EBD"/>
    <w:rsid w:val="00C47ECC"/>
    <w:rsid w:val="00C47FE9"/>
    <w:rsid w:val="00C50018"/>
    <w:rsid w:val="00C50058"/>
    <w:rsid w:val="00C50107"/>
    <w:rsid w:val="00C5011B"/>
    <w:rsid w:val="00C50153"/>
    <w:rsid w:val="00C5019B"/>
    <w:rsid w:val="00C5020F"/>
    <w:rsid w:val="00C50287"/>
    <w:rsid w:val="00C5043D"/>
    <w:rsid w:val="00C504F9"/>
    <w:rsid w:val="00C505A8"/>
    <w:rsid w:val="00C50739"/>
    <w:rsid w:val="00C50775"/>
    <w:rsid w:val="00C50826"/>
    <w:rsid w:val="00C50881"/>
    <w:rsid w:val="00C508E5"/>
    <w:rsid w:val="00C50A66"/>
    <w:rsid w:val="00C50B1D"/>
    <w:rsid w:val="00C50C4D"/>
    <w:rsid w:val="00C50C8A"/>
    <w:rsid w:val="00C50CA7"/>
    <w:rsid w:val="00C50D72"/>
    <w:rsid w:val="00C50D7E"/>
    <w:rsid w:val="00C50DC4"/>
    <w:rsid w:val="00C50E24"/>
    <w:rsid w:val="00C50E54"/>
    <w:rsid w:val="00C50FAE"/>
    <w:rsid w:val="00C50FDC"/>
    <w:rsid w:val="00C5105D"/>
    <w:rsid w:val="00C51074"/>
    <w:rsid w:val="00C511D5"/>
    <w:rsid w:val="00C51220"/>
    <w:rsid w:val="00C51250"/>
    <w:rsid w:val="00C51290"/>
    <w:rsid w:val="00C5129B"/>
    <w:rsid w:val="00C51370"/>
    <w:rsid w:val="00C513C2"/>
    <w:rsid w:val="00C5142D"/>
    <w:rsid w:val="00C51433"/>
    <w:rsid w:val="00C51441"/>
    <w:rsid w:val="00C5148A"/>
    <w:rsid w:val="00C514A4"/>
    <w:rsid w:val="00C51516"/>
    <w:rsid w:val="00C51522"/>
    <w:rsid w:val="00C5156B"/>
    <w:rsid w:val="00C515E9"/>
    <w:rsid w:val="00C5167F"/>
    <w:rsid w:val="00C516A1"/>
    <w:rsid w:val="00C516CB"/>
    <w:rsid w:val="00C516E3"/>
    <w:rsid w:val="00C5175F"/>
    <w:rsid w:val="00C51787"/>
    <w:rsid w:val="00C517E1"/>
    <w:rsid w:val="00C51990"/>
    <w:rsid w:val="00C51A62"/>
    <w:rsid w:val="00C51BF4"/>
    <w:rsid w:val="00C51CBC"/>
    <w:rsid w:val="00C51D18"/>
    <w:rsid w:val="00C51D34"/>
    <w:rsid w:val="00C51D59"/>
    <w:rsid w:val="00C51DAF"/>
    <w:rsid w:val="00C51F80"/>
    <w:rsid w:val="00C520EF"/>
    <w:rsid w:val="00C52399"/>
    <w:rsid w:val="00C5255F"/>
    <w:rsid w:val="00C525AD"/>
    <w:rsid w:val="00C52609"/>
    <w:rsid w:val="00C5263F"/>
    <w:rsid w:val="00C52975"/>
    <w:rsid w:val="00C529FE"/>
    <w:rsid w:val="00C52A14"/>
    <w:rsid w:val="00C52ABC"/>
    <w:rsid w:val="00C52B28"/>
    <w:rsid w:val="00C52B70"/>
    <w:rsid w:val="00C52BB1"/>
    <w:rsid w:val="00C52C45"/>
    <w:rsid w:val="00C52C54"/>
    <w:rsid w:val="00C52C7F"/>
    <w:rsid w:val="00C52CF6"/>
    <w:rsid w:val="00C52D67"/>
    <w:rsid w:val="00C52E4C"/>
    <w:rsid w:val="00C52EC9"/>
    <w:rsid w:val="00C52F84"/>
    <w:rsid w:val="00C52FEE"/>
    <w:rsid w:val="00C53030"/>
    <w:rsid w:val="00C530A9"/>
    <w:rsid w:val="00C5312A"/>
    <w:rsid w:val="00C5313E"/>
    <w:rsid w:val="00C531A7"/>
    <w:rsid w:val="00C5323E"/>
    <w:rsid w:val="00C53246"/>
    <w:rsid w:val="00C5339C"/>
    <w:rsid w:val="00C533C7"/>
    <w:rsid w:val="00C533F4"/>
    <w:rsid w:val="00C5361C"/>
    <w:rsid w:val="00C536D7"/>
    <w:rsid w:val="00C536E8"/>
    <w:rsid w:val="00C537E4"/>
    <w:rsid w:val="00C538A1"/>
    <w:rsid w:val="00C538BE"/>
    <w:rsid w:val="00C538F3"/>
    <w:rsid w:val="00C53A5A"/>
    <w:rsid w:val="00C53B5C"/>
    <w:rsid w:val="00C53BAF"/>
    <w:rsid w:val="00C53BB5"/>
    <w:rsid w:val="00C53BED"/>
    <w:rsid w:val="00C53C30"/>
    <w:rsid w:val="00C53CC3"/>
    <w:rsid w:val="00C53DD9"/>
    <w:rsid w:val="00C53EFC"/>
    <w:rsid w:val="00C53FA5"/>
    <w:rsid w:val="00C541BA"/>
    <w:rsid w:val="00C541BC"/>
    <w:rsid w:val="00C541D5"/>
    <w:rsid w:val="00C541E2"/>
    <w:rsid w:val="00C54205"/>
    <w:rsid w:val="00C5422B"/>
    <w:rsid w:val="00C54231"/>
    <w:rsid w:val="00C54238"/>
    <w:rsid w:val="00C5428A"/>
    <w:rsid w:val="00C54355"/>
    <w:rsid w:val="00C5445F"/>
    <w:rsid w:val="00C54470"/>
    <w:rsid w:val="00C54472"/>
    <w:rsid w:val="00C5448B"/>
    <w:rsid w:val="00C544C7"/>
    <w:rsid w:val="00C54627"/>
    <w:rsid w:val="00C546F4"/>
    <w:rsid w:val="00C5476F"/>
    <w:rsid w:val="00C54801"/>
    <w:rsid w:val="00C5481F"/>
    <w:rsid w:val="00C54952"/>
    <w:rsid w:val="00C54953"/>
    <w:rsid w:val="00C54A5A"/>
    <w:rsid w:val="00C54AC3"/>
    <w:rsid w:val="00C54AD5"/>
    <w:rsid w:val="00C54B1D"/>
    <w:rsid w:val="00C54BB4"/>
    <w:rsid w:val="00C54C54"/>
    <w:rsid w:val="00C54C5C"/>
    <w:rsid w:val="00C54DA2"/>
    <w:rsid w:val="00C54DA8"/>
    <w:rsid w:val="00C54E44"/>
    <w:rsid w:val="00C54E53"/>
    <w:rsid w:val="00C54ECE"/>
    <w:rsid w:val="00C54EE8"/>
    <w:rsid w:val="00C54F95"/>
    <w:rsid w:val="00C54FCD"/>
    <w:rsid w:val="00C550A1"/>
    <w:rsid w:val="00C5513B"/>
    <w:rsid w:val="00C551CD"/>
    <w:rsid w:val="00C553B8"/>
    <w:rsid w:val="00C553EB"/>
    <w:rsid w:val="00C5544F"/>
    <w:rsid w:val="00C55452"/>
    <w:rsid w:val="00C55480"/>
    <w:rsid w:val="00C55632"/>
    <w:rsid w:val="00C55661"/>
    <w:rsid w:val="00C557A8"/>
    <w:rsid w:val="00C558AA"/>
    <w:rsid w:val="00C55954"/>
    <w:rsid w:val="00C559B0"/>
    <w:rsid w:val="00C55A75"/>
    <w:rsid w:val="00C55B7B"/>
    <w:rsid w:val="00C55BDB"/>
    <w:rsid w:val="00C55C6A"/>
    <w:rsid w:val="00C55D23"/>
    <w:rsid w:val="00C55DC6"/>
    <w:rsid w:val="00C55DFB"/>
    <w:rsid w:val="00C55EAD"/>
    <w:rsid w:val="00C55FC9"/>
    <w:rsid w:val="00C560E4"/>
    <w:rsid w:val="00C5617D"/>
    <w:rsid w:val="00C5621B"/>
    <w:rsid w:val="00C56225"/>
    <w:rsid w:val="00C5623D"/>
    <w:rsid w:val="00C562FC"/>
    <w:rsid w:val="00C56402"/>
    <w:rsid w:val="00C56664"/>
    <w:rsid w:val="00C56717"/>
    <w:rsid w:val="00C567B5"/>
    <w:rsid w:val="00C567FA"/>
    <w:rsid w:val="00C56875"/>
    <w:rsid w:val="00C568C3"/>
    <w:rsid w:val="00C56948"/>
    <w:rsid w:val="00C5694A"/>
    <w:rsid w:val="00C569CB"/>
    <w:rsid w:val="00C56C0F"/>
    <w:rsid w:val="00C56C21"/>
    <w:rsid w:val="00C56C8B"/>
    <w:rsid w:val="00C56D90"/>
    <w:rsid w:val="00C56D96"/>
    <w:rsid w:val="00C56DB7"/>
    <w:rsid w:val="00C56E8D"/>
    <w:rsid w:val="00C56EF0"/>
    <w:rsid w:val="00C57071"/>
    <w:rsid w:val="00C57110"/>
    <w:rsid w:val="00C57187"/>
    <w:rsid w:val="00C571D8"/>
    <w:rsid w:val="00C57243"/>
    <w:rsid w:val="00C57551"/>
    <w:rsid w:val="00C5762A"/>
    <w:rsid w:val="00C57696"/>
    <w:rsid w:val="00C576E2"/>
    <w:rsid w:val="00C576F6"/>
    <w:rsid w:val="00C5770F"/>
    <w:rsid w:val="00C57736"/>
    <w:rsid w:val="00C57857"/>
    <w:rsid w:val="00C57866"/>
    <w:rsid w:val="00C57927"/>
    <w:rsid w:val="00C5798F"/>
    <w:rsid w:val="00C57B62"/>
    <w:rsid w:val="00C57EBE"/>
    <w:rsid w:val="00C57ECD"/>
    <w:rsid w:val="00C57F28"/>
    <w:rsid w:val="00C57F29"/>
    <w:rsid w:val="00C57F4A"/>
    <w:rsid w:val="00C57F5C"/>
    <w:rsid w:val="00C600A7"/>
    <w:rsid w:val="00C60179"/>
    <w:rsid w:val="00C601D0"/>
    <w:rsid w:val="00C60237"/>
    <w:rsid w:val="00C60238"/>
    <w:rsid w:val="00C6024A"/>
    <w:rsid w:val="00C60314"/>
    <w:rsid w:val="00C60359"/>
    <w:rsid w:val="00C6038F"/>
    <w:rsid w:val="00C6041A"/>
    <w:rsid w:val="00C6041C"/>
    <w:rsid w:val="00C6042A"/>
    <w:rsid w:val="00C60481"/>
    <w:rsid w:val="00C60491"/>
    <w:rsid w:val="00C604BA"/>
    <w:rsid w:val="00C6052A"/>
    <w:rsid w:val="00C605C8"/>
    <w:rsid w:val="00C605CD"/>
    <w:rsid w:val="00C60731"/>
    <w:rsid w:val="00C6073F"/>
    <w:rsid w:val="00C607D0"/>
    <w:rsid w:val="00C609E2"/>
    <w:rsid w:val="00C60A8F"/>
    <w:rsid w:val="00C60ABC"/>
    <w:rsid w:val="00C60B62"/>
    <w:rsid w:val="00C60B78"/>
    <w:rsid w:val="00C60C43"/>
    <w:rsid w:val="00C60C55"/>
    <w:rsid w:val="00C60CA9"/>
    <w:rsid w:val="00C60F53"/>
    <w:rsid w:val="00C610DD"/>
    <w:rsid w:val="00C61156"/>
    <w:rsid w:val="00C61218"/>
    <w:rsid w:val="00C61271"/>
    <w:rsid w:val="00C61321"/>
    <w:rsid w:val="00C613F2"/>
    <w:rsid w:val="00C614CF"/>
    <w:rsid w:val="00C6153B"/>
    <w:rsid w:val="00C615F2"/>
    <w:rsid w:val="00C61686"/>
    <w:rsid w:val="00C616BB"/>
    <w:rsid w:val="00C61700"/>
    <w:rsid w:val="00C61767"/>
    <w:rsid w:val="00C61A95"/>
    <w:rsid w:val="00C61B87"/>
    <w:rsid w:val="00C61CCB"/>
    <w:rsid w:val="00C61D55"/>
    <w:rsid w:val="00C61DFC"/>
    <w:rsid w:val="00C61E06"/>
    <w:rsid w:val="00C61E19"/>
    <w:rsid w:val="00C6206C"/>
    <w:rsid w:val="00C620A8"/>
    <w:rsid w:val="00C6215B"/>
    <w:rsid w:val="00C62169"/>
    <w:rsid w:val="00C621BC"/>
    <w:rsid w:val="00C621CE"/>
    <w:rsid w:val="00C622A1"/>
    <w:rsid w:val="00C62310"/>
    <w:rsid w:val="00C62319"/>
    <w:rsid w:val="00C62361"/>
    <w:rsid w:val="00C6241E"/>
    <w:rsid w:val="00C624EE"/>
    <w:rsid w:val="00C6258D"/>
    <w:rsid w:val="00C625C9"/>
    <w:rsid w:val="00C6268B"/>
    <w:rsid w:val="00C62715"/>
    <w:rsid w:val="00C6271F"/>
    <w:rsid w:val="00C6275B"/>
    <w:rsid w:val="00C627B6"/>
    <w:rsid w:val="00C62823"/>
    <w:rsid w:val="00C6284D"/>
    <w:rsid w:val="00C62901"/>
    <w:rsid w:val="00C62AE1"/>
    <w:rsid w:val="00C62C28"/>
    <w:rsid w:val="00C62C46"/>
    <w:rsid w:val="00C62C9F"/>
    <w:rsid w:val="00C62D97"/>
    <w:rsid w:val="00C62E67"/>
    <w:rsid w:val="00C62F98"/>
    <w:rsid w:val="00C630F9"/>
    <w:rsid w:val="00C63226"/>
    <w:rsid w:val="00C6329C"/>
    <w:rsid w:val="00C632F3"/>
    <w:rsid w:val="00C63311"/>
    <w:rsid w:val="00C6333A"/>
    <w:rsid w:val="00C63347"/>
    <w:rsid w:val="00C63447"/>
    <w:rsid w:val="00C63509"/>
    <w:rsid w:val="00C63569"/>
    <w:rsid w:val="00C63670"/>
    <w:rsid w:val="00C636A3"/>
    <w:rsid w:val="00C63705"/>
    <w:rsid w:val="00C63804"/>
    <w:rsid w:val="00C63890"/>
    <w:rsid w:val="00C638C7"/>
    <w:rsid w:val="00C6398E"/>
    <w:rsid w:val="00C63C2C"/>
    <w:rsid w:val="00C63C75"/>
    <w:rsid w:val="00C63CAB"/>
    <w:rsid w:val="00C63FD0"/>
    <w:rsid w:val="00C6401F"/>
    <w:rsid w:val="00C640E3"/>
    <w:rsid w:val="00C64234"/>
    <w:rsid w:val="00C64276"/>
    <w:rsid w:val="00C6429D"/>
    <w:rsid w:val="00C642CD"/>
    <w:rsid w:val="00C6430B"/>
    <w:rsid w:val="00C64354"/>
    <w:rsid w:val="00C644A1"/>
    <w:rsid w:val="00C644E9"/>
    <w:rsid w:val="00C645AA"/>
    <w:rsid w:val="00C64663"/>
    <w:rsid w:val="00C64785"/>
    <w:rsid w:val="00C6479A"/>
    <w:rsid w:val="00C64895"/>
    <w:rsid w:val="00C648F1"/>
    <w:rsid w:val="00C64958"/>
    <w:rsid w:val="00C6495F"/>
    <w:rsid w:val="00C64A9F"/>
    <w:rsid w:val="00C64B83"/>
    <w:rsid w:val="00C64C75"/>
    <w:rsid w:val="00C64CDC"/>
    <w:rsid w:val="00C64D01"/>
    <w:rsid w:val="00C64D06"/>
    <w:rsid w:val="00C64E92"/>
    <w:rsid w:val="00C64EE2"/>
    <w:rsid w:val="00C65009"/>
    <w:rsid w:val="00C65065"/>
    <w:rsid w:val="00C65081"/>
    <w:rsid w:val="00C65111"/>
    <w:rsid w:val="00C651A0"/>
    <w:rsid w:val="00C652AC"/>
    <w:rsid w:val="00C652EA"/>
    <w:rsid w:val="00C652F9"/>
    <w:rsid w:val="00C65372"/>
    <w:rsid w:val="00C6550A"/>
    <w:rsid w:val="00C6554A"/>
    <w:rsid w:val="00C65578"/>
    <w:rsid w:val="00C655CC"/>
    <w:rsid w:val="00C6562C"/>
    <w:rsid w:val="00C65699"/>
    <w:rsid w:val="00C657BE"/>
    <w:rsid w:val="00C65834"/>
    <w:rsid w:val="00C65844"/>
    <w:rsid w:val="00C65A0B"/>
    <w:rsid w:val="00C65A92"/>
    <w:rsid w:val="00C65B61"/>
    <w:rsid w:val="00C65BF6"/>
    <w:rsid w:val="00C65C80"/>
    <w:rsid w:val="00C65D38"/>
    <w:rsid w:val="00C65DEE"/>
    <w:rsid w:val="00C65E23"/>
    <w:rsid w:val="00C65E71"/>
    <w:rsid w:val="00C65EA8"/>
    <w:rsid w:val="00C65EC2"/>
    <w:rsid w:val="00C65EED"/>
    <w:rsid w:val="00C65F65"/>
    <w:rsid w:val="00C65FBE"/>
    <w:rsid w:val="00C6606F"/>
    <w:rsid w:val="00C66087"/>
    <w:rsid w:val="00C660FF"/>
    <w:rsid w:val="00C66132"/>
    <w:rsid w:val="00C66139"/>
    <w:rsid w:val="00C6616E"/>
    <w:rsid w:val="00C6619B"/>
    <w:rsid w:val="00C661C8"/>
    <w:rsid w:val="00C6621C"/>
    <w:rsid w:val="00C66308"/>
    <w:rsid w:val="00C66349"/>
    <w:rsid w:val="00C66554"/>
    <w:rsid w:val="00C665A6"/>
    <w:rsid w:val="00C665F9"/>
    <w:rsid w:val="00C6674B"/>
    <w:rsid w:val="00C667F1"/>
    <w:rsid w:val="00C667FF"/>
    <w:rsid w:val="00C668DC"/>
    <w:rsid w:val="00C66962"/>
    <w:rsid w:val="00C669BA"/>
    <w:rsid w:val="00C669D3"/>
    <w:rsid w:val="00C66A99"/>
    <w:rsid w:val="00C66AB9"/>
    <w:rsid w:val="00C66AEC"/>
    <w:rsid w:val="00C66B22"/>
    <w:rsid w:val="00C66B2D"/>
    <w:rsid w:val="00C66B84"/>
    <w:rsid w:val="00C66B86"/>
    <w:rsid w:val="00C66BD9"/>
    <w:rsid w:val="00C66BF3"/>
    <w:rsid w:val="00C66C32"/>
    <w:rsid w:val="00C66CEF"/>
    <w:rsid w:val="00C66D1E"/>
    <w:rsid w:val="00C66E0E"/>
    <w:rsid w:val="00C66EAE"/>
    <w:rsid w:val="00C66F13"/>
    <w:rsid w:val="00C66F26"/>
    <w:rsid w:val="00C66F46"/>
    <w:rsid w:val="00C66F49"/>
    <w:rsid w:val="00C6702A"/>
    <w:rsid w:val="00C67084"/>
    <w:rsid w:val="00C67095"/>
    <w:rsid w:val="00C6709D"/>
    <w:rsid w:val="00C6715B"/>
    <w:rsid w:val="00C671DF"/>
    <w:rsid w:val="00C672A4"/>
    <w:rsid w:val="00C672D2"/>
    <w:rsid w:val="00C67397"/>
    <w:rsid w:val="00C673F3"/>
    <w:rsid w:val="00C6747E"/>
    <w:rsid w:val="00C674D0"/>
    <w:rsid w:val="00C675F3"/>
    <w:rsid w:val="00C67665"/>
    <w:rsid w:val="00C6767E"/>
    <w:rsid w:val="00C6771B"/>
    <w:rsid w:val="00C6772D"/>
    <w:rsid w:val="00C678BE"/>
    <w:rsid w:val="00C67952"/>
    <w:rsid w:val="00C67A07"/>
    <w:rsid w:val="00C67A77"/>
    <w:rsid w:val="00C67AE8"/>
    <w:rsid w:val="00C67CA2"/>
    <w:rsid w:val="00C67D0F"/>
    <w:rsid w:val="00C67D97"/>
    <w:rsid w:val="00C67F37"/>
    <w:rsid w:val="00C67F3D"/>
    <w:rsid w:val="00C67F6F"/>
    <w:rsid w:val="00C700A8"/>
    <w:rsid w:val="00C700B5"/>
    <w:rsid w:val="00C700C6"/>
    <w:rsid w:val="00C70161"/>
    <w:rsid w:val="00C701E3"/>
    <w:rsid w:val="00C70235"/>
    <w:rsid w:val="00C703BD"/>
    <w:rsid w:val="00C7061E"/>
    <w:rsid w:val="00C70709"/>
    <w:rsid w:val="00C707A0"/>
    <w:rsid w:val="00C707C1"/>
    <w:rsid w:val="00C7080B"/>
    <w:rsid w:val="00C70870"/>
    <w:rsid w:val="00C708B8"/>
    <w:rsid w:val="00C708C6"/>
    <w:rsid w:val="00C70918"/>
    <w:rsid w:val="00C70979"/>
    <w:rsid w:val="00C70AA1"/>
    <w:rsid w:val="00C70AF6"/>
    <w:rsid w:val="00C70BA5"/>
    <w:rsid w:val="00C70C8F"/>
    <w:rsid w:val="00C70C99"/>
    <w:rsid w:val="00C70D1B"/>
    <w:rsid w:val="00C70D24"/>
    <w:rsid w:val="00C70D5B"/>
    <w:rsid w:val="00C70D6C"/>
    <w:rsid w:val="00C70DF8"/>
    <w:rsid w:val="00C70FD0"/>
    <w:rsid w:val="00C70FF1"/>
    <w:rsid w:val="00C71042"/>
    <w:rsid w:val="00C710B6"/>
    <w:rsid w:val="00C710D9"/>
    <w:rsid w:val="00C7116A"/>
    <w:rsid w:val="00C71195"/>
    <w:rsid w:val="00C711FB"/>
    <w:rsid w:val="00C711FF"/>
    <w:rsid w:val="00C71245"/>
    <w:rsid w:val="00C71297"/>
    <w:rsid w:val="00C712AA"/>
    <w:rsid w:val="00C71324"/>
    <w:rsid w:val="00C713AF"/>
    <w:rsid w:val="00C71518"/>
    <w:rsid w:val="00C7158B"/>
    <w:rsid w:val="00C7159E"/>
    <w:rsid w:val="00C71695"/>
    <w:rsid w:val="00C71748"/>
    <w:rsid w:val="00C7178F"/>
    <w:rsid w:val="00C717B1"/>
    <w:rsid w:val="00C7180D"/>
    <w:rsid w:val="00C7184C"/>
    <w:rsid w:val="00C7186D"/>
    <w:rsid w:val="00C718DC"/>
    <w:rsid w:val="00C719F6"/>
    <w:rsid w:val="00C71A8B"/>
    <w:rsid w:val="00C71ABA"/>
    <w:rsid w:val="00C71BEF"/>
    <w:rsid w:val="00C71BF6"/>
    <w:rsid w:val="00C71C71"/>
    <w:rsid w:val="00C71C7A"/>
    <w:rsid w:val="00C71CBC"/>
    <w:rsid w:val="00C71CC0"/>
    <w:rsid w:val="00C71D15"/>
    <w:rsid w:val="00C71D32"/>
    <w:rsid w:val="00C71D51"/>
    <w:rsid w:val="00C71D8B"/>
    <w:rsid w:val="00C71EC4"/>
    <w:rsid w:val="00C71F09"/>
    <w:rsid w:val="00C71F11"/>
    <w:rsid w:val="00C71F4D"/>
    <w:rsid w:val="00C7206C"/>
    <w:rsid w:val="00C72077"/>
    <w:rsid w:val="00C72143"/>
    <w:rsid w:val="00C721B9"/>
    <w:rsid w:val="00C7223D"/>
    <w:rsid w:val="00C7225F"/>
    <w:rsid w:val="00C722E0"/>
    <w:rsid w:val="00C7234D"/>
    <w:rsid w:val="00C72376"/>
    <w:rsid w:val="00C724D5"/>
    <w:rsid w:val="00C72539"/>
    <w:rsid w:val="00C72575"/>
    <w:rsid w:val="00C725AD"/>
    <w:rsid w:val="00C725BF"/>
    <w:rsid w:val="00C72624"/>
    <w:rsid w:val="00C726C2"/>
    <w:rsid w:val="00C726D6"/>
    <w:rsid w:val="00C726DE"/>
    <w:rsid w:val="00C726F9"/>
    <w:rsid w:val="00C727DD"/>
    <w:rsid w:val="00C727F3"/>
    <w:rsid w:val="00C728B9"/>
    <w:rsid w:val="00C7298E"/>
    <w:rsid w:val="00C729AB"/>
    <w:rsid w:val="00C72A43"/>
    <w:rsid w:val="00C72A55"/>
    <w:rsid w:val="00C72AC8"/>
    <w:rsid w:val="00C72BED"/>
    <w:rsid w:val="00C72BF1"/>
    <w:rsid w:val="00C72D89"/>
    <w:rsid w:val="00C72D8B"/>
    <w:rsid w:val="00C72FA4"/>
    <w:rsid w:val="00C73069"/>
    <w:rsid w:val="00C7307F"/>
    <w:rsid w:val="00C730E1"/>
    <w:rsid w:val="00C73111"/>
    <w:rsid w:val="00C73112"/>
    <w:rsid w:val="00C7315B"/>
    <w:rsid w:val="00C731C1"/>
    <w:rsid w:val="00C7325C"/>
    <w:rsid w:val="00C7326E"/>
    <w:rsid w:val="00C733AF"/>
    <w:rsid w:val="00C733B9"/>
    <w:rsid w:val="00C733EE"/>
    <w:rsid w:val="00C73446"/>
    <w:rsid w:val="00C735C4"/>
    <w:rsid w:val="00C735E8"/>
    <w:rsid w:val="00C73603"/>
    <w:rsid w:val="00C7362B"/>
    <w:rsid w:val="00C73669"/>
    <w:rsid w:val="00C736A3"/>
    <w:rsid w:val="00C73739"/>
    <w:rsid w:val="00C73775"/>
    <w:rsid w:val="00C737AD"/>
    <w:rsid w:val="00C737E0"/>
    <w:rsid w:val="00C738C7"/>
    <w:rsid w:val="00C7390E"/>
    <w:rsid w:val="00C7391F"/>
    <w:rsid w:val="00C739A4"/>
    <w:rsid w:val="00C73B32"/>
    <w:rsid w:val="00C73B3A"/>
    <w:rsid w:val="00C73BD5"/>
    <w:rsid w:val="00C73C48"/>
    <w:rsid w:val="00C73C87"/>
    <w:rsid w:val="00C73D1E"/>
    <w:rsid w:val="00C73D4F"/>
    <w:rsid w:val="00C73DCD"/>
    <w:rsid w:val="00C73E3B"/>
    <w:rsid w:val="00C73EF2"/>
    <w:rsid w:val="00C73F5A"/>
    <w:rsid w:val="00C73F6E"/>
    <w:rsid w:val="00C74091"/>
    <w:rsid w:val="00C7414F"/>
    <w:rsid w:val="00C74225"/>
    <w:rsid w:val="00C74226"/>
    <w:rsid w:val="00C74277"/>
    <w:rsid w:val="00C742E8"/>
    <w:rsid w:val="00C7435B"/>
    <w:rsid w:val="00C743B1"/>
    <w:rsid w:val="00C743CA"/>
    <w:rsid w:val="00C743CD"/>
    <w:rsid w:val="00C74404"/>
    <w:rsid w:val="00C74415"/>
    <w:rsid w:val="00C74455"/>
    <w:rsid w:val="00C744EE"/>
    <w:rsid w:val="00C7473D"/>
    <w:rsid w:val="00C747D7"/>
    <w:rsid w:val="00C747E4"/>
    <w:rsid w:val="00C748BB"/>
    <w:rsid w:val="00C748F0"/>
    <w:rsid w:val="00C7490B"/>
    <w:rsid w:val="00C74961"/>
    <w:rsid w:val="00C74A4F"/>
    <w:rsid w:val="00C74A88"/>
    <w:rsid w:val="00C74B6F"/>
    <w:rsid w:val="00C74B7F"/>
    <w:rsid w:val="00C74BE3"/>
    <w:rsid w:val="00C74BFF"/>
    <w:rsid w:val="00C74CB1"/>
    <w:rsid w:val="00C74CE4"/>
    <w:rsid w:val="00C74D1C"/>
    <w:rsid w:val="00C74E3D"/>
    <w:rsid w:val="00C74EB8"/>
    <w:rsid w:val="00C74EFF"/>
    <w:rsid w:val="00C75011"/>
    <w:rsid w:val="00C7502C"/>
    <w:rsid w:val="00C751DD"/>
    <w:rsid w:val="00C751EB"/>
    <w:rsid w:val="00C751ED"/>
    <w:rsid w:val="00C751FB"/>
    <w:rsid w:val="00C75208"/>
    <w:rsid w:val="00C75332"/>
    <w:rsid w:val="00C7533F"/>
    <w:rsid w:val="00C75371"/>
    <w:rsid w:val="00C75378"/>
    <w:rsid w:val="00C75399"/>
    <w:rsid w:val="00C753F9"/>
    <w:rsid w:val="00C754C2"/>
    <w:rsid w:val="00C754C7"/>
    <w:rsid w:val="00C75577"/>
    <w:rsid w:val="00C75615"/>
    <w:rsid w:val="00C757B2"/>
    <w:rsid w:val="00C757CF"/>
    <w:rsid w:val="00C75836"/>
    <w:rsid w:val="00C75866"/>
    <w:rsid w:val="00C758A0"/>
    <w:rsid w:val="00C758F5"/>
    <w:rsid w:val="00C758FA"/>
    <w:rsid w:val="00C7590E"/>
    <w:rsid w:val="00C7592F"/>
    <w:rsid w:val="00C75A1B"/>
    <w:rsid w:val="00C75A6B"/>
    <w:rsid w:val="00C75B34"/>
    <w:rsid w:val="00C75B6A"/>
    <w:rsid w:val="00C75B9E"/>
    <w:rsid w:val="00C75C99"/>
    <w:rsid w:val="00C75CDF"/>
    <w:rsid w:val="00C75D99"/>
    <w:rsid w:val="00C75D9C"/>
    <w:rsid w:val="00C75E7A"/>
    <w:rsid w:val="00C75E86"/>
    <w:rsid w:val="00C75FAD"/>
    <w:rsid w:val="00C75FE7"/>
    <w:rsid w:val="00C76013"/>
    <w:rsid w:val="00C76035"/>
    <w:rsid w:val="00C760AC"/>
    <w:rsid w:val="00C760C7"/>
    <w:rsid w:val="00C761D0"/>
    <w:rsid w:val="00C76248"/>
    <w:rsid w:val="00C76249"/>
    <w:rsid w:val="00C76287"/>
    <w:rsid w:val="00C762ED"/>
    <w:rsid w:val="00C76474"/>
    <w:rsid w:val="00C764AC"/>
    <w:rsid w:val="00C764E8"/>
    <w:rsid w:val="00C7653B"/>
    <w:rsid w:val="00C76600"/>
    <w:rsid w:val="00C76658"/>
    <w:rsid w:val="00C7669E"/>
    <w:rsid w:val="00C7693D"/>
    <w:rsid w:val="00C7694E"/>
    <w:rsid w:val="00C769BF"/>
    <w:rsid w:val="00C76AFC"/>
    <w:rsid w:val="00C76B9C"/>
    <w:rsid w:val="00C76BFC"/>
    <w:rsid w:val="00C76C19"/>
    <w:rsid w:val="00C76CF2"/>
    <w:rsid w:val="00C76DCF"/>
    <w:rsid w:val="00C76E0E"/>
    <w:rsid w:val="00C76E35"/>
    <w:rsid w:val="00C76E81"/>
    <w:rsid w:val="00C76E8B"/>
    <w:rsid w:val="00C76E90"/>
    <w:rsid w:val="00C76E99"/>
    <w:rsid w:val="00C76F2F"/>
    <w:rsid w:val="00C76F85"/>
    <w:rsid w:val="00C76FD9"/>
    <w:rsid w:val="00C771D2"/>
    <w:rsid w:val="00C7731A"/>
    <w:rsid w:val="00C77341"/>
    <w:rsid w:val="00C77412"/>
    <w:rsid w:val="00C77442"/>
    <w:rsid w:val="00C774ED"/>
    <w:rsid w:val="00C77505"/>
    <w:rsid w:val="00C7752E"/>
    <w:rsid w:val="00C77559"/>
    <w:rsid w:val="00C77677"/>
    <w:rsid w:val="00C776B6"/>
    <w:rsid w:val="00C77833"/>
    <w:rsid w:val="00C778A5"/>
    <w:rsid w:val="00C7799F"/>
    <w:rsid w:val="00C77A98"/>
    <w:rsid w:val="00C77A9D"/>
    <w:rsid w:val="00C77A9F"/>
    <w:rsid w:val="00C77B8F"/>
    <w:rsid w:val="00C77BFB"/>
    <w:rsid w:val="00C77CB1"/>
    <w:rsid w:val="00C77D24"/>
    <w:rsid w:val="00C77D31"/>
    <w:rsid w:val="00C77D9F"/>
    <w:rsid w:val="00C77EBD"/>
    <w:rsid w:val="00C8003D"/>
    <w:rsid w:val="00C80040"/>
    <w:rsid w:val="00C80041"/>
    <w:rsid w:val="00C8006B"/>
    <w:rsid w:val="00C800FE"/>
    <w:rsid w:val="00C8013A"/>
    <w:rsid w:val="00C80149"/>
    <w:rsid w:val="00C80150"/>
    <w:rsid w:val="00C801CB"/>
    <w:rsid w:val="00C801CC"/>
    <w:rsid w:val="00C80201"/>
    <w:rsid w:val="00C8028F"/>
    <w:rsid w:val="00C802A6"/>
    <w:rsid w:val="00C802DF"/>
    <w:rsid w:val="00C802FC"/>
    <w:rsid w:val="00C8038E"/>
    <w:rsid w:val="00C803DD"/>
    <w:rsid w:val="00C8056C"/>
    <w:rsid w:val="00C80609"/>
    <w:rsid w:val="00C80679"/>
    <w:rsid w:val="00C806D3"/>
    <w:rsid w:val="00C80708"/>
    <w:rsid w:val="00C80843"/>
    <w:rsid w:val="00C8084F"/>
    <w:rsid w:val="00C8092B"/>
    <w:rsid w:val="00C80931"/>
    <w:rsid w:val="00C80932"/>
    <w:rsid w:val="00C8095A"/>
    <w:rsid w:val="00C809A7"/>
    <w:rsid w:val="00C80B68"/>
    <w:rsid w:val="00C80BC4"/>
    <w:rsid w:val="00C80C5A"/>
    <w:rsid w:val="00C80DBC"/>
    <w:rsid w:val="00C80E45"/>
    <w:rsid w:val="00C80E57"/>
    <w:rsid w:val="00C80F3D"/>
    <w:rsid w:val="00C80FF5"/>
    <w:rsid w:val="00C81021"/>
    <w:rsid w:val="00C8105D"/>
    <w:rsid w:val="00C81092"/>
    <w:rsid w:val="00C810F6"/>
    <w:rsid w:val="00C8111A"/>
    <w:rsid w:val="00C8114E"/>
    <w:rsid w:val="00C811C8"/>
    <w:rsid w:val="00C811D4"/>
    <w:rsid w:val="00C811D6"/>
    <w:rsid w:val="00C811EF"/>
    <w:rsid w:val="00C8135A"/>
    <w:rsid w:val="00C813A9"/>
    <w:rsid w:val="00C81497"/>
    <w:rsid w:val="00C814C6"/>
    <w:rsid w:val="00C815AE"/>
    <w:rsid w:val="00C81653"/>
    <w:rsid w:val="00C816C3"/>
    <w:rsid w:val="00C81757"/>
    <w:rsid w:val="00C817DA"/>
    <w:rsid w:val="00C8181A"/>
    <w:rsid w:val="00C818CB"/>
    <w:rsid w:val="00C818CE"/>
    <w:rsid w:val="00C81913"/>
    <w:rsid w:val="00C81974"/>
    <w:rsid w:val="00C81B77"/>
    <w:rsid w:val="00C81C54"/>
    <w:rsid w:val="00C81D2F"/>
    <w:rsid w:val="00C81DF5"/>
    <w:rsid w:val="00C81F34"/>
    <w:rsid w:val="00C81FD2"/>
    <w:rsid w:val="00C8213C"/>
    <w:rsid w:val="00C821B3"/>
    <w:rsid w:val="00C821B8"/>
    <w:rsid w:val="00C82229"/>
    <w:rsid w:val="00C823FA"/>
    <w:rsid w:val="00C8245E"/>
    <w:rsid w:val="00C82478"/>
    <w:rsid w:val="00C824AE"/>
    <w:rsid w:val="00C824BB"/>
    <w:rsid w:val="00C824E5"/>
    <w:rsid w:val="00C82653"/>
    <w:rsid w:val="00C826A4"/>
    <w:rsid w:val="00C8288F"/>
    <w:rsid w:val="00C82931"/>
    <w:rsid w:val="00C829C6"/>
    <w:rsid w:val="00C829E1"/>
    <w:rsid w:val="00C82A08"/>
    <w:rsid w:val="00C82AA6"/>
    <w:rsid w:val="00C82B20"/>
    <w:rsid w:val="00C82B5A"/>
    <w:rsid w:val="00C82D69"/>
    <w:rsid w:val="00C82E33"/>
    <w:rsid w:val="00C82E38"/>
    <w:rsid w:val="00C82FA6"/>
    <w:rsid w:val="00C82FB2"/>
    <w:rsid w:val="00C830F9"/>
    <w:rsid w:val="00C8313A"/>
    <w:rsid w:val="00C8315A"/>
    <w:rsid w:val="00C8318D"/>
    <w:rsid w:val="00C831DB"/>
    <w:rsid w:val="00C8333F"/>
    <w:rsid w:val="00C83345"/>
    <w:rsid w:val="00C8339A"/>
    <w:rsid w:val="00C833D0"/>
    <w:rsid w:val="00C833FC"/>
    <w:rsid w:val="00C8349E"/>
    <w:rsid w:val="00C835AE"/>
    <w:rsid w:val="00C83699"/>
    <w:rsid w:val="00C836B5"/>
    <w:rsid w:val="00C8384E"/>
    <w:rsid w:val="00C8385E"/>
    <w:rsid w:val="00C839DD"/>
    <w:rsid w:val="00C83A6A"/>
    <w:rsid w:val="00C83B80"/>
    <w:rsid w:val="00C83BD4"/>
    <w:rsid w:val="00C83C73"/>
    <w:rsid w:val="00C83CFB"/>
    <w:rsid w:val="00C83D36"/>
    <w:rsid w:val="00C83E07"/>
    <w:rsid w:val="00C83E0B"/>
    <w:rsid w:val="00C83E20"/>
    <w:rsid w:val="00C83F2D"/>
    <w:rsid w:val="00C83FE3"/>
    <w:rsid w:val="00C8406E"/>
    <w:rsid w:val="00C8408B"/>
    <w:rsid w:val="00C8410B"/>
    <w:rsid w:val="00C84125"/>
    <w:rsid w:val="00C84196"/>
    <w:rsid w:val="00C843A2"/>
    <w:rsid w:val="00C843A4"/>
    <w:rsid w:val="00C843DB"/>
    <w:rsid w:val="00C843F6"/>
    <w:rsid w:val="00C845B8"/>
    <w:rsid w:val="00C8461B"/>
    <w:rsid w:val="00C84676"/>
    <w:rsid w:val="00C8476D"/>
    <w:rsid w:val="00C8479B"/>
    <w:rsid w:val="00C847C6"/>
    <w:rsid w:val="00C84865"/>
    <w:rsid w:val="00C84874"/>
    <w:rsid w:val="00C848B3"/>
    <w:rsid w:val="00C84959"/>
    <w:rsid w:val="00C84994"/>
    <w:rsid w:val="00C84A5E"/>
    <w:rsid w:val="00C84B7A"/>
    <w:rsid w:val="00C84C3A"/>
    <w:rsid w:val="00C84CB5"/>
    <w:rsid w:val="00C84D78"/>
    <w:rsid w:val="00C84E66"/>
    <w:rsid w:val="00C84E8B"/>
    <w:rsid w:val="00C84E95"/>
    <w:rsid w:val="00C84FDA"/>
    <w:rsid w:val="00C85060"/>
    <w:rsid w:val="00C8524C"/>
    <w:rsid w:val="00C85255"/>
    <w:rsid w:val="00C852DE"/>
    <w:rsid w:val="00C852F4"/>
    <w:rsid w:val="00C8530C"/>
    <w:rsid w:val="00C853B6"/>
    <w:rsid w:val="00C853ED"/>
    <w:rsid w:val="00C854F1"/>
    <w:rsid w:val="00C85556"/>
    <w:rsid w:val="00C856BE"/>
    <w:rsid w:val="00C856D1"/>
    <w:rsid w:val="00C8578B"/>
    <w:rsid w:val="00C857C4"/>
    <w:rsid w:val="00C857D9"/>
    <w:rsid w:val="00C85856"/>
    <w:rsid w:val="00C85874"/>
    <w:rsid w:val="00C8591A"/>
    <w:rsid w:val="00C859D7"/>
    <w:rsid w:val="00C859FC"/>
    <w:rsid w:val="00C85B59"/>
    <w:rsid w:val="00C85B9A"/>
    <w:rsid w:val="00C85C35"/>
    <w:rsid w:val="00C85CBC"/>
    <w:rsid w:val="00C85D50"/>
    <w:rsid w:val="00C85DEC"/>
    <w:rsid w:val="00C85EF1"/>
    <w:rsid w:val="00C85EF2"/>
    <w:rsid w:val="00C85F6D"/>
    <w:rsid w:val="00C85F96"/>
    <w:rsid w:val="00C85FF5"/>
    <w:rsid w:val="00C86000"/>
    <w:rsid w:val="00C86042"/>
    <w:rsid w:val="00C860BC"/>
    <w:rsid w:val="00C860CF"/>
    <w:rsid w:val="00C86152"/>
    <w:rsid w:val="00C8621A"/>
    <w:rsid w:val="00C8627D"/>
    <w:rsid w:val="00C86293"/>
    <w:rsid w:val="00C8644B"/>
    <w:rsid w:val="00C86477"/>
    <w:rsid w:val="00C864E4"/>
    <w:rsid w:val="00C86557"/>
    <w:rsid w:val="00C8662B"/>
    <w:rsid w:val="00C866FD"/>
    <w:rsid w:val="00C8688B"/>
    <w:rsid w:val="00C86935"/>
    <w:rsid w:val="00C86987"/>
    <w:rsid w:val="00C86999"/>
    <w:rsid w:val="00C86A3F"/>
    <w:rsid w:val="00C86AC7"/>
    <w:rsid w:val="00C86BEC"/>
    <w:rsid w:val="00C86C62"/>
    <w:rsid w:val="00C86D5D"/>
    <w:rsid w:val="00C86E84"/>
    <w:rsid w:val="00C86ED9"/>
    <w:rsid w:val="00C86F40"/>
    <w:rsid w:val="00C86FB2"/>
    <w:rsid w:val="00C870B0"/>
    <w:rsid w:val="00C870BB"/>
    <w:rsid w:val="00C870DF"/>
    <w:rsid w:val="00C870F5"/>
    <w:rsid w:val="00C871B4"/>
    <w:rsid w:val="00C871D3"/>
    <w:rsid w:val="00C8720C"/>
    <w:rsid w:val="00C87251"/>
    <w:rsid w:val="00C872AC"/>
    <w:rsid w:val="00C872D8"/>
    <w:rsid w:val="00C872E9"/>
    <w:rsid w:val="00C87300"/>
    <w:rsid w:val="00C873AC"/>
    <w:rsid w:val="00C87424"/>
    <w:rsid w:val="00C87427"/>
    <w:rsid w:val="00C87436"/>
    <w:rsid w:val="00C87459"/>
    <w:rsid w:val="00C874C5"/>
    <w:rsid w:val="00C8762D"/>
    <w:rsid w:val="00C87638"/>
    <w:rsid w:val="00C8763F"/>
    <w:rsid w:val="00C8774A"/>
    <w:rsid w:val="00C877E7"/>
    <w:rsid w:val="00C87815"/>
    <w:rsid w:val="00C8795B"/>
    <w:rsid w:val="00C87966"/>
    <w:rsid w:val="00C87AE2"/>
    <w:rsid w:val="00C87C8B"/>
    <w:rsid w:val="00C87E34"/>
    <w:rsid w:val="00C87E7B"/>
    <w:rsid w:val="00C87EFB"/>
    <w:rsid w:val="00C90023"/>
    <w:rsid w:val="00C901D0"/>
    <w:rsid w:val="00C902D5"/>
    <w:rsid w:val="00C90475"/>
    <w:rsid w:val="00C90496"/>
    <w:rsid w:val="00C905DF"/>
    <w:rsid w:val="00C90683"/>
    <w:rsid w:val="00C9086D"/>
    <w:rsid w:val="00C908D7"/>
    <w:rsid w:val="00C90AF5"/>
    <w:rsid w:val="00C90AF7"/>
    <w:rsid w:val="00C90B59"/>
    <w:rsid w:val="00C90B7E"/>
    <w:rsid w:val="00C90C60"/>
    <w:rsid w:val="00C90D46"/>
    <w:rsid w:val="00C90DC5"/>
    <w:rsid w:val="00C90DF7"/>
    <w:rsid w:val="00C90F30"/>
    <w:rsid w:val="00C90FF9"/>
    <w:rsid w:val="00C91051"/>
    <w:rsid w:val="00C91086"/>
    <w:rsid w:val="00C910B7"/>
    <w:rsid w:val="00C910B9"/>
    <w:rsid w:val="00C91170"/>
    <w:rsid w:val="00C9131D"/>
    <w:rsid w:val="00C9136A"/>
    <w:rsid w:val="00C913E3"/>
    <w:rsid w:val="00C9143C"/>
    <w:rsid w:val="00C91465"/>
    <w:rsid w:val="00C91619"/>
    <w:rsid w:val="00C916E7"/>
    <w:rsid w:val="00C91717"/>
    <w:rsid w:val="00C917B7"/>
    <w:rsid w:val="00C917CC"/>
    <w:rsid w:val="00C9186F"/>
    <w:rsid w:val="00C918D6"/>
    <w:rsid w:val="00C918FF"/>
    <w:rsid w:val="00C91950"/>
    <w:rsid w:val="00C91A3C"/>
    <w:rsid w:val="00C91BDC"/>
    <w:rsid w:val="00C91C04"/>
    <w:rsid w:val="00C91C1F"/>
    <w:rsid w:val="00C91C22"/>
    <w:rsid w:val="00C91C9C"/>
    <w:rsid w:val="00C91D63"/>
    <w:rsid w:val="00C91DD4"/>
    <w:rsid w:val="00C91DFD"/>
    <w:rsid w:val="00C91E08"/>
    <w:rsid w:val="00C91E37"/>
    <w:rsid w:val="00C91F54"/>
    <w:rsid w:val="00C91FF8"/>
    <w:rsid w:val="00C92030"/>
    <w:rsid w:val="00C92045"/>
    <w:rsid w:val="00C92262"/>
    <w:rsid w:val="00C9229E"/>
    <w:rsid w:val="00C92375"/>
    <w:rsid w:val="00C9263D"/>
    <w:rsid w:val="00C927BD"/>
    <w:rsid w:val="00C927D4"/>
    <w:rsid w:val="00C927E9"/>
    <w:rsid w:val="00C92845"/>
    <w:rsid w:val="00C92850"/>
    <w:rsid w:val="00C92984"/>
    <w:rsid w:val="00C929EA"/>
    <w:rsid w:val="00C92A10"/>
    <w:rsid w:val="00C92A5D"/>
    <w:rsid w:val="00C92AF2"/>
    <w:rsid w:val="00C92C4C"/>
    <w:rsid w:val="00C92C7C"/>
    <w:rsid w:val="00C92CF1"/>
    <w:rsid w:val="00C92D1B"/>
    <w:rsid w:val="00C92D69"/>
    <w:rsid w:val="00C92DA0"/>
    <w:rsid w:val="00C92DBD"/>
    <w:rsid w:val="00C92E2D"/>
    <w:rsid w:val="00C92F82"/>
    <w:rsid w:val="00C92FD4"/>
    <w:rsid w:val="00C92FF0"/>
    <w:rsid w:val="00C93029"/>
    <w:rsid w:val="00C930C0"/>
    <w:rsid w:val="00C931BC"/>
    <w:rsid w:val="00C93222"/>
    <w:rsid w:val="00C9343C"/>
    <w:rsid w:val="00C9347D"/>
    <w:rsid w:val="00C934A7"/>
    <w:rsid w:val="00C935EB"/>
    <w:rsid w:val="00C93641"/>
    <w:rsid w:val="00C93662"/>
    <w:rsid w:val="00C93818"/>
    <w:rsid w:val="00C93986"/>
    <w:rsid w:val="00C93A06"/>
    <w:rsid w:val="00C93AC0"/>
    <w:rsid w:val="00C93ACC"/>
    <w:rsid w:val="00C93B1F"/>
    <w:rsid w:val="00C93B59"/>
    <w:rsid w:val="00C93C59"/>
    <w:rsid w:val="00C93CC3"/>
    <w:rsid w:val="00C93DCC"/>
    <w:rsid w:val="00C93F20"/>
    <w:rsid w:val="00C94098"/>
    <w:rsid w:val="00C940B0"/>
    <w:rsid w:val="00C941AB"/>
    <w:rsid w:val="00C941B9"/>
    <w:rsid w:val="00C941BC"/>
    <w:rsid w:val="00C94211"/>
    <w:rsid w:val="00C9439F"/>
    <w:rsid w:val="00C943A0"/>
    <w:rsid w:val="00C94402"/>
    <w:rsid w:val="00C94481"/>
    <w:rsid w:val="00C94789"/>
    <w:rsid w:val="00C947C8"/>
    <w:rsid w:val="00C948F3"/>
    <w:rsid w:val="00C94A1C"/>
    <w:rsid w:val="00C94A9F"/>
    <w:rsid w:val="00C94AD1"/>
    <w:rsid w:val="00C94B67"/>
    <w:rsid w:val="00C94CC2"/>
    <w:rsid w:val="00C94CC5"/>
    <w:rsid w:val="00C94CED"/>
    <w:rsid w:val="00C94DBB"/>
    <w:rsid w:val="00C94F6E"/>
    <w:rsid w:val="00C94FB2"/>
    <w:rsid w:val="00C95012"/>
    <w:rsid w:val="00C95065"/>
    <w:rsid w:val="00C950A5"/>
    <w:rsid w:val="00C95130"/>
    <w:rsid w:val="00C95319"/>
    <w:rsid w:val="00C953EA"/>
    <w:rsid w:val="00C953F6"/>
    <w:rsid w:val="00C954A3"/>
    <w:rsid w:val="00C9550D"/>
    <w:rsid w:val="00C9551D"/>
    <w:rsid w:val="00C95559"/>
    <w:rsid w:val="00C95676"/>
    <w:rsid w:val="00C956E1"/>
    <w:rsid w:val="00C95796"/>
    <w:rsid w:val="00C957DF"/>
    <w:rsid w:val="00C95831"/>
    <w:rsid w:val="00C9583F"/>
    <w:rsid w:val="00C9592E"/>
    <w:rsid w:val="00C959EE"/>
    <w:rsid w:val="00C95ADA"/>
    <w:rsid w:val="00C95B33"/>
    <w:rsid w:val="00C95B68"/>
    <w:rsid w:val="00C95BA9"/>
    <w:rsid w:val="00C95C2B"/>
    <w:rsid w:val="00C95C6A"/>
    <w:rsid w:val="00C95CE8"/>
    <w:rsid w:val="00C95D90"/>
    <w:rsid w:val="00C95E0B"/>
    <w:rsid w:val="00C95E6C"/>
    <w:rsid w:val="00C95FD5"/>
    <w:rsid w:val="00C9603E"/>
    <w:rsid w:val="00C96068"/>
    <w:rsid w:val="00C96096"/>
    <w:rsid w:val="00C960C8"/>
    <w:rsid w:val="00C960F3"/>
    <w:rsid w:val="00C9616A"/>
    <w:rsid w:val="00C9618B"/>
    <w:rsid w:val="00C961A5"/>
    <w:rsid w:val="00C962A1"/>
    <w:rsid w:val="00C962BD"/>
    <w:rsid w:val="00C962F7"/>
    <w:rsid w:val="00C96312"/>
    <w:rsid w:val="00C96393"/>
    <w:rsid w:val="00C963B2"/>
    <w:rsid w:val="00C9651C"/>
    <w:rsid w:val="00C9654C"/>
    <w:rsid w:val="00C965AD"/>
    <w:rsid w:val="00C96678"/>
    <w:rsid w:val="00C967F0"/>
    <w:rsid w:val="00C96932"/>
    <w:rsid w:val="00C969E8"/>
    <w:rsid w:val="00C96A80"/>
    <w:rsid w:val="00C96AF9"/>
    <w:rsid w:val="00C96BD4"/>
    <w:rsid w:val="00C96EEC"/>
    <w:rsid w:val="00C96F2C"/>
    <w:rsid w:val="00C96F8C"/>
    <w:rsid w:val="00C97066"/>
    <w:rsid w:val="00C97188"/>
    <w:rsid w:val="00C971A2"/>
    <w:rsid w:val="00C971DA"/>
    <w:rsid w:val="00C97279"/>
    <w:rsid w:val="00C9728B"/>
    <w:rsid w:val="00C972A2"/>
    <w:rsid w:val="00C9747A"/>
    <w:rsid w:val="00C974D5"/>
    <w:rsid w:val="00C97602"/>
    <w:rsid w:val="00C97696"/>
    <w:rsid w:val="00C9775D"/>
    <w:rsid w:val="00C9786D"/>
    <w:rsid w:val="00C97895"/>
    <w:rsid w:val="00C97928"/>
    <w:rsid w:val="00C9794D"/>
    <w:rsid w:val="00C97968"/>
    <w:rsid w:val="00C979C0"/>
    <w:rsid w:val="00C97A00"/>
    <w:rsid w:val="00C97ABE"/>
    <w:rsid w:val="00C97AF6"/>
    <w:rsid w:val="00C97C47"/>
    <w:rsid w:val="00C97EC5"/>
    <w:rsid w:val="00C97F09"/>
    <w:rsid w:val="00CA00BD"/>
    <w:rsid w:val="00CA025C"/>
    <w:rsid w:val="00CA02AE"/>
    <w:rsid w:val="00CA0383"/>
    <w:rsid w:val="00CA03EF"/>
    <w:rsid w:val="00CA0471"/>
    <w:rsid w:val="00CA0517"/>
    <w:rsid w:val="00CA0554"/>
    <w:rsid w:val="00CA059D"/>
    <w:rsid w:val="00CA05F1"/>
    <w:rsid w:val="00CA0639"/>
    <w:rsid w:val="00CA0811"/>
    <w:rsid w:val="00CA095B"/>
    <w:rsid w:val="00CA0993"/>
    <w:rsid w:val="00CA09A7"/>
    <w:rsid w:val="00CA0A8C"/>
    <w:rsid w:val="00CA0A9C"/>
    <w:rsid w:val="00CA0C4E"/>
    <w:rsid w:val="00CA0C91"/>
    <w:rsid w:val="00CA0D43"/>
    <w:rsid w:val="00CA0DBF"/>
    <w:rsid w:val="00CA0DCC"/>
    <w:rsid w:val="00CA0EA3"/>
    <w:rsid w:val="00CA0EED"/>
    <w:rsid w:val="00CA10A8"/>
    <w:rsid w:val="00CA10CC"/>
    <w:rsid w:val="00CA1101"/>
    <w:rsid w:val="00CA11C1"/>
    <w:rsid w:val="00CA11E4"/>
    <w:rsid w:val="00CA12F5"/>
    <w:rsid w:val="00CA1309"/>
    <w:rsid w:val="00CA131E"/>
    <w:rsid w:val="00CA133B"/>
    <w:rsid w:val="00CA1389"/>
    <w:rsid w:val="00CA13CC"/>
    <w:rsid w:val="00CA140D"/>
    <w:rsid w:val="00CA14DC"/>
    <w:rsid w:val="00CA151C"/>
    <w:rsid w:val="00CA15BD"/>
    <w:rsid w:val="00CA180C"/>
    <w:rsid w:val="00CA186A"/>
    <w:rsid w:val="00CA18FA"/>
    <w:rsid w:val="00CA19EC"/>
    <w:rsid w:val="00CA1B35"/>
    <w:rsid w:val="00CA1B7D"/>
    <w:rsid w:val="00CA1B8D"/>
    <w:rsid w:val="00CA1BC9"/>
    <w:rsid w:val="00CA1C06"/>
    <w:rsid w:val="00CA1DDC"/>
    <w:rsid w:val="00CA1E4B"/>
    <w:rsid w:val="00CA1F0E"/>
    <w:rsid w:val="00CA1F11"/>
    <w:rsid w:val="00CA2022"/>
    <w:rsid w:val="00CA2095"/>
    <w:rsid w:val="00CA2119"/>
    <w:rsid w:val="00CA2198"/>
    <w:rsid w:val="00CA21D4"/>
    <w:rsid w:val="00CA232D"/>
    <w:rsid w:val="00CA236C"/>
    <w:rsid w:val="00CA2472"/>
    <w:rsid w:val="00CA24EC"/>
    <w:rsid w:val="00CA24FB"/>
    <w:rsid w:val="00CA250E"/>
    <w:rsid w:val="00CA2570"/>
    <w:rsid w:val="00CA2645"/>
    <w:rsid w:val="00CA26EC"/>
    <w:rsid w:val="00CA274F"/>
    <w:rsid w:val="00CA2885"/>
    <w:rsid w:val="00CA2916"/>
    <w:rsid w:val="00CA2952"/>
    <w:rsid w:val="00CA29DE"/>
    <w:rsid w:val="00CA29EE"/>
    <w:rsid w:val="00CA2A3E"/>
    <w:rsid w:val="00CA2B72"/>
    <w:rsid w:val="00CA2B9D"/>
    <w:rsid w:val="00CA2C2D"/>
    <w:rsid w:val="00CA2CDC"/>
    <w:rsid w:val="00CA2CFA"/>
    <w:rsid w:val="00CA2D1F"/>
    <w:rsid w:val="00CA2E04"/>
    <w:rsid w:val="00CA2E07"/>
    <w:rsid w:val="00CA2E5B"/>
    <w:rsid w:val="00CA2EA2"/>
    <w:rsid w:val="00CA2EA9"/>
    <w:rsid w:val="00CA2F00"/>
    <w:rsid w:val="00CA2F34"/>
    <w:rsid w:val="00CA309C"/>
    <w:rsid w:val="00CA30AA"/>
    <w:rsid w:val="00CA3147"/>
    <w:rsid w:val="00CA31F4"/>
    <w:rsid w:val="00CA3263"/>
    <w:rsid w:val="00CA32EF"/>
    <w:rsid w:val="00CA341D"/>
    <w:rsid w:val="00CA349C"/>
    <w:rsid w:val="00CA3514"/>
    <w:rsid w:val="00CA3549"/>
    <w:rsid w:val="00CA3601"/>
    <w:rsid w:val="00CA360E"/>
    <w:rsid w:val="00CA3680"/>
    <w:rsid w:val="00CA36B8"/>
    <w:rsid w:val="00CA36BA"/>
    <w:rsid w:val="00CA372E"/>
    <w:rsid w:val="00CA37AA"/>
    <w:rsid w:val="00CA38D7"/>
    <w:rsid w:val="00CA3911"/>
    <w:rsid w:val="00CA3941"/>
    <w:rsid w:val="00CA395D"/>
    <w:rsid w:val="00CA39BB"/>
    <w:rsid w:val="00CA3A14"/>
    <w:rsid w:val="00CA3A88"/>
    <w:rsid w:val="00CA3AB6"/>
    <w:rsid w:val="00CA3AE2"/>
    <w:rsid w:val="00CA3B5E"/>
    <w:rsid w:val="00CA3B99"/>
    <w:rsid w:val="00CA3CCB"/>
    <w:rsid w:val="00CA3CE1"/>
    <w:rsid w:val="00CA3DFB"/>
    <w:rsid w:val="00CA3DFC"/>
    <w:rsid w:val="00CA3E8A"/>
    <w:rsid w:val="00CA3F6D"/>
    <w:rsid w:val="00CA3F89"/>
    <w:rsid w:val="00CA4061"/>
    <w:rsid w:val="00CA4084"/>
    <w:rsid w:val="00CA40EE"/>
    <w:rsid w:val="00CA40FD"/>
    <w:rsid w:val="00CA417D"/>
    <w:rsid w:val="00CA424D"/>
    <w:rsid w:val="00CA42CE"/>
    <w:rsid w:val="00CA431E"/>
    <w:rsid w:val="00CA438F"/>
    <w:rsid w:val="00CA4396"/>
    <w:rsid w:val="00CA440E"/>
    <w:rsid w:val="00CA4454"/>
    <w:rsid w:val="00CA44E4"/>
    <w:rsid w:val="00CA45C9"/>
    <w:rsid w:val="00CA4611"/>
    <w:rsid w:val="00CA4645"/>
    <w:rsid w:val="00CA468E"/>
    <w:rsid w:val="00CA46E0"/>
    <w:rsid w:val="00CA473A"/>
    <w:rsid w:val="00CA47AB"/>
    <w:rsid w:val="00CA48BA"/>
    <w:rsid w:val="00CA48ED"/>
    <w:rsid w:val="00CA4991"/>
    <w:rsid w:val="00CA49E4"/>
    <w:rsid w:val="00CA4A2F"/>
    <w:rsid w:val="00CA4A99"/>
    <w:rsid w:val="00CA4B1A"/>
    <w:rsid w:val="00CA4B5B"/>
    <w:rsid w:val="00CA4B64"/>
    <w:rsid w:val="00CA4BEE"/>
    <w:rsid w:val="00CA4C19"/>
    <w:rsid w:val="00CA4D7F"/>
    <w:rsid w:val="00CA4DDD"/>
    <w:rsid w:val="00CA4E6E"/>
    <w:rsid w:val="00CA4ED8"/>
    <w:rsid w:val="00CA50C4"/>
    <w:rsid w:val="00CA510F"/>
    <w:rsid w:val="00CA53C3"/>
    <w:rsid w:val="00CA5461"/>
    <w:rsid w:val="00CA54A9"/>
    <w:rsid w:val="00CA550C"/>
    <w:rsid w:val="00CA551B"/>
    <w:rsid w:val="00CA5577"/>
    <w:rsid w:val="00CA55C3"/>
    <w:rsid w:val="00CA55DF"/>
    <w:rsid w:val="00CA5686"/>
    <w:rsid w:val="00CA5699"/>
    <w:rsid w:val="00CA57B3"/>
    <w:rsid w:val="00CA5903"/>
    <w:rsid w:val="00CA59CF"/>
    <w:rsid w:val="00CA5A2A"/>
    <w:rsid w:val="00CA5A47"/>
    <w:rsid w:val="00CA5A4B"/>
    <w:rsid w:val="00CA5A75"/>
    <w:rsid w:val="00CA5AF2"/>
    <w:rsid w:val="00CA5B38"/>
    <w:rsid w:val="00CA5C5C"/>
    <w:rsid w:val="00CA5D5E"/>
    <w:rsid w:val="00CA5E0A"/>
    <w:rsid w:val="00CA5E69"/>
    <w:rsid w:val="00CA5F0C"/>
    <w:rsid w:val="00CA5F6C"/>
    <w:rsid w:val="00CA5F7E"/>
    <w:rsid w:val="00CA6013"/>
    <w:rsid w:val="00CA6056"/>
    <w:rsid w:val="00CA607B"/>
    <w:rsid w:val="00CA614A"/>
    <w:rsid w:val="00CA6210"/>
    <w:rsid w:val="00CA6211"/>
    <w:rsid w:val="00CA621F"/>
    <w:rsid w:val="00CA62FC"/>
    <w:rsid w:val="00CA640E"/>
    <w:rsid w:val="00CA64AA"/>
    <w:rsid w:val="00CA663A"/>
    <w:rsid w:val="00CA66CB"/>
    <w:rsid w:val="00CA66FD"/>
    <w:rsid w:val="00CA6711"/>
    <w:rsid w:val="00CA677A"/>
    <w:rsid w:val="00CA6803"/>
    <w:rsid w:val="00CA6822"/>
    <w:rsid w:val="00CA6877"/>
    <w:rsid w:val="00CA6896"/>
    <w:rsid w:val="00CA68F2"/>
    <w:rsid w:val="00CA690F"/>
    <w:rsid w:val="00CA6BCF"/>
    <w:rsid w:val="00CA6C67"/>
    <w:rsid w:val="00CA6C80"/>
    <w:rsid w:val="00CA6D85"/>
    <w:rsid w:val="00CA6DFA"/>
    <w:rsid w:val="00CA6E84"/>
    <w:rsid w:val="00CA6EDB"/>
    <w:rsid w:val="00CA6F68"/>
    <w:rsid w:val="00CA6F7C"/>
    <w:rsid w:val="00CA6F81"/>
    <w:rsid w:val="00CA6FD3"/>
    <w:rsid w:val="00CA6FE6"/>
    <w:rsid w:val="00CA712C"/>
    <w:rsid w:val="00CA7135"/>
    <w:rsid w:val="00CA7194"/>
    <w:rsid w:val="00CA72EF"/>
    <w:rsid w:val="00CA73C6"/>
    <w:rsid w:val="00CA7508"/>
    <w:rsid w:val="00CA75BC"/>
    <w:rsid w:val="00CA76C4"/>
    <w:rsid w:val="00CA7725"/>
    <w:rsid w:val="00CA773D"/>
    <w:rsid w:val="00CA7755"/>
    <w:rsid w:val="00CA77A4"/>
    <w:rsid w:val="00CA7825"/>
    <w:rsid w:val="00CA7866"/>
    <w:rsid w:val="00CA79C1"/>
    <w:rsid w:val="00CA79F2"/>
    <w:rsid w:val="00CA7A5C"/>
    <w:rsid w:val="00CA7BA1"/>
    <w:rsid w:val="00CA7C10"/>
    <w:rsid w:val="00CA7CC9"/>
    <w:rsid w:val="00CA7CED"/>
    <w:rsid w:val="00CA7D02"/>
    <w:rsid w:val="00CA7DB2"/>
    <w:rsid w:val="00CA7DC3"/>
    <w:rsid w:val="00CA7DC8"/>
    <w:rsid w:val="00CA7DD5"/>
    <w:rsid w:val="00CA7E6E"/>
    <w:rsid w:val="00CA7E7A"/>
    <w:rsid w:val="00CA7F12"/>
    <w:rsid w:val="00CA7FAB"/>
    <w:rsid w:val="00CA7FCD"/>
    <w:rsid w:val="00CAEA7F"/>
    <w:rsid w:val="00CB0043"/>
    <w:rsid w:val="00CB0089"/>
    <w:rsid w:val="00CB01F3"/>
    <w:rsid w:val="00CB043C"/>
    <w:rsid w:val="00CB049F"/>
    <w:rsid w:val="00CB04AA"/>
    <w:rsid w:val="00CB04D0"/>
    <w:rsid w:val="00CB067C"/>
    <w:rsid w:val="00CB0896"/>
    <w:rsid w:val="00CB095F"/>
    <w:rsid w:val="00CB09CD"/>
    <w:rsid w:val="00CB0A25"/>
    <w:rsid w:val="00CB0A4F"/>
    <w:rsid w:val="00CB0A74"/>
    <w:rsid w:val="00CB0AA7"/>
    <w:rsid w:val="00CB0AC8"/>
    <w:rsid w:val="00CB0AD2"/>
    <w:rsid w:val="00CB0B0F"/>
    <w:rsid w:val="00CB0B88"/>
    <w:rsid w:val="00CB0C38"/>
    <w:rsid w:val="00CB0C52"/>
    <w:rsid w:val="00CB0CFE"/>
    <w:rsid w:val="00CB0D80"/>
    <w:rsid w:val="00CB0D92"/>
    <w:rsid w:val="00CB0D9B"/>
    <w:rsid w:val="00CB0EF3"/>
    <w:rsid w:val="00CB0F86"/>
    <w:rsid w:val="00CB103D"/>
    <w:rsid w:val="00CB10AC"/>
    <w:rsid w:val="00CB1147"/>
    <w:rsid w:val="00CB11B6"/>
    <w:rsid w:val="00CB11CD"/>
    <w:rsid w:val="00CB11D0"/>
    <w:rsid w:val="00CB1220"/>
    <w:rsid w:val="00CB125F"/>
    <w:rsid w:val="00CB134E"/>
    <w:rsid w:val="00CB1404"/>
    <w:rsid w:val="00CB148E"/>
    <w:rsid w:val="00CB1509"/>
    <w:rsid w:val="00CB1582"/>
    <w:rsid w:val="00CB16A0"/>
    <w:rsid w:val="00CB1735"/>
    <w:rsid w:val="00CB176B"/>
    <w:rsid w:val="00CB17DF"/>
    <w:rsid w:val="00CB18D8"/>
    <w:rsid w:val="00CB195E"/>
    <w:rsid w:val="00CB1B87"/>
    <w:rsid w:val="00CB1C29"/>
    <w:rsid w:val="00CB1C2E"/>
    <w:rsid w:val="00CB1E06"/>
    <w:rsid w:val="00CB1EA1"/>
    <w:rsid w:val="00CB1F5E"/>
    <w:rsid w:val="00CB1FAA"/>
    <w:rsid w:val="00CB2283"/>
    <w:rsid w:val="00CB22C8"/>
    <w:rsid w:val="00CB233E"/>
    <w:rsid w:val="00CB23E6"/>
    <w:rsid w:val="00CB2453"/>
    <w:rsid w:val="00CB24F6"/>
    <w:rsid w:val="00CB2653"/>
    <w:rsid w:val="00CB26BC"/>
    <w:rsid w:val="00CB2728"/>
    <w:rsid w:val="00CB2792"/>
    <w:rsid w:val="00CB27E9"/>
    <w:rsid w:val="00CB2820"/>
    <w:rsid w:val="00CB28D9"/>
    <w:rsid w:val="00CB28E6"/>
    <w:rsid w:val="00CB295A"/>
    <w:rsid w:val="00CB2976"/>
    <w:rsid w:val="00CB2C0C"/>
    <w:rsid w:val="00CB2C21"/>
    <w:rsid w:val="00CB2C92"/>
    <w:rsid w:val="00CB2CEC"/>
    <w:rsid w:val="00CB2E13"/>
    <w:rsid w:val="00CB2EA1"/>
    <w:rsid w:val="00CB2F54"/>
    <w:rsid w:val="00CB2F9F"/>
    <w:rsid w:val="00CB3026"/>
    <w:rsid w:val="00CB3028"/>
    <w:rsid w:val="00CB3071"/>
    <w:rsid w:val="00CB31A4"/>
    <w:rsid w:val="00CB3373"/>
    <w:rsid w:val="00CB342F"/>
    <w:rsid w:val="00CB35FA"/>
    <w:rsid w:val="00CB3690"/>
    <w:rsid w:val="00CB36F3"/>
    <w:rsid w:val="00CB370E"/>
    <w:rsid w:val="00CB371B"/>
    <w:rsid w:val="00CB3720"/>
    <w:rsid w:val="00CB3723"/>
    <w:rsid w:val="00CB3760"/>
    <w:rsid w:val="00CB376C"/>
    <w:rsid w:val="00CB3770"/>
    <w:rsid w:val="00CB377D"/>
    <w:rsid w:val="00CB382B"/>
    <w:rsid w:val="00CB386B"/>
    <w:rsid w:val="00CB3874"/>
    <w:rsid w:val="00CB38A0"/>
    <w:rsid w:val="00CB3E9B"/>
    <w:rsid w:val="00CB3FD0"/>
    <w:rsid w:val="00CB40AA"/>
    <w:rsid w:val="00CB40CA"/>
    <w:rsid w:val="00CB4132"/>
    <w:rsid w:val="00CB4171"/>
    <w:rsid w:val="00CB42A7"/>
    <w:rsid w:val="00CB42B2"/>
    <w:rsid w:val="00CB431F"/>
    <w:rsid w:val="00CB4343"/>
    <w:rsid w:val="00CB4391"/>
    <w:rsid w:val="00CB43B4"/>
    <w:rsid w:val="00CB43DA"/>
    <w:rsid w:val="00CB4567"/>
    <w:rsid w:val="00CB45EF"/>
    <w:rsid w:val="00CB4600"/>
    <w:rsid w:val="00CB4611"/>
    <w:rsid w:val="00CB46A6"/>
    <w:rsid w:val="00CB46D7"/>
    <w:rsid w:val="00CB4784"/>
    <w:rsid w:val="00CB47FF"/>
    <w:rsid w:val="00CB487E"/>
    <w:rsid w:val="00CB48A7"/>
    <w:rsid w:val="00CB48D0"/>
    <w:rsid w:val="00CB4969"/>
    <w:rsid w:val="00CB49A0"/>
    <w:rsid w:val="00CB49AE"/>
    <w:rsid w:val="00CB49E9"/>
    <w:rsid w:val="00CB4A2C"/>
    <w:rsid w:val="00CB4A50"/>
    <w:rsid w:val="00CB4AE8"/>
    <w:rsid w:val="00CB4B33"/>
    <w:rsid w:val="00CB4BCD"/>
    <w:rsid w:val="00CB4BCF"/>
    <w:rsid w:val="00CB4C69"/>
    <w:rsid w:val="00CB4C85"/>
    <w:rsid w:val="00CB4CAD"/>
    <w:rsid w:val="00CB4CF0"/>
    <w:rsid w:val="00CB4D0D"/>
    <w:rsid w:val="00CB4E66"/>
    <w:rsid w:val="00CB4F55"/>
    <w:rsid w:val="00CB4F6E"/>
    <w:rsid w:val="00CB50DC"/>
    <w:rsid w:val="00CB50ED"/>
    <w:rsid w:val="00CB5489"/>
    <w:rsid w:val="00CB55FC"/>
    <w:rsid w:val="00CB5714"/>
    <w:rsid w:val="00CB577F"/>
    <w:rsid w:val="00CB5785"/>
    <w:rsid w:val="00CB5835"/>
    <w:rsid w:val="00CB5873"/>
    <w:rsid w:val="00CB5B05"/>
    <w:rsid w:val="00CB5B61"/>
    <w:rsid w:val="00CB5CCD"/>
    <w:rsid w:val="00CB5CD1"/>
    <w:rsid w:val="00CB5D38"/>
    <w:rsid w:val="00CB5EC1"/>
    <w:rsid w:val="00CB61AC"/>
    <w:rsid w:val="00CB622A"/>
    <w:rsid w:val="00CB62A4"/>
    <w:rsid w:val="00CB6424"/>
    <w:rsid w:val="00CB6447"/>
    <w:rsid w:val="00CB6547"/>
    <w:rsid w:val="00CB65CD"/>
    <w:rsid w:val="00CB6630"/>
    <w:rsid w:val="00CB6647"/>
    <w:rsid w:val="00CB6683"/>
    <w:rsid w:val="00CB6711"/>
    <w:rsid w:val="00CB676B"/>
    <w:rsid w:val="00CB6771"/>
    <w:rsid w:val="00CB67E2"/>
    <w:rsid w:val="00CB68DD"/>
    <w:rsid w:val="00CB69EE"/>
    <w:rsid w:val="00CB6B19"/>
    <w:rsid w:val="00CB6B47"/>
    <w:rsid w:val="00CB6B80"/>
    <w:rsid w:val="00CB6BB3"/>
    <w:rsid w:val="00CB6BC6"/>
    <w:rsid w:val="00CB6CAD"/>
    <w:rsid w:val="00CB6CD5"/>
    <w:rsid w:val="00CB6CDC"/>
    <w:rsid w:val="00CB6D04"/>
    <w:rsid w:val="00CB6D96"/>
    <w:rsid w:val="00CB6E49"/>
    <w:rsid w:val="00CB6F55"/>
    <w:rsid w:val="00CB6F83"/>
    <w:rsid w:val="00CB6FA5"/>
    <w:rsid w:val="00CB6FF6"/>
    <w:rsid w:val="00CB728D"/>
    <w:rsid w:val="00CB72E6"/>
    <w:rsid w:val="00CB7312"/>
    <w:rsid w:val="00CB731D"/>
    <w:rsid w:val="00CB735A"/>
    <w:rsid w:val="00CB7413"/>
    <w:rsid w:val="00CB759C"/>
    <w:rsid w:val="00CB75CA"/>
    <w:rsid w:val="00CB7613"/>
    <w:rsid w:val="00CB7647"/>
    <w:rsid w:val="00CB76F8"/>
    <w:rsid w:val="00CB77B2"/>
    <w:rsid w:val="00CB783F"/>
    <w:rsid w:val="00CB78A9"/>
    <w:rsid w:val="00CB799F"/>
    <w:rsid w:val="00CB79B1"/>
    <w:rsid w:val="00CB79DE"/>
    <w:rsid w:val="00CB7A32"/>
    <w:rsid w:val="00CB7ADF"/>
    <w:rsid w:val="00CB7AFA"/>
    <w:rsid w:val="00CB7BB0"/>
    <w:rsid w:val="00CB7C38"/>
    <w:rsid w:val="00CB7D78"/>
    <w:rsid w:val="00CB7DF8"/>
    <w:rsid w:val="00CB7F53"/>
    <w:rsid w:val="00CB7FCA"/>
    <w:rsid w:val="00CC0084"/>
    <w:rsid w:val="00CC00AD"/>
    <w:rsid w:val="00CC00B8"/>
    <w:rsid w:val="00CC00BB"/>
    <w:rsid w:val="00CC0184"/>
    <w:rsid w:val="00CC0201"/>
    <w:rsid w:val="00CC023B"/>
    <w:rsid w:val="00CC0246"/>
    <w:rsid w:val="00CC0281"/>
    <w:rsid w:val="00CC033D"/>
    <w:rsid w:val="00CC038C"/>
    <w:rsid w:val="00CC03D8"/>
    <w:rsid w:val="00CC03DE"/>
    <w:rsid w:val="00CC04C6"/>
    <w:rsid w:val="00CC04CE"/>
    <w:rsid w:val="00CC0556"/>
    <w:rsid w:val="00CC05CD"/>
    <w:rsid w:val="00CC0619"/>
    <w:rsid w:val="00CC061E"/>
    <w:rsid w:val="00CC0782"/>
    <w:rsid w:val="00CC07B1"/>
    <w:rsid w:val="00CC090D"/>
    <w:rsid w:val="00CC0AAC"/>
    <w:rsid w:val="00CC0B94"/>
    <w:rsid w:val="00CC0BC0"/>
    <w:rsid w:val="00CC0C21"/>
    <w:rsid w:val="00CC0C35"/>
    <w:rsid w:val="00CC0C8B"/>
    <w:rsid w:val="00CC0CCA"/>
    <w:rsid w:val="00CC0D66"/>
    <w:rsid w:val="00CC0DF5"/>
    <w:rsid w:val="00CC0E4E"/>
    <w:rsid w:val="00CC0E78"/>
    <w:rsid w:val="00CC0EA7"/>
    <w:rsid w:val="00CC0F5A"/>
    <w:rsid w:val="00CC1075"/>
    <w:rsid w:val="00CC10F6"/>
    <w:rsid w:val="00CC1125"/>
    <w:rsid w:val="00CC114B"/>
    <w:rsid w:val="00CC1157"/>
    <w:rsid w:val="00CC11BC"/>
    <w:rsid w:val="00CC11DE"/>
    <w:rsid w:val="00CC123B"/>
    <w:rsid w:val="00CC1267"/>
    <w:rsid w:val="00CC127A"/>
    <w:rsid w:val="00CC128C"/>
    <w:rsid w:val="00CC12AD"/>
    <w:rsid w:val="00CC12B7"/>
    <w:rsid w:val="00CC1377"/>
    <w:rsid w:val="00CC13C0"/>
    <w:rsid w:val="00CC14DA"/>
    <w:rsid w:val="00CC14E5"/>
    <w:rsid w:val="00CC1602"/>
    <w:rsid w:val="00CC17C2"/>
    <w:rsid w:val="00CC17C4"/>
    <w:rsid w:val="00CC185C"/>
    <w:rsid w:val="00CC18F2"/>
    <w:rsid w:val="00CC197E"/>
    <w:rsid w:val="00CC19EA"/>
    <w:rsid w:val="00CC1B89"/>
    <w:rsid w:val="00CC1BC0"/>
    <w:rsid w:val="00CC1CF6"/>
    <w:rsid w:val="00CC1D67"/>
    <w:rsid w:val="00CC1DE7"/>
    <w:rsid w:val="00CC1DEF"/>
    <w:rsid w:val="00CC1E18"/>
    <w:rsid w:val="00CC1F7F"/>
    <w:rsid w:val="00CC2020"/>
    <w:rsid w:val="00CC2033"/>
    <w:rsid w:val="00CC20A6"/>
    <w:rsid w:val="00CC20D7"/>
    <w:rsid w:val="00CC214D"/>
    <w:rsid w:val="00CC2200"/>
    <w:rsid w:val="00CC220B"/>
    <w:rsid w:val="00CC2224"/>
    <w:rsid w:val="00CC230B"/>
    <w:rsid w:val="00CC230E"/>
    <w:rsid w:val="00CC237B"/>
    <w:rsid w:val="00CC23AB"/>
    <w:rsid w:val="00CC2454"/>
    <w:rsid w:val="00CC2482"/>
    <w:rsid w:val="00CC24A7"/>
    <w:rsid w:val="00CC24D8"/>
    <w:rsid w:val="00CC24E3"/>
    <w:rsid w:val="00CC2538"/>
    <w:rsid w:val="00CC253D"/>
    <w:rsid w:val="00CC25B0"/>
    <w:rsid w:val="00CC2731"/>
    <w:rsid w:val="00CC2747"/>
    <w:rsid w:val="00CC2772"/>
    <w:rsid w:val="00CC27A4"/>
    <w:rsid w:val="00CC27B9"/>
    <w:rsid w:val="00CC28BD"/>
    <w:rsid w:val="00CC295B"/>
    <w:rsid w:val="00CC29FB"/>
    <w:rsid w:val="00CC2AC0"/>
    <w:rsid w:val="00CC2AC6"/>
    <w:rsid w:val="00CC2AE5"/>
    <w:rsid w:val="00CC2B00"/>
    <w:rsid w:val="00CC2B0C"/>
    <w:rsid w:val="00CC2B24"/>
    <w:rsid w:val="00CC2C31"/>
    <w:rsid w:val="00CC2CC3"/>
    <w:rsid w:val="00CC2CFA"/>
    <w:rsid w:val="00CC2E7A"/>
    <w:rsid w:val="00CC2E92"/>
    <w:rsid w:val="00CC2F34"/>
    <w:rsid w:val="00CC304D"/>
    <w:rsid w:val="00CC30E1"/>
    <w:rsid w:val="00CC30E8"/>
    <w:rsid w:val="00CC31E0"/>
    <w:rsid w:val="00CC3404"/>
    <w:rsid w:val="00CC349A"/>
    <w:rsid w:val="00CC34E6"/>
    <w:rsid w:val="00CC364B"/>
    <w:rsid w:val="00CC36B1"/>
    <w:rsid w:val="00CC3845"/>
    <w:rsid w:val="00CC39B8"/>
    <w:rsid w:val="00CC3AAE"/>
    <w:rsid w:val="00CC3B8B"/>
    <w:rsid w:val="00CC3CC0"/>
    <w:rsid w:val="00CC3CF4"/>
    <w:rsid w:val="00CC3D3E"/>
    <w:rsid w:val="00CC3E6F"/>
    <w:rsid w:val="00CC3EB8"/>
    <w:rsid w:val="00CC3F47"/>
    <w:rsid w:val="00CC3F57"/>
    <w:rsid w:val="00CC4060"/>
    <w:rsid w:val="00CC4086"/>
    <w:rsid w:val="00CC4174"/>
    <w:rsid w:val="00CC41C5"/>
    <w:rsid w:val="00CC431F"/>
    <w:rsid w:val="00CC43AF"/>
    <w:rsid w:val="00CC443A"/>
    <w:rsid w:val="00CC4467"/>
    <w:rsid w:val="00CC44E0"/>
    <w:rsid w:val="00CC45B0"/>
    <w:rsid w:val="00CC46A8"/>
    <w:rsid w:val="00CC46C6"/>
    <w:rsid w:val="00CC47C0"/>
    <w:rsid w:val="00CC4919"/>
    <w:rsid w:val="00CC4A48"/>
    <w:rsid w:val="00CC4A75"/>
    <w:rsid w:val="00CC4BD6"/>
    <w:rsid w:val="00CC4C56"/>
    <w:rsid w:val="00CC4CDF"/>
    <w:rsid w:val="00CC4D99"/>
    <w:rsid w:val="00CC4DC1"/>
    <w:rsid w:val="00CC4E3B"/>
    <w:rsid w:val="00CC4EC4"/>
    <w:rsid w:val="00CC4F34"/>
    <w:rsid w:val="00CC4F62"/>
    <w:rsid w:val="00CC5005"/>
    <w:rsid w:val="00CC500D"/>
    <w:rsid w:val="00CC50CF"/>
    <w:rsid w:val="00CC5101"/>
    <w:rsid w:val="00CC5170"/>
    <w:rsid w:val="00CC540C"/>
    <w:rsid w:val="00CC5427"/>
    <w:rsid w:val="00CC5486"/>
    <w:rsid w:val="00CC55A9"/>
    <w:rsid w:val="00CC569C"/>
    <w:rsid w:val="00CC572F"/>
    <w:rsid w:val="00CC574A"/>
    <w:rsid w:val="00CC574C"/>
    <w:rsid w:val="00CC5790"/>
    <w:rsid w:val="00CC5826"/>
    <w:rsid w:val="00CC58D4"/>
    <w:rsid w:val="00CC5959"/>
    <w:rsid w:val="00CC596F"/>
    <w:rsid w:val="00CC5A2E"/>
    <w:rsid w:val="00CC5AAE"/>
    <w:rsid w:val="00CC5AE7"/>
    <w:rsid w:val="00CC5B23"/>
    <w:rsid w:val="00CC5CE2"/>
    <w:rsid w:val="00CC5D5E"/>
    <w:rsid w:val="00CC5D9A"/>
    <w:rsid w:val="00CC5DD3"/>
    <w:rsid w:val="00CC5DE3"/>
    <w:rsid w:val="00CC5ECB"/>
    <w:rsid w:val="00CC6037"/>
    <w:rsid w:val="00CC628C"/>
    <w:rsid w:val="00CC62B8"/>
    <w:rsid w:val="00CC63F8"/>
    <w:rsid w:val="00CC6417"/>
    <w:rsid w:val="00CC64C9"/>
    <w:rsid w:val="00CC65C4"/>
    <w:rsid w:val="00CC663A"/>
    <w:rsid w:val="00CC66B7"/>
    <w:rsid w:val="00CC6806"/>
    <w:rsid w:val="00CC6836"/>
    <w:rsid w:val="00CC686B"/>
    <w:rsid w:val="00CC69BD"/>
    <w:rsid w:val="00CC69C2"/>
    <w:rsid w:val="00CC6A18"/>
    <w:rsid w:val="00CC6A2E"/>
    <w:rsid w:val="00CC6B0C"/>
    <w:rsid w:val="00CC6C74"/>
    <w:rsid w:val="00CC6C7A"/>
    <w:rsid w:val="00CC6E55"/>
    <w:rsid w:val="00CC6E5C"/>
    <w:rsid w:val="00CC6E7C"/>
    <w:rsid w:val="00CC6ECB"/>
    <w:rsid w:val="00CC6ED5"/>
    <w:rsid w:val="00CC709F"/>
    <w:rsid w:val="00CC70E7"/>
    <w:rsid w:val="00CC7310"/>
    <w:rsid w:val="00CC73DA"/>
    <w:rsid w:val="00CC748A"/>
    <w:rsid w:val="00CC752B"/>
    <w:rsid w:val="00CC7713"/>
    <w:rsid w:val="00CC7744"/>
    <w:rsid w:val="00CC7755"/>
    <w:rsid w:val="00CC7768"/>
    <w:rsid w:val="00CC77F4"/>
    <w:rsid w:val="00CC784D"/>
    <w:rsid w:val="00CC7A2A"/>
    <w:rsid w:val="00CC7AA8"/>
    <w:rsid w:val="00CC7ACB"/>
    <w:rsid w:val="00CC7C92"/>
    <w:rsid w:val="00CC7CCC"/>
    <w:rsid w:val="00CC7D81"/>
    <w:rsid w:val="00CC7F5D"/>
    <w:rsid w:val="00CD0028"/>
    <w:rsid w:val="00CD01BB"/>
    <w:rsid w:val="00CD0252"/>
    <w:rsid w:val="00CD02E3"/>
    <w:rsid w:val="00CD0658"/>
    <w:rsid w:val="00CD0659"/>
    <w:rsid w:val="00CD06A9"/>
    <w:rsid w:val="00CD088F"/>
    <w:rsid w:val="00CD08B1"/>
    <w:rsid w:val="00CD08D7"/>
    <w:rsid w:val="00CD0931"/>
    <w:rsid w:val="00CD0973"/>
    <w:rsid w:val="00CD0990"/>
    <w:rsid w:val="00CD09A4"/>
    <w:rsid w:val="00CD09C4"/>
    <w:rsid w:val="00CD09E4"/>
    <w:rsid w:val="00CD0BEC"/>
    <w:rsid w:val="00CD0C5C"/>
    <w:rsid w:val="00CD0D2B"/>
    <w:rsid w:val="00CD0EF0"/>
    <w:rsid w:val="00CD1101"/>
    <w:rsid w:val="00CD1127"/>
    <w:rsid w:val="00CD1294"/>
    <w:rsid w:val="00CD1342"/>
    <w:rsid w:val="00CD13BB"/>
    <w:rsid w:val="00CD13EE"/>
    <w:rsid w:val="00CD14A7"/>
    <w:rsid w:val="00CD1523"/>
    <w:rsid w:val="00CD156A"/>
    <w:rsid w:val="00CD15D4"/>
    <w:rsid w:val="00CD168D"/>
    <w:rsid w:val="00CD1696"/>
    <w:rsid w:val="00CD1701"/>
    <w:rsid w:val="00CD1713"/>
    <w:rsid w:val="00CD17C1"/>
    <w:rsid w:val="00CD17E5"/>
    <w:rsid w:val="00CD19F5"/>
    <w:rsid w:val="00CD1AF5"/>
    <w:rsid w:val="00CD1BBB"/>
    <w:rsid w:val="00CD1BFC"/>
    <w:rsid w:val="00CD1C22"/>
    <w:rsid w:val="00CD1C3F"/>
    <w:rsid w:val="00CD1C5D"/>
    <w:rsid w:val="00CD1D0E"/>
    <w:rsid w:val="00CD1DFC"/>
    <w:rsid w:val="00CD1E5C"/>
    <w:rsid w:val="00CD1FCA"/>
    <w:rsid w:val="00CD2022"/>
    <w:rsid w:val="00CD20F4"/>
    <w:rsid w:val="00CD21E0"/>
    <w:rsid w:val="00CD21F6"/>
    <w:rsid w:val="00CD2246"/>
    <w:rsid w:val="00CD2320"/>
    <w:rsid w:val="00CD25CA"/>
    <w:rsid w:val="00CD25E6"/>
    <w:rsid w:val="00CD25ED"/>
    <w:rsid w:val="00CD267C"/>
    <w:rsid w:val="00CD26E2"/>
    <w:rsid w:val="00CD2813"/>
    <w:rsid w:val="00CD28BB"/>
    <w:rsid w:val="00CD2A12"/>
    <w:rsid w:val="00CD2A24"/>
    <w:rsid w:val="00CD2A44"/>
    <w:rsid w:val="00CD2C04"/>
    <w:rsid w:val="00CD2DF9"/>
    <w:rsid w:val="00CD2E55"/>
    <w:rsid w:val="00CD2E5D"/>
    <w:rsid w:val="00CD3018"/>
    <w:rsid w:val="00CD30AF"/>
    <w:rsid w:val="00CD30CB"/>
    <w:rsid w:val="00CD329B"/>
    <w:rsid w:val="00CD33B4"/>
    <w:rsid w:val="00CD33F7"/>
    <w:rsid w:val="00CD3446"/>
    <w:rsid w:val="00CD3455"/>
    <w:rsid w:val="00CD3562"/>
    <w:rsid w:val="00CD371F"/>
    <w:rsid w:val="00CD3721"/>
    <w:rsid w:val="00CD37D1"/>
    <w:rsid w:val="00CD392C"/>
    <w:rsid w:val="00CD3933"/>
    <w:rsid w:val="00CD39ED"/>
    <w:rsid w:val="00CD3B11"/>
    <w:rsid w:val="00CD3BB5"/>
    <w:rsid w:val="00CD3BD5"/>
    <w:rsid w:val="00CD3BE0"/>
    <w:rsid w:val="00CD3C1B"/>
    <w:rsid w:val="00CD3D97"/>
    <w:rsid w:val="00CD3DAA"/>
    <w:rsid w:val="00CD3E82"/>
    <w:rsid w:val="00CD3F3E"/>
    <w:rsid w:val="00CD416D"/>
    <w:rsid w:val="00CD41D4"/>
    <w:rsid w:val="00CD4215"/>
    <w:rsid w:val="00CD4263"/>
    <w:rsid w:val="00CD450F"/>
    <w:rsid w:val="00CD45CD"/>
    <w:rsid w:val="00CD45F4"/>
    <w:rsid w:val="00CD4716"/>
    <w:rsid w:val="00CD4729"/>
    <w:rsid w:val="00CD475F"/>
    <w:rsid w:val="00CD47C1"/>
    <w:rsid w:val="00CD47C4"/>
    <w:rsid w:val="00CD481F"/>
    <w:rsid w:val="00CD4885"/>
    <w:rsid w:val="00CD4916"/>
    <w:rsid w:val="00CD49C8"/>
    <w:rsid w:val="00CD49CB"/>
    <w:rsid w:val="00CD4A8E"/>
    <w:rsid w:val="00CD4AAC"/>
    <w:rsid w:val="00CD4AC0"/>
    <w:rsid w:val="00CD4ADB"/>
    <w:rsid w:val="00CD4B32"/>
    <w:rsid w:val="00CD4C21"/>
    <w:rsid w:val="00CD4C48"/>
    <w:rsid w:val="00CD4D48"/>
    <w:rsid w:val="00CD4D55"/>
    <w:rsid w:val="00CD4E6E"/>
    <w:rsid w:val="00CD4F0F"/>
    <w:rsid w:val="00CD4F51"/>
    <w:rsid w:val="00CD5051"/>
    <w:rsid w:val="00CD50E8"/>
    <w:rsid w:val="00CD52CE"/>
    <w:rsid w:val="00CD52DB"/>
    <w:rsid w:val="00CD534A"/>
    <w:rsid w:val="00CD55D7"/>
    <w:rsid w:val="00CD56B5"/>
    <w:rsid w:val="00CD57A7"/>
    <w:rsid w:val="00CD58FF"/>
    <w:rsid w:val="00CD5A24"/>
    <w:rsid w:val="00CD5AC8"/>
    <w:rsid w:val="00CD5B02"/>
    <w:rsid w:val="00CD5C81"/>
    <w:rsid w:val="00CD5DC1"/>
    <w:rsid w:val="00CD5DE4"/>
    <w:rsid w:val="00CD5EA1"/>
    <w:rsid w:val="00CD5FFF"/>
    <w:rsid w:val="00CD611E"/>
    <w:rsid w:val="00CD6252"/>
    <w:rsid w:val="00CD6289"/>
    <w:rsid w:val="00CD629C"/>
    <w:rsid w:val="00CD6445"/>
    <w:rsid w:val="00CD645A"/>
    <w:rsid w:val="00CD651E"/>
    <w:rsid w:val="00CD6685"/>
    <w:rsid w:val="00CD6911"/>
    <w:rsid w:val="00CD694F"/>
    <w:rsid w:val="00CD6A48"/>
    <w:rsid w:val="00CD6A59"/>
    <w:rsid w:val="00CD6A62"/>
    <w:rsid w:val="00CD6A9F"/>
    <w:rsid w:val="00CD6B07"/>
    <w:rsid w:val="00CD6B2F"/>
    <w:rsid w:val="00CD6CE7"/>
    <w:rsid w:val="00CD6CFB"/>
    <w:rsid w:val="00CD6D96"/>
    <w:rsid w:val="00CD6FD0"/>
    <w:rsid w:val="00CD7034"/>
    <w:rsid w:val="00CD70F4"/>
    <w:rsid w:val="00CD7114"/>
    <w:rsid w:val="00CD7158"/>
    <w:rsid w:val="00CD72B3"/>
    <w:rsid w:val="00CD72BF"/>
    <w:rsid w:val="00CD72E4"/>
    <w:rsid w:val="00CD730D"/>
    <w:rsid w:val="00CD738F"/>
    <w:rsid w:val="00CD73AD"/>
    <w:rsid w:val="00CD7457"/>
    <w:rsid w:val="00CD7520"/>
    <w:rsid w:val="00CD7528"/>
    <w:rsid w:val="00CD7563"/>
    <w:rsid w:val="00CD7568"/>
    <w:rsid w:val="00CD7639"/>
    <w:rsid w:val="00CD7642"/>
    <w:rsid w:val="00CD7760"/>
    <w:rsid w:val="00CD77BF"/>
    <w:rsid w:val="00CD7857"/>
    <w:rsid w:val="00CD785C"/>
    <w:rsid w:val="00CD7923"/>
    <w:rsid w:val="00CD7959"/>
    <w:rsid w:val="00CD7970"/>
    <w:rsid w:val="00CD79EE"/>
    <w:rsid w:val="00CD7AC5"/>
    <w:rsid w:val="00CD7B64"/>
    <w:rsid w:val="00CD7C20"/>
    <w:rsid w:val="00CD7CBD"/>
    <w:rsid w:val="00CD7CCA"/>
    <w:rsid w:val="00CD7DA2"/>
    <w:rsid w:val="00CD7E2C"/>
    <w:rsid w:val="00CD7E60"/>
    <w:rsid w:val="00CD7EA0"/>
    <w:rsid w:val="00CD7EEC"/>
    <w:rsid w:val="00CE006B"/>
    <w:rsid w:val="00CE015C"/>
    <w:rsid w:val="00CE01B6"/>
    <w:rsid w:val="00CE01F6"/>
    <w:rsid w:val="00CE02AB"/>
    <w:rsid w:val="00CE02C3"/>
    <w:rsid w:val="00CE02E1"/>
    <w:rsid w:val="00CE0311"/>
    <w:rsid w:val="00CE039D"/>
    <w:rsid w:val="00CE042F"/>
    <w:rsid w:val="00CE047D"/>
    <w:rsid w:val="00CE05C2"/>
    <w:rsid w:val="00CE05DD"/>
    <w:rsid w:val="00CE073B"/>
    <w:rsid w:val="00CE077D"/>
    <w:rsid w:val="00CE084C"/>
    <w:rsid w:val="00CE0856"/>
    <w:rsid w:val="00CE08AE"/>
    <w:rsid w:val="00CE0A89"/>
    <w:rsid w:val="00CE0ACE"/>
    <w:rsid w:val="00CE0BC2"/>
    <w:rsid w:val="00CE0C60"/>
    <w:rsid w:val="00CE0CAD"/>
    <w:rsid w:val="00CE0E0E"/>
    <w:rsid w:val="00CE0E72"/>
    <w:rsid w:val="00CE0E80"/>
    <w:rsid w:val="00CE1011"/>
    <w:rsid w:val="00CE102A"/>
    <w:rsid w:val="00CE1047"/>
    <w:rsid w:val="00CE10AC"/>
    <w:rsid w:val="00CE1178"/>
    <w:rsid w:val="00CE11CC"/>
    <w:rsid w:val="00CE11EC"/>
    <w:rsid w:val="00CE1515"/>
    <w:rsid w:val="00CE158F"/>
    <w:rsid w:val="00CE164D"/>
    <w:rsid w:val="00CE1753"/>
    <w:rsid w:val="00CE176A"/>
    <w:rsid w:val="00CE17BF"/>
    <w:rsid w:val="00CE198F"/>
    <w:rsid w:val="00CE19B1"/>
    <w:rsid w:val="00CE1A14"/>
    <w:rsid w:val="00CE1A5D"/>
    <w:rsid w:val="00CE1AF1"/>
    <w:rsid w:val="00CE1B14"/>
    <w:rsid w:val="00CE1BEB"/>
    <w:rsid w:val="00CE1C39"/>
    <w:rsid w:val="00CE1DC1"/>
    <w:rsid w:val="00CE1E0B"/>
    <w:rsid w:val="00CE1E22"/>
    <w:rsid w:val="00CE1EC9"/>
    <w:rsid w:val="00CE1EE1"/>
    <w:rsid w:val="00CE1EE5"/>
    <w:rsid w:val="00CE1F02"/>
    <w:rsid w:val="00CE2199"/>
    <w:rsid w:val="00CE21B0"/>
    <w:rsid w:val="00CE22CF"/>
    <w:rsid w:val="00CE22D6"/>
    <w:rsid w:val="00CE2399"/>
    <w:rsid w:val="00CE259B"/>
    <w:rsid w:val="00CE25F7"/>
    <w:rsid w:val="00CE269A"/>
    <w:rsid w:val="00CE27D4"/>
    <w:rsid w:val="00CE28C9"/>
    <w:rsid w:val="00CE28F1"/>
    <w:rsid w:val="00CE29DC"/>
    <w:rsid w:val="00CE29F2"/>
    <w:rsid w:val="00CE2A7E"/>
    <w:rsid w:val="00CE2AAC"/>
    <w:rsid w:val="00CE2AB7"/>
    <w:rsid w:val="00CE2B59"/>
    <w:rsid w:val="00CE2C0F"/>
    <w:rsid w:val="00CE2C16"/>
    <w:rsid w:val="00CE2D34"/>
    <w:rsid w:val="00CE2D72"/>
    <w:rsid w:val="00CE2D94"/>
    <w:rsid w:val="00CE2DCE"/>
    <w:rsid w:val="00CE2DF7"/>
    <w:rsid w:val="00CE2E91"/>
    <w:rsid w:val="00CE2EF1"/>
    <w:rsid w:val="00CE2F32"/>
    <w:rsid w:val="00CE2F63"/>
    <w:rsid w:val="00CE2FDA"/>
    <w:rsid w:val="00CE2FE7"/>
    <w:rsid w:val="00CE2FFB"/>
    <w:rsid w:val="00CE3079"/>
    <w:rsid w:val="00CE30E9"/>
    <w:rsid w:val="00CE3143"/>
    <w:rsid w:val="00CE3216"/>
    <w:rsid w:val="00CE3229"/>
    <w:rsid w:val="00CE329A"/>
    <w:rsid w:val="00CE335B"/>
    <w:rsid w:val="00CE341D"/>
    <w:rsid w:val="00CE376E"/>
    <w:rsid w:val="00CE378C"/>
    <w:rsid w:val="00CE37BF"/>
    <w:rsid w:val="00CE37FE"/>
    <w:rsid w:val="00CE3837"/>
    <w:rsid w:val="00CE39D0"/>
    <w:rsid w:val="00CE39D9"/>
    <w:rsid w:val="00CE3A71"/>
    <w:rsid w:val="00CE3A79"/>
    <w:rsid w:val="00CE3B3A"/>
    <w:rsid w:val="00CE3BD8"/>
    <w:rsid w:val="00CE3C4A"/>
    <w:rsid w:val="00CE3C84"/>
    <w:rsid w:val="00CE3CCA"/>
    <w:rsid w:val="00CE3DF3"/>
    <w:rsid w:val="00CE3E86"/>
    <w:rsid w:val="00CE3F19"/>
    <w:rsid w:val="00CE3F9D"/>
    <w:rsid w:val="00CE3FA6"/>
    <w:rsid w:val="00CE4108"/>
    <w:rsid w:val="00CE4124"/>
    <w:rsid w:val="00CE4198"/>
    <w:rsid w:val="00CE4201"/>
    <w:rsid w:val="00CE4328"/>
    <w:rsid w:val="00CE432C"/>
    <w:rsid w:val="00CE43B0"/>
    <w:rsid w:val="00CE45B6"/>
    <w:rsid w:val="00CE46B9"/>
    <w:rsid w:val="00CE4759"/>
    <w:rsid w:val="00CE47A9"/>
    <w:rsid w:val="00CE47B2"/>
    <w:rsid w:val="00CE480C"/>
    <w:rsid w:val="00CE49E8"/>
    <w:rsid w:val="00CE4AF1"/>
    <w:rsid w:val="00CE4BF3"/>
    <w:rsid w:val="00CE4D19"/>
    <w:rsid w:val="00CE4DCF"/>
    <w:rsid w:val="00CE4E0A"/>
    <w:rsid w:val="00CE4F9F"/>
    <w:rsid w:val="00CE5082"/>
    <w:rsid w:val="00CE5095"/>
    <w:rsid w:val="00CE50E1"/>
    <w:rsid w:val="00CE5121"/>
    <w:rsid w:val="00CE5283"/>
    <w:rsid w:val="00CE5290"/>
    <w:rsid w:val="00CE5338"/>
    <w:rsid w:val="00CE5358"/>
    <w:rsid w:val="00CE5514"/>
    <w:rsid w:val="00CE556F"/>
    <w:rsid w:val="00CE559D"/>
    <w:rsid w:val="00CE55E8"/>
    <w:rsid w:val="00CE58D0"/>
    <w:rsid w:val="00CE59E3"/>
    <w:rsid w:val="00CE5AD0"/>
    <w:rsid w:val="00CE5C1D"/>
    <w:rsid w:val="00CE5CB1"/>
    <w:rsid w:val="00CE5DB6"/>
    <w:rsid w:val="00CE5DF9"/>
    <w:rsid w:val="00CE5E43"/>
    <w:rsid w:val="00CE5E47"/>
    <w:rsid w:val="00CE5F33"/>
    <w:rsid w:val="00CE602B"/>
    <w:rsid w:val="00CE6125"/>
    <w:rsid w:val="00CE621B"/>
    <w:rsid w:val="00CE625C"/>
    <w:rsid w:val="00CE6277"/>
    <w:rsid w:val="00CE62A2"/>
    <w:rsid w:val="00CE638E"/>
    <w:rsid w:val="00CE64EE"/>
    <w:rsid w:val="00CE6512"/>
    <w:rsid w:val="00CE6602"/>
    <w:rsid w:val="00CE6688"/>
    <w:rsid w:val="00CE67A2"/>
    <w:rsid w:val="00CE67E4"/>
    <w:rsid w:val="00CE6A06"/>
    <w:rsid w:val="00CE6D86"/>
    <w:rsid w:val="00CE6E09"/>
    <w:rsid w:val="00CE6E8C"/>
    <w:rsid w:val="00CE6F69"/>
    <w:rsid w:val="00CE6FC0"/>
    <w:rsid w:val="00CE6FD7"/>
    <w:rsid w:val="00CE705E"/>
    <w:rsid w:val="00CE719E"/>
    <w:rsid w:val="00CE724B"/>
    <w:rsid w:val="00CE727B"/>
    <w:rsid w:val="00CE7280"/>
    <w:rsid w:val="00CE73EA"/>
    <w:rsid w:val="00CE7454"/>
    <w:rsid w:val="00CE74E3"/>
    <w:rsid w:val="00CE7707"/>
    <w:rsid w:val="00CE77A9"/>
    <w:rsid w:val="00CE7805"/>
    <w:rsid w:val="00CE78C4"/>
    <w:rsid w:val="00CE795E"/>
    <w:rsid w:val="00CE79F0"/>
    <w:rsid w:val="00CE7AF8"/>
    <w:rsid w:val="00CE7B60"/>
    <w:rsid w:val="00CE7C13"/>
    <w:rsid w:val="00CE7C31"/>
    <w:rsid w:val="00CE7C9D"/>
    <w:rsid w:val="00CE7D41"/>
    <w:rsid w:val="00CE7E17"/>
    <w:rsid w:val="00CE7E3B"/>
    <w:rsid w:val="00CE7ECC"/>
    <w:rsid w:val="00CE7EE3"/>
    <w:rsid w:val="00CE7F75"/>
    <w:rsid w:val="00CE7FE9"/>
    <w:rsid w:val="00CF0018"/>
    <w:rsid w:val="00CF0059"/>
    <w:rsid w:val="00CF00B8"/>
    <w:rsid w:val="00CF015C"/>
    <w:rsid w:val="00CF0201"/>
    <w:rsid w:val="00CF022D"/>
    <w:rsid w:val="00CF0241"/>
    <w:rsid w:val="00CF027E"/>
    <w:rsid w:val="00CF0536"/>
    <w:rsid w:val="00CF06FC"/>
    <w:rsid w:val="00CF0726"/>
    <w:rsid w:val="00CF0728"/>
    <w:rsid w:val="00CF0834"/>
    <w:rsid w:val="00CF08C9"/>
    <w:rsid w:val="00CF08E5"/>
    <w:rsid w:val="00CF0996"/>
    <w:rsid w:val="00CF0A29"/>
    <w:rsid w:val="00CF0AAF"/>
    <w:rsid w:val="00CF0B5B"/>
    <w:rsid w:val="00CF0C24"/>
    <w:rsid w:val="00CF0E2F"/>
    <w:rsid w:val="00CF0E45"/>
    <w:rsid w:val="00CF0F15"/>
    <w:rsid w:val="00CF1047"/>
    <w:rsid w:val="00CF10EC"/>
    <w:rsid w:val="00CF10F8"/>
    <w:rsid w:val="00CF1185"/>
    <w:rsid w:val="00CF11BD"/>
    <w:rsid w:val="00CF1202"/>
    <w:rsid w:val="00CF1239"/>
    <w:rsid w:val="00CF126A"/>
    <w:rsid w:val="00CF12A8"/>
    <w:rsid w:val="00CF12FF"/>
    <w:rsid w:val="00CF1342"/>
    <w:rsid w:val="00CF137B"/>
    <w:rsid w:val="00CF13EC"/>
    <w:rsid w:val="00CF150A"/>
    <w:rsid w:val="00CF1522"/>
    <w:rsid w:val="00CF168E"/>
    <w:rsid w:val="00CF16A0"/>
    <w:rsid w:val="00CF16DC"/>
    <w:rsid w:val="00CF172E"/>
    <w:rsid w:val="00CF1790"/>
    <w:rsid w:val="00CF17F7"/>
    <w:rsid w:val="00CF18AC"/>
    <w:rsid w:val="00CF18DB"/>
    <w:rsid w:val="00CF1993"/>
    <w:rsid w:val="00CF1AAB"/>
    <w:rsid w:val="00CF1B73"/>
    <w:rsid w:val="00CF1BDA"/>
    <w:rsid w:val="00CF1D65"/>
    <w:rsid w:val="00CF1DCC"/>
    <w:rsid w:val="00CF1DDC"/>
    <w:rsid w:val="00CF1E2D"/>
    <w:rsid w:val="00CF1E9B"/>
    <w:rsid w:val="00CF1EC8"/>
    <w:rsid w:val="00CF1ED6"/>
    <w:rsid w:val="00CF1F6D"/>
    <w:rsid w:val="00CF2015"/>
    <w:rsid w:val="00CF206B"/>
    <w:rsid w:val="00CF234C"/>
    <w:rsid w:val="00CF257B"/>
    <w:rsid w:val="00CF25C3"/>
    <w:rsid w:val="00CF2619"/>
    <w:rsid w:val="00CF262F"/>
    <w:rsid w:val="00CF2659"/>
    <w:rsid w:val="00CF28D8"/>
    <w:rsid w:val="00CF2942"/>
    <w:rsid w:val="00CF29DA"/>
    <w:rsid w:val="00CF2ADA"/>
    <w:rsid w:val="00CF2BA6"/>
    <w:rsid w:val="00CF2BCE"/>
    <w:rsid w:val="00CF2BF7"/>
    <w:rsid w:val="00CF2C6F"/>
    <w:rsid w:val="00CF2CC3"/>
    <w:rsid w:val="00CF2E2D"/>
    <w:rsid w:val="00CF2E54"/>
    <w:rsid w:val="00CF2F9D"/>
    <w:rsid w:val="00CF3012"/>
    <w:rsid w:val="00CF31BB"/>
    <w:rsid w:val="00CF3213"/>
    <w:rsid w:val="00CF32B8"/>
    <w:rsid w:val="00CF332E"/>
    <w:rsid w:val="00CF3405"/>
    <w:rsid w:val="00CF3519"/>
    <w:rsid w:val="00CF35B4"/>
    <w:rsid w:val="00CF376F"/>
    <w:rsid w:val="00CF3774"/>
    <w:rsid w:val="00CF3788"/>
    <w:rsid w:val="00CF378B"/>
    <w:rsid w:val="00CF3797"/>
    <w:rsid w:val="00CF37BF"/>
    <w:rsid w:val="00CF37ED"/>
    <w:rsid w:val="00CF395D"/>
    <w:rsid w:val="00CF3A08"/>
    <w:rsid w:val="00CF3A43"/>
    <w:rsid w:val="00CF3AC7"/>
    <w:rsid w:val="00CF3B1C"/>
    <w:rsid w:val="00CF3B80"/>
    <w:rsid w:val="00CF3CAB"/>
    <w:rsid w:val="00CF3CFE"/>
    <w:rsid w:val="00CF3D48"/>
    <w:rsid w:val="00CF3D4B"/>
    <w:rsid w:val="00CF3DB3"/>
    <w:rsid w:val="00CF3F86"/>
    <w:rsid w:val="00CF4172"/>
    <w:rsid w:val="00CF41CF"/>
    <w:rsid w:val="00CF41D0"/>
    <w:rsid w:val="00CF424E"/>
    <w:rsid w:val="00CF4287"/>
    <w:rsid w:val="00CF4289"/>
    <w:rsid w:val="00CF437F"/>
    <w:rsid w:val="00CF4428"/>
    <w:rsid w:val="00CF4528"/>
    <w:rsid w:val="00CF464B"/>
    <w:rsid w:val="00CF46C5"/>
    <w:rsid w:val="00CF46E3"/>
    <w:rsid w:val="00CF48AF"/>
    <w:rsid w:val="00CF48BD"/>
    <w:rsid w:val="00CF496D"/>
    <w:rsid w:val="00CF49B7"/>
    <w:rsid w:val="00CF49E0"/>
    <w:rsid w:val="00CF4A4C"/>
    <w:rsid w:val="00CF4B0C"/>
    <w:rsid w:val="00CF4D54"/>
    <w:rsid w:val="00CF4D73"/>
    <w:rsid w:val="00CF4E31"/>
    <w:rsid w:val="00CF4E8D"/>
    <w:rsid w:val="00CF4E8F"/>
    <w:rsid w:val="00CF4F59"/>
    <w:rsid w:val="00CF5034"/>
    <w:rsid w:val="00CF50D9"/>
    <w:rsid w:val="00CF510E"/>
    <w:rsid w:val="00CF510F"/>
    <w:rsid w:val="00CF51F1"/>
    <w:rsid w:val="00CF51FD"/>
    <w:rsid w:val="00CF5232"/>
    <w:rsid w:val="00CF5255"/>
    <w:rsid w:val="00CF5351"/>
    <w:rsid w:val="00CF53FD"/>
    <w:rsid w:val="00CF55F5"/>
    <w:rsid w:val="00CF564B"/>
    <w:rsid w:val="00CF5770"/>
    <w:rsid w:val="00CF57A6"/>
    <w:rsid w:val="00CF57BE"/>
    <w:rsid w:val="00CF5BD5"/>
    <w:rsid w:val="00CF5C57"/>
    <w:rsid w:val="00CF5C78"/>
    <w:rsid w:val="00CF5D43"/>
    <w:rsid w:val="00CF5D68"/>
    <w:rsid w:val="00CF5DE0"/>
    <w:rsid w:val="00CF5F2C"/>
    <w:rsid w:val="00CF5F58"/>
    <w:rsid w:val="00CF621C"/>
    <w:rsid w:val="00CF6452"/>
    <w:rsid w:val="00CF6485"/>
    <w:rsid w:val="00CF6539"/>
    <w:rsid w:val="00CF6545"/>
    <w:rsid w:val="00CF66CD"/>
    <w:rsid w:val="00CF674B"/>
    <w:rsid w:val="00CF67AF"/>
    <w:rsid w:val="00CF6940"/>
    <w:rsid w:val="00CF69E7"/>
    <w:rsid w:val="00CF6B15"/>
    <w:rsid w:val="00CF6B84"/>
    <w:rsid w:val="00CF6C0D"/>
    <w:rsid w:val="00CF6C73"/>
    <w:rsid w:val="00CF6D07"/>
    <w:rsid w:val="00CF6D4C"/>
    <w:rsid w:val="00CF6D7C"/>
    <w:rsid w:val="00CF6DD3"/>
    <w:rsid w:val="00CF6E15"/>
    <w:rsid w:val="00CF6F15"/>
    <w:rsid w:val="00CF6F2E"/>
    <w:rsid w:val="00CF6F57"/>
    <w:rsid w:val="00CF6F78"/>
    <w:rsid w:val="00CF70AB"/>
    <w:rsid w:val="00CF7103"/>
    <w:rsid w:val="00CF7169"/>
    <w:rsid w:val="00CF720A"/>
    <w:rsid w:val="00CF72BB"/>
    <w:rsid w:val="00CF731D"/>
    <w:rsid w:val="00CF7328"/>
    <w:rsid w:val="00CF73DD"/>
    <w:rsid w:val="00CF73E8"/>
    <w:rsid w:val="00CF74C2"/>
    <w:rsid w:val="00CF7556"/>
    <w:rsid w:val="00CF7571"/>
    <w:rsid w:val="00CF75A1"/>
    <w:rsid w:val="00CF7611"/>
    <w:rsid w:val="00CF761D"/>
    <w:rsid w:val="00CF7696"/>
    <w:rsid w:val="00CF76C9"/>
    <w:rsid w:val="00CF7710"/>
    <w:rsid w:val="00CF77ED"/>
    <w:rsid w:val="00CF782F"/>
    <w:rsid w:val="00CF7850"/>
    <w:rsid w:val="00CF7952"/>
    <w:rsid w:val="00CF79B6"/>
    <w:rsid w:val="00CF7A22"/>
    <w:rsid w:val="00CF7AA6"/>
    <w:rsid w:val="00CF7AF7"/>
    <w:rsid w:val="00CF7B1D"/>
    <w:rsid w:val="00CF7C1C"/>
    <w:rsid w:val="00CF7D49"/>
    <w:rsid w:val="00CF7EA7"/>
    <w:rsid w:val="00CF7ECC"/>
    <w:rsid w:val="00CF7EE6"/>
    <w:rsid w:val="00CF7F20"/>
    <w:rsid w:val="00CF7FFE"/>
    <w:rsid w:val="00CF8A07"/>
    <w:rsid w:val="00D00048"/>
    <w:rsid w:val="00D0004D"/>
    <w:rsid w:val="00D00054"/>
    <w:rsid w:val="00D000C3"/>
    <w:rsid w:val="00D000C5"/>
    <w:rsid w:val="00D000F7"/>
    <w:rsid w:val="00D00126"/>
    <w:rsid w:val="00D001BD"/>
    <w:rsid w:val="00D001C8"/>
    <w:rsid w:val="00D00325"/>
    <w:rsid w:val="00D0033A"/>
    <w:rsid w:val="00D00465"/>
    <w:rsid w:val="00D00534"/>
    <w:rsid w:val="00D0062B"/>
    <w:rsid w:val="00D006AC"/>
    <w:rsid w:val="00D0071E"/>
    <w:rsid w:val="00D0075F"/>
    <w:rsid w:val="00D0076E"/>
    <w:rsid w:val="00D007A4"/>
    <w:rsid w:val="00D0094B"/>
    <w:rsid w:val="00D0096B"/>
    <w:rsid w:val="00D0097B"/>
    <w:rsid w:val="00D009A8"/>
    <w:rsid w:val="00D00AC9"/>
    <w:rsid w:val="00D00C4D"/>
    <w:rsid w:val="00D00D39"/>
    <w:rsid w:val="00D00EFA"/>
    <w:rsid w:val="00D00F1E"/>
    <w:rsid w:val="00D00F1F"/>
    <w:rsid w:val="00D00F9F"/>
    <w:rsid w:val="00D00FD6"/>
    <w:rsid w:val="00D012E8"/>
    <w:rsid w:val="00D013C3"/>
    <w:rsid w:val="00D013F5"/>
    <w:rsid w:val="00D0149E"/>
    <w:rsid w:val="00D014F6"/>
    <w:rsid w:val="00D01534"/>
    <w:rsid w:val="00D0153C"/>
    <w:rsid w:val="00D015FA"/>
    <w:rsid w:val="00D0161C"/>
    <w:rsid w:val="00D01642"/>
    <w:rsid w:val="00D01667"/>
    <w:rsid w:val="00D01789"/>
    <w:rsid w:val="00D0180E"/>
    <w:rsid w:val="00D01848"/>
    <w:rsid w:val="00D018A7"/>
    <w:rsid w:val="00D01999"/>
    <w:rsid w:val="00D01A05"/>
    <w:rsid w:val="00D01AC6"/>
    <w:rsid w:val="00D01B0B"/>
    <w:rsid w:val="00D01BC5"/>
    <w:rsid w:val="00D01BEE"/>
    <w:rsid w:val="00D01C00"/>
    <w:rsid w:val="00D01C9A"/>
    <w:rsid w:val="00D01D93"/>
    <w:rsid w:val="00D01DCA"/>
    <w:rsid w:val="00D01E0F"/>
    <w:rsid w:val="00D01E18"/>
    <w:rsid w:val="00D02245"/>
    <w:rsid w:val="00D0228C"/>
    <w:rsid w:val="00D022FB"/>
    <w:rsid w:val="00D023AC"/>
    <w:rsid w:val="00D023C7"/>
    <w:rsid w:val="00D02417"/>
    <w:rsid w:val="00D024B3"/>
    <w:rsid w:val="00D024C6"/>
    <w:rsid w:val="00D024FA"/>
    <w:rsid w:val="00D025D8"/>
    <w:rsid w:val="00D02618"/>
    <w:rsid w:val="00D02830"/>
    <w:rsid w:val="00D0283B"/>
    <w:rsid w:val="00D02942"/>
    <w:rsid w:val="00D02B73"/>
    <w:rsid w:val="00D02C46"/>
    <w:rsid w:val="00D02CAA"/>
    <w:rsid w:val="00D02CF3"/>
    <w:rsid w:val="00D02D52"/>
    <w:rsid w:val="00D02D76"/>
    <w:rsid w:val="00D02DD7"/>
    <w:rsid w:val="00D02DF8"/>
    <w:rsid w:val="00D02E17"/>
    <w:rsid w:val="00D02EBF"/>
    <w:rsid w:val="00D02F08"/>
    <w:rsid w:val="00D02FFD"/>
    <w:rsid w:val="00D0306E"/>
    <w:rsid w:val="00D03096"/>
    <w:rsid w:val="00D03238"/>
    <w:rsid w:val="00D0327F"/>
    <w:rsid w:val="00D032CC"/>
    <w:rsid w:val="00D032F8"/>
    <w:rsid w:val="00D03309"/>
    <w:rsid w:val="00D03328"/>
    <w:rsid w:val="00D0337C"/>
    <w:rsid w:val="00D034F7"/>
    <w:rsid w:val="00D03500"/>
    <w:rsid w:val="00D0365A"/>
    <w:rsid w:val="00D03794"/>
    <w:rsid w:val="00D03804"/>
    <w:rsid w:val="00D0381D"/>
    <w:rsid w:val="00D03891"/>
    <w:rsid w:val="00D038EE"/>
    <w:rsid w:val="00D0399E"/>
    <w:rsid w:val="00D039B5"/>
    <w:rsid w:val="00D03AC9"/>
    <w:rsid w:val="00D03B1F"/>
    <w:rsid w:val="00D03BCF"/>
    <w:rsid w:val="00D03BE3"/>
    <w:rsid w:val="00D03CB2"/>
    <w:rsid w:val="00D03D11"/>
    <w:rsid w:val="00D03D83"/>
    <w:rsid w:val="00D03DE5"/>
    <w:rsid w:val="00D03DF1"/>
    <w:rsid w:val="00D03E3C"/>
    <w:rsid w:val="00D03E8E"/>
    <w:rsid w:val="00D04025"/>
    <w:rsid w:val="00D04156"/>
    <w:rsid w:val="00D043C8"/>
    <w:rsid w:val="00D043E7"/>
    <w:rsid w:val="00D044B0"/>
    <w:rsid w:val="00D04600"/>
    <w:rsid w:val="00D047CD"/>
    <w:rsid w:val="00D048DF"/>
    <w:rsid w:val="00D0498E"/>
    <w:rsid w:val="00D04A3D"/>
    <w:rsid w:val="00D04ADA"/>
    <w:rsid w:val="00D04BAA"/>
    <w:rsid w:val="00D04BEB"/>
    <w:rsid w:val="00D04C70"/>
    <w:rsid w:val="00D04CC0"/>
    <w:rsid w:val="00D04D1F"/>
    <w:rsid w:val="00D04DB6"/>
    <w:rsid w:val="00D04E4A"/>
    <w:rsid w:val="00D04ECF"/>
    <w:rsid w:val="00D04FF5"/>
    <w:rsid w:val="00D050C5"/>
    <w:rsid w:val="00D05108"/>
    <w:rsid w:val="00D052DB"/>
    <w:rsid w:val="00D052F8"/>
    <w:rsid w:val="00D0538E"/>
    <w:rsid w:val="00D053D7"/>
    <w:rsid w:val="00D053F9"/>
    <w:rsid w:val="00D05535"/>
    <w:rsid w:val="00D055A4"/>
    <w:rsid w:val="00D055B0"/>
    <w:rsid w:val="00D055D5"/>
    <w:rsid w:val="00D055F7"/>
    <w:rsid w:val="00D056FB"/>
    <w:rsid w:val="00D05763"/>
    <w:rsid w:val="00D05797"/>
    <w:rsid w:val="00D0586E"/>
    <w:rsid w:val="00D0595A"/>
    <w:rsid w:val="00D059D7"/>
    <w:rsid w:val="00D05A87"/>
    <w:rsid w:val="00D05C59"/>
    <w:rsid w:val="00D05C5C"/>
    <w:rsid w:val="00D05CF9"/>
    <w:rsid w:val="00D05E51"/>
    <w:rsid w:val="00D05E87"/>
    <w:rsid w:val="00D05ED0"/>
    <w:rsid w:val="00D05EE1"/>
    <w:rsid w:val="00D05F2C"/>
    <w:rsid w:val="00D05F8E"/>
    <w:rsid w:val="00D06018"/>
    <w:rsid w:val="00D06146"/>
    <w:rsid w:val="00D061BD"/>
    <w:rsid w:val="00D061EE"/>
    <w:rsid w:val="00D063CC"/>
    <w:rsid w:val="00D063DE"/>
    <w:rsid w:val="00D063E2"/>
    <w:rsid w:val="00D064C8"/>
    <w:rsid w:val="00D064E7"/>
    <w:rsid w:val="00D0651E"/>
    <w:rsid w:val="00D06585"/>
    <w:rsid w:val="00D06598"/>
    <w:rsid w:val="00D06782"/>
    <w:rsid w:val="00D067BC"/>
    <w:rsid w:val="00D06977"/>
    <w:rsid w:val="00D06984"/>
    <w:rsid w:val="00D069AF"/>
    <w:rsid w:val="00D069D3"/>
    <w:rsid w:val="00D06B56"/>
    <w:rsid w:val="00D06B70"/>
    <w:rsid w:val="00D06BCC"/>
    <w:rsid w:val="00D06C41"/>
    <w:rsid w:val="00D06D08"/>
    <w:rsid w:val="00D06E20"/>
    <w:rsid w:val="00D06E7F"/>
    <w:rsid w:val="00D06E85"/>
    <w:rsid w:val="00D06EA6"/>
    <w:rsid w:val="00D06F13"/>
    <w:rsid w:val="00D07016"/>
    <w:rsid w:val="00D07048"/>
    <w:rsid w:val="00D0710E"/>
    <w:rsid w:val="00D0718D"/>
    <w:rsid w:val="00D071A7"/>
    <w:rsid w:val="00D071D8"/>
    <w:rsid w:val="00D071F1"/>
    <w:rsid w:val="00D0733D"/>
    <w:rsid w:val="00D074BB"/>
    <w:rsid w:val="00D075BD"/>
    <w:rsid w:val="00D076CE"/>
    <w:rsid w:val="00D0787D"/>
    <w:rsid w:val="00D079B2"/>
    <w:rsid w:val="00D07A75"/>
    <w:rsid w:val="00D07B22"/>
    <w:rsid w:val="00D07D73"/>
    <w:rsid w:val="00D07DC9"/>
    <w:rsid w:val="00D07DCE"/>
    <w:rsid w:val="00D07EB2"/>
    <w:rsid w:val="00D07F00"/>
    <w:rsid w:val="00D100FD"/>
    <w:rsid w:val="00D1019F"/>
    <w:rsid w:val="00D10245"/>
    <w:rsid w:val="00D10283"/>
    <w:rsid w:val="00D102EF"/>
    <w:rsid w:val="00D103E7"/>
    <w:rsid w:val="00D1054F"/>
    <w:rsid w:val="00D10578"/>
    <w:rsid w:val="00D105EF"/>
    <w:rsid w:val="00D1068F"/>
    <w:rsid w:val="00D1072B"/>
    <w:rsid w:val="00D107BC"/>
    <w:rsid w:val="00D10838"/>
    <w:rsid w:val="00D108E2"/>
    <w:rsid w:val="00D108F7"/>
    <w:rsid w:val="00D109DA"/>
    <w:rsid w:val="00D10A1A"/>
    <w:rsid w:val="00D10A5B"/>
    <w:rsid w:val="00D10AA2"/>
    <w:rsid w:val="00D10AE6"/>
    <w:rsid w:val="00D10D41"/>
    <w:rsid w:val="00D10D74"/>
    <w:rsid w:val="00D11024"/>
    <w:rsid w:val="00D110B6"/>
    <w:rsid w:val="00D11185"/>
    <w:rsid w:val="00D1128F"/>
    <w:rsid w:val="00D112E1"/>
    <w:rsid w:val="00D11348"/>
    <w:rsid w:val="00D11356"/>
    <w:rsid w:val="00D1135A"/>
    <w:rsid w:val="00D11365"/>
    <w:rsid w:val="00D113E0"/>
    <w:rsid w:val="00D115C5"/>
    <w:rsid w:val="00D115FB"/>
    <w:rsid w:val="00D1176C"/>
    <w:rsid w:val="00D1178B"/>
    <w:rsid w:val="00D11836"/>
    <w:rsid w:val="00D11852"/>
    <w:rsid w:val="00D1190E"/>
    <w:rsid w:val="00D119AF"/>
    <w:rsid w:val="00D11AE9"/>
    <w:rsid w:val="00D11B46"/>
    <w:rsid w:val="00D11C2E"/>
    <w:rsid w:val="00D11C88"/>
    <w:rsid w:val="00D11C8B"/>
    <w:rsid w:val="00D11CAB"/>
    <w:rsid w:val="00D11D81"/>
    <w:rsid w:val="00D11DFF"/>
    <w:rsid w:val="00D11EA7"/>
    <w:rsid w:val="00D11FE0"/>
    <w:rsid w:val="00D11FFF"/>
    <w:rsid w:val="00D12046"/>
    <w:rsid w:val="00D120F0"/>
    <w:rsid w:val="00D12121"/>
    <w:rsid w:val="00D12159"/>
    <w:rsid w:val="00D1218B"/>
    <w:rsid w:val="00D12282"/>
    <w:rsid w:val="00D12474"/>
    <w:rsid w:val="00D124C6"/>
    <w:rsid w:val="00D1261A"/>
    <w:rsid w:val="00D1261C"/>
    <w:rsid w:val="00D1264E"/>
    <w:rsid w:val="00D12659"/>
    <w:rsid w:val="00D12BBD"/>
    <w:rsid w:val="00D12D37"/>
    <w:rsid w:val="00D12D60"/>
    <w:rsid w:val="00D12D89"/>
    <w:rsid w:val="00D12E84"/>
    <w:rsid w:val="00D12F67"/>
    <w:rsid w:val="00D13073"/>
    <w:rsid w:val="00D130B1"/>
    <w:rsid w:val="00D13128"/>
    <w:rsid w:val="00D13193"/>
    <w:rsid w:val="00D133EB"/>
    <w:rsid w:val="00D13484"/>
    <w:rsid w:val="00D13486"/>
    <w:rsid w:val="00D1348E"/>
    <w:rsid w:val="00D13566"/>
    <w:rsid w:val="00D135B6"/>
    <w:rsid w:val="00D1375D"/>
    <w:rsid w:val="00D137FF"/>
    <w:rsid w:val="00D138BC"/>
    <w:rsid w:val="00D13B7A"/>
    <w:rsid w:val="00D13B98"/>
    <w:rsid w:val="00D13CFA"/>
    <w:rsid w:val="00D13E8C"/>
    <w:rsid w:val="00D14102"/>
    <w:rsid w:val="00D14127"/>
    <w:rsid w:val="00D14163"/>
    <w:rsid w:val="00D14229"/>
    <w:rsid w:val="00D14291"/>
    <w:rsid w:val="00D1435F"/>
    <w:rsid w:val="00D1446A"/>
    <w:rsid w:val="00D14489"/>
    <w:rsid w:val="00D144F9"/>
    <w:rsid w:val="00D14517"/>
    <w:rsid w:val="00D145F0"/>
    <w:rsid w:val="00D1461A"/>
    <w:rsid w:val="00D14837"/>
    <w:rsid w:val="00D14AEC"/>
    <w:rsid w:val="00D14B01"/>
    <w:rsid w:val="00D14C20"/>
    <w:rsid w:val="00D14C8B"/>
    <w:rsid w:val="00D14D20"/>
    <w:rsid w:val="00D14D62"/>
    <w:rsid w:val="00D14D68"/>
    <w:rsid w:val="00D14E43"/>
    <w:rsid w:val="00D14F14"/>
    <w:rsid w:val="00D14FA3"/>
    <w:rsid w:val="00D150CF"/>
    <w:rsid w:val="00D150FA"/>
    <w:rsid w:val="00D15146"/>
    <w:rsid w:val="00D15191"/>
    <w:rsid w:val="00D15264"/>
    <w:rsid w:val="00D15396"/>
    <w:rsid w:val="00D153CD"/>
    <w:rsid w:val="00D154AC"/>
    <w:rsid w:val="00D15573"/>
    <w:rsid w:val="00D15584"/>
    <w:rsid w:val="00D155BD"/>
    <w:rsid w:val="00D1563B"/>
    <w:rsid w:val="00D1577F"/>
    <w:rsid w:val="00D1584E"/>
    <w:rsid w:val="00D1589D"/>
    <w:rsid w:val="00D15999"/>
    <w:rsid w:val="00D159C2"/>
    <w:rsid w:val="00D159EE"/>
    <w:rsid w:val="00D159F5"/>
    <w:rsid w:val="00D15B80"/>
    <w:rsid w:val="00D15BD3"/>
    <w:rsid w:val="00D15BE0"/>
    <w:rsid w:val="00D15C17"/>
    <w:rsid w:val="00D15C19"/>
    <w:rsid w:val="00D15CB4"/>
    <w:rsid w:val="00D15CFB"/>
    <w:rsid w:val="00D15D77"/>
    <w:rsid w:val="00D15D9F"/>
    <w:rsid w:val="00D15DCF"/>
    <w:rsid w:val="00D15EBE"/>
    <w:rsid w:val="00D15F79"/>
    <w:rsid w:val="00D162D8"/>
    <w:rsid w:val="00D162E9"/>
    <w:rsid w:val="00D16346"/>
    <w:rsid w:val="00D1634A"/>
    <w:rsid w:val="00D16365"/>
    <w:rsid w:val="00D1636F"/>
    <w:rsid w:val="00D16394"/>
    <w:rsid w:val="00D1645C"/>
    <w:rsid w:val="00D16565"/>
    <w:rsid w:val="00D16579"/>
    <w:rsid w:val="00D16616"/>
    <w:rsid w:val="00D166C2"/>
    <w:rsid w:val="00D16954"/>
    <w:rsid w:val="00D1696F"/>
    <w:rsid w:val="00D169C6"/>
    <w:rsid w:val="00D16AF8"/>
    <w:rsid w:val="00D16B44"/>
    <w:rsid w:val="00D16B8C"/>
    <w:rsid w:val="00D16BB8"/>
    <w:rsid w:val="00D16D62"/>
    <w:rsid w:val="00D16ED8"/>
    <w:rsid w:val="00D16F20"/>
    <w:rsid w:val="00D16F94"/>
    <w:rsid w:val="00D16FC7"/>
    <w:rsid w:val="00D1728A"/>
    <w:rsid w:val="00D1735B"/>
    <w:rsid w:val="00D1739B"/>
    <w:rsid w:val="00D174F5"/>
    <w:rsid w:val="00D175F1"/>
    <w:rsid w:val="00D17709"/>
    <w:rsid w:val="00D17777"/>
    <w:rsid w:val="00D17B06"/>
    <w:rsid w:val="00D17BA6"/>
    <w:rsid w:val="00D17BE9"/>
    <w:rsid w:val="00D17C66"/>
    <w:rsid w:val="00D17D7F"/>
    <w:rsid w:val="00D17DAE"/>
    <w:rsid w:val="00D17DB3"/>
    <w:rsid w:val="00D17DB7"/>
    <w:rsid w:val="00D17E41"/>
    <w:rsid w:val="00D17E56"/>
    <w:rsid w:val="00D17EA4"/>
    <w:rsid w:val="00D17EE8"/>
    <w:rsid w:val="00D17EEF"/>
    <w:rsid w:val="00D17F2B"/>
    <w:rsid w:val="00D17FC9"/>
    <w:rsid w:val="00D17FF4"/>
    <w:rsid w:val="00D2005D"/>
    <w:rsid w:val="00D200FE"/>
    <w:rsid w:val="00D20191"/>
    <w:rsid w:val="00D201B4"/>
    <w:rsid w:val="00D20355"/>
    <w:rsid w:val="00D20385"/>
    <w:rsid w:val="00D203FD"/>
    <w:rsid w:val="00D20406"/>
    <w:rsid w:val="00D2045B"/>
    <w:rsid w:val="00D2045C"/>
    <w:rsid w:val="00D204BE"/>
    <w:rsid w:val="00D20516"/>
    <w:rsid w:val="00D20538"/>
    <w:rsid w:val="00D20578"/>
    <w:rsid w:val="00D20590"/>
    <w:rsid w:val="00D205A0"/>
    <w:rsid w:val="00D205C9"/>
    <w:rsid w:val="00D206B5"/>
    <w:rsid w:val="00D20724"/>
    <w:rsid w:val="00D207F4"/>
    <w:rsid w:val="00D208B9"/>
    <w:rsid w:val="00D208CF"/>
    <w:rsid w:val="00D209ED"/>
    <w:rsid w:val="00D20AFF"/>
    <w:rsid w:val="00D20C13"/>
    <w:rsid w:val="00D20C21"/>
    <w:rsid w:val="00D20D01"/>
    <w:rsid w:val="00D20D5A"/>
    <w:rsid w:val="00D20D7A"/>
    <w:rsid w:val="00D20F9D"/>
    <w:rsid w:val="00D20FE9"/>
    <w:rsid w:val="00D210E4"/>
    <w:rsid w:val="00D210F8"/>
    <w:rsid w:val="00D21212"/>
    <w:rsid w:val="00D2128E"/>
    <w:rsid w:val="00D212FD"/>
    <w:rsid w:val="00D21333"/>
    <w:rsid w:val="00D21378"/>
    <w:rsid w:val="00D2143C"/>
    <w:rsid w:val="00D21497"/>
    <w:rsid w:val="00D21559"/>
    <w:rsid w:val="00D215BB"/>
    <w:rsid w:val="00D215CA"/>
    <w:rsid w:val="00D2162E"/>
    <w:rsid w:val="00D217F4"/>
    <w:rsid w:val="00D2187F"/>
    <w:rsid w:val="00D2190A"/>
    <w:rsid w:val="00D21963"/>
    <w:rsid w:val="00D21989"/>
    <w:rsid w:val="00D219A5"/>
    <w:rsid w:val="00D219C3"/>
    <w:rsid w:val="00D21A39"/>
    <w:rsid w:val="00D21AA5"/>
    <w:rsid w:val="00D21B0B"/>
    <w:rsid w:val="00D21B18"/>
    <w:rsid w:val="00D21B27"/>
    <w:rsid w:val="00D21C0D"/>
    <w:rsid w:val="00D21D4A"/>
    <w:rsid w:val="00D21E00"/>
    <w:rsid w:val="00D21E8C"/>
    <w:rsid w:val="00D220F1"/>
    <w:rsid w:val="00D22120"/>
    <w:rsid w:val="00D2218B"/>
    <w:rsid w:val="00D22247"/>
    <w:rsid w:val="00D22445"/>
    <w:rsid w:val="00D224AB"/>
    <w:rsid w:val="00D22602"/>
    <w:rsid w:val="00D226D3"/>
    <w:rsid w:val="00D226DA"/>
    <w:rsid w:val="00D22775"/>
    <w:rsid w:val="00D227D6"/>
    <w:rsid w:val="00D227F5"/>
    <w:rsid w:val="00D22926"/>
    <w:rsid w:val="00D229BB"/>
    <w:rsid w:val="00D22A5C"/>
    <w:rsid w:val="00D22B6F"/>
    <w:rsid w:val="00D22B95"/>
    <w:rsid w:val="00D22BA5"/>
    <w:rsid w:val="00D22BF9"/>
    <w:rsid w:val="00D22CF6"/>
    <w:rsid w:val="00D22E35"/>
    <w:rsid w:val="00D22E97"/>
    <w:rsid w:val="00D23041"/>
    <w:rsid w:val="00D2307A"/>
    <w:rsid w:val="00D230D0"/>
    <w:rsid w:val="00D2319D"/>
    <w:rsid w:val="00D23360"/>
    <w:rsid w:val="00D2338C"/>
    <w:rsid w:val="00D233BA"/>
    <w:rsid w:val="00D233DE"/>
    <w:rsid w:val="00D234EB"/>
    <w:rsid w:val="00D235FE"/>
    <w:rsid w:val="00D23601"/>
    <w:rsid w:val="00D23668"/>
    <w:rsid w:val="00D2371D"/>
    <w:rsid w:val="00D2374C"/>
    <w:rsid w:val="00D2388B"/>
    <w:rsid w:val="00D2389A"/>
    <w:rsid w:val="00D238E0"/>
    <w:rsid w:val="00D238E8"/>
    <w:rsid w:val="00D23903"/>
    <w:rsid w:val="00D23A5D"/>
    <w:rsid w:val="00D23B8E"/>
    <w:rsid w:val="00D23DA0"/>
    <w:rsid w:val="00D23DA8"/>
    <w:rsid w:val="00D23DDE"/>
    <w:rsid w:val="00D23E1E"/>
    <w:rsid w:val="00D23E35"/>
    <w:rsid w:val="00D23E7B"/>
    <w:rsid w:val="00D23E91"/>
    <w:rsid w:val="00D23FE0"/>
    <w:rsid w:val="00D24065"/>
    <w:rsid w:val="00D24074"/>
    <w:rsid w:val="00D2414C"/>
    <w:rsid w:val="00D24161"/>
    <w:rsid w:val="00D24182"/>
    <w:rsid w:val="00D24333"/>
    <w:rsid w:val="00D2434F"/>
    <w:rsid w:val="00D243E0"/>
    <w:rsid w:val="00D24409"/>
    <w:rsid w:val="00D244A8"/>
    <w:rsid w:val="00D244C1"/>
    <w:rsid w:val="00D244CC"/>
    <w:rsid w:val="00D244E9"/>
    <w:rsid w:val="00D244F6"/>
    <w:rsid w:val="00D245A1"/>
    <w:rsid w:val="00D2462B"/>
    <w:rsid w:val="00D246CD"/>
    <w:rsid w:val="00D247CF"/>
    <w:rsid w:val="00D247D3"/>
    <w:rsid w:val="00D247FC"/>
    <w:rsid w:val="00D24974"/>
    <w:rsid w:val="00D24A53"/>
    <w:rsid w:val="00D24B0D"/>
    <w:rsid w:val="00D24B52"/>
    <w:rsid w:val="00D24DB6"/>
    <w:rsid w:val="00D24E43"/>
    <w:rsid w:val="00D24EDC"/>
    <w:rsid w:val="00D24FE4"/>
    <w:rsid w:val="00D25035"/>
    <w:rsid w:val="00D25044"/>
    <w:rsid w:val="00D2508B"/>
    <w:rsid w:val="00D250DD"/>
    <w:rsid w:val="00D250E1"/>
    <w:rsid w:val="00D252DE"/>
    <w:rsid w:val="00D253ED"/>
    <w:rsid w:val="00D25434"/>
    <w:rsid w:val="00D255B8"/>
    <w:rsid w:val="00D25711"/>
    <w:rsid w:val="00D2575C"/>
    <w:rsid w:val="00D2578E"/>
    <w:rsid w:val="00D2584A"/>
    <w:rsid w:val="00D25884"/>
    <w:rsid w:val="00D259CB"/>
    <w:rsid w:val="00D25A60"/>
    <w:rsid w:val="00D25A92"/>
    <w:rsid w:val="00D25B08"/>
    <w:rsid w:val="00D25BD3"/>
    <w:rsid w:val="00D25BE5"/>
    <w:rsid w:val="00D25C70"/>
    <w:rsid w:val="00D25CB1"/>
    <w:rsid w:val="00D25CCC"/>
    <w:rsid w:val="00D25D10"/>
    <w:rsid w:val="00D25D51"/>
    <w:rsid w:val="00D25F0F"/>
    <w:rsid w:val="00D25FAE"/>
    <w:rsid w:val="00D25FC5"/>
    <w:rsid w:val="00D25FED"/>
    <w:rsid w:val="00D25FF2"/>
    <w:rsid w:val="00D26022"/>
    <w:rsid w:val="00D26093"/>
    <w:rsid w:val="00D2617E"/>
    <w:rsid w:val="00D261C8"/>
    <w:rsid w:val="00D26203"/>
    <w:rsid w:val="00D26242"/>
    <w:rsid w:val="00D262A2"/>
    <w:rsid w:val="00D26308"/>
    <w:rsid w:val="00D26394"/>
    <w:rsid w:val="00D2640E"/>
    <w:rsid w:val="00D26510"/>
    <w:rsid w:val="00D26580"/>
    <w:rsid w:val="00D266D8"/>
    <w:rsid w:val="00D266F1"/>
    <w:rsid w:val="00D2670A"/>
    <w:rsid w:val="00D26749"/>
    <w:rsid w:val="00D267A3"/>
    <w:rsid w:val="00D267EC"/>
    <w:rsid w:val="00D26878"/>
    <w:rsid w:val="00D268A0"/>
    <w:rsid w:val="00D26933"/>
    <w:rsid w:val="00D26AB3"/>
    <w:rsid w:val="00D26B24"/>
    <w:rsid w:val="00D26B75"/>
    <w:rsid w:val="00D26B85"/>
    <w:rsid w:val="00D26BCC"/>
    <w:rsid w:val="00D26CAD"/>
    <w:rsid w:val="00D26CF7"/>
    <w:rsid w:val="00D26DAB"/>
    <w:rsid w:val="00D26DF3"/>
    <w:rsid w:val="00D26E43"/>
    <w:rsid w:val="00D26EE8"/>
    <w:rsid w:val="00D26F42"/>
    <w:rsid w:val="00D26FCC"/>
    <w:rsid w:val="00D2702B"/>
    <w:rsid w:val="00D2705A"/>
    <w:rsid w:val="00D2707F"/>
    <w:rsid w:val="00D2711E"/>
    <w:rsid w:val="00D27170"/>
    <w:rsid w:val="00D2721C"/>
    <w:rsid w:val="00D27246"/>
    <w:rsid w:val="00D27381"/>
    <w:rsid w:val="00D274B0"/>
    <w:rsid w:val="00D274CE"/>
    <w:rsid w:val="00D274D3"/>
    <w:rsid w:val="00D274F8"/>
    <w:rsid w:val="00D27503"/>
    <w:rsid w:val="00D2752D"/>
    <w:rsid w:val="00D2752F"/>
    <w:rsid w:val="00D275C7"/>
    <w:rsid w:val="00D275CD"/>
    <w:rsid w:val="00D275E6"/>
    <w:rsid w:val="00D276B1"/>
    <w:rsid w:val="00D2770A"/>
    <w:rsid w:val="00D27729"/>
    <w:rsid w:val="00D27730"/>
    <w:rsid w:val="00D27762"/>
    <w:rsid w:val="00D27819"/>
    <w:rsid w:val="00D278AA"/>
    <w:rsid w:val="00D27915"/>
    <w:rsid w:val="00D27AB6"/>
    <w:rsid w:val="00D27B3D"/>
    <w:rsid w:val="00D27BDC"/>
    <w:rsid w:val="00D27C34"/>
    <w:rsid w:val="00D27C96"/>
    <w:rsid w:val="00D27CE9"/>
    <w:rsid w:val="00D27DDE"/>
    <w:rsid w:val="00D27DF8"/>
    <w:rsid w:val="00D27F2C"/>
    <w:rsid w:val="00D3007E"/>
    <w:rsid w:val="00D3007F"/>
    <w:rsid w:val="00D3009A"/>
    <w:rsid w:val="00D30167"/>
    <w:rsid w:val="00D301A0"/>
    <w:rsid w:val="00D301EE"/>
    <w:rsid w:val="00D30230"/>
    <w:rsid w:val="00D30281"/>
    <w:rsid w:val="00D30377"/>
    <w:rsid w:val="00D303B7"/>
    <w:rsid w:val="00D30469"/>
    <w:rsid w:val="00D3048B"/>
    <w:rsid w:val="00D304C5"/>
    <w:rsid w:val="00D304D1"/>
    <w:rsid w:val="00D30532"/>
    <w:rsid w:val="00D3054A"/>
    <w:rsid w:val="00D30591"/>
    <w:rsid w:val="00D30696"/>
    <w:rsid w:val="00D306E1"/>
    <w:rsid w:val="00D30891"/>
    <w:rsid w:val="00D308AF"/>
    <w:rsid w:val="00D308B8"/>
    <w:rsid w:val="00D30966"/>
    <w:rsid w:val="00D30AE6"/>
    <w:rsid w:val="00D30AFD"/>
    <w:rsid w:val="00D30B3E"/>
    <w:rsid w:val="00D30CA9"/>
    <w:rsid w:val="00D30D93"/>
    <w:rsid w:val="00D30DC8"/>
    <w:rsid w:val="00D30DEA"/>
    <w:rsid w:val="00D30E6A"/>
    <w:rsid w:val="00D30F49"/>
    <w:rsid w:val="00D30FE1"/>
    <w:rsid w:val="00D31060"/>
    <w:rsid w:val="00D31080"/>
    <w:rsid w:val="00D310AD"/>
    <w:rsid w:val="00D31197"/>
    <w:rsid w:val="00D3123D"/>
    <w:rsid w:val="00D313D4"/>
    <w:rsid w:val="00D31422"/>
    <w:rsid w:val="00D31458"/>
    <w:rsid w:val="00D31540"/>
    <w:rsid w:val="00D315BB"/>
    <w:rsid w:val="00D315EB"/>
    <w:rsid w:val="00D3164D"/>
    <w:rsid w:val="00D316B8"/>
    <w:rsid w:val="00D3173A"/>
    <w:rsid w:val="00D31776"/>
    <w:rsid w:val="00D318B7"/>
    <w:rsid w:val="00D318D3"/>
    <w:rsid w:val="00D319CA"/>
    <w:rsid w:val="00D31ABC"/>
    <w:rsid w:val="00D31AE0"/>
    <w:rsid w:val="00D31C83"/>
    <w:rsid w:val="00D31C85"/>
    <w:rsid w:val="00D31CAD"/>
    <w:rsid w:val="00D31CEE"/>
    <w:rsid w:val="00D31FCB"/>
    <w:rsid w:val="00D3201D"/>
    <w:rsid w:val="00D32114"/>
    <w:rsid w:val="00D32122"/>
    <w:rsid w:val="00D321B6"/>
    <w:rsid w:val="00D32287"/>
    <w:rsid w:val="00D322B6"/>
    <w:rsid w:val="00D32302"/>
    <w:rsid w:val="00D3263B"/>
    <w:rsid w:val="00D32651"/>
    <w:rsid w:val="00D3265E"/>
    <w:rsid w:val="00D32689"/>
    <w:rsid w:val="00D3282A"/>
    <w:rsid w:val="00D32887"/>
    <w:rsid w:val="00D32931"/>
    <w:rsid w:val="00D32947"/>
    <w:rsid w:val="00D32AE6"/>
    <w:rsid w:val="00D32C23"/>
    <w:rsid w:val="00D32CB9"/>
    <w:rsid w:val="00D32D66"/>
    <w:rsid w:val="00D32E08"/>
    <w:rsid w:val="00D32E7C"/>
    <w:rsid w:val="00D32F31"/>
    <w:rsid w:val="00D32F5A"/>
    <w:rsid w:val="00D3308C"/>
    <w:rsid w:val="00D33093"/>
    <w:rsid w:val="00D33169"/>
    <w:rsid w:val="00D331B6"/>
    <w:rsid w:val="00D3328A"/>
    <w:rsid w:val="00D332A3"/>
    <w:rsid w:val="00D33327"/>
    <w:rsid w:val="00D334CA"/>
    <w:rsid w:val="00D334E9"/>
    <w:rsid w:val="00D335C5"/>
    <w:rsid w:val="00D33634"/>
    <w:rsid w:val="00D3366F"/>
    <w:rsid w:val="00D336D8"/>
    <w:rsid w:val="00D3376B"/>
    <w:rsid w:val="00D33823"/>
    <w:rsid w:val="00D33972"/>
    <w:rsid w:val="00D33989"/>
    <w:rsid w:val="00D33995"/>
    <w:rsid w:val="00D339A1"/>
    <w:rsid w:val="00D33A3A"/>
    <w:rsid w:val="00D33A88"/>
    <w:rsid w:val="00D33AB8"/>
    <w:rsid w:val="00D33ACB"/>
    <w:rsid w:val="00D33AF9"/>
    <w:rsid w:val="00D33B37"/>
    <w:rsid w:val="00D33B67"/>
    <w:rsid w:val="00D33B86"/>
    <w:rsid w:val="00D33C54"/>
    <w:rsid w:val="00D33C71"/>
    <w:rsid w:val="00D33C9F"/>
    <w:rsid w:val="00D33D7B"/>
    <w:rsid w:val="00D33DB7"/>
    <w:rsid w:val="00D33F0C"/>
    <w:rsid w:val="00D33F40"/>
    <w:rsid w:val="00D33FB7"/>
    <w:rsid w:val="00D34020"/>
    <w:rsid w:val="00D3406C"/>
    <w:rsid w:val="00D341B0"/>
    <w:rsid w:val="00D341B7"/>
    <w:rsid w:val="00D342C2"/>
    <w:rsid w:val="00D342C3"/>
    <w:rsid w:val="00D344A4"/>
    <w:rsid w:val="00D3457C"/>
    <w:rsid w:val="00D34590"/>
    <w:rsid w:val="00D345B1"/>
    <w:rsid w:val="00D345CD"/>
    <w:rsid w:val="00D345F3"/>
    <w:rsid w:val="00D3499E"/>
    <w:rsid w:val="00D349E4"/>
    <w:rsid w:val="00D34A19"/>
    <w:rsid w:val="00D34A29"/>
    <w:rsid w:val="00D34AC5"/>
    <w:rsid w:val="00D34B26"/>
    <w:rsid w:val="00D34B7C"/>
    <w:rsid w:val="00D34C42"/>
    <w:rsid w:val="00D34C6B"/>
    <w:rsid w:val="00D34CD6"/>
    <w:rsid w:val="00D34DA6"/>
    <w:rsid w:val="00D35094"/>
    <w:rsid w:val="00D3516A"/>
    <w:rsid w:val="00D351AC"/>
    <w:rsid w:val="00D351D6"/>
    <w:rsid w:val="00D35346"/>
    <w:rsid w:val="00D35361"/>
    <w:rsid w:val="00D3540C"/>
    <w:rsid w:val="00D3541C"/>
    <w:rsid w:val="00D35452"/>
    <w:rsid w:val="00D354C3"/>
    <w:rsid w:val="00D355F0"/>
    <w:rsid w:val="00D35621"/>
    <w:rsid w:val="00D35647"/>
    <w:rsid w:val="00D3564C"/>
    <w:rsid w:val="00D35683"/>
    <w:rsid w:val="00D356A0"/>
    <w:rsid w:val="00D356BA"/>
    <w:rsid w:val="00D35821"/>
    <w:rsid w:val="00D35902"/>
    <w:rsid w:val="00D35919"/>
    <w:rsid w:val="00D35A44"/>
    <w:rsid w:val="00D35AD3"/>
    <w:rsid w:val="00D35AE9"/>
    <w:rsid w:val="00D35AF1"/>
    <w:rsid w:val="00D35B34"/>
    <w:rsid w:val="00D35B50"/>
    <w:rsid w:val="00D35B71"/>
    <w:rsid w:val="00D35BA6"/>
    <w:rsid w:val="00D35BF2"/>
    <w:rsid w:val="00D35D06"/>
    <w:rsid w:val="00D35EC3"/>
    <w:rsid w:val="00D35EF4"/>
    <w:rsid w:val="00D35F08"/>
    <w:rsid w:val="00D35F26"/>
    <w:rsid w:val="00D3611E"/>
    <w:rsid w:val="00D36240"/>
    <w:rsid w:val="00D3629F"/>
    <w:rsid w:val="00D363A0"/>
    <w:rsid w:val="00D363BD"/>
    <w:rsid w:val="00D3644B"/>
    <w:rsid w:val="00D3649C"/>
    <w:rsid w:val="00D3650A"/>
    <w:rsid w:val="00D3654C"/>
    <w:rsid w:val="00D365CA"/>
    <w:rsid w:val="00D36736"/>
    <w:rsid w:val="00D3678D"/>
    <w:rsid w:val="00D36818"/>
    <w:rsid w:val="00D36854"/>
    <w:rsid w:val="00D369B5"/>
    <w:rsid w:val="00D369D3"/>
    <w:rsid w:val="00D36A99"/>
    <w:rsid w:val="00D36B43"/>
    <w:rsid w:val="00D36BF0"/>
    <w:rsid w:val="00D36C7D"/>
    <w:rsid w:val="00D36CF3"/>
    <w:rsid w:val="00D36D0E"/>
    <w:rsid w:val="00D36D62"/>
    <w:rsid w:val="00D36DEE"/>
    <w:rsid w:val="00D36E25"/>
    <w:rsid w:val="00D36ED4"/>
    <w:rsid w:val="00D36F22"/>
    <w:rsid w:val="00D36FAC"/>
    <w:rsid w:val="00D36FE5"/>
    <w:rsid w:val="00D37006"/>
    <w:rsid w:val="00D370B2"/>
    <w:rsid w:val="00D370CC"/>
    <w:rsid w:val="00D3714F"/>
    <w:rsid w:val="00D37168"/>
    <w:rsid w:val="00D371CD"/>
    <w:rsid w:val="00D371E1"/>
    <w:rsid w:val="00D371F1"/>
    <w:rsid w:val="00D372D1"/>
    <w:rsid w:val="00D3741E"/>
    <w:rsid w:val="00D37493"/>
    <w:rsid w:val="00D374F5"/>
    <w:rsid w:val="00D37555"/>
    <w:rsid w:val="00D3755F"/>
    <w:rsid w:val="00D375CB"/>
    <w:rsid w:val="00D37611"/>
    <w:rsid w:val="00D3770D"/>
    <w:rsid w:val="00D37771"/>
    <w:rsid w:val="00D3779D"/>
    <w:rsid w:val="00D37948"/>
    <w:rsid w:val="00D379FF"/>
    <w:rsid w:val="00D37A8C"/>
    <w:rsid w:val="00D37AE7"/>
    <w:rsid w:val="00D37B00"/>
    <w:rsid w:val="00D37B36"/>
    <w:rsid w:val="00D37BF9"/>
    <w:rsid w:val="00D37C09"/>
    <w:rsid w:val="00D37C39"/>
    <w:rsid w:val="00D37D90"/>
    <w:rsid w:val="00D37E6B"/>
    <w:rsid w:val="00D37F17"/>
    <w:rsid w:val="00D37F75"/>
    <w:rsid w:val="00D400F2"/>
    <w:rsid w:val="00D40154"/>
    <w:rsid w:val="00D401D3"/>
    <w:rsid w:val="00D401F3"/>
    <w:rsid w:val="00D4021F"/>
    <w:rsid w:val="00D403C3"/>
    <w:rsid w:val="00D403E9"/>
    <w:rsid w:val="00D4046E"/>
    <w:rsid w:val="00D40497"/>
    <w:rsid w:val="00D404F8"/>
    <w:rsid w:val="00D40669"/>
    <w:rsid w:val="00D4067A"/>
    <w:rsid w:val="00D406CD"/>
    <w:rsid w:val="00D40719"/>
    <w:rsid w:val="00D4077F"/>
    <w:rsid w:val="00D407BC"/>
    <w:rsid w:val="00D4082F"/>
    <w:rsid w:val="00D408EC"/>
    <w:rsid w:val="00D409E2"/>
    <w:rsid w:val="00D40AB3"/>
    <w:rsid w:val="00D40BE8"/>
    <w:rsid w:val="00D40C0D"/>
    <w:rsid w:val="00D40C3A"/>
    <w:rsid w:val="00D40C7F"/>
    <w:rsid w:val="00D40C9D"/>
    <w:rsid w:val="00D40D83"/>
    <w:rsid w:val="00D40E1B"/>
    <w:rsid w:val="00D40F30"/>
    <w:rsid w:val="00D40FCD"/>
    <w:rsid w:val="00D40FD7"/>
    <w:rsid w:val="00D410F6"/>
    <w:rsid w:val="00D4114D"/>
    <w:rsid w:val="00D41275"/>
    <w:rsid w:val="00D413F1"/>
    <w:rsid w:val="00D41437"/>
    <w:rsid w:val="00D4150D"/>
    <w:rsid w:val="00D4164B"/>
    <w:rsid w:val="00D41813"/>
    <w:rsid w:val="00D418D9"/>
    <w:rsid w:val="00D41953"/>
    <w:rsid w:val="00D4196B"/>
    <w:rsid w:val="00D4196E"/>
    <w:rsid w:val="00D419D7"/>
    <w:rsid w:val="00D41B77"/>
    <w:rsid w:val="00D41B99"/>
    <w:rsid w:val="00D41B9A"/>
    <w:rsid w:val="00D41BCC"/>
    <w:rsid w:val="00D41BD4"/>
    <w:rsid w:val="00D41D27"/>
    <w:rsid w:val="00D41DAE"/>
    <w:rsid w:val="00D41DBE"/>
    <w:rsid w:val="00D41F07"/>
    <w:rsid w:val="00D41F74"/>
    <w:rsid w:val="00D41F8D"/>
    <w:rsid w:val="00D41F93"/>
    <w:rsid w:val="00D41FC4"/>
    <w:rsid w:val="00D42044"/>
    <w:rsid w:val="00D420DB"/>
    <w:rsid w:val="00D42105"/>
    <w:rsid w:val="00D421A3"/>
    <w:rsid w:val="00D424FA"/>
    <w:rsid w:val="00D424FC"/>
    <w:rsid w:val="00D42602"/>
    <w:rsid w:val="00D4260B"/>
    <w:rsid w:val="00D427C5"/>
    <w:rsid w:val="00D427CA"/>
    <w:rsid w:val="00D42803"/>
    <w:rsid w:val="00D4287F"/>
    <w:rsid w:val="00D4296E"/>
    <w:rsid w:val="00D42999"/>
    <w:rsid w:val="00D429B5"/>
    <w:rsid w:val="00D429F6"/>
    <w:rsid w:val="00D42A05"/>
    <w:rsid w:val="00D42A49"/>
    <w:rsid w:val="00D42B63"/>
    <w:rsid w:val="00D42BA2"/>
    <w:rsid w:val="00D42C21"/>
    <w:rsid w:val="00D42DE7"/>
    <w:rsid w:val="00D42ED8"/>
    <w:rsid w:val="00D42EFC"/>
    <w:rsid w:val="00D4303B"/>
    <w:rsid w:val="00D4309E"/>
    <w:rsid w:val="00D430CF"/>
    <w:rsid w:val="00D4312B"/>
    <w:rsid w:val="00D431C8"/>
    <w:rsid w:val="00D4338D"/>
    <w:rsid w:val="00D433AC"/>
    <w:rsid w:val="00D434A9"/>
    <w:rsid w:val="00D43510"/>
    <w:rsid w:val="00D43621"/>
    <w:rsid w:val="00D43639"/>
    <w:rsid w:val="00D43835"/>
    <w:rsid w:val="00D43947"/>
    <w:rsid w:val="00D439A9"/>
    <w:rsid w:val="00D43A2D"/>
    <w:rsid w:val="00D43ABB"/>
    <w:rsid w:val="00D43AE3"/>
    <w:rsid w:val="00D43B2D"/>
    <w:rsid w:val="00D43BA4"/>
    <w:rsid w:val="00D43BBB"/>
    <w:rsid w:val="00D43BC2"/>
    <w:rsid w:val="00D43C3E"/>
    <w:rsid w:val="00D43C7D"/>
    <w:rsid w:val="00D43C94"/>
    <w:rsid w:val="00D43CE2"/>
    <w:rsid w:val="00D43D14"/>
    <w:rsid w:val="00D43D48"/>
    <w:rsid w:val="00D43D56"/>
    <w:rsid w:val="00D43DF4"/>
    <w:rsid w:val="00D43E17"/>
    <w:rsid w:val="00D43E7A"/>
    <w:rsid w:val="00D43F5F"/>
    <w:rsid w:val="00D44077"/>
    <w:rsid w:val="00D440D1"/>
    <w:rsid w:val="00D4417C"/>
    <w:rsid w:val="00D44181"/>
    <w:rsid w:val="00D4418C"/>
    <w:rsid w:val="00D44311"/>
    <w:rsid w:val="00D44320"/>
    <w:rsid w:val="00D4439B"/>
    <w:rsid w:val="00D44476"/>
    <w:rsid w:val="00D444B6"/>
    <w:rsid w:val="00D445AA"/>
    <w:rsid w:val="00D445B8"/>
    <w:rsid w:val="00D447C8"/>
    <w:rsid w:val="00D44856"/>
    <w:rsid w:val="00D448FF"/>
    <w:rsid w:val="00D44964"/>
    <w:rsid w:val="00D44995"/>
    <w:rsid w:val="00D44A39"/>
    <w:rsid w:val="00D44A3F"/>
    <w:rsid w:val="00D44AD8"/>
    <w:rsid w:val="00D44C7A"/>
    <w:rsid w:val="00D44C92"/>
    <w:rsid w:val="00D44CD5"/>
    <w:rsid w:val="00D44D4C"/>
    <w:rsid w:val="00D44DAC"/>
    <w:rsid w:val="00D44DB3"/>
    <w:rsid w:val="00D44E0B"/>
    <w:rsid w:val="00D44F21"/>
    <w:rsid w:val="00D44F43"/>
    <w:rsid w:val="00D44F48"/>
    <w:rsid w:val="00D44F59"/>
    <w:rsid w:val="00D44F92"/>
    <w:rsid w:val="00D4505F"/>
    <w:rsid w:val="00D45139"/>
    <w:rsid w:val="00D4516A"/>
    <w:rsid w:val="00D45360"/>
    <w:rsid w:val="00D453AC"/>
    <w:rsid w:val="00D453BE"/>
    <w:rsid w:val="00D45425"/>
    <w:rsid w:val="00D45439"/>
    <w:rsid w:val="00D45573"/>
    <w:rsid w:val="00D45649"/>
    <w:rsid w:val="00D4566B"/>
    <w:rsid w:val="00D456DD"/>
    <w:rsid w:val="00D45772"/>
    <w:rsid w:val="00D45788"/>
    <w:rsid w:val="00D457A6"/>
    <w:rsid w:val="00D45896"/>
    <w:rsid w:val="00D45A58"/>
    <w:rsid w:val="00D45A94"/>
    <w:rsid w:val="00D45BC7"/>
    <w:rsid w:val="00D45C94"/>
    <w:rsid w:val="00D45DF1"/>
    <w:rsid w:val="00D45F7E"/>
    <w:rsid w:val="00D45FC4"/>
    <w:rsid w:val="00D4605C"/>
    <w:rsid w:val="00D4609E"/>
    <w:rsid w:val="00D460DA"/>
    <w:rsid w:val="00D4613A"/>
    <w:rsid w:val="00D461A9"/>
    <w:rsid w:val="00D4633E"/>
    <w:rsid w:val="00D4643D"/>
    <w:rsid w:val="00D4646F"/>
    <w:rsid w:val="00D46502"/>
    <w:rsid w:val="00D4657F"/>
    <w:rsid w:val="00D465D2"/>
    <w:rsid w:val="00D4668D"/>
    <w:rsid w:val="00D467CC"/>
    <w:rsid w:val="00D468DF"/>
    <w:rsid w:val="00D4691A"/>
    <w:rsid w:val="00D46A2A"/>
    <w:rsid w:val="00D46AB9"/>
    <w:rsid w:val="00D46CDE"/>
    <w:rsid w:val="00D46D11"/>
    <w:rsid w:val="00D46E01"/>
    <w:rsid w:val="00D46E55"/>
    <w:rsid w:val="00D46E5D"/>
    <w:rsid w:val="00D46F45"/>
    <w:rsid w:val="00D46F9E"/>
    <w:rsid w:val="00D46FDF"/>
    <w:rsid w:val="00D46FEA"/>
    <w:rsid w:val="00D47076"/>
    <w:rsid w:val="00D470ED"/>
    <w:rsid w:val="00D47217"/>
    <w:rsid w:val="00D4739B"/>
    <w:rsid w:val="00D473C6"/>
    <w:rsid w:val="00D47437"/>
    <w:rsid w:val="00D47499"/>
    <w:rsid w:val="00D474A4"/>
    <w:rsid w:val="00D474FF"/>
    <w:rsid w:val="00D47504"/>
    <w:rsid w:val="00D4750F"/>
    <w:rsid w:val="00D47558"/>
    <w:rsid w:val="00D477FA"/>
    <w:rsid w:val="00D47864"/>
    <w:rsid w:val="00D47869"/>
    <w:rsid w:val="00D4789D"/>
    <w:rsid w:val="00D47939"/>
    <w:rsid w:val="00D4796C"/>
    <w:rsid w:val="00D47A9C"/>
    <w:rsid w:val="00D47CB0"/>
    <w:rsid w:val="00D47CDD"/>
    <w:rsid w:val="00D47D63"/>
    <w:rsid w:val="00D47D93"/>
    <w:rsid w:val="00D47EBC"/>
    <w:rsid w:val="00D47F3A"/>
    <w:rsid w:val="00D47FA0"/>
    <w:rsid w:val="00D47FA9"/>
    <w:rsid w:val="00D50145"/>
    <w:rsid w:val="00D50276"/>
    <w:rsid w:val="00D50355"/>
    <w:rsid w:val="00D5060E"/>
    <w:rsid w:val="00D5065B"/>
    <w:rsid w:val="00D5069B"/>
    <w:rsid w:val="00D5072E"/>
    <w:rsid w:val="00D5078B"/>
    <w:rsid w:val="00D50809"/>
    <w:rsid w:val="00D509F7"/>
    <w:rsid w:val="00D50A53"/>
    <w:rsid w:val="00D50AB2"/>
    <w:rsid w:val="00D50AD9"/>
    <w:rsid w:val="00D50AE8"/>
    <w:rsid w:val="00D50AF1"/>
    <w:rsid w:val="00D50AF9"/>
    <w:rsid w:val="00D50B1D"/>
    <w:rsid w:val="00D50D09"/>
    <w:rsid w:val="00D50E02"/>
    <w:rsid w:val="00D50E29"/>
    <w:rsid w:val="00D50ED5"/>
    <w:rsid w:val="00D51026"/>
    <w:rsid w:val="00D511A8"/>
    <w:rsid w:val="00D511DB"/>
    <w:rsid w:val="00D51336"/>
    <w:rsid w:val="00D51352"/>
    <w:rsid w:val="00D51360"/>
    <w:rsid w:val="00D51366"/>
    <w:rsid w:val="00D514C9"/>
    <w:rsid w:val="00D51525"/>
    <w:rsid w:val="00D515BF"/>
    <w:rsid w:val="00D516AA"/>
    <w:rsid w:val="00D516ED"/>
    <w:rsid w:val="00D51968"/>
    <w:rsid w:val="00D51BE4"/>
    <w:rsid w:val="00D51D66"/>
    <w:rsid w:val="00D51E2F"/>
    <w:rsid w:val="00D51EA7"/>
    <w:rsid w:val="00D51F37"/>
    <w:rsid w:val="00D5201E"/>
    <w:rsid w:val="00D5203C"/>
    <w:rsid w:val="00D5216A"/>
    <w:rsid w:val="00D52270"/>
    <w:rsid w:val="00D5237E"/>
    <w:rsid w:val="00D523FA"/>
    <w:rsid w:val="00D524BD"/>
    <w:rsid w:val="00D525C0"/>
    <w:rsid w:val="00D526E1"/>
    <w:rsid w:val="00D52820"/>
    <w:rsid w:val="00D528B7"/>
    <w:rsid w:val="00D528FD"/>
    <w:rsid w:val="00D52BFE"/>
    <w:rsid w:val="00D52C0C"/>
    <w:rsid w:val="00D52C9B"/>
    <w:rsid w:val="00D52D6C"/>
    <w:rsid w:val="00D52DA9"/>
    <w:rsid w:val="00D52E05"/>
    <w:rsid w:val="00D52EA4"/>
    <w:rsid w:val="00D52F9D"/>
    <w:rsid w:val="00D52FA3"/>
    <w:rsid w:val="00D5301A"/>
    <w:rsid w:val="00D5304C"/>
    <w:rsid w:val="00D530EA"/>
    <w:rsid w:val="00D530F5"/>
    <w:rsid w:val="00D53215"/>
    <w:rsid w:val="00D532A5"/>
    <w:rsid w:val="00D532F7"/>
    <w:rsid w:val="00D53369"/>
    <w:rsid w:val="00D533BB"/>
    <w:rsid w:val="00D5348E"/>
    <w:rsid w:val="00D534D6"/>
    <w:rsid w:val="00D535BF"/>
    <w:rsid w:val="00D53645"/>
    <w:rsid w:val="00D5376A"/>
    <w:rsid w:val="00D537FE"/>
    <w:rsid w:val="00D538CF"/>
    <w:rsid w:val="00D53903"/>
    <w:rsid w:val="00D53907"/>
    <w:rsid w:val="00D53A09"/>
    <w:rsid w:val="00D53AF9"/>
    <w:rsid w:val="00D53B49"/>
    <w:rsid w:val="00D53B50"/>
    <w:rsid w:val="00D53C73"/>
    <w:rsid w:val="00D53DD0"/>
    <w:rsid w:val="00D53E3D"/>
    <w:rsid w:val="00D53E93"/>
    <w:rsid w:val="00D53EAD"/>
    <w:rsid w:val="00D53EBD"/>
    <w:rsid w:val="00D53F16"/>
    <w:rsid w:val="00D5402A"/>
    <w:rsid w:val="00D54083"/>
    <w:rsid w:val="00D540C4"/>
    <w:rsid w:val="00D5412A"/>
    <w:rsid w:val="00D54202"/>
    <w:rsid w:val="00D54257"/>
    <w:rsid w:val="00D5430D"/>
    <w:rsid w:val="00D54406"/>
    <w:rsid w:val="00D54433"/>
    <w:rsid w:val="00D5444A"/>
    <w:rsid w:val="00D5448A"/>
    <w:rsid w:val="00D544D5"/>
    <w:rsid w:val="00D544EA"/>
    <w:rsid w:val="00D546E1"/>
    <w:rsid w:val="00D547CB"/>
    <w:rsid w:val="00D54832"/>
    <w:rsid w:val="00D548ED"/>
    <w:rsid w:val="00D54965"/>
    <w:rsid w:val="00D54A15"/>
    <w:rsid w:val="00D54AB9"/>
    <w:rsid w:val="00D54AF4"/>
    <w:rsid w:val="00D54B6F"/>
    <w:rsid w:val="00D54C6B"/>
    <w:rsid w:val="00D54E22"/>
    <w:rsid w:val="00D54E70"/>
    <w:rsid w:val="00D54E86"/>
    <w:rsid w:val="00D54EE3"/>
    <w:rsid w:val="00D54F1E"/>
    <w:rsid w:val="00D5504F"/>
    <w:rsid w:val="00D55068"/>
    <w:rsid w:val="00D5507B"/>
    <w:rsid w:val="00D550D4"/>
    <w:rsid w:val="00D5511F"/>
    <w:rsid w:val="00D55140"/>
    <w:rsid w:val="00D55237"/>
    <w:rsid w:val="00D55244"/>
    <w:rsid w:val="00D55414"/>
    <w:rsid w:val="00D55442"/>
    <w:rsid w:val="00D554A9"/>
    <w:rsid w:val="00D555A9"/>
    <w:rsid w:val="00D55687"/>
    <w:rsid w:val="00D556C4"/>
    <w:rsid w:val="00D5584F"/>
    <w:rsid w:val="00D55863"/>
    <w:rsid w:val="00D55A0C"/>
    <w:rsid w:val="00D55A0E"/>
    <w:rsid w:val="00D55A2B"/>
    <w:rsid w:val="00D55A4F"/>
    <w:rsid w:val="00D55A5B"/>
    <w:rsid w:val="00D55B09"/>
    <w:rsid w:val="00D55B3B"/>
    <w:rsid w:val="00D55CAE"/>
    <w:rsid w:val="00D55CD4"/>
    <w:rsid w:val="00D55D29"/>
    <w:rsid w:val="00D55D3D"/>
    <w:rsid w:val="00D55D91"/>
    <w:rsid w:val="00D55E1B"/>
    <w:rsid w:val="00D55E91"/>
    <w:rsid w:val="00D55F02"/>
    <w:rsid w:val="00D55F2D"/>
    <w:rsid w:val="00D55F78"/>
    <w:rsid w:val="00D55FCC"/>
    <w:rsid w:val="00D56016"/>
    <w:rsid w:val="00D56161"/>
    <w:rsid w:val="00D5620F"/>
    <w:rsid w:val="00D56212"/>
    <w:rsid w:val="00D5626F"/>
    <w:rsid w:val="00D5627D"/>
    <w:rsid w:val="00D562B2"/>
    <w:rsid w:val="00D562FD"/>
    <w:rsid w:val="00D56302"/>
    <w:rsid w:val="00D56336"/>
    <w:rsid w:val="00D56343"/>
    <w:rsid w:val="00D56388"/>
    <w:rsid w:val="00D5645F"/>
    <w:rsid w:val="00D56544"/>
    <w:rsid w:val="00D56600"/>
    <w:rsid w:val="00D566B9"/>
    <w:rsid w:val="00D568FB"/>
    <w:rsid w:val="00D5694E"/>
    <w:rsid w:val="00D569CB"/>
    <w:rsid w:val="00D56A07"/>
    <w:rsid w:val="00D56A38"/>
    <w:rsid w:val="00D56BFB"/>
    <w:rsid w:val="00D56C71"/>
    <w:rsid w:val="00D56C94"/>
    <w:rsid w:val="00D56D36"/>
    <w:rsid w:val="00D56E0B"/>
    <w:rsid w:val="00D56E2E"/>
    <w:rsid w:val="00D56EB9"/>
    <w:rsid w:val="00D56EE9"/>
    <w:rsid w:val="00D56F58"/>
    <w:rsid w:val="00D57077"/>
    <w:rsid w:val="00D57134"/>
    <w:rsid w:val="00D57146"/>
    <w:rsid w:val="00D57183"/>
    <w:rsid w:val="00D571D2"/>
    <w:rsid w:val="00D571F0"/>
    <w:rsid w:val="00D57252"/>
    <w:rsid w:val="00D572C3"/>
    <w:rsid w:val="00D573A9"/>
    <w:rsid w:val="00D57462"/>
    <w:rsid w:val="00D57481"/>
    <w:rsid w:val="00D57519"/>
    <w:rsid w:val="00D5752F"/>
    <w:rsid w:val="00D5756A"/>
    <w:rsid w:val="00D575FB"/>
    <w:rsid w:val="00D57627"/>
    <w:rsid w:val="00D57655"/>
    <w:rsid w:val="00D576EE"/>
    <w:rsid w:val="00D57791"/>
    <w:rsid w:val="00D577B2"/>
    <w:rsid w:val="00D57AB9"/>
    <w:rsid w:val="00D57ACB"/>
    <w:rsid w:val="00D57C07"/>
    <w:rsid w:val="00D57C7D"/>
    <w:rsid w:val="00D57D86"/>
    <w:rsid w:val="00D57DBE"/>
    <w:rsid w:val="00D57EFE"/>
    <w:rsid w:val="00D60043"/>
    <w:rsid w:val="00D6004B"/>
    <w:rsid w:val="00D6006B"/>
    <w:rsid w:val="00D601DB"/>
    <w:rsid w:val="00D60226"/>
    <w:rsid w:val="00D6027C"/>
    <w:rsid w:val="00D6032A"/>
    <w:rsid w:val="00D60445"/>
    <w:rsid w:val="00D606BE"/>
    <w:rsid w:val="00D60750"/>
    <w:rsid w:val="00D60976"/>
    <w:rsid w:val="00D609E3"/>
    <w:rsid w:val="00D60A3A"/>
    <w:rsid w:val="00D60A3D"/>
    <w:rsid w:val="00D60A9D"/>
    <w:rsid w:val="00D60A9F"/>
    <w:rsid w:val="00D60C81"/>
    <w:rsid w:val="00D60C98"/>
    <w:rsid w:val="00D60E6F"/>
    <w:rsid w:val="00D60F84"/>
    <w:rsid w:val="00D61094"/>
    <w:rsid w:val="00D61106"/>
    <w:rsid w:val="00D611AC"/>
    <w:rsid w:val="00D61238"/>
    <w:rsid w:val="00D61324"/>
    <w:rsid w:val="00D615E1"/>
    <w:rsid w:val="00D61677"/>
    <w:rsid w:val="00D61706"/>
    <w:rsid w:val="00D61882"/>
    <w:rsid w:val="00D6193C"/>
    <w:rsid w:val="00D61A79"/>
    <w:rsid w:val="00D61B06"/>
    <w:rsid w:val="00D61B38"/>
    <w:rsid w:val="00D61B3C"/>
    <w:rsid w:val="00D61B81"/>
    <w:rsid w:val="00D61BB0"/>
    <w:rsid w:val="00D61C64"/>
    <w:rsid w:val="00D61C6F"/>
    <w:rsid w:val="00D61ED5"/>
    <w:rsid w:val="00D61F65"/>
    <w:rsid w:val="00D61F90"/>
    <w:rsid w:val="00D62101"/>
    <w:rsid w:val="00D621BE"/>
    <w:rsid w:val="00D621DC"/>
    <w:rsid w:val="00D621FA"/>
    <w:rsid w:val="00D6228D"/>
    <w:rsid w:val="00D62296"/>
    <w:rsid w:val="00D623E5"/>
    <w:rsid w:val="00D6240E"/>
    <w:rsid w:val="00D62419"/>
    <w:rsid w:val="00D62438"/>
    <w:rsid w:val="00D624E5"/>
    <w:rsid w:val="00D62615"/>
    <w:rsid w:val="00D6271E"/>
    <w:rsid w:val="00D62747"/>
    <w:rsid w:val="00D6276D"/>
    <w:rsid w:val="00D62958"/>
    <w:rsid w:val="00D629EC"/>
    <w:rsid w:val="00D62C08"/>
    <w:rsid w:val="00D62C41"/>
    <w:rsid w:val="00D62C50"/>
    <w:rsid w:val="00D62C9B"/>
    <w:rsid w:val="00D62CBA"/>
    <w:rsid w:val="00D62FB2"/>
    <w:rsid w:val="00D63189"/>
    <w:rsid w:val="00D632D9"/>
    <w:rsid w:val="00D63780"/>
    <w:rsid w:val="00D63781"/>
    <w:rsid w:val="00D6382F"/>
    <w:rsid w:val="00D6387C"/>
    <w:rsid w:val="00D63C9C"/>
    <w:rsid w:val="00D6404F"/>
    <w:rsid w:val="00D6415D"/>
    <w:rsid w:val="00D64176"/>
    <w:rsid w:val="00D641F7"/>
    <w:rsid w:val="00D642DF"/>
    <w:rsid w:val="00D642F0"/>
    <w:rsid w:val="00D642FC"/>
    <w:rsid w:val="00D64303"/>
    <w:rsid w:val="00D64391"/>
    <w:rsid w:val="00D643A8"/>
    <w:rsid w:val="00D64599"/>
    <w:rsid w:val="00D64665"/>
    <w:rsid w:val="00D646FE"/>
    <w:rsid w:val="00D64751"/>
    <w:rsid w:val="00D64766"/>
    <w:rsid w:val="00D64949"/>
    <w:rsid w:val="00D649B6"/>
    <w:rsid w:val="00D64A1F"/>
    <w:rsid w:val="00D64B3C"/>
    <w:rsid w:val="00D64B69"/>
    <w:rsid w:val="00D64BBB"/>
    <w:rsid w:val="00D64CBA"/>
    <w:rsid w:val="00D64EEE"/>
    <w:rsid w:val="00D64F0A"/>
    <w:rsid w:val="00D64F12"/>
    <w:rsid w:val="00D64F28"/>
    <w:rsid w:val="00D64F68"/>
    <w:rsid w:val="00D64F85"/>
    <w:rsid w:val="00D6515C"/>
    <w:rsid w:val="00D65171"/>
    <w:rsid w:val="00D65234"/>
    <w:rsid w:val="00D6527D"/>
    <w:rsid w:val="00D6530F"/>
    <w:rsid w:val="00D65329"/>
    <w:rsid w:val="00D65524"/>
    <w:rsid w:val="00D655F4"/>
    <w:rsid w:val="00D65605"/>
    <w:rsid w:val="00D6568D"/>
    <w:rsid w:val="00D656AF"/>
    <w:rsid w:val="00D65734"/>
    <w:rsid w:val="00D65774"/>
    <w:rsid w:val="00D657FA"/>
    <w:rsid w:val="00D65828"/>
    <w:rsid w:val="00D6582E"/>
    <w:rsid w:val="00D65AAE"/>
    <w:rsid w:val="00D65ACD"/>
    <w:rsid w:val="00D65AE6"/>
    <w:rsid w:val="00D65BB6"/>
    <w:rsid w:val="00D65C12"/>
    <w:rsid w:val="00D65D8F"/>
    <w:rsid w:val="00D65DC7"/>
    <w:rsid w:val="00D65E91"/>
    <w:rsid w:val="00D65E9F"/>
    <w:rsid w:val="00D65EAA"/>
    <w:rsid w:val="00D65FFE"/>
    <w:rsid w:val="00D6619F"/>
    <w:rsid w:val="00D66280"/>
    <w:rsid w:val="00D662C2"/>
    <w:rsid w:val="00D662CE"/>
    <w:rsid w:val="00D6645D"/>
    <w:rsid w:val="00D6648F"/>
    <w:rsid w:val="00D6655E"/>
    <w:rsid w:val="00D66795"/>
    <w:rsid w:val="00D66901"/>
    <w:rsid w:val="00D669BB"/>
    <w:rsid w:val="00D669C3"/>
    <w:rsid w:val="00D66A39"/>
    <w:rsid w:val="00D66D20"/>
    <w:rsid w:val="00D66EF5"/>
    <w:rsid w:val="00D66FC7"/>
    <w:rsid w:val="00D66FF1"/>
    <w:rsid w:val="00D670CD"/>
    <w:rsid w:val="00D670FA"/>
    <w:rsid w:val="00D6718D"/>
    <w:rsid w:val="00D67206"/>
    <w:rsid w:val="00D672DA"/>
    <w:rsid w:val="00D6734B"/>
    <w:rsid w:val="00D67374"/>
    <w:rsid w:val="00D67484"/>
    <w:rsid w:val="00D6751C"/>
    <w:rsid w:val="00D67647"/>
    <w:rsid w:val="00D67664"/>
    <w:rsid w:val="00D677BF"/>
    <w:rsid w:val="00D677FD"/>
    <w:rsid w:val="00D6793A"/>
    <w:rsid w:val="00D6793F"/>
    <w:rsid w:val="00D679B7"/>
    <w:rsid w:val="00D67A1B"/>
    <w:rsid w:val="00D67A29"/>
    <w:rsid w:val="00D67B71"/>
    <w:rsid w:val="00D67C3C"/>
    <w:rsid w:val="00D67CB9"/>
    <w:rsid w:val="00D67D25"/>
    <w:rsid w:val="00D67DEB"/>
    <w:rsid w:val="00D67EC7"/>
    <w:rsid w:val="00D67EE8"/>
    <w:rsid w:val="00D67F16"/>
    <w:rsid w:val="00D67F34"/>
    <w:rsid w:val="00D67F89"/>
    <w:rsid w:val="00D67FE3"/>
    <w:rsid w:val="00D70025"/>
    <w:rsid w:val="00D700F9"/>
    <w:rsid w:val="00D7019C"/>
    <w:rsid w:val="00D701F0"/>
    <w:rsid w:val="00D70247"/>
    <w:rsid w:val="00D7032B"/>
    <w:rsid w:val="00D703B3"/>
    <w:rsid w:val="00D7056A"/>
    <w:rsid w:val="00D70592"/>
    <w:rsid w:val="00D70619"/>
    <w:rsid w:val="00D7066F"/>
    <w:rsid w:val="00D706AA"/>
    <w:rsid w:val="00D70715"/>
    <w:rsid w:val="00D70750"/>
    <w:rsid w:val="00D7077A"/>
    <w:rsid w:val="00D70822"/>
    <w:rsid w:val="00D70839"/>
    <w:rsid w:val="00D70966"/>
    <w:rsid w:val="00D7099B"/>
    <w:rsid w:val="00D709B8"/>
    <w:rsid w:val="00D70A23"/>
    <w:rsid w:val="00D70B8E"/>
    <w:rsid w:val="00D70C40"/>
    <w:rsid w:val="00D70C4E"/>
    <w:rsid w:val="00D70C9C"/>
    <w:rsid w:val="00D70CB3"/>
    <w:rsid w:val="00D70D2D"/>
    <w:rsid w:val="00D70D78"/>
    <w:rsid w:val="00D70D7D"/>
    <w:rsid w:val="00D70D9E"/>
    <w:rsid w:val="00D70DCD"/>
    <w:rsid w:val="00D70E07"/>
    <w:rsid w:val="00D70E8B"/>
    <w:rsid w:val="00D70FA1"/>
    <w:rsid w:val="00D71038"/>
    <w:rsid w:val="00D710F9"/>
    <w:rsid w:val="00D711B5"/>
    <w:rsid w:val="00D711B6"/>
    <w:rsid w:val="00D712EC"/>
    <w:rsid w:val="00D71308"/>
    <w:rsid w:val="00D71364"/>
    <w:rsid w:val="00D713B9"/>
    <w:rsid w:val="00D713E9"/>
    <w:rsid w:val="00D71480"/>
    <w:rsid w:val="00D715AA"/>
    <w:rsid w:val="00D715C7"/>
    <w:rsid w:val="00D71636"/>
    <w:rsid w:val="00D7163B"/>
    <w:rsid w:val="00D716D5"/>
    <w:rsid w:val="00D71720"/>
    <w:rsid w:val="00D7174A"/>
    <w:rsid w:val="00D717F8"/>
    <w:rsid w:val="00D718BB"/>
    <w:rsid w:val="00D7193A"/>
    <w:rsid w:val="00D71980"/>
    <w:rsid w:val="00D71B3C"/>
    <w:rsid w:val="00D71B8C"/>
    <w:rsid w:val="00D71C2D"/>
    <w:rsid w:val="00D71C79"/>
    <w:rsid w:val="00D71CB8"/>
    <w:rsid w:val="00D71D78"/>
    <w:rsid w:val="00D71DC4"/>
    <w:rsid w:val="00D71E14"/>
    <w:rsid w:val="00D71EAC"/>
    <w:rsid w:val="00D71EBA"/>
    <w:rsid w:val="00D71F78"/>
    <w:rsid w:val="00D71F82"/>
    <w:rsid w:val="00D71FE0"/>
    <w:rsid w:val="00D72087"/>
    <w:rsid w:val="00D721A8"/>
    <w:rsid w:val="00D72282"/>
    <w:rsid w:val="00D7240C"/>
    <w:rsid w:val="00D724C0"/>
    <w:rsid w:val="00D724FD"/>
    <w:rsid w:val="00D72543"/>
    <w:rsid w:val="00D7259C"/>
    <w:rsid w:val="00D726C0"/>
    <w:rsid w:val="00D7272E"/>
    <w:rsid w:val="00D72741"/>
    <w:rsid w:val="00D72A75"/>
    <w:rsid w:val="00D72B3D"/>
    <w:rsid w:val="00D72B5E"/>
    <w:rsid w:val="00D72B99"/>
    <w:rsid w:val="00D72C7B"/>
    <w:rsid w:val="00D72D99"/>
    <w:rsid w:val="00D72E05"/>
    <w:rsid w:val="00D72F8A"/>
    <w:rsid w:val="00D73019"/>
    <w:rsid w:val="00D73034"/>
    <w:rsid w:val="00D73072"/>
    <w:rsid w:val="00D7308C"/>
    <w:rsid w:val="00D730AF"/>
    <w:rsid w:val="00D730B6"/>
    <w:rsid w:val="00D731E2"/>
    <w:rsid w:val="00D73301"/>
    <w:rsid w:val="00D73346"/>
    <w:rsid w:val="00D73370"/>
    <w:rsid w:val="00D73531"/>
    <w:rsid w:val="00D735E2"/>
    <w:rsid w:val="00D737D6"/>
    <w:rsid w:val="00D737FD"/>
    <w:rsid w:val="00D73913"/>
    <w:rsid w:val="00D73A77"/>
    <w:rsid w:val="00D73AF2"/>
    <w:rsid w:val="00D73B12"/>
    <w:rsid w:val="00D73B83"/>
    <w:rsid w:val="00D73B99"/>
    <w:rsid w:val="00D73C19"/>
    <w:rsid w:val="00D73C30"/>
    <w:rsid w:val="00D73E2D"/>
    <w:rsid w:val="00D73F08"/>
    <w:rsid w:val="00D73F33"/>
    <w:rsid w:val="00D73FD5"/>
    <w:rsid w:val="00D74014"/>
    <w:rsid w:val="00D7406C"/>
    <w:rsid w:val="00D74259"/>
    <w:rsid w:val="00D74280"/>
    <w:rsid w:val="00D74342"/>
    <w:rsid w:val="00D74352"/>
    <w:rsid w:val="00D7436A"/>
    <w:rsid w:val="00D743AC"/>
    <w:rsid w:val="00D74594"/>
    <w:rsid w:val="00D74694"/>
    <w:rsid w:val="00D74725"/>
    <w:rsid w:val="00D7483E"/>
    <w:rsid w:val="00D74A8A"/>
    <w:rsid w:val="00D74AAF"/>
    <w:rsid w:val="00D74B05"/>
    <w:rsid w:val="00D74B1C"/>
    <w:rsid w:val="00D74B89"/>
    <w:rsid w:val="00D74C7F"/>
    <w:rsid w:val="00D74CC6"/>
    <w:rsid w:val="00D74D2B"/>
    <w:rsid w:val="00D74D5B"/>
    <w:rsid w:val="00D74D63"/>
    <w:rsid w:val="00D74D89"/>
    <w:rsid w:val="00D74F43"/>
    <w:rsid w:val="00D74FAF"/>
    <w:rsid w:val="00D74FE3"/>
    <w:rsid w:val="00D75006"/>
    <w:rsid w:val="00D7503F"/>
    <w:rsid w:val="00D7509B"/>
    <w:rsid w:val="00D750A9"/>
    <w:rsid w:val="00D750AF"/>
    <w:rsid w:val="00D7518C"/>
    <w:rsid w:val="00D75210"/>
    <w:rsid w:val="00D7526E"/>
    <w:rsid w:val="00D752ED"/>
    <w:rsid w:val="00D75367"/>
    <w:rsid w:val="00D754EE"/>
    <w:rsid w:val="00D755CD"/>
    <w:rsid w:val="00D75663"/>
    <w:rsid w:val="00D756CA"/>
    <w:rsid w:val="00D7570A"/>
    <w:rsid w:val="00D75820"/>
    <w:rsid w:val="00D7582E"/>
    <w:rsid w:val="00D7590B"/>
    <w:rsid w:val="00D7594B"/>
    <w:rsid w:val="00D759C5"/>
    <w:rsid w:val="00D75AEE"/>
    <w:rsid w:val="00D75B1F"/>
    <w:rsid w:val="00D75B20"/>
    <w:rsid w:val="00D75B87"/>
    <w:rsid w:val="00D75BE7"/>
    <w:rsid w:val="00D75BEA"/>
    <w:rsid w:val="00D75C03"/>
    <w:rsid w:val="00D75C18"/>
    <w:rsid w:val="00D75C80"/>
    <w:rsid w:val="00D75CC8"/>
    <w:rsid w:val="00D75DF3"/>
    <w:rsid w:val="00D75E01"/>
    <w:rsid w:val="00D75E21"/>
    <w:rsid w:val="00D76031"/>
    <w:rsid w:val="00D76037"/>
    <w:rsid w:val="00D76075"/>
    <w:rsid w:val="00D7619B"/>
    <w:rsid w:val="00D763F6"/>
    <w:rsid w:val="00D7645D"/>
    <w:rsid w:val="00D7650D"/>
    <w:rsid w:val="00D76562"/>
    <w:rsid w:val="00D7664B"/>
    <w:rsid w:val="00D766E7"/>
    <w:rsid w:val="00D76757"/>
    <w:rsid w:val="00D7678A"/>
    <w:rsid w:val="00D7681D"/>
    <w:rsid w:val="00D7683A"/>
    <w:rsid w:val="00D76982"/>
    <w:rsid w:val="00D769E8"/>
    <w:rsid w:val="00D76C4C"/>
    <w:rsid w:val="00D76CCC"/>
    <w:rsid w:val="00D76E56"/>
    <w:rsid w:val="00D76EC8"/>
    <w:rsid w:val="00D76F1C"/>
    <w:rsid w:val="00D76F3A"/>
    <w:rsid w:val="00D7706C"/>
    <w:rsid w:val="00D77092"/>
    <w:rsid w:val="00D77124"/>
    <w:rsid w:val="00D771F9"/>
    <w:rsid w:val="00D77349"/>
    <w:rsid w:val="00D7734F"/>
    <w:rsid w:val="00D77443"/>
    <w:rsid w:val="00D7759E"/>
    <w:rsid w:val="00D775C9"/>
    <w:rsid w:val="00D77638"/>
    <w:rsid w:val="00D777AB"/>
    <w:rsid w:val="00D778AC"/>
    <w:rsid w:val="00D778B0"/>
    <w:rsid w:val="00D77924"/>
    <w:rsid w:val="00D77946"/>
    <w:rsid w:val="00D77985"/>
    <w:rsid w:val="00D77AA2"/>
    <w:rsid w:val="00D77AE4"/>
    <w:rsid w:val="00D77AE5"/>
    <w:rsid w:val="00D77B11"/>
    <w:rsid w:val="00D77B23"/>
    <w:rsid w:val="00D77B76"/>
    <w:rsid w:val="00D77BA5"/>
    <w:rsid w:val="00D77BEF"/>
    <w:rsid w:val="00D77D50"/>
    <w:rsid w:val="00D77D8F"/>
    <w:rsid w:val="00D77E1B"/>
    <w:rsid w:val="00D77EEC"/>
    <w:rsid w:val="00D77EF7"/>
    <w:rsid w:val="00D77F9F"/>
    <w:rsid w:val="00D80097"/>
    <w:rsid w:val="00D8019A"/>
    <w:rsid w:val="00D80346"/>
    <w:rsid w:val="00D803A0"/>
    <w:rsid w:val="00D80461"/>
    <w:rsid w:val="00D8058F"/>
    <w:rsid w:val="00D80605"/>
    <w:rsid w:val="00D80620"/>
    <w:rsid w:val="00D80629"/>
    <w:rsid w:val="00D80647"/>
    <w:rsid w:val="00D8066A"/>
    <w:rsid w:val="00D806CC"/>
    <w:rsid w:val="00D807CD"/>
    <w:rsid w:val="00D807EE"/>
    <w:rsid w:val="00D80812"/>
    <w:rsid w:val="00D8083E"/>
    <w:rsid w:val="00D8086A"/>
    <w:rsid w:val="00D809BB"/>
    <w:rsid w:val="00D809F3"/>
    <w:rsid w:val="00D80A16"/>
    <w:rsid w:val="00D80A95"/>
    <w:rsid w:val="00D80B32"/>
    <w:rsid w:val="00D80C49"/>
    <w:rsid w:val="00D80CAF"/>
    <w:rsid w:val="00D80D22"/>
    <w:rsid w:val="00D80D2C"/>
    <w:rsid w:val="00D80D61"/>
    <w:rsid w:val="00D80DB4"/>
    <w:rsid w:val="00D81034"/>
    <w:rsid w:val="00D81151"/>
    <w:rsid w:val="00D81181"/>
    <w:rsid w:val="00D81191"/>
    <w:rsid w:val="00D811FB"/>
    <w:rsid w:val="00D8125D"/>
    <w:rsid w:val="00D8126A"/>
    <w:rsid w:val="00D8139C"/>
    <w:rsid w:val="00D813D8"/>
    <w:rsid w:val="00D81410"/>
    <w:rsid w:val="00D815DD"/>
    <w:rsid w:val="00D816BE"/>
    <w:rsid w:val="00D81756"/>
    <w:rsid w:val="00D81774"/>
    <w:rsid w:val="00D81791"/>
    <w:rsid w:val="00D817D6"/>
    <w:rsid w:val="00D817DC"/>
    <w:rsid w:val="00D817EC"/>
    <w:rsid w:val="00D8187B"/>
    <w:rsid w:val="00D819CB"/>
    <w:rsid w:val="00D819FB"/>
    <w:rsid w:val="00D81AF0"/>
    <w:rsid w:val="00D81B90"/>
    <w:rsid w:val="00D81BC2"/>
    <w:rsid w:val="00D81BF6"/>
    <w:rsid w:val="00D81C30"/>
    <w:rsid w:val="00D81C84"/>
    <w:rsid w:val="00D81D4B"/>
    <w:rsid w:val="00D81D60"/>
    <w:rsid w:val="00D81D80"/>
    <w:rsid w:val="00D81E9C"/>
    <w:rsid w:val="00D81EDB"/>
    <w:rsid w:val="00D821F8"/>
    <w:rsid w:val="00D82225"/>
    <w:rsid w:val="00D82259"/>
    <w:rsid w:val="00D8225F"/>
    <w:rsid w:val="00D8234D"/>
    <w:rsid w:val="00D823A2"/>
    <w:rsid w:val="00D8245E"/>
    <w:rsid w:val="00D82526"/>
    <w:rsid w:val="00D8252D"/>
    <w:rsid w:val="00D8283C"/>
    <w:rsid w:val="00D82882"/>
    <w:rsid w:val="00D82A6D"/>
    <w:rsid w:val="00D82B14"/>
    <w:rsid w:val="00D82CFB"/>
    <w:rsid w:val="00D82D61"/>
    <w:rsid w:val="00D82D77"/>
    <w:rsid w:val="00D82DA4"/>
    <w:rsid w:val="00D82DB6"/>
    <w:rsid w:val="00D82E05"/>
    <w:rsid w:val="00D82E52"/>
    <w:rsid w:val="00D82F39"/>
    <w:rsid w:val="00D82FDB"/>
    <w:rsid w:val="00D830BF"/>
    <w:rsid w:val="00D831F9"/>
    <w:rsid w:val="00D8321F"/>
    <w:rsid w:val="00D83449"/>
    <w:rsid w:val="00D8347A"/>
    <w:rsid w:val="00D835CD"/>
    <w:rsid w:val="00D83607"/>
    <w:rsid w:val="00D836D0"/>
    <w:rsid w:val="00D83765"/>
    <w:rsid w:val="00D837BD"/>
    <w:rsid w:val="00D838CE"/>
    <w:rsid w:val="00D838DE"/>
    <w:rsid w:val="00D83932"/>
    <w:rsid w:val="00D8399C"/>
    <w:rsid w:val="00D8399E"/>
    <w:rsid w:val="00D83A16"/>
    <w:rsid w:val="00D83A40"/>
    <w:rsid w:val="00D83B0A"/>
    <w:rsid w:val="00D83BAD"/>
    <w:rsid w:val="00D83BB4"/>
    <w:rsid w:val="00D83BF6"/>
    <w:rsid w:val="00D83C4F"/>
    <w:rsid w:val="00D83E9E"/>
    <w:rsid w:val="00D83F07"/>
    <w:rsid w:val="00D83F7B"/>
    <w:rsid w:val="00D83F7E"/>
    <w:rsid w:val="00D840E9"/>
    <w:rsid w:val="00D84133"/>
    <w:rsid w:val="00D84255"/>
    <w:rsid w:val="00D844AD"/>
    <w:rsid w:val="00D84514"/>
    <w:rsid w:val="00D845BF"/>
    <w:rsid w:val="00D845C6"/>
    <w:rsid w:val="00D8475B"/>
    <w:rsid w:val="00D8482C"/>
    <w:rsid w:val="00D84899"/>
    <w:rsid w:val="00D84923"/>
    <w:rsid w:val="00D84A09"/>
    <w:rsid w:val="00D84A41"/>
    <w:rsid w:val="00D84C06"/>
    <w:rsid w:val="00D84C3B"/>
    <w:rsid w:val="00D84C58"/>
    <w:rsid w:val="00D84C68"/>
    <w:rsid w:val="00D84D08"/>
    <w:rsid w:val="00D84D0B"/>
    <w:rsid w:val="00D84D1E"/>
    <w:rsid w:val="00D84D63"/>
    <w:rsid w:val="00D84D91"/>
    <w:rsid w:val="00D84DA8"/>
    <w:rsid w:val="00D850D0"/>
    <w:rsid w:val="00D85150"/>
    <w:rsid w:val="00D85173"/>
    <w:rsid w:val="00D8524B"/>
    <w:rsid w:val="00D852EB"/>
    <w:rsid w:val="00D85329"/>
    <w:rsid w:val="00D8538D"/>
    <w:rsid w:val="00D853BB"/>
    <w:rsid w:val="00D854A1"/>
    <w:rsid w:val="00D85514"/>
    <w:rsid w:val="00D85556"/>
    <w:rsid w:val="00D85602"/>
    <w:rsid w:val="00D8567D"/>
    <w:rsid w:val="00D8568A"/>
    <w:rsid w:val="00D85740"/>
    <w:rsid w:val="00D85911"/>
    <w:rsid w:val="00D8594E"/>
    <w:rsid w:val="00D85A94"/>
    <w:rsid w:val="00D85A9E"/>
    <w:rsid w:val="00D85AE4"/>
    <w:rsid w:val="00D85B49"/>
    <w:rsid w:val="00D85B50"/>
    <w:rsid w:val="00D85B94"/>
    <w:rsid w:val="00D85C72"/>
    <w:rsid w:val="00D85C73"/>
    <w:rsid w:val="00D85D38"/>
    <w:rsid w:val="00D85D93"/>
    <w:rsid w:val="00D85DE5"/>
    <w:rsid w:val="00D85E43"/>
    <w:rsid w:val="00D85F0C"/>
    <w:rsid w:val="00D85FEE"/>
    <w:rsid w:val="00D86004"/>
    <w:rsid w:val="00D860A6"/>
    <w:rsid w:val="00D8624C"/>
    <w:rsid w:val="00D86303"/>
    <w:rsid w:val="00D863FA"/>
    <w:rsid w:val="00D86494"/>
    <w:rsid w:val="00D864D3"/>
    <w:rsid w:val="00D86717"/>
    <w:rsid w:val="00D8676D"/>
    <w:rsid w:val="00D86786"/>
    <w:rsid w:val="00D86A3F"/>
    <w:rsid w:val="00D86BE8"/>
    <w:rsid w:val="00D86C09"/>
    <w:rsid w:val="00D86C34"/>
    <w:rsid w:val="00D86C8C"/>
    <w:rsid w:val="00D86C99"/>
    <w:rsid w:val="00D86EE3"/>
    <w:rsid w:val="00D86F16"/>
    <w:rsid w:val="00D86F8F"/>
    <w:rsid w:val="00D86F99"/>
    <w:rsid w:val="00D86FB3"/>
    <w:rsid w:val="00D87017"/>
    <w:rsid w:val="00D87051"/>
    <w:rsid w:val="00D8707E"/>
    <w:rsid w:val="00D870AF"/>
    <w:rsid w:val="00D87125"/>
    <w:rsid w:val="00D87158"/>
    <w:rsid w:val="00D87181"/>
    <w:rsid w:val="00D871BF"/>
    <w:rsid w:val="00D872C5"/>
    <w:rsid w:val="00D87354"/>
    <w:rsid w:val="00D873BA"/>
    <w:rsid w:val="00D8743A"/>
    <w:rsid w:val="00D87477"/>
    <w:rsid w:val="00D874B0"/>
    <w:rsid w:val="00D875AF"/>
    <w:rsid w:val="00D8763F"/>
    <w:rsid w:val="00D877F3"/>
    <w:rsid w:val="00D878BC"/>
    <w:rsid w:val="00D87931"/>
    <w:rsid w:val="00D8794F"/>
    <w:rsid w:val="00D87B9E"/>
    <w:rsid w:val="00D87C47"/>
    <w:rsid w:val="00D87C69"/>
    <w:rsid w:val="00D87CFA"/>
    <w:rsid w:val="00D87D53"/>
    <w:rsid w:val="00D87DAD"/>
    <w:rsid w:val="00D87DE5"/>
    <w:rsid w:val="00D87F2A"/>
    <w:rsid w:val="00D87FAF"/>
    <w:rsid w:val="00D87FEB"/>
    <w:rsid w:val="00D90070"/>
    <w:rsid w:val="00D900C7"/>
    <w:rsid w:val="00D901E6"/>
    <w:rsid w:val="00D9026C"/>
    <w:rsid w:val="00D9028C"/>
    <w:rsid w:val="00D902FE"/>
    <w:rsid w:val="00D9030B"/>
    <w:rsid w:val="00D903A4"/>
    <w:rsid w:val="00D903A8"/>
    <w:rsid w:val="00D904D1"/>
    <w:rsid w:val="00D90547"/>
    <w:rsid w:val="00D905B9"/>
    <w:rsid w:val="00D90629"/>
    <w:rsid w:val="00D907BC"/>
    <w:rsid w:val="00D90812"/>
    <w:rsid w:val="00D90886"/>
    <w:rsid w:val="00D909E0"/>
    <w:rsid w:val="00D909EB"/>
    <w:rsid w:val="00D90B59"/>
    <w:rsid w:val="00D90CA8"/>
    <w:rsid w:val="00D90CF2"/>
    <w:rsid w:val="00D90ECD"/>
    <w:rsid w:val="00D90FA5"/>
    <w:rsid w:val="00D91024"/>
    <w:rsid w:val="00D91076"/>
    <w:rsid w:val="00D910AC"/>
    <w:rsid w:val="00D910E3"/>
    <w:rsid w:val="00D911DC"/>
    <w:rsid w:val="00D913D6"/>
    <w:rsid w:val="00D9142F"/>
    <w:rsid w:val="00D91495"/>
    <w:rsid w:val="00D915D5"/>
    <w:rsid w:val="00D91625"/>
    <w:rsid w:val="00D91805"/>
    <w:rsid w:val="00D91843"/>
    <w:rsid w:val="00D91924"/>
    <w:rsid w:val="00D91A2A"/>
    <w:rsid w:val="00D91DB7"/>
    <w:rsid w:val="00D91DC2"/>
    <w:rsid w:val="00D91DF8"/>
    <w:rsid w:val="00D91F4E"/>
    <w:rsid w:val="00D91F7F"/>
    <w:rsid w:val="00D920E0"/>
    <w:rsid w:val="00D92124"/>
    <w:rsid w:val="00D92136"/>
    <w:rsid w:val="00D9216D"/>
    <w:rsid w:val="00D9221B"/>
    <w:rsid w:val="00D9225C"/>
    <w:rsid w:val="00D922D8"/>
    <w:rsid w:val="00D923A1"/>
    <w:rsid w:val="00D9245A"/>
    <w:rsid w:val="00D92460"/>
    <w:rsid w:val="00D924CF"/>
    <w:rsid w:val="00D925F6"/>
    <w:rsid w:val="00D9264E"/>
    <w:rsid w:val="00D92939"/>
    <w:rsid w:val="00D9298A"/>
    <w:rsid w:val="00D92B2A"/>
    <w:rsid w:val="00D92B5E"/>
    <w:rsid w:val="00D92B82"/>
    <w:rsid w:val="00D92C3C"/>
    <w:rsid w:val="00D92CB3"/>
    <w:rsid w:val="00D92CE0"/>
    <w:rsid w:val="00D92ED2"/>
    <w:rsid w:val="00D92F23"/>
    <w:rsid w:val="00D9303E"/>
    <w:rsid w:val="00D930C3"/>
    <w:rsid w:val="00D93150"/>
    <w:rsid w:val="00D9323C"/>
    <w:rsid w:val="00D934C1"/>
    <w:rsid w:val="00D934EF"/>
    <w:rsid w:val="00D9358F"/>
    <w:rsid w:val="00D935AE"/>
    <w:rsid w:val="00D935B6"/>
    <w:rsid w:val="00D93648"/>
    <w:rsid w:val="00D93660"/>
    <w:rsid w:val="00D9366B"/>
    <w:rsid w:val="00D936E2"/>
    <w:rsid w:val="00D938EE"/>
    <w:rsid w:val="00D939D4"/>
    <w:rsid w:val="00D93A89"/>
    <w:rsid w:val="00D93A95"/>
    <w:rsid w:val="00D93ADE"/>
    <w:rsid w:val="00D93B52"/>
    <w:rsid w:val="00D93BC3"/>
    <w:rsid w:val="00D93C32"/>
    <w:rsid w:val="00D93C8F"/>
    <w:rsid w:val="00D93CDC"/>
    <w:rsid w:val="00D93D6D"/>
    <w:rsid w:val="00D93E52"/>
    <w:rsid w:val="00D93EA6"/>
    <w:rsid w:val="00D93EC5"/>
    <w:rsid w:val="00D94027"/>
    <w:rsid w:val="00D940E6"/>
    <w:rsid w:val="00D943C3"/>
    <w:rsid w:val="00D9450F"/>
    <w:rsid w:val="00D945AD"/>
    <w:rsid w:val="00D945C5"/>
    <w:rsid w:val="00D94636"/>
    <w:rsid w:val="00D94725"/>
    <w:rsid w:val="00D94763"/>
    <w:rsid w:val="00D94774"/>
    <w:rsid w:val="00D947AF"/>
    <w:rsid w:val="00D948B3"/>
    <w:rsid w:val="00D94990"/>
    <w:rsid w:val="00D949D0"/>
    <w:rsid w:val="00D94A6A"/>
    <w:rsid w:val="00D94AF1"/>
    <w:rsid w:val="00D94B52"/>
    <w:rsid w:val="00D94C1C"/>
    <w:rsid w:val="00D94DD8"/>
    <w:rsid w:val="00D94E45"/>
    <w:rsid w:val="00D94F1C"/>
    <w:rsid w:val="00D94F4E"/>
    <w:rsid w:val="00D94F82"/>
    <w:rsid w:val="00D94FE1"/>
    <w:rsid w:val="00D950FF"/>
    <w:rsid w:val="00D9512C"/>
    <w:rsid w:val="00D95309"/>
    <w:rsid w:val="00D9530A"/>
    <w:rsid w:val="00D95411"/>
    <w:rsid w:val="00D954AD"/>
    <w:rsid w:val="00D954FE"/>
    <w:rsid w:val="00D9552C"/>
    <w:rsid w:val="00D95615"/>
    <w:rsid w:val="00D95687"/>
    <w:rsid w:val="00D956A0"/>
    <w:rsid w:val="00D95727"/>
    <w:rsid w:val="00D9575F"/>
    <w:rsid w:val="00D95778"/>
    <w:rsid w:val="00D958D6"/>
    <w:rsid w:val="00D9592F"/>
    <w:rsid w:val="00D95A89"/>
    <w:rsid w:val="00D95ACB"/>
    <w:rsid w:val="00D95AF3"/>
    <w:rsid w:val="00D95B6C"/>
    <w:rsid w:val="00D95B96"/>
    <w:rsid w:val="00D95D2C"/>
    <w:rsid w:val="00D95EE7"/>
    <w:rsid w:val="00D95EFA"/>
    <w:rsid w:val="00D95F60"/>
    <w:rsid w:val="00D95FE2"/>
    <w:rsid w:val="00D96038"/>
    <w:rsid w:val="00D960DF"/>
    <w:rsid w:val="00D96127"/>
    <w:rsid w:val="00D961B5"/>
    <w:rsid w:val="00D9622F"/>
    <w:rsid w:val="00D9624C"/>
    <w:rsid w:val="00D962EB"/>
    <w:rsid w:val="00D962F2"/>
    <w:rsid w:val="00D9641B"/>
    <w:rsid w:val="00D96560"/>
    <w:rsid w:val="00D966FA"/>
    <w:rsid w:val="00D9676F"/>
    <w:rsid w:val="00D96796"/>
    <w:rsid w:val="00D967B9"/>
    <w:rsid w:val="00D967BA"/>
    <w:rsid w:val="00D968F4"/>
    <w:rsid w:val="00D96950"/>
    <w:rsid w:val="00D96A26"/>
    <w:rsid w:val="00D96BA0"/>
    <w:rsid w:val="00D96C51"/>
    <w:rsid w:val="00D96C7A"/>
    <w:rsid w:val="00D96D3A"/>
    <w:rsid w:val="00D96D7A"/>
    <w:rsid w:val="00D96E4A"/>
    <w:rsid w:val="00D96EDB"/>
    <w:rsid w:val="00D96F0F"/>
    <w:rsid w:val="00D96F11"/>
    <w:rsid w:val="00D96FEF"/>
    <w:rsid w:val="00D97046"/>
    <w:rsid w:val="00D972CC"/>
    <w:rsid w:val="00D972F2"/>
    <w:rsid w:val="00D97369"/>
    <w:rsid w:val="00D9737C"/>
    <w:rsid w:val="00D9737F"/>
    <w:rsid w:val="00D9747B"/>
    <w:rsid w:val="00D976AD"/>
    <w:rsid w:val="00D976BD"/>
    <w:rsid w:val="00D9773D"/>
    <w:rsid w:val="00D978A1"/>
    <w:rsid w:val="00D978E9"/>
    <w:rsid w:val="00D978FF"/>
    <w:rsid w:val="00D97A1C"/>
    <w:rsid w:val="00D97A96"/>
    <w:rsid w:val="00D97ADA"/>
    <w:rsid w:val="00D97B83"/>
    <w:rsid w:val="00D97DF8"/>
    <w:rsid w:val="00D97F1D"/>
    <w:rsid w:val="00D97F40"/>
    <w:rsid w:val="00D97FBF"/>
    <w:rsid w:val="00D97FEE"/>
    <w:rsid w:val="00DA013A"/>
    <w:rsid w:val="00DA0206"/>
    <w:rsid w:val="00DA02C8"/>
    <w:rsid w:val="00DA041C"/>
    <w:rsid w:val="00DA042E"/>
    <w:rsid w:val="00DA047D"/>
    <w:rsid w:val="00DA055A"/>
    <w:rsid w:val="00DA0707"/>
    <w:rsid w:val="00DA070E"/>
    <w:rsid w:val="00DA0767"/>
    <w:rsid w:val="00DA077F"/>
    <w:rsid w:val="00DA07D4"/>
    <w:rsid w:val="00DA0911"/>
    <w:rsid w:val="00DA096C"/>
    <w:rsid w:val="00DA09C8"/>
    <w:rsid w:val="00DA09DC"/>
    <w:rsid w:val="00DA0A00"/>
    <w:rsid w:val="00DA0A1F"/>
    <w:rsid w:val="00DA0B82"/>
    <w:rsid w:val="00DA0B86"/>
    <w:rsid w:val="00DA0BAC"/>
    <w:rsid w:val="00DA0C6D"/>
    <w:rsid w:val="00DA0CD9"/>
    <w:rsid w:val="00DA0D30"/>
    <w:rsid w:val="00DA0E02"/>
    <w:rsid w:val="00DA0FAF"/>
    <w:rsid w:val="00DA102E"/>
    <w:rsid w:val="00DA1083"/>
    <w:rsid w:val="00DA1192"/>
    <w:rsid w:val="00DA12A3"/>
    <w:rsid w:val="00DA1331"/>
    <w:rsid w:val="00DA1375"/>
    <w:rsid w:val="00DA1532"/>
    <w:rsid w:val="00DA1535"/>
    <w:rsid w:val="00DA15DF"/>
    <w:rsid w:val="00DA165A"/>
    <w:rsid w:val="00DA178A"/>
    <w:rsid w:val="00DA1822"/>
    <w:rsid w:val="00DA1925"/>
    <w:rsid w:val="00DA1977"/>
    <w:rsid w:val="00DA1A00"/>
    <w:rsid w:val="00DA1A2E"/>
    <w:rsid w:val="00DA1A62"/>
    <w:rsid w:val="00DA1ADA"/>
    <w:rsid w:val="00DA1AE4"/>
    <w:rsid w:val="00DA1BD8"/>
    <w:rsid w:val="00DA1D86"/>
    <w:rsid w:val="00DA1DDF"/>
    <w:rsid w:val="00DA1E0D"/>
    <w:rsid w:val="00DA1E50"/>
    <w:rsid w:val="00DA1EF4"/>
    <w:rsid w:val="00DA1F1B"/>
    <w:rsid w:val="00DA1F2E"/>
    <w:rsid w:val="00DA209A"/>
    <w:rsid w:val="00DA20E7"/>
    <w:rsid w:val="00DA2108"/>
    <w:rsid w:val="00DA2156"/>
    <w:rsid w:val="00DA2157"/>
    <w:rsid w:val="00DA2174"/>
    <w:rsid w:val="00DA2278"/>
    <w:rsid w:val="00DA23CE"/>
    <w:rsid w:val="00DA2406"/>
    <w:rsid w:val="00DA2465"/>
    <w:rsid w:val="00DA24A8"/>
    <w:rsid w:val="00DA24B4"/>
    <w:rsid w:val="00DA2526"/>
    <w:rsid w:val="00DA2535"/>
    <w:rsid w:val="00DA2539"/>
    <w:rsid w:val="00DA254D"/>
    <w:rsid w:val="00DA2592"/>
    <w:rsid w:val="00DA25E3"/>
    <w:rsid w:val="00DA262E"/>
    <w:rsid w:val="00DA26D0"/>
    <w:rsid w:val="00DA27A6"/>
    <w:rsid w:val="00DA27D0"/>
    <w:rsid w:val="00DA27E8"/>
    <w:rsid w:val="00DA28A1"/>
    <w:rsid w:val="00DA29A1"/>
    <w:rsid w:val="00DA2B3C"/>
    <w:rsid w:val="00DA2B9D"/>
    <w:rsid w:val="00DA2C87"/>
    <w:rsid w:val="00DA2DE9"/>
    <w:rsid w:val="00DA2DF5"/>
    <w:rsid w:val="00DA2DFC"/>
    <w:rsid w:val="00DA2E2F"/>
    <w:rsid w:val="00DA2E61"/>
    <w:rsid w:val="00DA2FD6"/>
    <w:rsid w:val="00DA2FE2"/>
    <w:rsid w:val="00DA2FED"/>
    <w:rsid w:val="00DA308C"/>
    <w:rsid w:val="00DA30A9"/>
    <w:rsid w:val="00DA316F"/>
    <w:rsid w:val="00DA31A6"/>
    <w:rsid w:val="00DA3238"/>
    <w:rsid w:val="00DA3297"/>
    <w:rsid w:val="00DA332D"/>
    <w:rsid w:val="00DA33EB"/>
    <w:rsid w:val="00DA3445"/>
    <w:rsid w:val="00DA3449"/>
    <w:rsid w:val="00DA3482"/>
    <w:rsid w:val="00DA34FF"/>
    <w:rsid w:val="00DA3503"/>
    <w:rsid w:val="00DA358D"/>
    <w:rsid w:val="00DA37C7"/>
    <w:rsid w:val="00DA380E"/>
    <w:rsid w:val="00DA3A6D"/>
    <w:rsid w:val="00DA3AC9"/>
    <w:rsid w:val="00DA3BDF"/>
    <w:rsid w:val="00DA3BF1"/>
    <w:rsid w:val="00DA3C40"/>
    <w:rsid w:val="00DA3C42"/>
    <w:rsid w:val="00DA3C81"/>
    <w:rsid w:val="00DA3C97"/>
    <w:rsid w:val="00DA3CFF"/>
    <w:rsid w:val="00DA3D16"/>
    <w:rsid w:val="00DA3DD8"/>
    <w:rsid w:val="00DA3E28"/>
    <w:rsid w:val="00DA3F1A"/>
    <w:rsid w:val="00DA3FAD"/>
    <w:rsid w:val="00DA4026"/>
    <w:rsid w:val="00DA40E3"/>
    <w:rsid w:val="00DA4148"/>
    <w:rsid w:val="00DA4163"/>
    <w:rsid w:val="00DA417D"/>
    <w:rsid w:val="00DA418B"/>
    <w:rsid w:val="00DA4198"/>
    <w:rsid w:val="00DA42EB"/>
    <w:rsid w:val="00DA4448"/>
    <w:rsid w:val="00DA4480"/>
    <w:rsid w:val="00DA44E5"/>
    <w:rsid w:val="00DA44FC"/>
    <w:rsid w:val="00DA469C"/>
    <w:rsid w:val="00DA46B6"/>
    <w:rsid w:val="00DA46B8"/>
    <w:rsid w:val="00DA46F4"/>
    <w:rsid w:val="00DA471C"/>
    <w:rsid w:val="00DA4943"/>
    <w:rsid w:val="00DA4A69"/>
    <w:rsid w:val="00DA4AA5"/>
    <w:rsid w:val="00DA4AB3"/>
    <w:rsid w:val="00DA4AD6"/>
    <w:rsid w:val="00DA4B34"/>
    <w:rsid w:val="00DA4CF2"/>
    <w:rsid w:val="00DA4D16"/>
    <w:rsid w:val="00DA4D6A"/>
    <w:rsid w:val="00DA4DC0"/>
    <w:rsid w:val="00DA4DD9"/>
    <w:rsid w:val="00DA4E53"/>
    <w:rsid w:val="00DA4E77"/>
    <w:rsid w:val="00DA4F48"/>
    <w:rsid w:val="00DA4F5A"/>
    <w:rsid w:val="00DA4FB2"/>
    <w:rsid w:val="00DA5011"/>
    <w:rsid w:val="00DA507B"/>
    <w:rsid w:val="00DA50EA"/>
    <w:rsid w:val="00DA516D"/>
    <w:rsid w:val="00DA5398"/>
    <w:rsid w:val="00DA53B6"/>
    <w:rsid w:val="00DA53C8"/>
    <w:rsid w:val="00DA5455"/>
    <w:rsid w:val="00DA55E7"/>
    <w:rsid w:val="00DA5659"/>
    <w:rsid w:val="00DA5694"/>
    <w:rsid w:val="00DA56E0"/>
    <w:rsid w:val="00DA577E"/>
    <w:rsid w:val="00DA5826"/>
    <w:rsid w:val="00DA5872"/>
    <w:rsid w:val="00DA58E5"/>
    <w:rsid w:val="00DA59B6"/>
    <w:rsid w:val="00DA5A70"/>
    <w:rsid w:val="00DA5AEF"/>
    <w:rsid w:val="00DA5B33"/>
    <w:rsid w:val="00DA5D01"/>
    <w:rsid w:val="00DA5E11"/>
    <w:rsid w:val="00DA5EE0"/>
    <w:rsid w:val="00DA5FFF"/>
    <w:rsid w:val="00DA600D"/>
    <w:rsid w:val="00DA602C"/>
    <w:rsid w:val="00DA6071"/>
    <w:rsid w:val="00DA6084"/>
    <w:rsid w:val="00DA6204"/>
    <w:rsid w:val="00DA6217"/>
    <w:rsid w:val="00DA62CC"/>
    <w:rsid w:val="00DA6395"/>
    <w:rsid w:val="00DA657D"/>
    <w:rsid w:val="00DA662F"/>
    <w:rsid w:val="00DA684C"/>
    <w:rsid w:val="00DA6871"/>
    <w:rsid w:val="00DA68E4"/>
    <w:rsid w:val="00DA68FC"/>
    <w:rsid w:val="00DA6912"/>
    <w:rsid w:val="00DA6BFE"/>
    <w:rsid w:val="00DA6C25"/>
    <w:rsid w:val="00DA6D5A"/>
    <w:rsid w:val="00DA6D66"/>
    <w:rsid w:val="00DA6F1F"/>
    <w:rsid w:val="00DA6FCB"/>
    <w:rsid w:val="00DA7038"/>
    <w:rsid w:val="00DA7052"/>
    <w:rsid w:val="00DA7055"/>
    <w:rsid w:val="00DA708B"/>
    <w:rsid w:val="00DA70AF"/>
    <w:rsid w:val="00DA710C"/>
    <w:rsid w:val="00DA7254"/>
    <w:rsid w:val="00DA72D4"/>
    <w:rsid w:val="00DA7390"/>
    <w:rsid w:val="00DA73A0"/>
    <w:rsid w:val="00DA74B9"/>
    <w:rsid w:val="00DA774A"/>
    <w:rsid w:val="00DA77D5"/>
    <w:rsid w:val="00DA7931"/>
    <w:rsid w:val="00DA796E"/>
    <w:rsid w:val="00DA79C5"/>
    <w:rsid w:val="00DA7ABF"/>
    <w:rsid w:val="00DA7B92"/>
    <w:rsid w:val="00DA7C7D"/>
    <w:rsid w:val="00DA7D05"/>
    <w:rsid w:val="00DA7D31"/>
    <w:rsid w:val="00DA7EB4"/>
    <w:rsid w:val="00DA7EF9"/>
    <w:rsid w:val="00DA7F1A"/>
    <w:rsid w:val="00DB0053"/>
    <w:rsid w:val="00DB0116"/>
    <w:rsid w:val="00DB01EF"/>
    <w:rsid w:val="00DB027B"/>
    <w:rsid w:val="00DB029A"/>
    <w:rsid w:val="00DB02E4"/>
    <w:rsid w:val="00DB0307"/>
    <w:rsid w:val="00DB03AA"/>
    <w:rsid w:val="00DB0498"/>
    <w:rsid w:val="00DB04A1"/>
    <w:rsid w:val="00DB0594"/>
    <w:rsid w:val="00DB05BE"/>
    <w:rsid w:val="00DB05E1"/>
    <w:rsid w:val="00DB05ED"/>
    <w:rsid w:val="00DB05F5"/>
    <w:rsid w:val="00DB06E8"/>
    <w:rsid w:val="00DB07D4"/>
    <w:rsid w:val="00DB08D8"/>
    <w:rsid w:val="00DB0993"/>
    <w:rsid w:val="00DB0BC9"/>
    <w:rsid w:val="00DB0C39"/>
    <w:rsid w:val="00DB0C9F"/>
    <w:rsid w:val="00DB0D0D"/>
    <w:rsid w:val="00DB0D0F"/>
    <w:rsid w:val="00DB0F63"/>
    <w:rsid w:val="00DB102D"/>
    <w:rsid w:val="00DB110F"/>
    <w:rsid w:val="00DB1120"/>
    <w:rsid w:val="00DB12AD"/>
    <w:rsid w:val="00DB1330"/>
    <w:rsid w:val="00DB14A2"/>
    <w:rsid w:val="00DB14E2"/>
    <w:rsid w:val="00DB1544"/>
    <w:rsid w:val="00DB15AD"/>
    <w:rsid w:val="00DB161F"/>
    <w:rsid w:val="00DB165C"/>
    <w:rsid w:val="00DB16F9"/>
    <w:rsid w:val="00DB1A09"/>
    <w:rsid w:val="00DB1A5E"/>
    <w:rsid w:val="00DB1AD9"/>
    <w:rsid w:val="00DB1B02"/>
    <w:rsid w:val="00DB1B10"/>
    <w:rsid w:val="00DB1BE7"/>
    <w:rsid w:val="00DB1C28"/>
    <w:rsid w:val="00DB1C3C"/>
    <w:rsid w:val="00DB1D08"/>
    <w:rsid w:val="00DB1DA0"/>
    <w:rsid w:val="00DB1E00"/>
    <w:rsid w:val="00DB1E70"/>
    <w:rsid w:val="00DB1ECC"/>
    <w:rsid w:val="00DB1F71"/>
    <w:rsid w:val="00DB1FE7"/>
    <w:rsid w:val="00DB202E"/>
    <w:rsid w:val="00DB20B0"/>
    <w:rsid w:val="00DB20B9"/>
    <w:rsid w:val="00DB20E1"/>
    <w:rsid w:val="00DB219C"/>
    <w:rsid w:val="00DB2209"/>
    <w:rsid w:val="00DB2245"/>
    <w:rsid w:val="00DB22EA"/>
    <w:rsid w:val="00DB23A5"/>
    <w:rsid w:val="00DB23D4"/>
    <w:rsid w:val="00DB23F2"/>
    <w:rsid w:val="00DB2445"/>
    <w:rsid w:val="00DB24E1"/>
    <w:rsid w:val="00DB2502"/>
    <w:rsid w:val="00DB2652"/>
    <w:rsid w:val="00DB2764"/>
    <w:rsid w:val="00DB27E3"/>
    <w:rsid w:val="00DB2853"/>
    <w:rsid w:val="00DB28E9"/>
    <w:rsid w:val="00DB2921"/>
    <w:rsid w:val="00DB297C"/>
    <w:rsid w:val="00DB2A2F"/>
    <w:rsid w:val="00DB2B81"/>
    <w:rsid w:val="00DB2BA5"/>
    <w:rsid w:val="00DB2C65"/>
    <w:rsid w:val="00DB2CAC"/>
    <w:rsid w:val="00DB2CEA"/>
    <w:rsid w:val="00DB2D79"/>
    <w:rsid w:val="00DB2E62"/>
    <w:rsid w:val="00DB2EDE"/>
    <w:rsid w:val="00DB3010"/>
    <w:rsid w:val="00DB30F8"/>
    <w:rsid w:val="00DB30FE"/>
    <w:rsid w:val="00DB314E"/>
    <w:rsid w:val="00DB316E"/>
    <w:rsid w:val="00DB3361"/>
    <w:rsid w:val="00DB3371"/>
    <w:rsid w:val="00DB3382"/>
    <w:rsid w:val="00DB3494"/>
    <w:rsid w:val="00DB353C"/>
    <w:rsid w:val="00DB355F"/>
    <w:rsid w:val="00DB3566"/>
    <w:rsid w:val="00DB35E2"/>
    <w:rsid w:val="00DB3685"/>
    <w:rsid w:val="00DB3702"/>
    <w:rsid w:val="00DB374B"/>
    <w:rsid w:val="00DB37AF"/>
    <w:rsid w:val="00DB3851"/>
    <w:rsid w:val="00DB3874"/>
    <w:rsid w:val="00DB38BC"/>
    <w:rsid w:val="00DB38C4"/>
    <w:rsid w:val="00DB393D"/>
    <w:rsid w:val="00DB3943"/>
    <w:rsid w:val="00DB3A36"/>
    <w:rsid w:val="00DB3B0A"/>
    <w:rsid w:val="00DB3B23"/>
    <w:rsid w:val="00DB3BC4"/>
    <w:rsid w:val="00DB3C6C"/>
    <w:rsid w:val="00DB3CBA"/>
    <w:rsid w:val="00DB3DA4"/>
    <w:rsid w:val="00DB4024"/>
    <w:rsid w:val="00DB405E"/>
    <w:rsid w:val="00DB4114"/>
    <w:rsid w:val="00DB4181"/>
    <w:rsid w:val="00DB431A"/>
    <w:rsid w:val="00DB4362"/>
    <w:rsid w:val="00DB438A"/>
    <w:rsid w:val="00DB4577"/>
    <w:rsid w:val="00DB45A7"/>
    <w:rsid w:val="00DB4607"/>
    <w:rsid w:val="00DB4802"/>
    <w:rsid w:val="00DB488C"/>
    <w:rsid w:val="00DB48BE"/>
    <w:rsid w:val="00DB49F2"/>
    <w:rsid w:val="00DB4A00"/>
    <w:rsid w:val="00DB4A32"/>
    <w:rsid w:val="00DB4A77"/>
    <w:rsid w:val="00DB4AD9"/>
    <w:rsid w:val="00DB4C80"/>
    <w:rsid w:val="00DB4D00"/>
    <w:rsid w:val="00DB4D0F"/>
    <w:rsid w:val="00DB4DEA"/>
    <w:rsid w:val="00DB4F3D"/>
    <w:rsid w:val="00DB4FB0"/>
    <w:rsid w:val="00DB5014"/>
    <w:rsid w:val="00DB50B3"/>
    <w:rsid w:val="00DB5118"/>
    <w:rsid w:val="00DB5213"/>
    <w:rsid w:val="00DB5346"/>
    <w:rsid w:val="00DB5489"/>
    <w:rsid w:val="00DB54E5"/>
    <w:rsid w:val="00DB55EC"/>
    <w:rsid w:val="00DB56A1"/>
    <w:rsid w:val="00DB56DD"/>
    <w:rsid w:val="00DB571C"/>
    <w:rsid w:val="00DB5769"/>
    <w:rsid w:val="00DB580D"/>
    <w:rsid w:val="00DB585B"/>
    <w:rsid w:val="00DB5881"/>
    <w:rsid w:val="00DB594C"/>
    <w:rsid w:val="00DB5952"/>
    <w:rsid w:val="00DB596B"/>
    <w:rsid w:val="00DB5A6B"/>
    <w:rsid w:val="00DB5BE4"/>
    <w:rsid w:val="00DB5C9C"/>
    <w:rsid w:val="00DB5CB7"/>
    <w:rsid w:val="00DB5CD2"/>
    <w:rsid w:val="00DB5E7B"/>
    <w:rsid w:val="00DB5E84"/>
    <w:rsid w:val="00DB5E86"/>
    <w:rsid w:val="00DB5FC7"/>
    <w:rsid w:val="00DB607C"/>
    <w:rsid w:val="00DB60B0"/>
    <w:rsid w:val="00DB60DF"/>
    <w:rsid w:val="00DB60F7"/>
    <w:rsid w:val="00DB6163"/>
    <w:rsid w:val="00DB6170"/>
    <w:rsid w:val="00DB61D0"/>
    <w:rsid w:val="00DB61EC"/>
    <w:rsid w:val="00DB6480"/>
    <w:rsid w:val="00DB64B6"/>
    <w:rsid w:val="00DB64BF"/>
    <w:rsid w:val="00DB6550"/>
    <w:rsid w:val="00DB65CD"/>
    <w:rsid w:val="00DB660B"/>
    <w:rsid w:val="00DB6636"/>
    <w:rsid w:val="00DB667B"/>
    <w:rsid w:val="00DB66EB"/>
    <w:rsid w:val="00DB6748"/>
    <w:rsid w:val="00DB686A"/>
    <w:rsid w:val="00DB6963"/>
    <w:rsid w:val="00DB699D"/>
    <w:rsid w:val="00DB6AB0"/>
    <w:rsid w:val="00DB6AEF"/>
    <w:rsid w:val="00DB6B5F"/>
    <w:rsid w:val="00DB6BE9"/>
    <w:rsid w:val="00DB6C12"/>
    <w:rsid w:val="00DB6C2D"/>
    <w:rsid w:val="00DB6CD2"/>
    <w:rsid w:val="00DB6DAB"/>
    <w:rsid w:val="00DB6DFC"/>
    <w:rsid w:val="00DB6E0A"/>
    <w:rsid w:val="00DB6E86"/>
    <w:rsid w:val="00DB6E96"/>
    <w:rsid w:val="00DB70C5"/>
    <w:rsid w:val="00DB7158"/>
    <w:rsid w:val="00DB7208"/>
    <w:rsid w:val="00DB730B"/>
    <w:rsid w:val="00DB73CA"/>
    <w:rsid w:val="00DB73CF"/>
    <w:rsid w:val="00DB73E8"/>
    <w:rsid w:val="00DB7449"/>
    <w:rsid w:val="00DB74FF"/>
    <w:rsid w:val="00DB7557"/>
    <w:rsid w:val="00DB7611"/>
    <w:rsid w:val="00DB7619"/>
    <w:rsid w:val="00DB7687"/>
    <w:rsid w:val="00DB794D"/>
    <w:rsid w:val="00DB7971"/>
    <w:rsid w:val="00DB7A60"/>
    <w:rsid w:val="00DB7AA2"/>
    <w:rsid w:val="00DB7C13"/>
    <w:rsid w:val="00DB7DC0"/>
    <w:rsid w:val="00DB7DE4"/>
    <w:rsid w:val="00DB7E69"/>
    <w:rsid w:val="00DB7FD9"/>
    <w:rsid w:val="00DC004C"/>
    <w:rsid w:val="00DC00F1"/>
    <w:rsid w:val="00DC01D0"/>
    <w:rsid w:val="00DC0292"/>
    <w:rsid w:val="00DC02A9"/>
    <w:rsid w:val="00DC032A"/>
    <w:rsid w:val="00DC039D"/>
    <w:rsid w:val="00DC03E1"/>
    <w:rsid w:val="00DC0554"/>
    <w:rsid w:val="00DC055F"/>
    <w:rsid w:val="00DC05D2"/>
    <w:rsid w:val="00DC0600"/>
    <w:rsid w:val="00DC064C"/>
    <w:rsid w:val="00DC068F"/>
    <w:rsid w:val="00DC082E"/>
    <w:rsid w:val="00DC083D"/>
    <w:rsid w:val="00DC08A0"/>
    <w:rsid w:val="00DC09B3"/>
    <w:rsid w:val="00DC09C6"/>
    <w:rsid w:val="00DC0BCF"/>
    <w:rsid w:val="00DC0CFE"/>
    <w:rsid w:val="00DC0F19"/>
    <w:rsid w:val="00DC0F65"/>
    <w:rsid w:val="00DC1073"/>
    <w:rsid w:val="00DC1109"/>
    <w:rsid w:val="00DC110E"/>
    <w:rsid w:val="00DC1302"/>
    <w:rsid w:val="00DC1312"/>
    <w:rsid w:val="00DC134D"/>
    <w:rsid w:val="00DC147D"/>
    <w:rsid w:val="00DC14EE"/>
    <w:rsid w:val="00DC14F8"/>
    <w:rsid w:val="00DC157E"/>
    <w:rsid w:val="00DC157F"/>
    <w:rsid w:val="00DC15DE"/>
    <w:rsid w:val="00DC1600"/>
    <w:rsid w:val="00DC1605"/>
    <w:rsid w:val="00DC16F6"/>
    <w:rsid w:val="00DC17E4"/>
    <w:rsid w:val="00DC17F2"/>
    <w:rsid w:val="00DC185F"/>
    <w:rsid w:val="00DC1879"/>
    <w:rsid w:val="00DC1988"/>
    <w:rsid w:val="00DC19E4"/>
    <w:rsid w:val="00DC19F8"/>
    <w:rsid w:val="00DC1A37"/>
    <w:rsid w:val="00DC1B11"/>
    <w:rsid w:val="00DC1C0C"/>
    <w:rsid w:val="00DC1C18"/>
    <w:rsid w:val="00DC1CEB"/>
    <w:rsid w:val="00DC1D91"/>
    <w:rsid w:val="00DC1DCA"/>
    <w:rsid w:val="00DC1DEF"/>
    <w:rsid w:val="00DC1F51"/>
    <w:rsid w:val="00DC1F53"/>
    <w:rsid w:val="00DC203C"/>
    <w:rsid w:val="00DC20E9"/>
    <w:rsid w:val="00DC2110"/>
    <w:rsid w:val="00DC211C"/>
    <w:rsid w:val="00DC216F"/>
    <w:rsid w:val="00DC221C"/>
    <w:rsid w:val="00DC2236"/>
    <w:rsid w:val="00DC224C"/>
    <w:rsid w:val="00DC2264"/>
    <w:rsid w:val="00DC22E4"/>
    <w:rsid w:val="00DC242D"/>
    <w:rsid w:val="00DC24F3"/>
    <w:rsid w:val="00DC2551"/>
    <w:rsid w:val="00DC2636"/>
    <w:rsid w:val="00DC2665"/>
    <w:rsid w:val="00DC26F8"/>
    <w:rsid w:val="00DC280F"/>
    <w:rsid w:val="00DC28C6"/>
    <w:rsid w:val="00DC2AB3"/>
    <w:rsid w:val="00DC2BFC"/>
    <w:rsid w:val="00DC2C1C"/>
    <w:rsid w:val="00DC2CAF"/>
    <w:rsid w:val="00DC2F05"/>
    <w:rsid w:val="00DC2F0B"/>
    <w:rsid w:val="00DC2F30"/>
    <w:rsid w:val="00DC3060"/>
    <w:rsid w:val="00DC318F"/>
    <w:rsid w:val="00DC3192"/>
    <w:rsid w:val="00DC322E"/>
    <w:rsid w:val="00DC32B3"/>
    <w:rsid w:val="00DC32F5"/>
    <w:rsid w:val="00DC334E"/>
    <w:rsid w:val="00DC33F3"/>
    <w:rsid w:val="00DC343B"/>
    <w:rsid w:val="00DC346C"/>
    <w:rsid w:val="00DC346E"/>
    <w:rsid w:val="00DC34DD"/>
    <w:rsid w:val="00DC34F2"/>
    <w:rsid w:val="00DC3500"/>
    <w:rsid w:val="00DC364D"/>
    <w:rsid w:val="00DC3731"/>
    <w:rsid w:val="00DC379D"/>
    <w:rsid w:val="00DC37C7"/>
    <w:rsid w:val="00DC3815"/>
    <w:rsid w:val="00DC3852"/>
    <w:rsid w:val="00DC38A2"/>
    <w:rsid w:val="00DC38EE"/>
    <w:rsid w:val="00DC3917"/>
    <w:rsid w:val="00DC3933"/>
    <w:rsid w:val="00DC39A3"/>
    <w:rsid w:val="00DC3B5C"/>
    <w:rsid w:val="00DC3B64"/>
    <w:rsid w:val="00DC3B81"/>
    <w:rsid w:val="00DC3C25"/>
    <w:rsid w:val="00DC3D59"/>
    <w:rsid w:val="00DC3D7A"/>
    <w:rsid w:val="00DC3E3D"/>
    <w:rsid w:val="00DC3E96"/>
    <w:rsid w:val="00DC3F40"/>
    <w:rsid w:val="00DC3F43"/>
    <w:rsid w:val="00DC3F63"/>
    <w:rsid w:val="00DC40C8"/>
    <w:rsid w:val="00DC421B"/>
    <w:rsid w:val="00DC422E"/>
    <w:rsid w:val="00DC429F"/>
    <w:rsid w:val="00DC4360"/>
    <w:rsid w:val="00DC4427"/>
    <w:rsid w:val="00DC4447"/>
    <w:rsid w:val="00DC451C"/>
    <w:rsid w:val="00DC4566"/>
    <w:rsid w:val="00DC4580"/>
    <w:rsid w:val="00DC4595"/>
    <w:rsid w:val="00DC4598"/>
    <w:rsid w:val="00DC45AD"/>
    <w:rsid w:val="00DC4610"/>
    <w:rsid w:val="00DC46A2"/>
    <w:rsid w:val="00DC47DF"/>
    <w:rsid w:val="00DC486E"/>
    <w:rsid w:val="00DC498D"/>
    <w:rsid w:val="00DC49FF"/>
    <w:rsid w:val="00DC4A79"/>
    <w:rsid w:val="00DC4B60"/>
    <w:rsid w:val="00DC4BBF"/>
    <w:rsid w:val="00DC4CAC"/>
    <w:rsid w:val="00DC4DC8"/>
    <w:rsid w:val="00DC4DF3"/>
    <w:rsid w:val="00DC4E25"/>
    <w:rsid w:val="00DC4E9F"/>
    <w:rsid w:val="00DC4ED4"/>
    <w:rsid w:val="00DC4EE7"/>
    <w:rsid w:val="00DC4FAC"/>
    <w:rsid w:val="00DC4FC9"/>
    <w:rsid w:val="00DC52AA"/>
    <w:rsid w:val="00DC5373"/>
    <w:rsid w:val="00DC53BB"/>
    <w:rsid w:val="00DC5404"/>
    <w:rsid w:val="00DC55CD"/>
    <w:rsid w:val="00DC55E9"/>
    <w:rsid w:val="00DC57CE"/>
    <w:rsid w:val="00DC58A3"/>
    <w:rsid w:val="00DC5904"/>
    <w:rsid w:val="00DC5A3C"/>
    <w:rsid w:val="00DC5A52"/>
    <w:rsid w:val="00DC5B36"/>
    <w:rsid w:val="00DC5B48"/>
    <w:rsid w:val="00DC5B73"/>
    <w:rsid w:val="00DC5BA1"/>
    <w:rsid w:val="00DC5C30"/>
    <w:rsid w:val="00DC5D58"/>
    <w:rsid w:val="00DC5D70"/>
    <w:rsid w:val="00DC5DA8"/>
    <w:rsid w:val="00DC5DCC"/>
    <w:rsid w:val="00DC5E42"/>
    <w:rsid w:val="00DC5E47"/>
    <w:rsid w:val="00DC5E8B"/>
    <w:rsid w:val="00DC5FDA"/>
    <w:rsid w:val="00DC605A"/>
    <w:rsid w:val="00DC6069"/>
    <w:rsid w:val="00DC60F7"/>
    <w:rsid w:val="00DC610B"/>
    <w:rsid w:val="00DC612D"/>
    <w:rsid w:val="00DC6215"/>
    <w:rsid w:val="00DC6225"/>
    <w:rsid w:val="00DC6311"/>
    <w:rsid w:val="00DC647F"/>
    <w:rsid w:val="00DC653D"/>
    <w:rsid w:val="00DC6559"/>
    <w:rsid w:val="00DC65FB"/>
    <w:rsid w:val="00DC65FE"/>
    <w:rsid w:val="00DC6616"/>
    <w:rsid w:val="00DC6638"/>
    <w:rsid w:val="00DC6738"/>
    <w:rsid w:val="00DC67CA"/>
    <w:rsid w:val="00DC68D8"/>
    <w:rsid w:val="00DC68FD"/>
    <w:rsid w:val="00DC68FF"/>
    <w:rsid w:val="00DC696B"/>
    <w:rsid w:val="00DC69A5"/>
    <w:rsid w:val="00DC69D9"/>
    <w:rsid w:val="00DC6A39"/>
    <w:rsid w:val="00DC6A62"/>
    <w:rsid w:val="00DC6C1B"/>
    <w:rsid w:val="00DC6D0F"/>
    <w:rsid w:val="00DC6DB9"/>
    <w:rsid w:val="00DC6DCC"/>
    <w:rsid w:val="00DC6DE0"/>
    <w:rsid w:val="00DC6DF5"/>
    <w:rsid w:val="00DC6EB0"/>
    <w:rsid w:val="00DC7017"/>
    <w:rsid w:val="00DC70EB"/>
    <w:rsid w:val="00DC7191"/>
    <w:rsid w:val="00DC724D"/>
    <w:rsid w:val="00DC72C1"/>
    <w:rsid w:val="00DC72D6"/>
    <w:rsid w:val="00DC72E9"/>
    <w:rsid w:val="00DC7321"/>
    <w:rsid w:val="00DC749E"/>
    <w:rsid w:val="00DC74D5"/>
    <w:rsid w:val="00DC766E"/>
    <w:rsid w:val="00DC76D1"/>
    <w:rsid w:val="00DC76ED"/>
    <w:rsid w:val="00DC78D6"/>
    <w:rsid w:val="00DC78DE"/>
    <w:rsid w:val="00DC7AC9"/>
    <w:rsid w:val="00DC7AEA"/>
    <w:rsid w:val="00DC7B07"/>
    <w:rsid w:val="00DC7BAE"/>
    <w:rsid w:val="00DC7C8D"/>
    <w:rsid w:val="00DC7CC8"/>
    <w:rsid w:val="00DC7E4A"/>
    <w:rsid w:val="00DC7FD3"/>
    <w:rsid w:val="00DC7FDB"/>
    <w:rsid w:val="00DD014D"/>
    <w:rsid w:val="00DD0202"/>
    <w:rsid w:val="00DD0203"/>
    <w:rsid w:val="00DD027E"/>
    <w:rsid w:val="00DD02E5"/>
    <w:rsid w:val="00DD03E0"/>
    <w:rsid w:val="00DD0417"/>
    <w:rsid w:val="00DD0429"/>
    <w:rsid w:val="00DD046D"/>
    <w:rsid w:val="00DD04A0"/>
    <w:rsid w:val="00DD04DB"/>
    <w:rsid w:val="00DD063A"/>
    <w:rsid w:val="00DD064A"/>
    <w:rsid w:val="00DD0670"/>
    <w:rsid w:val="00DD0759"/>
    <w:rsid w:val="00DD075E"/>
    <w:rsid w:val="00DD08ED"/>
    <w:rsid w:val="00DD0B2D"/>
    <w:rsid w:val="00DD0C12"/>
    <w:rsid w:val="00DD0C67"/>
    <w:rsid w:val="00DD0D1D"/>
    <w:rsid w:val="00DD0D66"/>
    <w:rsid w:val="00DD0DFE"/>
    <w:rsid w:val="00DD0F3E"/>
    <w:rsid w:val="00DD10E0"/>
    <w:rsid w:val="00DD111D"/>
    <w:rsid w:val="00DD116A"/>
    <w:rsid w:val="00DD12C7"/>
    <w:rsid w:val="00DD12E4"/>
    <w:rsid w:val="00DD13EF"/>
    <w:rsid w:val="00DD13F4"/>
    <w:rsid w:val="00DD14C1"/>
    <w:rsid w:val="00DD14FE"/>
    <w:rsid w:val="00DD152D"/>
    <w:rsid w:val="00DD1605"/>
    <w:rsid w:val="00DD16FB"/>
    <w:rsid w:val="00DD170B"/>
    <w:rsid w:val="00DD18DD"/>
    <w:rsid w:val="00DD1AAB"/>
    <w:rsid w:val="00DD1B0B"/>
    <w:rsid w:val="00DD1B45"/>
    <w:rsid w:val="00DD1D78"/>
    <w:rsid w:val="00DD1E01"/>
    <w:rsid w:val="00DD1E34"/>
    <w:rsid w:val="00DD1EA3"/>
    <w:rsid w:val="00DD2027"/>
    <w:rsid w:val="00DD2053"/>
    <w:rsid w:val="00DD2074"/>
    <w:rsid w:val="00DD21A2"/>
    <w:rsid w:val="00DD224E"/>
    <w:rsid w:val="00DD22D5"/>
    <w:rsid w:val="00DD23B7"/>
    <w:rsid w:val="00DD24C3"/>
    <w:rsid w:val="00DD25B8"/>
    <w:rsid w:val="00DD2624"/>
    <w:rsid w:val="00DD26A2"/>
    <w:rsid w:val="00DD28B8"/>
    <w:rsid w:val="00DD2913"/>
    <w:rsid w:val="00DD2A29"/>
    <w:rsid w:val="00DD2A39"/>
    <w:rsid w:val="00DD2B77"/>
    <w:rsid w:val="00DD2C98"/>
    <w:rsid w:val="00DD2CB6"/>
    <w:rsid w:val="00DD2E35"/>
    <w:rsid w:val="00DD308B"/>
    <w:rsid w:val="00DD3150"/>
    <w:rsid w:val="00DD3170"/>
    <w:rsid w:val="00DD3208"/>
    <w:rsid w:val="00DD32A5"/>
    <w:rsid w:val="00DD3310"/>
    <w:rsid w:val="00DD3422"/>
    <w:rsid w:val="00DD3477"/>
    <w:rsid w:val="00DD35C4"/>
    <w:rsid w:val="00DD35E0"/>
    <w:rsid w:val="00DD3627"/>
    <w:rsid w:val="00DD3639"/>
    <w:rsid w:val="00DD3751"/>
    <w:rsid w:val="00DD3837"/>
    <w:rsid w:val="00DD39D7"/>
    <w:rsid w:val="00DD3A6B"/>
    <w:rsid w:val="00DD3ACF"/>
    <w:rsid w:val="00DD3AE2"/>
    <w:rsid w:val="00DD3C30"/>
    <w:rsid w:val="00DD3C33"/>
    <w:rsid w:val="00DD3CE4"/>
    <w:rsid w:val="00DD3DF8"/>
    <w:rsid w:val="00DD3E3D"/>
    <w:rsid w:val="00DD3E99"/>
    <w:rsid w:val="00DD3E9C"/>
    <w:rsid w:val="00DD3EEF"/>
    <w:rsid w:val="00DD3FAA"/>
    <w:rsid w:val="00DD4049"/>
    <w:rsid w:val="00DD40EA"/>
    <w:rsid w:val="00DD41A9"/>
    <w:rsid w:val="00DD41FD"/>
    <w:rsid w:val="00DD43E6"/>
    <w:rsid w:val="00DD4438"/>
    <w:rsid w:val="00DD44D5"/>
    <w:rsid w:val="00DD44E8"/>
    <w:rsid w:val="00DD4762"/>
    <w:rsid w:val="00DD4769"/>
    <w:rsid w:val="00DD484E"/>
    <w:rsid w:val="00DD4A07"/>
    <w:rsid w:val="00DD4A90"/>
    <w:rsid w:val="00DD4AC4"/>
    <w:rsid w:val="00DD4D86"/>
    <w:rsid w:val="00DD4DA0"/>
    <w:rsid w:val="00DD4DB0"/>
    <w:rsid w:val="00DD5035"/>
    <w:rsid w:val="00DD504D"/>
    <w:rsid w:val="00DD50CF"/>
    <w:rsid w:val="00DD51F8"/>
    <w:rsid w:val="00DD526A"/>
    <w:rsid w:val="00DD5297"/>
    <w:rsid w:val="00DD52B9"/>
    <w:rsid w:val="00DD5379"/>
    <w:rsid w:val="00DD541C"/>
    <w:rsid w:val="00DD549D"/>
    <w:rsid w:val="00DD5563"/>
    <w:rsid w:val="00DD573F"/>
    <w:rsid w:val="00DD5758"/>
    <w:rsid w:val="00DD5898"/>
    <w:rsid w:val="00DD5AF0"/>
    <w:rsid w:val="00DD5B91"/>
    <w:rsid w:val="00DD5B94"/>
    <w:rsid w:val="00DD5B96"/>
    <w:rsid w:val="00DD5C94"/>
    <w:rsid w:val="00DD5D04"/>
    <w:rsid w:val="00DD5D31"/>
    <w:rsid w:val="00DD5F6A"/>
    <w:rsid w:val="00DD5FFE"/>
    <w:rsid w:val="00DD6127"/>
    <w:rsid w:val="00DD61B7"/>
    <w:rsid w:val="00DD6512"/>
    <w:rsid w:val="00DD6541"/>
    <w:rsid w:val="00DD655E"/>
    <w:rsid w:val="00DD6598"/>
    <w:rsid w:val="00DD6603"/>
    <w:rsid w:val="00DD66E2"/>
    <w:rsid w:val="00DD6748"/>
    <w:rsid w:val="00DD682F"/>
    <w:rsid w:val="00DD68E2"/>
    <w:rsid w:val="00DD69FA"/>
    <w:rsid w:val="00DD6AE8"/>
    <w:rsid w:val="00DD6AFB"/>
    <w:rsid w:val="00DD6B18"/>
    <w:rsid w:val="00DD6B70"/>
    <w:rsid w:val="00DD6D0D"/>
    <w:rsid w:val="00DD6D22"/>
    <w:rsid w:val="00DD6EE7"/>
    <w:rsid w:val="00DD704C"/>
    <w:rsid w:val="00DD7095"/>
    <w:rsid w:val="00DD7098"/>
    <w:rsid w:val="00DD70E6"/>
    <w:rsid w:val="00DD70F6"/>
    <w:rsid w:val="00DD7149"/>
    <w:rsid w:val="00DD715F"/>
    <w:rsid w:val="00DD71E4"/>
    <w:rsid w:val="00DD71F8"/>
    <w:rsid w:val="00DD7266"/>
    <w:rsid w:val="00DD7342"/>
    <w:rsid w:val="00DD73A1"/>
    <w:rsid w:val="00DD73CD"/>
    <w:rsid w:val="00DD762A"/>
    <w:rsid w:val="00DD77DE"/>
    <w:rsid w:val="00DD7AE4"/>
    <w:rsid w:val="00DD7BE9"/>
    <w:rsid w:val="00DD7C92"/>
    <w:rsid w:val="00DD7CC5"/>
    <w:rsid w:val="00DD7CE7"/>
    <w:rsid w:val="00DD7DEF"/>
    <w:rsid w:val="00DD7F50"/>
    <w:rsid w:val="00DE0055"/>
    <w:rsid w:val="00DE00EC"/>
    <w:rsid w:val="00DE026D"/>
    <w:rsid w:val="00DE0283"/>
    <w:rsid w:val="00DE03A9"/>
    <w:rsid w:val="00DE048C"/>
    <w:rsid w:val="00DE04C7"/>
    <w:rsid w:val="00DE051A"/>
    <w:rsid w:val="00DE0545"/>
    <w:rsid w:val="00DE05D1"/>
    <w:rsid w:val="00DE0615"/>
    <w:rsid w:val="00DE061C"/>
    <w:rsid w:val="00DE0836"/>
    <w:rsid w:val="00DE094D"/>
    <w:rsid w:val="00DE0A56"/>
    <w:rsid w:val="00DE0A8C"/>
    <w:rsid w:val="00DE0ABB"/>
    <w:rsid w:val="00DE0ACA"/>
    <w:rsid w:val="00DE0B46"/>
    <w:rsid w:val="00DE0B6D"/>
    <w:rsid w:val="00DE0C6F"/>
    <w:rsid w:val="00DE0C90"/>
    <w:rsid w:val="00DE0CA9"/>
    <w:rsid w:val="00DE0D0C"/>
    <w:rsid w:val="00DE0F30"/>
    <w:rsid w:val="00DE0F8D"/>
    <w:rsid w:val="00DE0FDC"/>
    <w:rsid w:val="00DE1073"/>
    <w:rsid w:val="00DE121C"/>
    <w:rsid w:val="00DE12C0"/>
    <w:rsid w:val="00DE1323"/>
    <w:rsid w:val="00DE135B"/>
    <w:rsid w:val="00DE1394"/>
    <w:rsid w:val="00DE1454"/>
    <w:rsid w:val="00DE1471"/>
    <w:rsid w:val="00DE14D6"/>
    <w:rsid w:val="00DE154A"/>
    <w:rsid w:val="00DE15DF"/>
    <w:rsid w:val="00DE172B"/>
    <w:rsid w:val="00DE1819"/>
    <w:rsid w:val="00DE18D4"/>
    <w:rsid w:val="00DE1AAE"/>
    <w:rsid w:val="00DE1B23"/>
    <w:rsid w:val="00DE1B86"/>
    <w:rsid w:val="00DE1C91"/>
    <w:rsid w:val="00DE1D8C"/>
    <w:rsid w:val="00DE1DF2"/>
    <w:rsid w:val="00DE1FEE"/>
    <w:rsid w:val="00DE208E"/>
    <w:rsid w:val="00DE20E6"/>
    <w:rsid w:val="00DE2177"/>
    <w:rsid w:val="00DE21EE"/>
    <w:rsid w:val="00DE22B3"/>
    <w:rsid w:val="00DE2433"/>
    <w:rsid w:val="00DE249E"/>
    <w:rsid w:val="00DE24B3"/>
    <w:rsid w:val="00DE257E"/>
    <w:rsid w:val="00DE262F"/>
    <w:rsid w:val="00DE26CE"/>
    <w:rsid w:val="00DE27A7"/>
    <w:rsid w:val="00DE2868"/>
    <w:rsid w:val="00DE286C"/>
    <w:rsid w:val="00DE2924"/>
    <w:rsid w:val="00DE296D"/>
    <w:rsid w:val="00DE29AB"/>
    <w:rsid w:val="00DE29B8"/>
    <w:rsid w:val="00DE2AD3"/>
    <w:rsid w:val="00DE2BD7"/>
    <w:rsid w:val="00DE2BF1"/>
    <w:rsid w:val="00DE2C9D"/>
    <w:rsid w:val="00DE2D15"/>
    <w:rsid w:val="00DE2F1A"/>
    <w:rsid w:val="00DE2F3F"/>
    <w:rsid w:val="00DE2F6F"/>
    <w:rsid w:val="00DE2FB1"/>
    <w:rsid w:val="00DE3108"/>
    <w:rsid w:val="00DE3162"/>
    <w:rsid w:val="00DE321A"/>
    <w:rsid w:val="00DE3311"/>
    <w:rsid w:val="00DE359B"/>
    <w:rsid w:val="00DE3727"/>
    <w:rsid w:val="00DE377E"/>
    <w:rsid w:val="00DE37D6"/>
    <w:rsid w:val="00DE381B"/>
    <w:rsid w:val="00DE39E4"/>
    <w:rsid w:val="00DE3A16"/>
    <w:rsid w:val="00DE3BFD"/>
    <w:rsid w:val="00DE3C2E"/>
    <w:rsid w:val="00DE3C37"/>
    <w:rsid w:val="00DE3C43"/>
    <w:rsid w:val="00DE3CB2"/>
    <w:rsid w:val="00DE3D1D"/>
    <w:rsid w:val="00DE3D71"/>
    <w:rsid w:val="00DE3E00"/>
    <w:rsid w:val="00DE3F77"/>
    <w:rsid w:val="00DE4004"/>
    <w:rsid w:val="00DE4072"/>
    <w:rsid w:val="00DE40CD"/>
    <w:rsid w:val="00DE4190"/>
    <w:rsid w:val="00DE41BE"/>
    <w:rsid w:val="00DE41F5"/>
    <w:rsid w:val="00DE4292"/>
    <w:rsid w:val="00DE435F"/>
    <w:rsid w:val="00DE448C"/>
    <w:rsid w:val="00DE4523"/>
    <w:rsid w:val="00DE4566"/>
    <w:rsid w:val="00DE46B9"/>
    <w:rsid w:val="00DE47C4"/>
    <w:rsid w:val="00DE480D"/>
    <w:rsid w:val="00DE4888"/>
    <w:rsid w:val="00DE491A"/>
    <w:rsid w:val="00DE49E1"/>
    <w:rsid w:val="00DE4AB8"/>
    <w:rsid w:val="00DE4C19"/>
    <w:rsid w:val="00DE4C82"/>
    <w:rsid w:val="00DE4CB3"/>
    <w:rsid w:val="00DE4D6B"/>
    <w:rsid w:val="00DE4DCB"/>
    <w:rsid w:val="00DE4E1B"/>
    <w:rsid w:val="00DE4E63"/>
    <w:rsid w:val="00DE4E76"/>
    <w:rsid w:val="00DE4E95"/>
    <w:rsid w:val="00DE4F66"/>
    <w:rsid w:val="00DE4FAC"/>
    <w:rsid w:val="00DE4FBF"/>
    <w:rsid w:val="00DE4FC1"/>
    <w:rsid w:val="00DE51DD"/>
    <w:rsid w:val="00DE523C"/>
    <w:rsid w:val="00DE530C"/>
    <w:rsid w:val="00DE531B"/>
    <w:rsid w:val="00DE5380"/>
    <w:rsid w:val="00DE53AC"/>
    <w:rsid w:val="00DE53F3"/>
    <w:rsid w:val="00DE5412"/>
    <w:rsid w:val="00DE549E"/>
    <w:rsid w:val="00DE54C1"/>
    <w:rsid w:val="00DE55A9"/>
    <w:rsid w:val="00DE5679"/>
    <w:rsid w:val="00DE5710"/>
    <w:rsid w:val="00DE578A"/>
    <w:rsid w:val="00DE593F"/>
    <w:rsid w:val="00DE5A9D"/>
    <w:rsid w:val="00DE5AE4"/>
    <w:rsid w:val="00DE5B3E"/>
    <w:rsid w:val="00DE5B8D"/>
    <w:rsid w:val="00DE5C58"/>
    <w:rsid w:val="00DE5C69"/>
    <w:rsid w:val="00DE5F12"/>
    <w:rsid w:val="00DE5FE0"/>
    <w:rsid w:val="00DE6052"/>
    <w:rsid w:val="00DE60E0"/>
    <w:rsid w:val="00DE611B"/>
    <w:rsid w:val="00DE61FB"/>
    <w:rsid w:val="00DE6251"/>
    <w:rsid w:val="00DE642C"/>
    <w:rsid w:val="00DE6473"/>
    <w:rsid w:val="00DE649F"/>
    <w:rsid w:val="00DE64C2"/>
    <w:rsid w:val="00DE64CE"/>
    <w:rsid w:val="00DE676B"/>
    <w:rsid w:val="00DE67E9"/>
    <w:rsid w:val="00DE6841"/>
    <w:rsid w:val="00DE6907"/>
    <w:rsid w:val="00DE6A19"/>
    <w:rsid w:val="00DE6A78"/>
    <w:rsid w:val="00DE6A9D"/>
    <w:rsid w:val="00DE6B89"/>
    <w:rsid w:val="00DE6BDB"/>
    <w:rsid w:val="00DE6D7A"/>
    <w:rsid w:val="00DE6DD3"/>
    <w:rsid w:val="00DE6E1E"/>
    <w:rsid w:val="00DE6F8C"/>
    <w:rsid w:val="00DE700B"/>
    <w:rsid w:val="00DE70F9"/>
    <w:rsid w:val="00DE72CD"/>
    <w:rsid w:val="00DE73ED"/>
    <w:rsid w:val="00DE7529"/>
    <w:rsid w:val="00DE758D"/>
    <w:rsid w:val="00DE7621"/>
    <w:rsid w:val="00DE7791"/>
    <w:rsid w:val="00DE7976"/>
    <w:rsid w:val="00DE7AC9"/>
    <w:rsid w:val="00DE7AE5"/>
    <w:rsid w:val="00DE7CEE"/>
    <w:rsid w:val="00DE7D1A"/>
    <w:rsid w:val="00DE7D41"/>
    <w:rsid w:val="00DE7DAE"/>
    <w:rsid w:val="00DE7DC4"/>
    <w:rsid w:val="00DE7DE2"/>
    <w:rsid w:val="00DE7E15"/>
    <w:rsid w:val="00DE7E46"/>
    <w:rsid w:val="00DF0094"/>
    <w:rsid w:val="00DF00C4"/>
    <w:rsid w:val="00DF01C7"/>
    <w:rsid w:val="00DF0304"/>
    <w:rsid w:val="00DF03A1"/>
    <w:rsid w:val="00DF03F3"/>
    <w:rsid w:val="00DF0501"/>
    <w:rsid w:val="00DF0510"/>
    <w:rsid w:val="00DF0614"/>
    <w:rsid w:val="00DF0688"/>
    <w:rsid w:val="00DF0696"/>
    <w:rsid w:val="00DF07B7"/>
    <w:rsid w:val="00DF0B0A"/>
    <w:rsid w:val="00DF0B76"/>
    <w:rsid w:val="00DF0B86"/>
    <w:rsid w:val="00DF0CAD"/>
    <w:rsid w:val="00DF0D31"/>
    <w:rsid w:val="00DF0D51"/>
    <w:rsid w:val="00DF0DC7"/>
    <w:rsid w:val="00DF0E37"/>
    <w:rsid w:val="00DF0E4D"/>
    <w:rsid w:val="00DF0EF9"/>
    <w:rsid w:val="00DF101E"/>
    <w:rsid w:val="00DF103F"/>
    <w:rsid w:val="00DF1087"/>
    <w:rsid w:val="00DF10C6"/>
    <w:rsid w:val="00DF11CC"/>
    <w:rsid w:val="00DF11E6"/>
    <w:rsid w:val="00DF121D"/>
    <w:rsid w:val="00DF1251"/>
    <w:rsid w:val="00DF126C"/>
    <w:rsid w:val="00DF134A"/>
    <w:rsid w:val="00DF13E3"/>
    <w:rsid w:val="00DF13F9"/>
    <w:rsid w:val="00DF1501"/>
    <w:rsid w:val="00DF16BC"/>
    <w:rsid w:val="00DF16E7"/>
    <w:rsid w:val="00DF1853"/>
    <w:rsid w:val="00DF1881"/>
    <w:rsid w:val="00DF1979"/>
    <w:rsid w:val="00DF19D1"/>
    <w:rsid w:val="00DF1A40"/>
    <w:rsid w:val="00DF1A4D"/>
    <w:rsid w:val="00DF1ADA"/>
    <w:rsid w:val="00DF1B7A"/>
    <w:rsid w:val="00DF1BAE"/>
    <w:rsid w:val="00DF1CD7"/>
    <w:rsid w:val="00DF1DB6"/>
    <w:rsid w:val="00DF1E3B"/>
    <w:rsid w:val="00DF1E58"/>
    <w:rsid w:val="00DF1EA3"/>
    <w:rsid w:val="00DF1ED9"/>
    <w:rsid w:val="00DF1FF9"/>
    <w:rsid w:val="00DF2014"/>
    <w:rsid w:val="00DF2061"/>
    <w:rsid w:val="00DF215E"/>
    <w:rsid w:val="00DF243F"/>
    <w:rsid w:val="00DF2510"/>
    <w:rsid w:val="00DF2573"/>
    <w:rsid w:val="00DF2576"/>
    <w:rsid w:val="00DF26DF"/>
    <w:rsid w:val="00DF2746"/>
    <w:rsid w:val="00DF27C0"/>
    <w:rsid w:val="00DF28BF"/>
    <w:rsid w:val="00DF2A0E"/>
    <w:rsid w:val="00DF2B56"/>
    <w:rsid w:val="00DF2BCA"/>
    <w:rsid w:val="00DF2C07"/>
    <w:rsid w:val="00DF2C47"/>
    <w:rsid w:val="00DF2C65"/>
    <w:rsid w:val="00DF2D1C"/>
    <w:rsid w:val="00DF2DAF"/>
    <w:rsid w:val="00DF2E25"/>
    <w:rsid w:val="00DF2E65"/>
    <w:rsid w:val="00DF2E8E"/>
    <w:rsid w:val="00DF2FD3"/>
    <w:rsid w:val="00DF2FE2"/>
    <w:rsid w:val="00DF3016"/>
    <w:rsid w:val="00DF307A"/>
    <w:rsid w:val="00DF30C1"/>
    <w:rsid w:val="00DF30F6"/>
    <w:rsid w:val="00DF3260"/>
    <w:rsid w:val="00DF32A5"/>
    <w:rsid w:val="00DF3574"/>
    <w:rsid w:val="00DF35D3"/>
    <w:rsid w:val="00DF368A"/>
    <w:rsid w:val="00DF36A6"/>
    <w:rsid w:val="00DF37C4"/>
    <w:rsid w:val="00DF3831"/>
    <w:rsid w:val="00DF3840"/>
    <w:rsid w:val="00DF3853"/>
    <w:rsid w:val="00DF3899"/>
    <w:rsid w:val="00DF396C"/>
    <w:rsid w:val="00DF399E"/>
    <w:rsid w:val="00DF3A2B"/>
    <w:rsid w:val="00DF3A2F"/>
    <w:rsid w:val="00DF3BBD"/>
    <w:rsid w:val="00DF3C53"/>
    <w:rsid w:val="00DF3D62"/>
    <w:rsid w:val="00DF3F9E"/>
    <w:rsid w:val="00DF3FFE"/>
    <w:rsid w:val="00DF4120"/>
    <w:rsid w:val="00DF41DC"/>
    <w:rsid w:val="00DF4257"/>
    <w:rsid w:val="00DF4373"/>
    <w:rsid w:val="00DF44C5"/>
    <w:rsid w:val="00DF4503"/>
    <w:rsid w:val="00DF4582"/>
    <w:rsid w:val="00DF45AC"/>
    <w:rsid w:val="00DF45FE"/>
    <w:rsid w:val="00DF464B"/>
    <w:rsid w:val="00DF473C"/>
    <w:rsid w:val="00DF48A8"/>
    <w:rsid w:val="00DF4A2F"/>
    <w:rsid w:val="00DF4ACA"/>
    <w:rsid w:val="00DF4B77"/>
    <w:rsid w:val="00DF4BF5"/>
    <w:rsid w:val="00DF4C5E"/>
    <w:rsid w:val="00DF4D3A"/>
    <w:rsid w:val="00DF4D74"/>
    <w:rsid w:val="00DF4DEE"/>
    <w:rsid w:val="00DF4E51"/>
    <w:rsid w:val="00DF4EA2"/>
    <w:rsid w:val="00DF4EBA"/>
    <w:rsid w:val="00DF4F18"/>
    <w:rsid w:val="00DF50C1"/>
    <w:rsid w:val="00DF50CA"/>
    <w:rsid w:val="00DF5174"/>
    <w:rsid w:val="00DF5206"/>
    <w:rsid w:val="00DF5226"/>
    <w:rsid w:val="00DF5253"/>
    <w:rsid w:val="00DF5337"/>
    <w:rsid w:val="00DF53CD"/>
    <w:rsid w:val="00DF5436"/>
    <w:rsid w:val="00DF5478"/>
    <w:rsid w:val="00DF554B"/>
    <w:rsid w:val="00DF5552"/>
    <w:rsid w:val="00DF55AD"/>
    <w:rsid w:val="00DF55CC"/>
    <w:rsid w:val="00DF55E5"/>
    <w:rsid w:val="00DF5672"/>
    <w:rsid w:val="00DF56D2"/>
    <w:rsid w:val="00DF5BB9"/>
    <w:rsid w:val="00DF5BE9"/>
    <w:rsid w:val="00DF5D51"/>
    <w:rsid w:val="00DF5D90"/>
    <w:rsid w:val="00DF602E"/>
    <w:rsid w:val="00DF617D"/>
    <w:rsid w:val="00DF61A3"/>
    <w:rsid w:val="00DF61DB"/>
    <w:rsid w:val="00DF625A"/>
    <w:rsid w:val="00DF628B"/>
    <w:rsid w:val="00DF63B2"/>
    <w:rsid w:val="00DF640B"/>
    <w:rsid w:val="00DF6418"/>
    <w:rsid w:val="00DF64B8"/>
    <w:rsid w:val="00DF6625"/>
    <w:rsid w:val="00DF663D"/>
    <w:rsid w:val="00DF669D"/>
    <w:rsid w:val="00DF672E"/>
    <w:rsid w:val="00DF6840"/>
    <w:rsid w:val="00DF685B"/>
    <w:rsid w:val="00DF6897"/>
    <w:rsid w:val="00DF68A6"/>
    <w:rsid w:val="00DF6A60"/>
    <w:rsid w:val="00DF6AAC"/>
    <w:rsid w:val="00DF6AB9"/>
    <w:rsid w:val="00DF6B8E"/>
    <w:rsid w:val="00DF6C07"/>
    <w:rsid w:val="00DF6DF4"/>
    <w:rsid w:val="00DF7034"/>
    <w:rsid w:val="00DF7111"/>
    <w:rsid w:val="00DF7156"/>
    <w:rsid w:val="00DF71F7"/>
    <w:rsid w:val="00DF7200"/>
    <w:rsid w:val="00DF7238"/>
    <w:rsid w:val="00DF730A"/>
    <w:rsid w:val="00DF7341"/>
    <w:rsid w:val="00DF74E2"/>
    <w:rsid w:val="00DF7542"/>
    <w:rsid w:val="00DF772C"/>
    <w:rsid w:val="00DF77AA"/>
    <w:rsid w:val="00DF785F"/>
    <w:rsid w:val="00DF78F3"/>
    <w:rsid w:val="00DF78F8"/>
    <w:rsid w:val="00DF78FD"/>
    <w:rsid w:val="00DF791B"/>
    <w:rsid w:val="00DF7A8A"/>
    <w:rsid w:val="00DF7AA4"/>
    <w:rsid w:val="00DF7AE0"/>
    <w:rsid w:val="00DF7B1A"/>
    <w:rsid w:val="00DF7B3D"/>
    <w:rsid w:val="00DF7C2D"/>
    <w:rsid w:val="00DF7C6F"/>
    <w:rsid w:val="00DF7CA6"/>
    <w:rsid w:val="00DF7D25"/>
    <w:rsid w:val="00DF7D78"/>
    <w:rsid w:val="00DF7E7E"/>
    <w:rsid w:val="00DF7F1B"/>
    <w:rsid w:val="00DF7FCE"/>
    <w:rsid w:val="00DF7FE9"/>
    <w:rsid w:val="00E0007F"/>
    <w:rsid w:val="00E00089"/>
    <w:rsid w:val="00E000A0"/>
    <w:rsid w:val="00E0012A"/>
    <w:rsid w:val="00E001A5"/>
    <w:rsid w:val="00E0029E"/>
    <w:rsid w:val="00E00361"/>
    <w:rsid w:val="00E003CE"/>
    <w:rsid w:val="00E00498"/>
    <w:rsid w:val="00E004D6"/>
    <w:rsid w:val="00E005EF"/>
    <w:rsid w:val="00E0060C"/>
    <w:rsid w:val="00E007B0"/>
    <w:rsid w:val="00E00832"/>
    <w:rsid w:val="00E0089D"/>
    <w:rsid w:val="00E008EF"/>
    <w:rsid w:val="00E009DB"/>
    <w:rsid w:val="00E009FD"/>
    <w:rsid w:val="00E00A0D"/>
    <w:rsid w:val="00E00A23"/>
    <w:rsid w:val="00E00A4F"/>
    <w:rsid w:val="00E00A55"/>
    <w:rsid w:val="00E00B6D"/>
    <w:rsid w:val="00E00B89"/>
    <w:rsid w:val="00E00B93"/>
    <w:rsid w:val="00E00C5B"/>
    <w:rsid w:val="00E00CC5"/>
    <w:rsid w:val="00E00CEF"/>
    <w:rsid w:val="00E00E88"/>
    <w:rsid w:val="00E00F1F"/>
    <w:rsid w:val="00E00FE0"/>
    <w:rsid w:val="00E0105B"/>
    <w:rsid w:val="00E01396"/>
    <w:rsid w:val="00E013E7"/>
    <w:rsid w:val="00E0149F"/>
    <w:rsid w:val="00E01556"/>
    <w:rsid w:val="00E0160D"/>
    <w:rsid w:val="00E01636"/>
    <w:rsid w:val="00E01793"/>
    <w:rsid w:val="00E017AD"/>
    <w:rsid w:val="00E017D9"/>
    <w:rsid w:val="00E017F8"/>
    <w:rsid w:val="00E019D0"/>
    <w:rsid w:val="00E01A21"/>
    <w:rsid w:val="00E01BB3"/>
    <w:rsid w:val="00E01C58"/>
    <w:rsid w:val="00E01E5C"/>
    <w:rsid w:val="00E01F97"/>
    <w:rsid w:val="00E020CD"/>
    <w:rsid w:val="00E020D0"/>
    <w:rsid w:val="00E02117"/>
    <w:rsid w:val="00E0212B"/>
    <w:rsid w:val="00E0218D"/>
    <w:rsid w:val="00E021D7"/>
    <w:rsid w:val="00E0221B"/>
    <w:rsid w:val="00E0231D"/>
    <w:rsid w:val="00E023FE"/>
    <w:rsid w:val="00E02474"/>
    <w:rsid w:val="00E02483"/>
    <w:rsid w:val="00E024D0"/>
    <w:rsid w:val="00E024E1"/>
    <w:rsid w:val="00E0250B"/>
    <w:rsid w:val="00E02541"/>
    <w:rsid w:val="00E0279D"/>
    <w:rsid w:val="00E027A5"/>
    <w:rsid w:val="00E027BE"/>
    <w:rsid w:val="00E027FC"/>
    <w:rsid w:val="00E027FE"/>
    <w:rsid w:val="00E029B2"/>
    <w:rsid w:val="00E029F6"/>
    <w:rsid w:val="00E02A39"/>
    <w:rsid w:val="00E02A4C"/>
    <w:rsid w:val="00E02A55"/>
    <w:rsid w:val="00E02BED"/>
    <w:rsid w:val="00E02C1B"/>
    <w:rsid w:val="00E02D8C"/>
    <w:rsid w:val="00E02E74"/>
    <w:rsid w:val="00E03167"/>
    <w:rsid w:val="00E031B0"/>
    <w:rsid w:val="00E031D1"/>
    <w:rsid w:val="00E0326C"/>
    <w:rsid w:val="00E03420"/>
    <w:rsid w:val="00E0344D"/>
    <w:rsid w:val="00E0353A"/>
    <w:rsid w:val="00E0362B"/>
    <w:rsid w:val="00E0368F"/>
    <w:rsid w:val="00E036FE"/>
    <w:rsid w:val="00E037C0"/>
    <w:rsid w:val="00E03ABA"/>
    <w:rsid w:val="00E03B6F"/>
    <w:rsid w:val="00E03BAA"/>
    <w:rsid w:val="00E03BFA"/>
    <w:rsid w:val="00E03C54"/>
    <w:rsid w:val="00E03C89"/>
    <w:rsid w:val="00E03E5E"/>
    <w:rsid w:val="00E03E9F"/>
    <w:rsid w:val="00E03EBC"/>
    <w:rsid w:val="00E03F82"/>
    <w:rsid w:val="00E0408B"/>
    <w:rsid w:val="00E040A8"/>
    <w:rsid w:val="00E040E1"/>
    <w:rsid w:val="00E04157"/>
    <w:rsid w:val="00E041B7"/>
    <w:rsid w:val="00E04292"/>
    <w:rsid w:val="00E04323"/>
    <w:rsid w:val="00E04335"/>
    <w:rsid w:val="00E04485"/>
    <w:rsid w:val="00E04623"/>
    <w:rsid w:val="00E04636"/>
    <w:rsid w:val="00E04645"/>
    <w:rsid w:val="00E04649"/>
    <w:rsid w:val="00E04696"/>
    <w:rsid w:val="00E046DD"/>
    <w:rsid w:val="00E047A3"/>
    <w:rsid w:val="00E04909"/>
    <w:rsid w:val="00E049B2"/>
    <w:rsid w:val="00E049B9"/>
    <w:rsid w:val="00E049FE"/>
    <w:rsid w:val="00E04AA0"/>
    <w:rsid w:val="00E04AD1"/>
    <w:rsid w:val="00E04AD9"/>
    <w:rsid w:val="00E04AF4"/>
    <w:rsid w:val="00E04B58"/>
    <w:rsid w:val="00E04BDB"/>
    <w:rsid w:val="00E04C7E"/>
    <w:rsid w:val="00E04CDB"/>
    <w:rsid w:val="00E04D19"/>
    <w:rsid w:val="00E04D63"/>
    <w:rsid w:val="00E05037"/>
    <w:rsid w:val="00E051CA"/>
    <w:rsid w:val="00E05242"/>
    <w:rsid w:val="00E05500"/>
    <w:rsid w:val="00E055DA"/>
    <w:rsid w:val="00E05685"/>
    <w:rsid w:val="00E0577A"/>
    <w:rsid w:val="00E057BB"/>
    <w:rsid w:val="00E057E3"/>
    <w:rsid w:val="00E0586A"/>
    <w:rsid w:val="00E05897"/>
    <w:rsid w:val="00E058C4"/>
    <w:rsid w:val="00E05944"/>
    <w:rsid w:val="00E05B72"/>
    <w:rsid w:val="00E05BB2"/>
    <w:rsid w:val="00E05C7B"/>
    <w:rsid w:val="00E05C90"/>
    <w:rsid w:val="00E05E4E"/>
    <w:rsid w:val="00E05E6D"/>
    <w:rsid w:val="00E05F77"/>
    <w:rsid w:val="00E05FDA"/>
    <w:rsid w:val="00E06077"/>
    <w:rsid w:val="00E060EF"/>
    <w:rsid w:val="00E06369"/>
    <w:rsid w:val="00E063C3"/>
    <w:rsid w:val="00E064C6"/>
    <w:rsid w:val="00E06572"/>
    <w:rsid w:val="00E0661C"/>
    <w:rsid w:val="00E06969"/>
    <w:rsid w:val="00E06971"/>
    <w:rsid w:val="00E06A2C"/>
    <w:rsid w:val="00E06B67"/>
    <w:rsid w:val="00E06BC7"/>
    <w:rsid w:val="00E06CE1"/>
    <w:rsid w:val="00E06DC3"/>
    <w:rsid w:val="00E06E1F"/>
    <w:rsid w:val="00E06F72"/>
    <w:rsid w:val="00E07046"/>
    <w:rsid w:val="00E071FF"/>
    <w:rsid w:val="00E07214"/>
    <w:rsid w:val="00E07295"/>
    <w:rsid w:val="00E07333"/>
    <w:rsid w:val="00E07346"/>
    <w:rsid w:val="00E07481"/>
    <w:rsid w:val="00E074B9"/>
    <w:rsid w:val="00E07643"/>
    <w:rsid w:val="00E07695"/>
    <w:rsid w:val="00E076B3"/>
    <w:rsid w:val="00E0770A"/>
    <w:rsid w:val="00E07715"/>
    <w:rsid w:val="00E078B1"/>
    <w:rsid w:val="00E0792A"/>
    <w:rsid w:val="00E0794D"/>
    <w:rsid w:val="00E07994"/>
    <w:rsid w:val="00E079AC"/>
    <w:rsid w:val="00E07ABC"/>
    <w:rsid w:val="00E07B8B"/>
    <w:rsid w:val="00E07C5B"/>
    <w:rsid w:val="00E07C69"/>
    <w:rsid w:val="00E07CD5"/>
    <w:rsid w:val="00E07E38"/>
    <w:rsid w:val="00E07E99"/>
    <w:rsid w:val="00E07F46"/>
    <w:rsid w:val="00E07FBD"/>
    <w:rsid w:val="00E101E7"/>
    <w:rsid w:val="00E102CB"/>
    <w:rsid w:val="00E10371"/>
    <w:rsid w:val="00E1045F"/>
    <w:rsid w:val="00E104E9"/>
    <w:rsid w:val="00E104FB"/>
    <w:rsid w:val="00E1050F"/>
    <w:rsid w:val="00E10561"/>
    <w:rsid w:val="00E105A6"/>
    <w:rsid w:val="00E106D5"/>
    <w:rsid w:val="00E10802"/>
    <w:rsid w:val="00E10B2E"/>
    <w:rsid w:val="00E10C42"/>
    <w:rsid w:val="00E10CF2"/>
    <w:rsid w:val="00E10CFD"/>
    <w:rsid w:val="00E10D6E"/>
    <w:rsid w:val="00E10E0F"/>
    <w:rsid w:val="00E10E10"/>
    <w:rsid w:val="00E10E52"/>
    <w:rsid w:val="00E10E68"/>
    <w:rsid w:val="00E10F5C"/>
    <w:rsid w:val="00E10FF7"/>
    <w:rsid w:val="00E11027"/>
    <w:rsid w:val="00E1106E"/>
    <w:rsid w:val="00E110BC"/>
    <w:rsid w:val="00E110D4"/>
    <w:rsid w:val="00E111DA"/>
    <w:rsid w:val="00E11201"/>
    <w:rsid w:val="00E1134E"/>
    <w:rsid w:val="00E1142D"/>
    <w:rsid w:val="00E115BB"/>
    <w:rsid w:val="00E116A4"/>
    <w:rsid w:val="00E1173F"/>
    <w:rsid w:val="00E11791"/>
    <w:rsid w:val="00E1179E"/>
    <w:rsid w:val="00E117B8"/>
    <w:rsid w:val="00E118B0"/>
    <w:rsid w:val="00E118BA"/>
    <w:rsid w:val="00E118D3"/>
    <w:rsid w:val="00E11A40"/>
    <w:rsid w:val="00E11A4D"/>
    <w:rsid w:val="00E11A86"/>
    <w:rsid w:val="00E11D95"/>
    <w:rsid w:val="00E11DB2"/>
    <w:rsid w:val="00E11DC9"/>
    <w:rsid w:val="00E11DE4"/>
    <w:rsid w:val="00E11DED"/>
    <w:rsid w:val="00E1209E"/>
    <w:rsid w:val="00E120F4"/>
    <w:rsid w:val="00E120FC"/>
    <w:rsid w:val="00E122FB"/>
    <w:rsid w:val="00E12356"/>
    <w:rsid w:val="00E1236F"/>
    <w:rsid w:val="00E12440"/>
    <w:rsid w:val="00E1250F"/>
    <w:rsid w:val="00E12572"/>
    <w:rsid w:val="00E125AB"/>
    <w:rsid w:val="00E12814"/>
    <w:rsid w:val="00E1283C"/>
    <w:rsid w:val="00E1293A"/>
    <w:rsid w:val="00E1299F"/>
    <w:rsid w:val="00E12A03"/>
    <w:rsid w:val="00E12B6E"/>
    <w:rsid w:val="00E12BDC"/>
    <w:rsid w:val="00E12C4A"/>
    <w:rsid w:val="00E12CCD"/>
    <w:rsid w:val="00E12CDE"/>
    <w:rsid w:val="00E12DE4"/>
    <w:rsid w:val="00E12E35"/>
    <w:rsid w:val="00E12F29"/>
    <w:rsid w:val="00E12FE5"/>
    <w:rsid w:val="00E12FFB"/>
    <w:rsid w:val="00E1333F"/>
    <w:rsid w:val="00E133D0"/>
    <w:rsid w:val="00E13404"/>
    <w:rsid w:val="00E13578"/>
    <w:rsid w:val="00E13599"/>
    <w:rsid w:val="00E135A1"/>
    <w:rsid w:val="00E135BE"/>
    <w:rsid w:val="00E13774"/>
    <w:rsid w:val="00E137CF"/>
    <w:rsid w:val="00E1388B"/>
    <w:rsid w:val="00E138DE"/>
    <w:rsid w:val="00E1390F"/>
    <w:rsid w:val="00E13930"/>
    <w:rsid w:val="00E13A4A"/>
    <w:rsid w:val="00E13A6F"/>
    <w:rsid w:val="00E13B96"/>
    <w:rsid w:val="00E13D03"/>
    <w:rsid w:val="00E13D21"/>
    <w:rsid w:val="00E13D35"/>
    <w:rsid w:val="00E13DA7"/>
    <w:rsid w:val="00E13DC5"/>
    <w:rsid w:val="00E13E5C"/>
    <w:rsid w:val="00E13FE1"/>
    <w:rsid w:val="00E1415A"/>
    <w:rsid w:val="00E14203"/>
    <w:rsid w:val="00E14232"/>
    <w:rsid w:val="00E1425D"/>
    <w:rsid w:val="00E142AC"/>
    <w:rsid w:val="00E143AC"/>
    <w:rsid w:val="00E14421"/>
    <w:rsid w:val="00E1446C"/>
    <w:rsid w:val="00E1458D"/>
    <w:rsid w:val="00E14605"/>
    <w:rsid w:val="00E146EF"/>
    <w:rsid w:val="00E147BE"/>
    <w:rsid w:val="00E148D2"/>
    <w:rsid w:val="00E149C0"/>
    <w:rsid w:val="00E149C9"/>
    <w:rsid w:val="00E14A1D"/>
    <w:rsid w:val="00E14B2D"/>
    <w:rsid w:val="00E14B43"/>
    <w:rsid w:val="00E14B7D"/>
    <w:rsid w:val="00E14BAF"/>
    <w:rsid w:val="00E14BE1"/>
    <w:rsid w:val="00E14C9B"/>
    <w:rsid w:val="00E14CB8"/>
    <w:rsid w:val="00E14CCA"/>
    <w:rsid w:val="00E14CE3"/>
    <w:rsid w:val="00E14D07"/>
    <w:rsid w:val="00E14E43"/>
    <w:rsid w:val="00E14E4E"/>
    <w:rsid w:val="00E15036"/>
    <w:rsid w:val="00E15080"/>
    <w:rsid w:val="00E15177"/>
    <w:rsid w:val="00E15181"/>
    <w:rsid w:val="00E15187"/>
    <w:rsid w:val="00E15234"/>
    <w:rsid w:val="00E1541A"/>
    <w:rsid w:val="00E15505"/>
    <w:rsid w:val="00E15528"/>
    <w:rsid w:val="00E15557"/>
    <w:rsid w:val="00E15671"/>
    <w:rsid w:val="00E15693"/>
    <w:rsid w:val="00E15741"/>
    <w:rsid w:val="00E158D2"/>
    <w:rsid w:val="00E15989"/>
    <w:rsid w:val="00E159D7"/>
    <w:rsid w:val="00E15C1C"/>
    <w:rsid w:val="00E15C1D"/>
    <w:rsid w:val="00E15C32"/>
    <w:rsid w:val="00E15C93"/>
    <w:rsid w:val="00E15E09"/>
    <w:rsid w:val="00E15E1C"/>
    <w:rsid w:val="00E15E8F"/>
    <w:rsid w:val="00E15F6B"/>
    <w:rsid w:val="00E15FAF"/>
    <w:rsid w:val="00E15FB2"/>
    <w:rsid w:val="00E1607D"/>
    <w:rsid w:val="00E16106"/>
    <w:rsid w:val="00E16198"/>
    <w:rsid w:val="00E161A7"/>
    <w:rsid w:val="00E1620D"/>
    <w:rsid w:val="00E16260"/>
    <w:rsid w:val="00E162E1"/>
    <w:rsid w:val="00E162E2"/>
    <w:rsid w:val="00E16359"/>
    <w:rsid w:val="00E1636A"/>
    <w:rsid w:val="00E16389"/>
    <w:rsid w:val="00E163FC"/>
    <w:rsid w:val="00E163FF"/>
    <w:rsid w:val="00E16649"/>
    <w:rsid w:val="00E1666E"/>
    <w:rsid w:val="00E1669A"/>
    <w:rsid w:val="00E166BC"/>
    <w:rsid w:val="00E16737"/>
    <w:rsid w:val="00E16859"/>
    <w:rsid w:val="00E16871"/>
    <w:rsid w:val="00E16A40"/>
    <w:rsid w:val="00E16D58"/>
    <w:rsid w:val="00E16EA2"/>
    <w:rsid w:val="00E16EBF"/>
    <w:rsid w:val="00E16F7C"/>
    <w:rsid w:val="00E17105"/>
    <w:rsid w:val="00E17443"/>
    <w:rsid w:val="00E174ED"/>
    <w:rsid w:val="00E17525"/>
    <w:rsid w:val="00E175C1"/>
    <w:rsid w:val="00E17616"/>
    <w:rsid w:val="00E17663"/>
    <w:rsid w:val="00E17743"/>
    <w:rsid w:val="00E178C6"/>
    <w:rsid w:val="00E178E9"/>
    <w:rsid w:val="00E179ED"/>
    <w:rsid w:val="00E179F9"/>
    <w:rsid w:val="00E17B67"/>
    <w:rsid w:val="00E17CC9"/>
    <w:rsid w:val="00E17D08"/>
    <w:rsid w:val="00E17D7D"/>
    <w:rsid w:val="00E17E19"/>
    <w:rsid w:val="00E17F5B"/>
    <w:rsid w:val="00E17FF0"/>
    <w:rsid w:val="00E200A3"/>
    <w:rsid w:val="00E201B3"/>
    <w:rsid w:val="00E20218"/>
    <w:rsid w:val="00E20263"/>
    <w:rsid w:val="00E20333"/>
    <w:rsid w:val="00E2038A"/>
    <w:rsid w:val="00E203FC"/>
    <w:rsid w:val="00E2054E"/>
    <w:rsid w:val="00E20698"/>
    <w:rsid w:val="00E206F1"/>
    <w:rsid w:val="00E209E3"/>
    <w:rsid w:val="00E20A83"/>
    <w:rsid w:val="00E20AD2"/>
    <w:rsid w:val="00E20B47"/>
    <w:rsid w:val="00E20B6F"/>
    <w:rsid w:val="00E20C71"/>
    <w:rsid w:val="00E20C89"/>
    <w:rsid w:val="00E20CE7"/>
    <w:rsid w:val="00E20DF1"/>
    <w:rsid w:val="00E20DFA"/>
    <w:rsid w:val="00E20E8F"/>
    <w:rsid w:val="00E20FC4"/>
    <w:rsid w:val="00E20FF2"/>
    <w:rsid w:val="00E20FFF"/>
    <w:rsid w:val="00E21080"/>
    <w:rsid w:val="00E2109C"/>
    <w:rsid w:val="00E21149"/>
    <w:rsid w:val="00E21187"/>
    <w:rsid w:val="00E211FA"/>
    <w:rsid w:val="00E211FD"/>
    <w:rsid w:val="00E21299"/>
    <w:rsid w:val="00E21394"/>
    <w:rsid w:val="00E213C9"/>
    <w:rsid w:val="00E21419"/>
    <w:rsid w:val="00E214B6"/>
    <w:rsid w:val="00E214EC"/>
    <w:rsid w:val="00E21681"/>
    <w:rsid w:val="00E216DC"/>
    <w:rsid w:val="00E21781"/>
    <w:rsid w:val="00E21832"/>
    <w:rsid w:val="00E219ED"/>
    <w:rsid w:val="00E21B8C"/>
    <w:rsid w:val="00E21C43"/>
    <w:rsid w:val="00E21CCF"/>
    <w:rsid w:val="00E21D46"/>
    <w:rsid w:val="00E21DE4"/>
    <w:rsid w:val="00E21DEF"/>
    <w:rsid w:val="00E21E20"/>
    <w:rsid w:val="00E21EDE"/>
    <w:rsid w:val="00E21F12"/>
    <w:rsid w:val="00E21F65"/>
    <w:rsid w:val="00E21FFB"/>
    <w:rsid w:val="00E22052"/>
    <w:rsid w:val="00E221B0"/>
    <w:rsid w:val="00E22275"/>
    <w:rsid w:val="00E223FE"/>
    <w:rsid w:val="00E224E4"/>
    <w:rsid w:val="00E226B9"/>
    <w:rsid w:val="00E22721"/>
    <w:rsid w:val="00E22734"/>
    <w:rsid w:val="00E2273E"/>
    <w:rsid w:val="00E2281D"/>
    <w:rsid w:val="00E228CD"/>
    <w:rsid w:val="00E22989"/>
    <w:rsid w:val="00E22A25"/>
    <w:rsid w:val="00E22A26"/>
    <w:rsid w:val="00E22A91"/>
    <w:rsid w:val="00E22AE5"/>
    <w:rsid w:val="00E22AFC"/>
    <w:rsid w:val="00E22C3A"/>
    <w:rsid w:val="00E22C49"/>
    <w:rsid w:val="00E22CCC"/>
    <w:rsid w:val="00E22CDF"/>
    <w:rsid w:val="00E22F2D"/>
    <w:rsid w:val="00E2305A"/>
    <w:rsid w:val="00E2306E"/>
    <w:rsid w:val="00E230C9"/>
    <w:rsid w:val="00E23190"/>
    <w:rsid w:val="00E231B7"/>
    <w:rsid w:val="00E23293"/>
    <w:rsid w:val="00E2330A"/>
    <w:rsid w:val="00E2342A"/>
    <w:rsid w:val="00E2348F"/>
    <w:rsid w:val="00E23514"/>
    <w:rsid w:val="00E23660"/>
    <w:rsid w:val="00E23674"/>
    <w:rsid w:val="00E2374D"/>
    <w:rsid w:val="00E23759"/>
    <w:rsid w:val="00E237D0"/>
    <w:rsid w:val="00E23831"/>
    <w:rsid w:val="00E238C4"/>
    <w:rsid w:val="00E2394E"/>
    <w:rsid w:val="00E239ED"/>
    <w:rsid w:val="00E23BC6"/>
    <w:rsid w:val="00E23D0D"/>
    <w:rsid w:val="00E23D24"/>
    <w:rsid w:val="00E23D3B"/>
    <w:rsid w:val="00E23D54"/>
    <w:rsid w:val="00E23DC5"/>
    <w:rsid w:val="00E23E8A"/>
    <w:rsid w:val="00E240CF"/>
    <w:rsid w:val="00E240D5"/>
    <w:rsid w:val="00E24193"/>
    <w:rsid w:val="00E2419B"/>
    <w:rsid w:val="00E241BE"/>
    <w:rsid w:val="00E24336"/>
    <w:rsid w:val="00E24420"/>
    <w:rsid w:val="00E244FD"/>
    <w:rsid w:val="00E245CC"/>
    <w:rsid w:val="00E246C8"/>
    <w:rsid w:val="00E246DC"/>
    <w:rsid w:val="00E2478F"/>
    <w:rsid w:val="00E24797"/>
    <w:rsid w:val="00E247DC"/>
    <w:rsid w:val="00E247DF"/>
    <w:rsid w:val="00E24842"/>
    <w:rsid w:val="00E24846"/>
    <w:rsid w:val="00E24854"/>
    <w:rsid w:val="00E2489B"/>
    <w:rsid w:val="00E24AF7"/>
    <w:rsid w:val="00E24B98"/>
    <w:rsid w:val="00E24CA9"/>
    <w:rsid w:val="00E24F46"/>
    <w:rsid w:val="00E25004"/>
    <w:rsid w:val="00E2517C"/>
    <w:rsid w:val="00E25204"/>
    <w:rsid w:val="00E25484"/>
    <w:rsid w:val="00E25573"/>
    <w:rsid w:val="00E2568D"/>
    <w:rsid w:val="00E257D1"/>
    <w:rsid w:val="00E259D5"/>
    <w:rsid w:val="00E25A25"/>
    <w:rsid w:val="00E25A37"/>
    <w:rsid w:val="00E25B21"/>
    <w:rsid w:val="00E25B3F"/>
    <w:rsid w:val="00E25C15"/>
    <w:rsid w:val="00E25C33"/>
    <w:rsid w:val="00E25C43"/>
    <w:rsid w:val="00E25C4C"/>
    <w:rsid w:val="00E25F24"/>
    <w:rsid w:val="00E260E2"/>
    <w:rsid w:val="00E261A8"/>
    <w:rsid w:val="00E26214"/>
    <w:rsid w:val="00E262F8"/>
    <w:rsid w:val="00E263AA"/>
    <w:rsid w:val="00E26433"/>
    <w:rsid w:val="00E264BE"/>
    <w:rsid w:val="00E265B0"/>
    <w:rsid w:val="00E2669C"/>
    <w:rsid w:val="00E2678A"/>
    <w:rsid w:val="00E2689E"/>
    <w:rsid w:val="00E2693E"/>
    <w:rsid w:val="00E269DF"/>
    <w:rsid w:val="00E26AE8"/>
    <w:rsid w:val="00E26AF6"/>
    <w:rsid w:val="00E26BAA"/>
    <w:rsid w:val="00E26BB0"/>
    <w:rsid w:val="00E26BFF"/>
    <w:rsid w:val="00E26CB3"/>
    <w:rsid w:val="00E26D30"/>
    <w:rsid w:val="00E26F54"/>
    <w:rsid w:val="00E26F7F"/>
    <w:rsid w:val="00E2705A"/>
    <w:rsid w:val="00E270E5"/>
    <w:rsid w:val="00E270ED"/>
    <w:rsid w:val="00E270F9"/>
    <w:rsid w:val="00E27247"/>
    <w:rsid w:val="00E2729C"/>
    <w:rsid w:val="00E27312"/>
    <w:rsid w:val="00E2736E"/>
    <w:rsid w:val="00E273AD"/>
    <w:rsid w:val="00E273C1"/>
    <w:rsid w:val="00E2742C"/>
    <w:rsid w:val="00E2775F"/>
    <w:rsid w:val="00E27774"/>
    <w:rsid w:val="00E27821"/>
    <w:rsid w:val="00E2794F"/>
    <w:rsid w:val="00E27AB4"/>
    <w:rsid w:val="00E27ACD"/>
    <w:rsid w:val="00E27B4D"/>
    <w:rsid w:val="00E27BAB"/>
    <w:rsid w:val="00E27BC0"/>
    <w:rsid w:val="00E27CDF"/>
    <w:rsid w:val="00E27D51"/>
    <w:rsid w:val="00E27E54"/>
    <w:rsid w:val="00E27FCE"/>
    <w:rsid w:val="00E27FFA"/>
    <w:rsid w:val="00E3002F"/>
    <w:rsid w:val="00E300AE"/>
    <w:rsid w:val="00E301A7"/>
    <w:rsid w:val="00E30201"/>
    <w:rsid w:val="00E30307"/>
    <w:rsid w:val="00E30308"/>
    <w:rsid w:val="00E3035F"/>
    <w:rsid w:val="00E3051B"/>
    <w:rsid w:val="00E30625"/>
    <w:rsid w:val="00E3065E"/>
    <w:rsid w:val="00E30755"/>
    <w:rsid w:val="00E30891"/>
    <w:rsid w:val="00E308A7"/>
    <w:rsid w:val="00E30932"/>
    <w:rsid w:val="00E30940"/>
    <w:rsid w:val="00E30A08"/>
    <w:rsid w:val="00E30A6D"/>
    <w:rsid w:val="00E30A70"/>
    <w:rsid w:val="00E30B4B"/>
    <w:rsid w:val="00E30CC5"/>
    <w:rsid w:val="00E30CC9"/>
    <w:rsid w:val="00E30D3E"/>
    <w:rsid w:val="00E30DE7"/>
    <w:rsid w:val="00E30E0A"/>
    <w:rsid w:val="00E30E29"/>
    <w:rsid w:val="00E30E59"/>
    <w:rsid w:val="00E30EC8"/>
    <w:rsid w:val="00E30EE0"/>
    <w:rsid w:val="00E30F18"/>
    <w:rsid w:val="00E30F22"/>
    <w:rsid w:val="00E30FDB"/>
    <w:rsid w:val="00E30FDE"/>
    <w:rsid w:val="00E3107D"/>
    <w:rsid w:val="00E311B0"/>
    <w:rsid w:val="00E312C0"/>
    <w:rsid w:val="00E31328"/>
    <w:rsid w:val="00E313C3"/>
    <w:rsid w:val="00E3140B"/>
    <w:rsid w:val="00E314C4"/>
    <w:rsid w:val="00E31547"/>
    <w:rsid w:val="00E317C9"/>
    <w:rsid w:val="00E3189E"/>
    <w:rsid w:val="00E31902"/>
    <w:rsid w:val="00E31944"/>
    <w:rsid w:val="00E319B9"/>
    <w:rsid w:val="00E319BD"/>
    <w:rsid w:val="00E31A3C"/>
    <w:rsid w:val="00E31ABD"/>
    <w:rsid w:val="00E31C42"/>
    <w:rsid w:val="00E31CB3"/>
    <w:rsid w:val="00E31E17"/>
    <w:rsid w:val="00E31E2E"/>
    <w:rsid w:val="00E31E46"/>
    <w:rsid w:val="00E31F6F"/>
    <w:rsid w:val="00E32006"/>
    <w:rsid w:val="00E3200F"/>
    <w:rsid w:val="00E3206D"/>
    <w:rsid w:val="00E320E7"/>
    <w:rsid w:val="00E32127"/>
    <w:rsid w:val="00E322A0"/>
    <w:rsid w:val="00E322AE"/>
    <w:rsid w:val="00E322CC"/>
    <w:rsid w:val="00E32311"/>
    <w:rsid w:val="00E326CA"/>
    <w:rsid w:val="00E327FC"/>
    <w:rsid w:val="00E3288D"/>
    <w:rsid w:val="00E328F3"/>
    <w:rsid w:val="00E329D1"/>
    <w:rsid w:val="00E329DB"/>
    <w:rsid w:val="00E32A8C"/>
    <w:rsid w:val="00E32B2E"/>
    <w:rsid w:val="00E32C89"/>
    <w:rsid w:val="00E32C93"/>
    <w:rsid w:val="00E32CE4"/>
    <w:rsid w:val="00E32CFA"/>
    <w:rsid w:val="00E32D8A"/>
    <w:rsid w:val="00E32DCC"/>
    <w:rsid w:val="00E32DEE"/>
    <w:rsid w:val="00E32DEF"/>
    <w:rsid w:val="00E32FC5"/>
    <w:rsid w:val="00E33280"/>
    <w:rsid w:val="00E332F7"/>
    <w:rsid w:val="00E333DF"/>
    <w:rsid w:val="00E33534"/>
    <w:rsid w:val="00E336B8"/>
    <w:rsid w:val="00E337D4"/>
    <w:rsid w:val="00E33800"/>
    <w:rsid w:val="00E3393C"/>
    <w:rsid w:val="00E33ACF"/>
    <w:rsid w:val="00E33B4C"/>
    <w:rsid w:val="00E33BDA"/>
    <w:rsid w:val="00E33C0F"/>
    <w:rsid w:val="00E33D99"/>
    <w:rsid w:val="00E33DD3"/>
    <w:rsid w:val="00E33E17"/>
    <w:rsid w:val="00E33E4F"/>
    <w:rsid w:val="00E33F3C"/>
    <w:rsid w:val="00E3414D"/>
    <w:rsid w:val="00E34181"/>
    <w:rsid w:val="00E341DE"/>
    <w:rsid w:val="00E341E4"/>
    <w:rsid w:val="00E342C7"/>
    <w:rsid w:val="00E343BD"/>
    <w:rsid w:val="00E343F0"/>
    <w:rsid w:val="00E343FC"/>
    <w:rsid w:val="00E34456"/>
    <w:rsid w:val="00E34492"/>
    <w:rsid w:val="00E344A2"/>
    <w:rsid w:val="00E344A7"/>
    <w:rsid w:val="00E344B3"/>
    <w:rsid w:val="00E34549"/>
    <w:rsid w:val="00E34671"/>
    <w:rsid w:val="00E347AB"/>
    <w:rsid w:val="00E3481A"/>
    <w:rsid w:val="00E34826"/>
    <w:rsid w:val="00E348F9"/>
    <w:rsid w:val="00E34905"/>
    <w:rsid w:val="00E34AB8"/>
    <w:rsid w:val="00E34B8E"/>
    <w:rsid w:val="00E34BD8"/>
    <w:rsid w:val="00E34BEF"/>
    <w:rsid w:val="00E34C4B"/>
    <w:rsid w:val="00E34CD9"/>
    <w:rsid w:val="00E34DFD"/>
    <w:rsid w:val="00E34E3D"/>
    <w:rsid w:val="00E34E87"/>
    <w:rsid w:val="00E34EF1"/>
    <w:rsid w:val="00E34F9A"/>
    <w:rsid w:val="00E34FCC"/>
    <w:rsid w:val="00E35168"/>
    <w:rsid w:val="00E35208"/>
    <w:rsid w:val="00E3523E"/>
    <w:rsid w:val="00E35326"/>
    <w:rsid w:val="00E35354"/>
    <w:rsid w:val="00E3536C"/>
    <w:rsid w:val="00E35478"/>
    <w:rsid w:val="00E3555A"/>
    <w:rsid w:val="00E356C9"/>
    <w:rsid w:val="00E35704"/>
    <w:rsid w:val="00E357F4"/>
    <w:rsid w:val="00E35A62"/>
    <w:rsid w:val="00E35BF8"/>
    <w:rsid w:val="00E35EB8"/>
    <w:rsid w:val="00E35F25"/>
    <w:rsid w:val="00E35F2A"/>
    <w:rsid w:val="00E35F79"/>
    <w:rsid w:val="00E360C6"/>
    <w:rsid w:val="00E36148"/>
    <w:rsid w:val="00E3618E"/>
    <w:rsid w:val="00E361A6"/>
    <w:rsid w:val="00E362A5"/>
    <w:rsid w:val="00E36455"/>
    <w:rsid w:val="00E3650B"/>
    <w:rsid w:val="00E368C2"/>
    <w:rsid w:val="00E369FC"/>
    <w:rsid w:val="00E36AF7"/>
    <w:rsid w:val="00E36C19"/>
    <w:rsid w:val="00E36C1A"/>
    <w:rsid w:val="00E36C1E"/>
    <w:rsid w:val="00E36D0C"/>
    <w:rsid w:val="00E36D61"/>
    <w:rsid w:val="00E36DAE"/>
    <w:rsid w:val="00E36E6A"/>
    <w:rsid w:val="00E36E84"/>
    <w:rsid w:val="00E36F0F"/>
    <w:rsid w:val="00E36FEA"/>
    <w:rsid w:val="00E3701F"/>
    <w:rsid w:val="00E37060"/>
    <w:rsid w:val="00E37089"/>
    <w:rsid w:val="00E370A8"/>
    <w:rsid w:val="00E370C7"/>
    <w:rsid w:val="00E37175"/>
    <w:rsid w:val="00E37356"/>
    <w:rsid w:val="00E373ED"/>
    <w:rsid w:val="00E3742B"/>
    <w:rsid w:val="00E374F6"/>
    <w:rsid w:val="00E37590"/>
    <w:rsid w:val="00E37758"/>
    <w:rsid w:val="00E37771"/>
    <w:rsid w:val="00E3778A"/>
    <w:rsid w:val="00E379EA"/>
    <w:rsid w:val="00E37A0A"/>
    <w:rsid w:val="00E37A8E"/>
    <w:rsid w:val="00E37A99"/>
    <w:rsid w:val="00E37B96"/>
    <w:rsid w:val="00E37CAE"/>
    <w:rsid w:val="00E37E30"/>
    <w:rsid w:val="00E37E3C"/>
    <w:rsid w:val="00E37E88"/>
    <w:rsid w:val="00E37F9F"/>
    <w:rsid w:val="00E37FC4"/>
    <w:rsid w:val="00E40004"/>
    <w:rsid w:val="00E40053"/>
    <w:rsid w:val="00E400DD"/>
    <w:rsid w:val="00E403BE"/>
    <w:rsid w:val="00E4048C"/>
    <w:rsid w:val="00E406BB"/>
    <w:rsid w:val="00E40835"/>
    <w:rsid w:val="00E40877"/>
    <w:rsid w:val="00E40926"/>
    <w:rsid w:val="00E40A60"/>
    <w:rsid w:val="00E40B43"/>
    <w:rsid w:val="00E40CE9"/>
    <w:rsid w:val="00E40CEF"/>
    <w:rsid w:val="00E40D1C"/>
    <w:rsid w:val="00E40D44"/>
    <w:rsid w:val="00E40E0D"/>
    <w:rsid w:val="00E40E17"/>
    <w:rsid w:val="00E40E57"/>
    <w:rsid w:val="00E40E75"/>
    <w:rsid w:val="00E40EE2"/>
    <w:rsid w:val="00E4114F"/>
    <w:rsid w:val="00E412C9"/>
    <w:rsid w:val="00E41413"/>
    <w:rsid w:val="00E414EB"/>
    <w:rsid w:val="00E415E8"/>
    <w:rsid w:val="00E41640"/>
    <w:rsid w:val="00E41689"/>
    <w:rsid w:val="00E418DF"/>
    <w:rsid w:val="00E41A0F"/>
    <w:rsid w:val="00E41A23"/>
    <w:rsid w:val="00E41A7E"/>
    <w:rsid w:val="00E41A9B"/>
    <w:rsid w:val="00E41AC3"/>
    <w:rsid w:val="00E41B0D"/>
    <w:rsid w:val="00E41BB8"/>
    <w:rsid w:val="00E41BEB"/>
    <w:rsid w:val="00E41C2C"/>
    <w:rsid w:val="00E41C4F"/>
    <w:rsid w:val="00E41C98"/>
    <w:rsid w:val="00E41D29"/>
    <w:rsid w:val="00E41D3E"/>
    <w:rsid w:val="00E41DF0"/>
    <w:rsid w:val="00E41E14"/>
    <w:rsid w:val="00E41EDD"/>
    <w:rsid w:val="00E41FE1"/>
    <w:rsid w:val="00E42021"/>
    <w:rsid w:val="00E420F8"/>
    <w:rsid w:val="00E42118"/>
    <w:rsid w:val="00E4217F"/>
    <w:rsid w:val="00E4224E"/>
    <w:rsid w:val="00E42291"/>
    <w:rsid w:val="00E422D8"/>
    <w:rsid w:val="00E423C0"/>
    <w:rsid w:val="00E424CF"/>
    <w:rsid w:val="00E425E8"/>
    <w:rsid w:val="00E42616"/>
    <w:rsid w:val="00E42622"/>
    <w:rsid w:val="00E4274E"/>
    <w:rsid w:val="00E4275A"/>
    <w:rsid w:val="00E42810"/>
    <w:rsid w:val="00E4284C"/>
    <w:rsid w:val="00E42915"/>
    <w:rsid w:val="00E42935"/>
    <w:rsid w:val="00E42954"/>
    <w:rsid w:val="00E4296A"/>
    <w:rsid w:val="00E4297E"/>
    <w:rsid w:val="00E42B8C"/>
    <w:rsid w:val="00E42C99"/>
    <w:rsid w:val="00E42CA1"/>
    <w:rsid w:val="00E42CAD"/>
    <w:rsid w:val="00E42CE9"/>
    <w:rsid w:val="00E42D44"/>
    <w:rsid w:val="00E42D70"/>
    <w:rsid w:val="00E42EE2"/>
    <w:rsid w:val="00E42EFF"/>
    <w:rsid w:val="00E42F71"/>
    <w:rsid w:val="00E42F87"/>
    <w:rsid w:val="00E43099"/>
    <w:rsid w:val="00E430AB"/>
    <w:rsid w:val="00E4318D"/>
    <w:rsid w:val="00E43287"/>
    <w:rsid w:val="00E432E8"/>
    <w:rsid w:val="00E4330E"/>
    <w:rsid w:val="00E433A4"/>
    <w:rsid w:val="00E433AD"/>
    <w:rsid w:val="00E433ED"/>
    <w:rsid w:val="00E43578"/>
    <w:rsid w:val="00E43603"/>
    <w:rsid w:val="00E4373F"/>
    <w:rsid w:val="00E43993"/>
    <w:rsid w:val="00E43A3A"/>
    <w:rsid w:val="00E43B2B"/>
    <w:rsid w:val="00E43BF4"/>
    <w:rsid w:val="00E43BF7"/>
    <w:rsid w:val="00E43C82"/>
    <w:rsid w:val="00E43D7E"/>
    <w:rsid w:val="00E43DB0"/>
    <w:rsid w:val="00E43E87"/>
    <w:rsid w:val="00E43F21"/>
    <w:rsid w:val="00E43F2B"/>
    <w:rsid w:val="00E43F36"/>
    <w:rsid w:val="00E440FB"/>
    <w:rsid w:val="00E44204"/>
    <w:rsid w:val="00E44229"/>
    <w:rsid w:val="00E442F7"/>
    <w:rsid w:val="00E44358"/>
    <w:rsid w:val="00E44371"/>
    <w:rsid w:val="00E443B8"/>
    <w:rsid w:val="00E44529"/>
    <w:rsid w:val="00E44562"/>
    <w:rsid w:val="00E445DA"/>
    <w:rsid w:val="00E44611"/>
    <w:rsid w:val="00E4471F"/>
    <w:rsid w:val="00E44730"/>
    <w:rsid w:val="00E44859"/>
    <w:rsid w:val="00E449F6"/>
    <w:rsid w:val="00E44A66"/>
    <w:rsid w:val="00E44A6A"/>
    <w:rsid w:val="00E44B98"/>
    <w:rsid w:val="00E44BFB"/>
    <w:rsid w:val="00E44C19"/>
    <w:rsid w:val="00E44DC6"/>
    <w:rsid w:val="00E44E12"/>
    <w:rsid w:val="00E44F4A"/>
    <w:rsid w:val="00E44F9D"/>
    <w:rsid w:val="00E4502D"/>
    <w:rsid w:val="00E4505F"/>
    <w:rsid w:val="00E45236"/>
    <w:rsid w:val="00E452B1"/>
    <w:rsid w:val="00E45311"/>
    <w:rsid w:val="00E454D5"/>
    <w:rsid w:val="00E454F6"/>
    <w:rsid w:val="00E4554B"/>
    <w:rsid w:val="00E45773"/>
    <w:rsid w:val="00E45810"/>
    <w:rsid w:val="00E45883"/>
    <w:rsid w:val="00E458BB"/>
    <w:rsid w:val="00E458F6"/>
    <w:rsid w:val="00E45A08"/>
    <w:rsid w:val="00E45A6E"/>
    <w:rsid w:val="00E45B25"/>
    <w:rsid w:val="00E45B6E"/>
    <w:rsid w:val="00E45BF6"/>
    <w:rsid w:val="00E45BFD"/>
    <w:rsid w:val="00E45C12"/>
    <w:rsid w:val="00E45C65"/>
    <w:rsid w:val="00E45C6B"/>
    <w:rsid w:val="00E45CDB"/>
    <w:rsid w:val="00E45DBC"/>
    <w:rsid w:val="00E45DF3"/>
    <w:rsid w:val="00E45E96"/>
    <w:rsid w:val="00E45ED2"/>
    <w:rsid w:val="00E45F90"/>
    <w:rsid w:val="00E45FF9"/>
    <w:rsid w:val="00E46108"/>
    <w:rsid w:val="00E4611A"/>
    <w:rsid w:val="00E461F7"/>
    <w:rsid w:val="00E46367"/>
    <w:rsid w:val="00E463CD"/>
    <w:rsid w:val="00E464E7"/>
    <w:rsid w:val="00E4657D"/>
    <w:rsid w:val="00E46580"/>
    <w:rsid w:val="00E46782"/>
    <w:rsid w:val="00E46871"/>
    <w:rsid w:val="00E468F3"/>
    <w:rsid w:val="00E46A8B"/>
    <w:rsid w:val="00E46B3E"/>
    <w:rsid w:val="00E46BD4"/>
    <w:rsid w:val="00E46D7C"/>
    <w:rsid w:val="00E46E52"/>
    <w:rsid w:val="00E46E6E"/>
    <w:rsid w:val="00E47066"/>
    <w:rsid w:val="00E47168"/>
    <w:rsid w:val="00E4724B"/>
    <w:rsid w:val="00E47276"/>
    <w:rsid w:val="00E47343"/>
    <w:rsid w:val="00E47350"/>
    <w:rsid w:val="00E47452"/>
    <w:rsid w:val="00E47538"/>
    <w:rsid w:val="00E47582"/>
    <w:rsid w:val="00E475B7"/>
    <w:rsid w:val="00E477FE"/>
    <w:rsid w:val="00E4781E"/>
    <w:rsid w:val="00E47854"/>
    <w:rsid w:val="00E47893"/>
    <w:rsid w:val="00E478E4"/>
    <w:rsid w:val="00E479D1"/>
    <w:rsid w:val="00E47A30"/>
    <w:rsid w:val="00E47ACB"/>
    <w:rsid w:val="00E47B13"/>
    <w:rsid w:val="00E47B2F"/>
    <w:rsid w:val="00E47B4D"/>
    <w:rsid w:val="00E47BAF"/>
    <w:rsid w:val="00E47C1B"/>
    <w:rsid w:val="00E47C9B"/>
    <w:rsid w:val="00E47D22"/>
    <w:rsid w:val="00E47D4B"/>
    <w:rsid w:val="00E47DAC"/>
    <w:rsid w:val="00E47F85"/>
    <w:rsid w:val="00E5013A"/>
    <w:rsid w:val="00E501A4"/>
    <w:rsid w:val="00E501D6"/>
    <w:rsid w:val="00E5023B"/>
    <w:rsid w:val="00E50241"/>
    <w:rsid w:val="00E502FA"/>
    <w:rsid w:val="00E5031D"/>
    <w:rsid w:val="00E5033E"/>
    <w:rsid w:val="00E50634"/>
    <w:rsid w:val="00E50656"/>
    <w:rsid w:val="00E5065B"/>
    <w:rsid w:val="00E506C7"/>
    <w:rsid w:val="00E50730"/>
    <w:rsid w:val="00E507A0"/>
    <w:rsid w:val="00E508DC"/>
    <w:rsid w:val="00E50931"/>
    <w:rsid w:val="00E5093F"/>
    <w:rsid w:val="00E509CD"/>
    <w:rsid w:val="00E509FD"/>
    <w:rsid w:val="00E50A86"/>
    <w:rsid w:val="00E50B08"/>
    <w:rsid w:val="00E50B3C"/>
    <w:rsid w:val="00E50B69"/>
    <w:rsid w:val="00E50C2D"/>
    <w:rsid w:val="00E50CB9"/>
    <w:rsid w:val="00E50DF9"/>
    <w:rsid w:val="00E50E07"/>
    <w:rsid w:val="00E50E76"/>
    <w:rsid w:val="00E50EB2"/>
    <w:rsid w:val="00E50FE2"/>
    <w:rsid w:val="00E5108F"/>
    <w:rsid w:val="00E510A2"/>
    <w:rsid w:val="00E51126"/>
    <w:rsid w:val="00E5118C"/>
    <w:rsid w:val="00E511D0"/>
    <w:rsid w:val="00E51207"/>
    <w:rsid w:val="00E51477"/>
    <w:rsid w:val="00E5170B"/>
    <w:rsid w:val="00E51727"/>
    <w:rsid w:val="00E51A40"/>
    <w:rsid w:val="00E51A4A"/>
    <w:rsid w:val="00E51AF2"/>
    <w:rsid w:val="00E51AFF"/>
    <w:rsid w:val="00E51BCA"/>
    <w:rsid w:val="00E51C21"/>
    <w:rsid w:val="00E51D5D"/>
    <w:rsid w:val="00E51D67"/>
    <w:rsid w:val="00E51E9C"/>
    <w:rsid w:val="00E52089"/>
    <w:rsid w:val="00E5208B"/>
    <w:rsid w:val="00E52198"/>
    <w:rsid w:val="00E521CD"/>
    <w:rsid w:val="00E5237C"/>
    <w:rsid w:val="00E5248E"/>
    <w:rsid w:val="00E52579"/>
    <w:rsid w:val="00E525B4"/>
    <w:rsid w:val="00E525B8"/>
    <w:rsid w:val="00E52734"/>
    <w:rsid w:val="00E52785"/>
    <w:rsid w:val="00E527CE"/>
    <w:rsid w:val="00E52862"/>
    <w:rsid w:val="00E528B8"/>
    <w:rsid w:val="00E5293D"/>
    <w:rsid w:val="00E529A1"/>
    <w:rsid w:val="00E529D5"/>
    <w:rsid w:val="00E529E0"/>
    <w:rsid w:val="00E529E8"/>
    <w:rsid w:val="00E52AAA"/>
    <w:rsid w:val="00E52B9F"/>
    <w:rsid w:val="00E52BE1"/>
    <w:rsid w:val="00E52C00"/>
    <w:rsid w:val="00E52C45"/>
    <w:rsid w:val="00E52C75"/>
    <w:rsid w:val="00E52C82"/>
    <w:rsid w:val="00E52CD7"/>
    <w:rsid w:val="00E52CFA"/>
    <w:rsid w:val="00E52D2A"/>
    <w:rsid w:val="00E52DD1"/>
    <w:rsid w:val="00E52F20"/>
    <w:rsid w:val="00E52F44"/>
    <w:rsid w:val="00E52FC9"/>
    <w:rsid w:val="00E53145"/>
    <w:rsid w:val="00E5325E"/>
    <w:rsid w:val="00E5336A"/>
    <w:rsid w:val="00E533FE"/>
    <w:rsid w:val="00E534B2"/>
    <w:rsid w:val="00E534EF"/>
    <w:rsid w:val="00E53505"/>
    <w:rsid w:val="00E53571"/>
    <w:rsid w:val="00E53577"/>
    <w:rsid w:val="00E536D3"/>
    <w:rsid w:val="00E5374F"/>
    <w:rsid w:val="00E53764"/>
    <w:rsid w:val="00E537E6"/>
    <w:rsid w:val="00E53808"/>
    <w:rsid w:val="00E539CA"/>
    <w:rsid w:val="00E53A42"/>
    <w:rsid w:val="00E53AD9"/>
    <w:rsid w:val="00E53B36"/>
    <w:rsid w:val="00E53B94"/>
    <w:rsid w:val="00E53CFA"/>
    <w:rsid w:val="00E53D00"/>
    <w:rsid w:val="00E53D0D"/>
    <w:rsid w:val="00E53D75"/>
    <w:rsid w:val="00E53E99"/>
    <w:rsid w:val="00E53EDC"/>
    <w:rsid w:val="00E54004"/>
    <w:rsid w:val="00E54041"/>
    <w:rsid w:val="00E54075"/>
    <w:rsid w:val="00E54083"/>
    <w:rsid w:val="00E541DD"/>
    <w:rsid w:val="00E5423B"/>
    <w:rsid w:val="00E542A3"/>
    <w:rsid w:val="00E542F3"/>
    <w:rsid w:val="00E54383"/>
    <w:rsid w:val="00E543A0"/>
    <w:rsid w:val="00E54425"/>
    <w:rsid w:val="00E54474"/>
    <w:rsid w:val="00E54499"/>
    <w:rsid w:val="00E5454F"/>
    <w:rsid w:val="00E545AD"/>
    <w:rsid w:val="00E54641"/>
    <w:rsid w:val="00E5467A"/>
    <w:rsid w:val="00E546D5"/>
    <w:rsid w:val="00E546E0"/>
    <w:rsid w:val="00E5471B"/>
    <w:rsid w:val="00E54739"/>
    <w:rsid w:val="00E5481D"/>
    <w:rsid w:val="00E54855"/>
    <w:rsid w:val="00E54A16"/>
    <w:rsid w:val="00E54A2B"/>
    <w:rsid w:val="00E54A63"/>
    <w:rsid w:val="00E54AA0"/>
    <w:rsid w:val="00E54B3B"/>
    <w:rsid w:val="00E54B4F"/>
    <w:rsid w:val="00E54C2B"/>
    <w:rsid w:val="00E54D5F"/>
    <w:rsid w:val="00E54E6D"/>
    <w:rsid w:val="00E54F63"/>
    <w:rsid w:val="00E55005"/>
    <w:rsid w:val="00E550C0"/>
    <w:rsid w:val="00E550F5"/>
    <w:rsid w:val="00E55193"/>
    <w:rsid w:val="00E551F5"/>
    <w:rsid w:val="00E5530C"/>
    <w:rsid w:val="00E554D6"/>
    <w:rsid w:val="00E55680"/>
    <w:rsid w:val="00E5568B"/>
    <w:rsid w:val="00E556C8"/>
    <w:rsid w:val="00E556DE"/>
    <w:rsid w:val="00E559B9"/>
    <w:rsid w:val="00E559F9"/>
    <w:rsid w:val="00E55A0B"/>
    <w:rsid w:val="00E55A88"/>
    <w:rsid w:val="00E55ADD"/>
    <w:rsid w:val="00E55AEB"/>
    <w:rsid w:val="00E55BBB"/>
    <w:rsid w:val="00E55C11"/>
    <w:rsid w:val="00E55C19"/>
    <w:rsid w:val="00E55CA7"/>
    <w:rsid w:val="00E55D33"/>
    <w:rsid w:val="00E55D41"/>
    <w:rsid w:val="00E55DA3"/>
    <w:rsid w:val="00E55DAF"/>
    <w:rsid w:val="00E55E09"/>
    <w:rsid w:val="00E55E78"/>
    <w:rsid w:val="00E55F3E"/>
    <w:rsid w:val="00E55F4E"/>
    <w:rsid w:val="00E56049"/>
    <w:rsid w:val="00E5608E"/>
    <w:rsid w:val="00E560A1"/>
    <w:rsid w:val="00E560B3"/>
    <w:rsid w:val="00E5611A"/>
    <w:rsid w:val="00E5616B"/>
    <w:rsid w:val="00E561DE"/>
    <w:rsid w:val="00E5620A"/>
    <w:rsid w:val="00E56214"/>
    <w:rsid w:val="00E56308"/>
    <w:rsid w:val="00E56367"/>
    <w:rsid w:val="00E5636F"/>
    <w:rsid w:val="00E563CB"/>
    <w:rsid w:val="00E5645F"/>
    <w:rsid w:val="00E56465"/>
    <w:rsid w:val="00E5646F"/>
    <w:rsid w:val="00E564B1"/>
    <w:rsid w:val="00E564E2"/>
    <w:rsid w:val="00E564E7"/>
    <w:rsid w:val="00E5658C"/>
    <w:rsid w:val="00E56845"/>
    <w:rsid w:val="00E568D6"/>
    <w:rsid w:val="00E5691B"/>
    <w:rsid w:val="00E56978"/>
    <w:rsid w:val="00E5698B"/>
    <w:rsid w:val="00E569A9"/>
    <w:rsid w:val="00E569C7"/>
    <w:rsid w:val="00E569F3"/>
    <w:rsid w:val="00E56A57"/>
    <w:rsid w:val="00E56C67"/>
    <w:rsid w:val="00E56D85"/>
    <w:rsid w:val="00E56D8E"/>
    <w:rsid w:val="00E56DE1"/>
    <w:rsid w:val="00E56FEB"/>
    <w:rsid w:val="00E57063"/>
    <w:rsid w:val="00E570D2"/>
    <w:rsid w:val="00E571E7"/>
    <w:rsid w:val="00E572C1"/>
    <w:rsid w:val="00E57334"/>
    <w:rsid w:val="00E57488"/>
    <w:rsid w:val="00E5757F"/>
    <w:rsid w:val="00E57587"/>
    <w:rsid w:val="00E576D1"/>
    <w:rsid w:val="00E577D4"/>
    <w:rsid w:val="00E5785B"/>
    <w:rsid w:val="00E578E8"/>
    <w:rsid w:val="00E57954"/>
    <w:rsid w:val="00E57A0C"/>
    <w:rsid w:val="00E57A27"/>
    <w:rsid w:val="00E57A99"/>
    <w:rsid w:val="00E57B5A"/>
    <w:rsid w:val="00E57B88"/>
    <w:rsid w:val="00E57CEB"/>
    <w:rsid w:val="00E57D0B"/>
    <w:rsid w:val="00E57D62"/>
    <w:rsid w:val="00E57DE4"/>
    <w:rsid w:val="00E57E19"/>
    <w:rsid w:val="00E57E38"/>
    <w:rsid w:val="00E57E73"/>
    <w:rsid w:val="00E57FEC"/>
    <w:rsid w:val="00E6005F"/>
    <w:rsid w:val="00E6007A"/>
    <w:rsid w:val="00E60185"/>
    <w:rsid w:val="00E601AA"/>
    <w:rsid w:val="00E601F8"/>
    <w:rsid w:val="00E60295"/>
    <w:rsid w:val="00E6038A"/>
    <w:rsid w:val="00E604F2"/>
    <w:rsid w:val="00E605A0"/>
    <w:rsid w:val="00E60679"/>
    <w:rsid w:val="00E6069D"/>
    <w:rsid w:val="00E60705"/>
    <w:rsid w:val="00E60754"/>
    <w:rsid w:val="00E607A4"/>
    <w:rsid w:val="00E607D3"/>
    <w:rsid w:val="00E60976"/>
    <w:rsid w:val="00E60984"/>
    <w:rsid w:val="00E60A3F"/>
    <w:rsid w:val="00E60A58"/>
    <w:rsid w:val="00E60B4B"/>
    <w:rsid w:val="00E60B5C"/>
    <w:rsid w:val="00E60C07"/>
    <w:rsid w:val="00E60C45"/>
    <w:rsid w:val="00E60C81"/>
    <w:rsid w:val="00E60D16"/>
    <w:rsid w:val="00E60E8B"/>
    <w:rsid w:val="00E60EA8"/>
    <w:rsid w:val="00E60F1C"/>
    <w:rsid w:val="00E60F5A"/>
    <w:rsid w:val="00E60F87"/>
    <w:rsid w:val="00E610B3"/>
    <w:rsid w:val="00E610D7"/>
    <w:rsid w:val="00E610F9"/>
    <w:rsid w:val="00E61157"/>
    <w:rsid w:val="00E6115C"/>
    <w:rsid w:val="00E613CA"/>
    <w:rsid w:val="00E613D8"/>
    <w:rsid w:val="00E614D6"/>
    <w:rsid w:val="00E614E8"/>
    <w:rsid w:val="00E61684"/>
    <w:rsid w:val="00E6175D"/>
    <w:rsid w:val="00E61A08"/>
    <w:rsid w:val="00E61A4C"/>
    <w:rsid w:val="00E61CD9"/>
    <w:rsid w:val="00E61D05"/>
    <w:rsid w:val="00E61D32"/>
    <w:rsid w:val="00E61E45"/>
    <w:rsid w:val="00E61E4A"/>
    <w:rsid w:val="00E61EED"/>
    <w:rsid w:val="00E61F59"/>
    <w:rsid w:val="00E61FE0"/>
    <w:rsid w:val="00E61FE8"/>
    <w:rsid w:val="00E6204B"/>
    <w:rsid w:val="00E620B3"/>
    <w:rsid w:val="00E62155"/>
    <w:rsid w:val="00E6216E"/>
    <w:rsid w:val="00E621BC"/>
    <w:rsid w:val="00E6224B"/>
    <w:rsid w:val="00E62275"/>
    <w:rsid w:val="00E62360"/>
    <w:rsid w:val="00E623DD"/>
    <w:rsid w:val="00E623FB"/>
    <w:rsid w:val="00E62461"/>
    <w:rsid w:val="00E6248C"/>
    <w:rsid w:val="00E6251E"/>
    <w:rsid w:val="00E62574"/>
    <w:rsid w:val="00E62645"/>
    <w:rsid w:val="00E62683"/>
    <w:rsid w:val="00E626E4"/>
    <w:rsid w:val="00E62710"/>
    <w:rsid w:val="00E62724"/>
    <w:rsid w:val="00E62833"/>
    <w:rsid w:val="00E6292D"/>
    <w:rsid w:val="00E62AD9"/>
    <w:rsid w:val="00E62B4C"/>
    <w:rsid w:val="00E62C02"/>
    <w:rsid w:val="00E62C98"/>
    <w:rsid w:val="00E62CD1"/>
    <w:rsid w:val="00E62D58"/>
    <w:rsid w:val="00E62DD4"/>
    <w:rsid w:val="00E62F60"/>
    <w:rsid w:val="00E62F80"/>
    <w:rsid w:val="00E62F8B"/>
    <w:rsid w:val="00E63059"/>
    <w:rsid w:val="00E6306F"/>
    <w:rsid w:val="00E6312C"/>
    <w:rsid w:val="00E63165"/>
    <w:rsid w:val="00E63239"/>
    <w:rsid w:val="00E63289"/>
    <w:rsid w:val="00E632D4"/>
    <w:rsid w:val="00E634FA"/>
    <w:rsid w:val="00E63601"/>
    <w:rsid w:val="00E6367B"/>
    <w:rsid w:val="00E6375D"/>
    <w:rsid w:val="00E637B9"/>
    <w:rsid w:val="00E637D9"/>
    <w:rsid w:val="00E639FA"/>
    <w:rsid w:val="00E63AE7"/>
    <w:rsid w:val="00E63B0D"/>
    <w:rsid w:val="00E63B60"/>
    <w:rsid w:val="00E63D52"/>
    <w:rsid w:val="00E63D82"/>
    <w:rsid w:val="00E63FA1"/>
    <w:rsid w:val="00E642B2"/>
    <w:rsid w:val="00E642D3"/>
    <w:rsid w:val="00E64326"/>
    <w:rsid w:val="00E64361"/>
    <w:rsid w:val="00E64415"/>
    <w:rsid w:val="00E64443"/>
    <w:rsid w:val="00E6463E"/>
    <w:rsid w:val="00E64651"/>
    <w:rsid w:val="00E64755"/>
    <w:rsid w:val="00E64769"/>
    <w:rsid w:val="00E647C5"/>
    <w:rsid w:val="00E648B0"/>
    <w:rsid w:val="00E649AD"/>
    <w:rsid w:val="00E649ED"/>
    <w:rsid w:val="00E649F4"/>
    <w:rsid w:val="00E64A4A"/>
    <w:rsid w:val="00E64AEB"/>
    <w:rsid w:val="00E64D45"/>
    <w:rsid w:val="00E64D47"/>
    <w:rsid w:val="00E64DD1"/>
    <w:rsid w:val="00E64E0E"/>
    <w:rsid w:val="00E64E3A"/>
    <w:rsid w:val="00E64E44"/>
    <w:rsid w:val="00E64E47"/>
    <w:rsid w:val="00E64EE2"/>
    <w:rsid w:val="00E64EF1"/>
    <w:rsid w:val="00E64F2E"/>
    <w:rsid w:val="00E64F54"/>
    <w:rsid w:val="00E64FEA"/>
    <w:rsid w:val="00E6516D"/>
    <w:rsid w:val="00E65177"/>
    <w:rsid w:val="00E651C6"/>
    <w:rsid w:val="00E6522E"/>
    <w:rsid w:val="00E65253"/>
    <w:rsid w:val="00E65442"/>
    <w:rsid w:val="00E65469"/>
    <w:rsid w:val="00E6560F"/>
    <w:rsid w:val="00E65632"/>
    <w:rsid w:val="00E6563B"/>
    <w:rsid w:val="00E6573E"/>
    <w:rsid w:val="00E657DF"/>
    <w:rsid w:val="00E65885"/>
    <w:rsid w:val="00E65968"/>
    <w:rsid w:val="00E6598C"/>
    <w:rsid w:val="00E659AB"/>
    <w:rsid w:val="00E659B3"/>
    <w:rsid w:val="00E659D4"/>
    <w:rsid w:val="00E65A45"/>
    <w:rsid w:val="00E65AC3"/>
    <w:rsid w:val="00E65AFF"/>
    <w:rsid w:val="00E65B36"/>
    <w:rsid w:val="00E65D24"/>
    <w:rsid w:val="00E65FD0"/>
    <w:rsid w:val="00E66048"/>
    <w:rsid w:val="00E660DC"/>
    <w:rsid w:val="00E6612E"/>
    <w:rsid w:val="00E661D0"/>
    <w:rsid w:val="00E662A2"/>
    <w:rsid w:val="00E662E4"/>
    <w:rsid w:val="00E663A8"/>
    <w:rsid w:val="00E663B7"/>
    <w:rsid w:val="00E663EA"/>
    <w:rsid w:val="00E66419"/>
    <w:rsid w:val="00E66420"/>
    <w:rsid w:val="00E66758"/>
    <w:rsid w:val="00E66775"/>
    <w:rsid w:val="00E668A3"/>
    <w:rsid w:val="00E668CC"/>
    <w:rsid w:val="00E6699E"/>
    <w:rsid w:val="00E669DE"/>
    <w:rsid w:val="00E66A63"/>
    <w:rsid w:val="00E66A6A"/>
    <w:rsid w:val="00E66A8F"/>
    <w:rsid w:val="00E66B0B"/>
    <w:rsid w:val="00E66B52"/>
    <w:rsid w:val="00E66B92"/>
    <w:rsid w:val="00E66CD9"/>
    <w:rsid w:val="00E66CE1"/>
    <w:rsid w:val="00E66CE6"/>
    <w:rsid w:val="00E66D4F"/>
    <w:rsid w:val="00E66DFF"/>
    <w:rsid w:val="00E66EF2"/>
    <w:rsid w:val="00E66F80"/>
    <w:rsid w:val="00E66FB0"/>
    <w:rsid w:val="00E67023"/>
    <w:rsid w:val="00E67067"/>
    <w:rsid w:val="00E670D0"/>
    <w:rsid w:val="00E670F7"/>
    <w:rsid w:val="00E6724E"/>
    <w:rsid w:val="00E6725A"/>
    <w:rsid w:val="00E67332"/>
    <w:rsid w:val="00E67383"/>
    <w:rsid w:val="00E67406"/>
    <w:rsid w:val="00E674DD"/>
    <w:rsid w:val="00E675CE"/>
    <w:rsid w:val="00E67710"/>
    <w:rsid w:val="00E677EF"/>
    <w:rsid w:val="00E67829"/>
    <w:rsid w:val="00E678CF"/>
    <w:rsid w:val="00E67990"/>
    <w:rsid w:val="00E67AA0"/>
    <w:rsid w:val="00E67BF8"/>
    <w:rsid w:val="00E67C52"/>
    <w:rsid w:val="00E67C95"/>
    <w:rsid w:val="00E67D2B"/>
    <w:rsid w:val="00E67DAD"/>
    <w:rsid w:val="00E67DC2"/>
    <w:rsid w:val="00E67E68"/>
    <w:rsid w:val="00E67F28"/>
    <w:rsid w:val="00E67F76"/>
    <w:rsid w:val="00E7000B"/>
    <w:rsid w:val="00E70028"/>
    <w:rsid w:val="00E7004B"/>
    <w:rsid w:val="00E700A0"/>
    <w:rsid w:val="00E70258"/>
    <w:rsid w:val="00E70264"/>
    <w:rsid w:val="00E70282"/>
    <w:rsid w:val="00E702A5"/>
    <w:rsid w:val="00E70363"/>
    <w:rsid w:val="00E70377"/>
    <w:rsid w:val="00E704E1"/>
    <w:rsid w:val="00E7050E"/>
    <w:rsid w:val="00E70639"/>
    <w:rsid w:val="00E7067D"/>
    <w:rsid w:val="00E7067F"/>
    <w:rsid w:val="00E706F8"/>
    <w:rsid w:val="00E708BC"/>
    <w:rsid w:val="00E708C5"/>
    <w:rsid w:val="00E70965"/>
    <w:rsid w:val="00E70993"/>
    <w:rsid w:val="00E70B56"/>
    <w:rsid w:val="00E70B80"/>
    <w:rsid w:val="00E70C1E"/>
    <w:rsid w:val="00E70CB2"/>
    <w:rsid w:val="00E70CB6"/>
    <w:rsid w:val="00E70D0F"/>
    <w:rsid w:val="00E70D27"/>
    <w:rsid w:val="00E70E53"/>
    <w:rsid w:val="00E7103D"/>
    <w:rsid w:val="00E711A0"/>
    <w:rsid w:val="00E712FD"/>
    <w:rsid w:val="00E71307"/>
    <w:rsid w:val="00E7132F"/>
    <w:rsid w:val="00E7137C"/>
    <w:rsid w:val="00E7142C"/>
    <w:rsid w:val="00E71431"/>
    <w:rsid w:val="00E7144A"/>
    <w:rsid w:val="00E7163D"/>
    <w:rsid w:val="00E7167F"/>
    <w:rsid w:val="00E71760"/>
    <w:rsid w:val="00E717AA"/>
    <w:rsid w:val="00E71862"/>
    <w:rsid w:val="00E7187E"/>
    <w:rsid w:val="00E71900"/>
    <w:rsid w:val="00E71946"/>
    <w:rsid w:val="00E71963"/>
    <w:rsid w:val="00E71975"/>
    <w:rsid w:val="00E71991"/>
    <w:rsid w:val="00E71A33"/>
    <w:rsid w:val="00E71B6F"/>
    <w:rsid w:val="00E71C14"/>
    <w:rsid w:val="00E71CE9"/>
    <w:rsid w:val="00E71DA2"/>
    <w:rsid w:val="00E71DA5"/>
    <w:rsid w:val="00E71DC2"/>
    <w:rsid w:val="00E71E1A"/>
    <w:rsid w:val="00E71F8C"/>
    <w:rsid w:val="00E71FE0"/>
    <w:rsid w:val="00E720AF"/>
    <w:rsid w:val="00E721AE"/>
    <w:rsid w:val="00E721FB"/>
    <w:rsid w:val="00E722D9"/>
    <w:rsid w:val="00E724BD"/>
    <w:rsid w:val="00E725BC"/>
    <w:rsid w:val="00E7266B"/>
    <w:rsid w:val="00E72674"/>
    <w:rsid w:val="00E726B5"/>
    <w:rsid w:val="00E726ED"/>
    <w:rsid w:val="00E7280E"/>
    <w:rsid w:val="00E72860"/>
    <w:rsid w:val="00E72881"/>
    <w:rsid w:val="00E728F5"/>
    <w:rsid w:val="00E729BA"/>
    <w:rsid w:val="00E729C7"/>
    <w:rsid w:val="00E729C9"/>
    <w:rsid w:val="00E72A41"/>
    <w:rsid w:val="00E72A79"/>
    <w:rsid w:val="00E72C4B"/>
    <w:rsid w:val="00E72C5D"/>
    <w:rsid w:val="00E72CD7"/>
    <w:rsid w:val="00E72CD9"/>
    <w:rsid w:val="00E72DA9"/>
    <w:rsid w:val="00E72DB6"/>
    <w:rsid w:val="00E72F5D"/>
    <w:rsid w:val="00E72FC5"/>
    <w:rsid w:val="00E73022"/>
    <w:rsid w:val="00E73028"/>
    <w:rsid w:val="00E73068"/>
    <w:rsid w:val="00E73087"/>
    <w:rsid w:val="00E730A4"/>
    <w:rsid w:val="00E7311B"/>
    <w:rsid w:val="00E7331E"/>
    <w:rsid w:val="00E7337E"/>
    <w:rsid w:val="00E73389"/>
    <w:rsid w:val="00E7339E"/>
    <w:rsid w:val="00E733FE"/>
    <w:rsid w:val="00E736CB"/>
    <w:rsid w:val="00E73728"/>
    <w:rsid w:val="00E7391F"/>
    <w:rsid w:val="00E739EB"/>
    <w:rsid w:val="00E73A54"/>
    <w:rsid w:val="00E73B64"/>
    <w:rsid w:val="00E73B73"/>
    <w:rsid w:val="00E73CC2"/>
    <w:rsid w:val="00E73D4D"/>
    <w:rsid w:val="00E73E2F"/>
    <w:rsid w:val="00E73E5C"/>
    <w:rsid w:val="00E73FFE"/>
    <w:rsid w:val="00E74082"/>
    <w:rsid w:val="00E7413D"/>
    <w:rsid w:val="00E74166"/>
    <w:rsid w:val="00E74186"/>
    <w:rsid w:val="00E742BB"/>
    <w:rsid w:val="00E74374"/>
    <w:rsid w:val="00E7441F"/>
    <w:rsid w:val="00E7452B"/>
    <w:rsid w:val="00E7453B"/>
    <w:rsid w:val="00E745F0"/>
    <w:rsid w:val="00E746FB"/>
    <w:rsid w:val="00E747C4"/>
    <w:rsid w:val="00E747E4"/>
    <w:rsid w:val="00E749E8"/>
    <w:rsid w:val="00E74A9E"/>
    <w:rsid w:val="00E74AF0"/>
    <w:rsid w:val="00E74B5D"/>
    <w:rsid w:val="00E74B6E"/>
    <w:rsid w:val="00E74C23"/>
    <w:rsid w:val="00E74EA2"/>
    <w:rsid w:val="00E74EB1"/>
    <w:rsid w:val="00E74EB8"/>
    <w:rsid w:val="00E74F59"/>
    <w:rsid w:val="00E74FA5"/>
    <w:rsid w:val="00E75070"/>
    <w:rsid w:val="00E7514B"/>
    <w:rsid w:val="00E75330"/>
    <w:rsid w:val="00E754A1"/>
    <w:rsid w:val="00E7569C"/>
    <w:rsid w:val="00E7578A"/>
    <w:rsid w:val="00E757B7"/>
    <w:rsid w:val="00E758BA"/>
    <w:rsid w:val="00E758FE"/>
    <w:rsid w:val="00E7592F"/>
    <w:rsid w:val="00E75933"/>
    <w:rsid w:val="00E759AB"/>
    <w:rsid w:val="00E75B80"/>
    <w:rsid w:val="00E75BA7"/>
    <w:rsid w:val="00E75BBE"/>
    <w:rsid w:val="00E75DF4"/>
    <w:rsid w:val="00E75E8F"/>
    <w:rsid w:val="00E75EC3"/>
    <w:rsid w:val="00E75F6C"/>
    <w:rsid w:val="00E75FA3"/>
    <w:rsid w:val="00E7600F"/>
    <w:rsid w:val="00E76079"/>
    <w:rsid w:val="00E761F7"/>
    <w:rsid w:val="00E762CB"/>
    <w:rsid w:val="00E7632F"/>
    <w:rsid w:val="00E763A7"/>
    <w:rsid w:val="00E763EB"/>
    <w:rsid w:val="00E76420"/>
    <w:rsid w:val="00E76475"/>
    <w:rsid w:val="00E76515"/>
    <w:rsid w:val="00E76564"/>
    <w:rsid w:val="00E76655"/>
    <w:rsid w:val="00E76683"/>
    <w:rsid w:val="00E7671E"/>
    <w:rsid w:val="00E76746"/>
    <w:rsid w:val="00E7678E"/>
    <w:rsid w:val="00E76829"/>
    <w:rsid w:val="00E768E0"/>
    <w:rsid w:val="00E769AC"/>
    <w:rsid w:val="00E76A1E"/>
    <w:rsid w:val="00E76A42"/>
    <w:rsid w:val="00E76A83"/>
    <w:rsid w:val="00E76A9F"/>
    <w:rsid w:val="00E76C1D"/>
    <w:rsid w:val="00E76C20"/>
    <w:rsid w:val="00E76CE5"/>
    <w:rsid w:val="00E76CEF"/>
    <w:rsid w:val="00E76D4F"/>
    <w:rsid w:val="00E76EE2"/>
    <w:rsid w:val="00E76F10"/>
    <w:rsid w:val="00E76FF2"/>
    <w:rsid w:val="00E77069"/>
    <w:rsid w:val="00E77273"/>
    <w:rsid w:val="00E7733E"/>
    <w:rsid w:val="00E7737A"/>
    <w:rsid w:val="00E77396"/>
    <w:rsid w:val="00E773E4"/>
    <w:rsid w:val="00E773F9"/>
    <w:rsid w:val="00E77521"/>
    <w:rsid w:val="00E7755F"/>
    <w:rsid w:val="00E77576"/>
    <w:rsid w:val="00E775F1"/>
    <w:rsid w:val="00E77905"/>
    <w:rsid w:val="00E77A19"/>
    <w:rsid w:val="00E77B4D"/>
    <w:rsid w:val="00E77C22"/>
    <w:rsid w:val="00E77CF6"/>
    <w:rsid w:val="00E77D0C"/>
    <w:rsid w:val="00E77D31"/>
    <w:rsid w:val="00E77FBB"/>
    <w:rsid w:val="00E80044"/>
    <w:rsid w:val="00E800BC"/>
    <w:rsid w:val="00E80178"/>
    <w:rsid w:val="00E80299"/>
    <w:rsid w:val="00E80385"/>
    <w:rsid w:val="00E80393"/>
    <w:rsid w:val="00E803B9"/>
    <w:rsid w:val="00E803DF"/>
    <w:rsid w:val="00E80423"/>
    <w:rsid w:val="00E80463"/>
    <w:rsid w:val="00E80495"/>
    <w:rsid w:val="00E8051F"/>
    <w:rsid w:val="00E8064D"/>
    <w:rsid w:val="00E80720"/>
    <w:rsid w:val="00E80760"/>
    <w:rsid w:val="00E80805"/>
    <w:rsid w:val="00E8083C"/>
    <w:rsid w:val="00E80931"/>
    <w:rsid w:val="00E8093B"/>
    <w:rsid w:val="00E809D9"/>
    <w:rsid w:val="00E80A24"/>
    <w:rsid w:val="00E80A4B"/>
    <w:rsid w:val="00E80B6F"/>
    <w:rsid w:val="00E80C30"/>
    <w:rsid w:val="00E80D65"/>
    <w:rsid w:val="00E80DCC"/>
    <w:rsid w:val="00E80F50"/>
    <w:rsid w:val="00E80FC6"/>
    <w:rsid w:val="00E810E7"/>
    <w:rsid w:val="00E81116"/>
    <w:rsid w:val="00E81311"/>
    <w:rsid w:val="00E81443"/>
    <w:rsid w:val="00E8146C"/>
    <w:rsid w:val="00E814B2"/>
    <w:rsid w:val="00E814EB"/>
    <w:rsid w:val="00E8158E"/>
    <w:rsid w:val="00E816FF"/>
    <w:rsid w:val="00E81706"/>
    <w:rsid w:val="00E81730"/>
    <w:rsid w:val="00E81776"/>
    <w:rsid w:val="00E817AA"/>
    <w:rsid w:val="00E81910"/>
    <w:rsid w:val="00E81951"/>
    <w:rsid w:val="00E819B3"/>
    <w:rsid w:val="00E819E4"/>
    <w:rsid w:val="00E81C43"/>
    <w:rsid w:val="00E81CC2"/>
    <w:rsid w:val="00E81D4D"/>
    <w:rsid w:val="00E81E96"/>
    <w:rsid w:val="00E81F23"/>
    <w:rsid w:val="00E81F9D"/>
    <w:rsid w:val="00E81FC1"/>
    <w:rsid w:val="00E82042"/>
    <w:rsid w:val="00E82082"/>
    <w:rsid w:val="00E82085"/>
    <w:rsid w:val="00E820EA"/>
    <w:rsid w:val="00E82100"/>
    <w:rsid w:val="00E82203"/>
    <w:rsid w:val="00E82223"/>
    <w:rsid w:val="00E822B8"/>
    <w:rsid w:val="00E823E1"/>
    <w:rsid w:val="00E8249A"/>
    <w:rsid w:val="00E824A9"/>
    <w:rsid w:val="00E82518"/>
    <w:rsid w:val="00E825E1"/>
    <w:rsid w:val="00E826E2"/>
    <w:rsid w:val="00E82751"/>
    <w:rsid w:val="00E8282A"/>
    <w:rsid w:val="00E828D0"/>
    <w:rsid w:val="00E82939"/>
    <w:rsid w:val="00E82973"/>
    <w:rsid w:val="00E82BB4"/>
    <w:rsid w:val="00E82BE1"/>
    <w:rsid w:val="00E82C12"/>
    <w:rsid w:val="00E82CC3"/>
    <w:rsid w:val="00E82CE3"/>
    <w:rsid w:val="00E82D39"/>
    <w:rsid w:val="00E82D8B"/>
    <w:rsid w:val="00E82E51"/>
    <w:rsid w:val="00E82EB4"/>
    <w:rsid w:val="00E83046"/>
    <w:rsid w:val="00E83049"/>
    <w:rsid w:val="00E83064"/>
    <w:rsid w:val="00E83115"/>
    <w:rsid w:val="00E83147"/>
    <w:rsid w:val="00E8314B"/>
    <w:rsid w:val="00E8319F"/>
    <w:rsid w:val="00E831B0"/>
    <w:rsid w:val="00E8327C"/>
    <w:rsid w:val="00E8339B"/>
    <w:rsid w:val="00E83422"/>
    <w:rsid w:val="00E834C5"/>
    <w:rsid w:val="00E834FA"/>
    <w:rsid w:val="00E8392A"/>
    <w:rsid w:val="00E839C4"/>
    <w:rsid w:val="00E83ADC"/>
    <w:rsid w:val="00E83B06"/>
    <w:rsid w:val="00E83B25"/>
    <w:rsid w:val="00E83B30"/>
    <w:rsid w:val="00E83D9E"/>
    <w:rsid w:val="00E83E6A"/>
    <w:rsid w:val="00E83EEE"/>
    <w:rsid w:val="00E83F14"/>
    <w:rsid w:val="00E83F2E"/>
    <w:rsid w:val="00E83FFE"/>
    <w:rsid w:val="00E8411A"/>
    <w:rsid w:val="00E84174"/>
    <w:rsid w:val="00E842BC"/>
    <w:rsid w:val="00E8430C"/>
    <w:rsid w:val="00E84329"/>
    <w:rsid w:val="00E84529"/>
    <w:rsid w:val="00E84561"/>
    <w:rsid w:val="00E845A0"/>
    <w:rsid w:val="00E845C1"/>
    <w:rsid w:val="00E8465D"/>
    <w:rsid w:val="00E8479C"/>
    <w:rsid w:val="00E847B2"/>
    <w:rsid w:val="00E847E2"/>
    <w:rsid w:val="00E8497F"/>
    <w:rsid w:val="00E849B9"/>
    <w:rsid w:val="00E84AB9"/>
    <w:rsid w:val="00E84DA2"/>
    <w:rsid w:val="00E84DD1"/>
    <w:rsid w:val="00E84E27"/>
    <w:rsid w:val="00E84E4C"/>
    <w:rsid w:val="00E84F14"/>
    <w:rsid w:val="00E85063"/>
    <w:rsid w:val="00E85077"/>
    <w:rsid w:val="00E850CE"/>
    <w:rsid w:val="00E851A9"/>
    <w:rsid w:val="00E8521A"/>
    <w:rsid w:val="00E85323"/>
    <w:rsid w:val="00E853F7"/>
    <w:rsid w:val="00E85414"/>
    <w:rsid w:val="00E85424"/>
    <w:rsid w:val="00E8559B"/>
    <w:rsid w:val="00E8562A"/>
    <w:rsid w:val="00E856D1"/>
    <w:rsid w:val="00E858FE"/>
    <w:rsid w:val="00E85928"/>
    <w:rsid w:val="00E85936"/>
    <w:rsid w:val="00E859F5"/>
    <w:rsid w:val="00E85AF6"/>
    <w:rsid w:val="00E85BE1"/>
    <w:rsid w:val="00E85CB4"/>
    <w:rsid w:val="00E85F86"/>
    <w:rsid w:val="00E8605D"/>
    <w:rsid w:val="00E86064"/>
    <w:rsid w:val="00E86115"/>
    <w:rsid w:val="00E86116"/>
    <w:rsid w:val="00E86148"/>
    <w:rsid w:val="00E861BA"/>
    <w:rsid w:val="00E861D3"/>
    <w:rsid w:val="00E8624C"/>
    <w:rsid w:val="00E863E7"/>
    <w:rsid w:val="00E864AF"/>
    <w:rsid w:val="00E86524"/>
    <w:rsid w:val="00E86565"/>
    <w:rsid w:val="00E86587"/>
    <w:rsid w:val="00E86777"/>
    <w:rsid w:val="00E867B1"/>
    <w:rsid w:val="00E86846"/>
    <w:rsid w:val="00E8693F"/>
    <w:rsid w:val="00E86E35"/>
    <w:rsid w:val="00E86E70"/>
    <w:rsid w:val="00E86E8B"/>
    <w:rsid w:val="00E86FEC"/>
    <w:rsid w:val="00E86FED"/>
    <w:rsid w:val="00E87148"/>
    <w:rsid w:val="00E8722F"/>
    <w:rsid w:val="00E87230"/>
    <w:rsid w:val="00E8727E"/>
    <w:rsid w:val="00E8728B"/>
    <w:rsid w:val="00E8735C"/>
    <w:rsid w:val="00E8735F"/>
    <w:rsid w:val="00E875EC"/>
    <w:rsid w:val="00E87629"/>
    <w:rsid w:val="00E87751"/>
    <w:rsid w:val="00E8781E"/>
    <w:rsid w:val="00E879A0"/>
    <w:rsid w:val="00E879AB"/>
    <w:rsid w:val="00E87B8C"/>
    <w:rsid w:val="00E87C23"/>
    <w:rsid w:val="00E87EBF"/>
    <w:rsid w:val="00E87F43"/>
    <w:rsid w:val="00E87FB7"/>
    <w:rsid w:val="00E90014"/>
    <w:rsid w:val="00E90138"/>
    <w:rsid w:val="00E902F2"/>
    <w:rsid w:val="00E90303"/>
    <w:rsid w:val="00E90304"/>
    <w:rsid w:val="00E90313"/>
    <w:rsid w:val="00E90465"/>
    <w:rsid w:val="00E904EE"/>
    <w:rsid w:val="00E904FB"/>
    <w:rsid w:val="00E905DE"/>
    <w:rsid w:val="00E905E4"/>
    <w:rsid w:val="00E90674"/>
    <w:rsid w:val="00E9070A"/>
    <w:rsid w:val="00E9071E"/>
    <w:rsid w:val="00E9076E"/>
    <w:rsid w:val="00E9079B"/>
    <w:rsid w:val="00E907A6"/>
    <w:rsid w:val="00E907C9"/>
    <w:rsid w:val="00E90800"/>
    <w:rsid w:val="00E9091B"/>
    <w:rsid w:val="00E90937"/>
    <w:rsid w:val="00E909FB"/>
    <w:rsid w:val="00E90A20"/>
    <w:rsid w:val="00E90AB0"/>
    <w:rsid w:val="00E90AB6"/>
    <w:rsid w:val="00E90AE8"/>
    <w:rsid w:val="00E90AFD"/>
    <w:rsid w:val="00E90B8A"/>
    <w:rsid w:val="00E90C49"/>
    <w:rsid w:val="00E90D5F"/>
    <w:rsid w:val="00E90DD4"/>
    <w:rsid w:val="00E90DDF"/>
    <w:rsid w:val="00E90E24"/>
    <w:rsid w:val="00E90EC4"/>
    <w:rsid w:val="00E90F11"/>
    <w:rsid w:val="00E90F9B"/>
    <w:rsid w:val="00E90FBF"/>
    <w:rsid w:val="00E9112A"/>
    <w:rsid w:val="00E91208"/>
    <w:rsid w:val="00E91252"/>
    <w:rsid w:val="00E91400"/>
    <w:rsid w:val="00E914E0"/>
    <w:rsid w:val="00E91503"/>
    <w:rsid w:val="00E91602"/>
    <w:rsid w:val="00E91753"/>
    <w:rsid w:val="00E91916"/>
    <w:rsid w:val="00E91A80"/>
    <w:rsid w:val="00E91AC2"/>
    <w:rsid w:val="00E91B0E"/>
    <w:rsid w:val="00E91B85"/>
    <w:rsid w:val="00E91C58"/>
    <w:rsid w:val="00E91CB0"/>
    <w:rsid w:val="00E91DCE"/>
    <w:rsid w:val="00E91EBC"/>
    <w:rsid w:val="00E91FD5"/>
    <w:rsid w:val="00E9207C"/>
    <w:rsid w:val="00E9209C"/>
    <w:rsid w:val="00E920F6"/>
    <w:rsid w:val="00E9239C"/>
    <w:rsid w:val="00E923BE"/>
    <w:rsid w:val="00E923D5"/>
    <w:rsid w:val="00E9251D"/>
    <w:rsid w:val="00E925BA"/>
    <w:rsid w:val="00E925BD"/>
    <w:rsid w:val="00E92716"/>
    <w:rsid w:val="00E927A7"/>
    <w:rsid w:val="00E927D8"/>
    <w:rsid w:val="00E928FA"/>
    <w:rsid w:val="00E9296F"/>
    <w:rsid w:val="00E92A68"/>
    <w:rsid w:val="00E92A86"/>
    <w:rsid w:val="00E92B52"/>
    <w:rsid w:val="00E92C95"/>
    <w:rsid w:val="00E92CB8"/>
    <w:rsid w:val="00E92D1D"/>
    <w:rsid w:val="00E92D8D"/>
    <w:rsid w:val="00E92F56"/>
    <w:rsid w:val="00E93017"/>
    <w:rsid w:val="00E93082"/>
    <w:rsid w:val="00E930B7"/>
    <w:rsid w:val="00E9319E"/>
    <w:rsid w:val="00E932A7"/>
    <w:rsid w:val="00E93327"/>
    <w:rsid w:val="00E9336C"/>
    <w:rsid w:val="00E933AD"/>
    <w:rsid w:val="00E9340F"/>
    <w:rsid w:val="00E93532"/>
    <w:rsid w:val="00E935EB"/>
    <w:rsid w:val="00E938CA"/>
    <w:rsid w:val="00E939A0"/>
    <w:rsid w:val="00E939AA"/>
    <w:rsid w:val="00E939B3"/>
    <w:rsid w:val="00E93A71"/>
    <w:rsid w:val="00E93A81"/>
    <w:rsid w:val="00E93A83"/>
    <w:rsid w:val="00E93A89"/>
    <w:rsid w:val="00E93C23"/>
    <w:rsid w:val="00E93CB5"/>
    <w:rsid w:val="00E93DDB"/>
    <w:rsid w:val="00E93E66"/>
    <w:rsid w:val="00E93EB9"/>
    <w:rsid w:val="00E93F07"/>
    <w:rsid w:val="00E93F24"/>
    <w:rsid w:val="00E93FFB"/>
    <w:rsid w:val="00E9403F"/>
    <w:rsid w:val="00E94111"/>
    <w:rsid w:val="00E9412A"/>
    <w:rsid w:val="00E94165"/>
    <w:rsid w:val="00E94173"/>
    <w:rsid w:val="00E941DE"/>
    <w:rsid w:val="00E94253"/>
    <w:rsid w:val="00E9425A"/>
    <w:rsid w:val="00E94284"/>
    <w:rsid w:val="00E9431E"/>
    <w:rsid w:val="00E9434E"/>
    <w:rsid w:val="00E9439F"/>
    <w:rsid w:val="00E94475"/>
    <w:rsid w:val="00E9447D"/>
    <w:rsid w:val="00E944C0"/>
    <w:rsid w:val="00E94608"/>
    <w:rsid w:val="00E9468F"/>
    <w:rsid w:val="00E946C4"/>
    <w:rsid w:val="00E946D7"/>
    <w:rsid w:val="00E9472D"/>
    <w:rsid w:val="00E94817"/>
    <w:rsid w:val="00E9483C"/>
    <w:rsid w:val="00E94844"/>
    <w:rsid w:val="00E94939"/>
    <w:rsid w:val="00E94B4C"/>
    <w:rsid w:val="00E94B63"/>
    <w:rsid w:val="00E94BC2"/>
    <w:rsid w:val="00E94C62"/>
    <w:rsid w:val="00E94DC4"/>
    <w:rsid w:val="00E94F0E"/>
    <w:rsid w:val="00E94F19"/>
    <w:rsid w:val="00E94F36"/>
    <w:rsid w:val="00E94F68"/>
    <w:rsid w:val="00E94FC3"/>
    <w:rsid w:val="00E95110"/>
    <w:rsid w:val="00E95139"/>
    <w:rsid w:val="00E952D4"/>
    <w:rsid w:val="00E95309"/>
    <w:rsid w:val="00E95361"/>
    <w:rsid w:val="00E95440"/>
    <w:rsid w:val="00E95511"/>
    <w:rsid w:val="00E955B9"/>
    <w:rsid w:val="00E9567D"/>
    <w:rsid w:val="00E958C7"/>
    <w:rsid w:val="00E958F2"/>
    <w:rsid w:val="00E959F4"/>
    <w:rsid w:val="00E95A28"/>
    <w:rsid w:val="00E95A2B"/>
    <w:rsid w:val="00E95B88"/>
    <w:rsid w:val="00E95BC8"/>
    <w:rsid w:val="00E95C3E"/>
    <w:rsid w:val="00E95C69"/>
    <w:rsid w:val="00E95D06"/>
    <w:rsid w:val="00E95D25"/>
    <w:rsid w:val="00E95D60"/>
    <w:rsid w:val="00E95EB5"/>
    <w:rsid w:val="00E95EB8"/>
    <w:rsid w:val="00E95ECC"/>
    <w:rsid w:val="00E95F13"/>
    <w:rsid w:val="00E95F24"/>
    <w:rsid w:val="00E96057"/>
    <w:rsid w:val="00E960F9"/>
    <w:rsid w:val="00E96331"/>
    <w:rsid w:val="00E96373"/>
    <w:rsid w:val="00E963E3"/>
    <w:rsid w:val="00E96425"/>
    <w:rsid w:val="00E96575"/>
    <w:rsid w:val="00E96695"/>
    <w:rsid w:val="00E967F8"/>
    <w:rsid w:val="00E9682C"/>
    <w:rsid w:val="00E968C1"/>
    <w:rsid w:val="00E96BD9"/>
    <w:rsid w:val="00E96C0E"/>
    <w:rsid w:val="00E96C4F"/>
    <w:rsid w:val="00E96CAB"/>
    <w:rsid w:val="00E96D2E"/>
    <w:rsid w:val="00E96EA1"/>
    <w:rsid w:val="00E96F83"/>
    <w:rsid w:val="00E96FC2"/>
    <w:rsid w:val="00E9704D"/>
    <w:rsid w:val="00E97109"/>
    <w:rsid w:val="00E97250"/>
    <w:rsid w:val="00E972B6"/>
    <w:rsid w:val="00E972CE"/>
    <w:rsid w:val="00E9738E"/>
    <w:rsid w:val="00E9745A"/>
    <w:rsid w:val="00E974B5"/>
    <w:rsid w:val="00E974D7"/>
    <w:rsid w:val="00E975EA"/>
    <w:rsid w:val="00E9764B"/>
    <w:rsid w:val="00E979B9"/>
    <w:rsid w:val="00E97A46"/>
    <w:rsid w:val="00E97A4A"/>
    <w:rsid w:val="00E97A78"/>
    <w:rsid w:val="00E97B26"/>
    <w:rsid w:val="00E97B57"/>
    <w:rsid w:val="00E97B5D"/>
    <w:rsid w:val="00E97B69"/>
    <w:rsid w:val="00E97B7B"/>
    <w:rsid w:val="00E97BBD"/>
    <w:rsid w:val="00E97C53"/>
    <w:rsid w:val="00E97CDE"/>
    <w:rsid w:val="00E97D89"/>
    <w:rsid w:val="00EA004A"/>
    <w:rsid w:val="00EA008F"/>
    <w:rsid w:val="00EA00DC"/>
    <w:rsid w:val="00EA0163"/>
    <w:rsid w:val="00EA0205"/>
    <w:rsid w:val="00EA0240"/>
    <w:rsid w:val="00EA0284"/>
    <w:rsid w:val="00EA02F9"/>
    <w:rsid w:val="00EA033F"/>
    <w:rsid w:val="00EA0356"/>
    <w:rsid w:val="00EA03A3"/>
    <w:rsid w:val="00EA03A8"/>
    <w:rsid w:val="00EA04A3"/>
    <w:rsid w:val="00EA0578"/>
    <w:rsid w:val="00EA05D4"/>
    <w:rsid w:val="00EA05E5"/>
    <w:rsid w:val="00EA0695"/>
    <w:rsid w:val="00EA06BB"/>
    <w:rsid w:val="00EA06F7"/>
    <w:rsid w:val="00EA0737"/>
    <w:rsid w:val="00EA076E"/>
    <w:rsid w:val="00EA07CC"/>
    <w:rsid w:val="00EA07F7"/>
    <w:rsid w:val="00EA085F"/>
    <w:rsid w:val="00EA08C5"/>
    <w:rsid w:val="00EA093A"/>
    <w:rsid w:val="00EA0963"/>
    <w:rsid w:val="00EA09BE"/>
    <w:rsid w:val="00EA09EE"/>
    <w:rsid w:val="00EA0A20"/>
    <w:rsid w:val="00EA0A42"/>
    <w:rsid w:val="00EA0C88"/>
    <w:rsid w:val="00EA0CAA"/>
    <w:rsid w:val="00EA0DA0"/>
    <w:rsid w:val="00EA0ECD"/>
    <w:rsid w:val="00EA100F"/>
    <w:rsid w:val="00EA1110"/>
    <w:rsid w:val="00EA13E9"/>
    <w:rsid w:val="00EA143E"/>
    <w:rsid w:val="00EA1476"/>
    <w:rsid w:val="00EA1506"/>
    <w:rsid w:val="00EA18AF"/>
    <w:rsid w:val="00EA18E7"/>
    <w:rsid w:val="00EA19C2"/>
    <w:rsid w:val="00EA1A01"/>
    <w:rsid w:val="00EA1A1F"/>
    <w:rsid w:val="00EA1CF9"/>
    <w:rsid w:val="00EA1D3D"/>
    <w:rsid w:val="00EA1D77"/>
    <w:rsid w:val="00EA1DAA"/>
    <w:rsid w:val="00EA1E74"/>
    <w:rsid w:val="00EA1ED5"/>
    <w:rsid w:val="00EA1F8F"/>
    <w:rsid w:val="00EA1FC6"/>
    <w:rsid w:val="00EA2025"/>
    <w:rsid w:val="00EA20BE"/>
    <w:rsid w:val="00EA2115"/>
    <w:rsid w:val="00EA2194"/>
    <w:rsid w:val="00EA2234"/>
    <w:rsid w:val="00EA22AF"/>
    <w:rsid w:val="00EA22F5"/>
    <w:rsid w:val="00EA2354"/>
    <w:rsid w:val="00EA24E9"/>
    <w:rsid w:val="00EA2559"/>
    <w:rsid w:val="00EA25C1"/>
    <w:rsid w:val="00EA25CD"/>
    <w:rsid w:val="00EA26BD"/>
    <w:rsid w:val="00EA2880"/>
    <w:rsid w:val="00EA2896"/>
    <w:rsid w:val="00EA295A"/>
    <w:rsid w:val="00EA2994"/>
    <w:rsid w:val="00EA2B49"/>
    <w:rsid w:val="00EA2BD3"/>
    <w:rsid w:val="00EA2C07"/>
    <w:rsid w:val="00EA2C1B"/>
    <w:rsid w:val="00EA2CE4"/>
    <w:rsid w:val="00EA2D3C"/>
    <w:rsid w:val="00EA2F0A"/>
    <w:rsid w:val="00EA2F96"/>
    <w:rsid w:val="00EA3009"/>
    <w:rsid w:val="00EA3108"/>
    <w:rsid w:val="00EA315D"/>
    <w:rsid w:val="00EA3164"/>
    <w:rsid w:val="00EA31C6"/>
    <w:rsid w:val="00EA31F4"/>
    <w:rsid w:val="00EA3290"/>
    <w:rsid w:val="00EA345A"/>
    <w:rsid w:val="00EA347B"/>
    <w:rsid w:val="00EA34B1"/>
    <w:rsid w:val="00EA34CE"/>
    <w:rsid w:val="00EA3521"/>
    <w:rsid w:val="00EA36D0"/>
    <w:rsid w:val="00EA36D4"/>
    <w:rsid w:val="00EA370C"/>
    <w:rsid w:val="00EA3748"/>
    <w:rsid w:val="00EA37D0"/>
    <w:rsid w:val="00EA384D"/>
    <w:rsid w:val="00EA3888"/>
    <w:rsid w:val="00EA38D0"/>
    <w:rsid w:val="00EA39F4"/>
    <w:rsid w:val="00EA3A35"/>
    <w:rsid w:val="00EA3A5F"/>
    <w:rsid w:val="00EA3A75"/>
    <w:rsid w:val="00EA3A96"/>
    <w:rsid w:val="00EA3B1E"/>
    <w:rsid w:val="00EA3B33"/>
    <w:rsid w:val="00EA3BA1"/>
    <w:rsid w:val="00EA3C5E"/>
    <w:rsid w:val="00EA3D47"/>
    <w:rsid w:val="00EA3E4B"/>
    <w:rsid w:val="00EA3E55"/>
    <w:rsid w:val="00EA3E88"/>
    <w:rsid w:val="00EA3EA7"/>
    <w:rsid w:val="00EA3FDE"/>
    <w:rsid w:val="00EA3FEE"/>
    <w:rsid w:val="00EA402F"/>
    <w:rsid w:val="00EA40D2"/>
    <w:rsid w:val="00EA422A"/>
    <w:rsid w:val="00EA4346"/>
    <w:rsid w:val="00EA44D1"/>
    <w:rsid w:val="00EA45AB"/>
    <w:rsid w:val="00EA463D"/>
    <w:rsid w:val="00EA46D2"/>
    <w:rsid w:val="00EA48A5"/>
    <w:rsid w:val="00EA4A66"/>
    <w:rsid w:val="00EA4A6C"/>
    <w:rsid w:val="00EA4C9F"/>
    <w:rsid w:val="00EA4DA6"/>
    <w:rsid w:val="00EA4E29"/>
    <w:rsid w:val="00EA4F49"/>
    <w:rsid w:val="00EA505D"/>
    <w:rsid w:val="00EA5270"/>
    <w:rsid w:val="00EA527D"/>
    <w:rsid w:val="00EA52CC"/>
    <w:rsid w:val="00EA5325"/>
    <w:rsid w:val="00EA53B7"/>
    <w:rsid w:val="00EA5406"/>
    <w:rsid w:val="00EA55D7"/>
    <w:rsid w:val="00EA5714"/>
    <w:rsid w:val="00EA572C"/>
    <w:rsid w:val="00EA592F"/>
    <w:rsid w:val="00EA5997"/>
    <w:rsid w:val="00EA59DA"/>
    <w:rsid w:val="00EA5A09"/>
    <w:rsid w:val="00EA5A29"/>
    <w:rsid w:val="00EA5BBF"/>
    <w:rsid w:val="00EA5BC7"/>
    <w:rsid w:val="00EA5BC9"/>
    <w:rsid w:val="00EA5BF1"/>
    <w:rsid w:val="00EA5C0F"/>
    <w:rsid w:val="00EA5DDD"/>
    <w:rsid w:val="00EA5F55"/>
    <w:rsid w:val="00EA61B6"/>
    <w:rsid w:val="00EA62D1"/>
    <w:rsid w:val="00EA635C"/>
    <w:rsid w:val="00EA6373"/>
    <w:rsid w:val="00EA63D3"/>
    <w:rsid w:val="00EA6478"/>
    <w:rsid w:val="00EA649A"/>
    <w:rsid w:val="00EA667C"/>
    <w:rsid w:val="00EA66B9"/>
    <w:rsid w:val="00EA6785"/>
    <w:rsid w:val="00EA68E7"/>
    <w:rsid w:val="00EA6931"/>
    <w:rsid w:val="00EA6A3F"/>
    <w:rsid w:val="00EA6A50"/>
    <w:rsid w:val="00EA6A9A"/>
    <w:rsid w:val="00EA6AEE"/>
    <w:rsid w:val="00EA6B47"/>
    <w:rsid w:val="00EA6B53"/>
    <w:rsid w:val="00EA6C33"/>
    <w:rsid w:val="00EA6C6D"/>
    <w:rsid w:val="00EA6CC0"/>
    <w:rsid w:val="00EA6E9D"/>
    <w:rsid w:val="00EA6EF5"/>
    <w:rsid w:val="00EA6F9B"/>
    <w:rsid w:val="00EA6FD3"/>
    <w:rsid w:val="00EA6FEF"/>
    <w:rsid w:val="00EA70A2"/>
    <w:rsid w:val="00EA70DE"/>
    <w:rsid w:val="00EA70E6"/>
    <w:rsid w:val="00EA70EB"/>
    <w:rsid w:val="00EA726B"/>
    <w:rsid w:val="00EA7351"/>
    <w:rsid w:val="00EA737F"/>
    <w:rsid w:val="00EA75CB"/>
    <w:rsid w:val="00EA7613"/>
    <w:rsid w:val="00EA7656"/>
    <w:rsid w:val="00EA765D"/>
    <w:rsid w:val="00EA76A8"/>
    <w:rsid w:val="00EA76C0"/>
    <w:rsid w:val="00EA780D"/>
    <w:rsid w:val="00EA78FD"/>
    <w:rsid w:val="00EA7940"/>
    <w:rsid w:val="00EA7956"/>
    <w:rsid w:val="00EA7A2A"/>
    <w:rsid w:val="00EA7A94"/>
    <w:rsid w:val="00EA7A9E"/>
    <w:rsid w:val="00EA7B60"/>
    <w:rsid w:val="00EA7C95"/>
    <w:rsid w:val="00EA7D8D"/>
    <w:rsid w:val="00EA7E9F"/>
    <w:rsid w:val="00EA7F73"/>
    <w:rsid w:val="00EB0061"/>
    <w:rsid w:val="00EB01E2"/>
    <w:rsid w:val="00EB0322"/>
    <w:rsid w:val="00EB033C"/>
    <w:rsid w:val="00EB03CC"/>
    <w:rsid w:val="00EB04B0"/>
    <w:rsid w:val="00EB04FF"/>
    <w:rsid w:val="00EB05B1"/>
    <w:rsid w:val="00EB05D0"/>
    <w:rsid w:val="00EB0657"/>
    <w:rsid w:val="00EB0791"/>
    <w:rsid w:val="00EB07A6"/>
    <w:rsid w:val="00EB07B1"/>
    <w:rsid w:val="00EB07F3"/>
    <w:rsid w:val="00EB082A"/>
    <w:rsid w:val="00EB088F"/>
    <w:rsid w:val="00EB0B6A"/>
    <w:rsid w:val="00EB0BBF"/>
    <w:rsid w:val="00EB0E61"/>
    <w:rsid w:val="00EB102E"/>
    <w:rsid w:val="00EB1149"/>
    <w:rsid w:val="00EB118B"/>
    <w:rsid w:val="00EB1272"/>
    <w:rsid w:val="00EB1444"/>
    <w:rsid w:val="00EB1516"/>
    <w:rsid w:val="00EB158B"/>
    <w:rsid w:val="00EB1591"/>
    <w:rsid w:val="00EB15B8"/>
    <w:rsid w:val="00EB1674"/>
    <w:rsid w:val="00EB182F"/>
    <w:rsid w:val="00EB1831"/>
    <w:rsid w:val="00EB18ED"/>
    <w:rsid w:val="00EB18F2"/>
    <w:rsid w:val="00EB1D03"/>
    <w:rsid w:val="00EB1F36"/>
    <w:rsid w:val="00EB1F96"/>
    <w:rsid w:val="00EB2044"/>
    <w:rsid w:val="00EB2174"/>
    <w:rsid w:val="00EB22F8"/>
    <w:rsid w:val="00EB2372"/>
    <w:rsid w:val="00EB237F"/>
    <w:rsid w:val="00EB2418"/>
    <w:rsid w:val="00EB25C0"/>
    <w:rsid w:val="00EB2616"/>
    <w:rsid w:val="00EB26F3"/>
    <w:rsid w:val="00EB2999"/>
    <w:rsid w:val="00EB29B8"/>
    <w:rsid w:val="00EB2A4E"/>
    <w:rsid w:val="00EB2AF6"/>
    <w:rsid w:val="00EB2B4F"/>
    <w:rsid w:val="00EB2BAE"/>
    <w:rsid w:val="00EB2C41"/>
    <w:rsid w:val="00EB2E09"/>
    <w:rsid w:val="00EB2EAD"/>
    <w:rsid w:val="00EB2EDF"/>
    <w:rsid w:val="00EB3012"/>
    <w:rsid w:val="00EB3026"/>
    <w:rsid w:val="00EB31BE"/>
    <w:rsid w:val="00EB33E4"/>
    <w:rsid w:val="00EB352F"/>
    <w:rsid w:val="00EB35BF"/>
    <w:rsid w:val="00EB3643"/>
    <w:rsid w:val="00EB3668"/>
    <w:rsid w:val="00EB367D"/>
    <w:rsid w:val="00EB3760"/>
    <w:rsid w:val="00EB37E9"/>
    <w:rsid w:val="00EB3834"/>
    <w:rsid w:val="00EB3934"/>
    <w:rsid w:val="00EB3B41"/>
    <w:rsid w:val="00EB3B60"/>
    <w:rsid w:val="00EB3BF5"/>
    <w:rsid w:val="00EB3C08"/>
    <w:rsid w:val="00EB3C9D"/>
    <w:rsid w:val="00EB3D0E"/>
    <w:rsid w:val="00EB3D2C"/>
    <w:rsid w:val="00EB3D51"/>
    <w:rsid w:val="00EB3DF5"/>
    <w:rsid w:val="00EB3E42"/>
    <w:rsid w:val="00EB3F2B"/>
    <w:rsid w:val="00EB3FCF"/>
    <w:rsid w:val="00EB3FE2"/>
    <w:rsid w:val="00EB401F"/>
    <w:rsid w:val="00EB4031"/>
    <w:rsid w:val="00EB4098"/>
    <w:rsid w:val="00EB41CB"/>
    <w:rsid w:val="00EB4333"/>
    <w:rsid w:val="00EB43E1"/>
    <w:rsid w:val="00EB4517"/>
    <w:rsid w:val="00EB4A9F"/>
    <w:rsid w:val="00EB4B03"/>
    <w:rsid w:val="00EB4B60"/>
    <w:rsid w:val="00EB4C53"/>
    <w:rsid w:val="00EB4CFD"/>
    <w:rsid w:val="00EB4F83"/>
    <w:rsid w:val="00EB5017"/>
    <w:rsid w:val="00EB5052"/>
    <w:rsid w:val="00EB512A"/>
    <w:rsid w:val="00EB514E"/>
    <w:rsid w:val="00EB5193"/>
    <w:rsid w:val="00EB52EF"/>
    <w:rsid w:val="00EB530F"/>
    <w:rsid w:val="00EB53A6"/>
    <w:rsid w:val="00EB53D6"/>
    <w:rsid w:val="00EB5432"/>
    <w:rsid w:val="00EB558C"/>
    <w:rsid w:val="00EB56D3"/>
    <w:rsid w:val="00EB56DD"/>
    <w:rsid w:val="00EB5760"/>
    <w:rsid w:val="00EB582E"/>
    <w:rsid w:val="00EB5892"/>
    <w:rsid w:val="00EB589C"/>
    <w:rsid w:val="00EB58EC"/>
    <w:rsid w:val="00EB5942"/>
    <w:rsid w:val="00EB594E"/>
    <w:rsid w:val="00EB5990"/>
    <w:rsid w:val="00EB59B2"/>
    <w:rsid w:val="00EB59B4"/>
    <w:rsid w:val="00EB59C2"/>
    <w:rsid w:val="00EB5A66"/>
    <w:rsid w:val="00EB5A73"/>
    <w:rsid w:val="00EB5B9E"/>
    <w:rsid w:val="00EB5CC6"/>
    <w:rsid w:val="00EB5DE7"/>
    <w:rsid w:val="00EB5EE7"/>
    <w:rsid w:val="00EB5F6B"/>
    <w:rsid w:val="00EB5FC2"/>
    <w:rsid w:val="00EB5FEE"/>
    <w:rsid w:val="00EB609E"/>
    <w:rsid w:val="00EB60F4"/>
    <w:rsid w:val="00EB611C"/>
    <w:rsid w:val="00EB61B5"/>
    <w:rsid w:val="00EB6200"/>
    <w:rsid w:val="00EB626C"/>
    <w:rsid w:val="00EB63AC"/>
    <w:rsid w:val="00EB6472"/>
    <w:rsid w:val="00EB64A6"/>
    <w:rsid w:val="00EB64AD"/>
    <w:rsid w:val="00EB64BD"/>
    <w:rsid w:val="00EB65A9"/>
    <w:rsid w:val="00EB65DD"/>
    <w:rsid w:val="00EB661C"/>
    <w:rsid w:val="00EB66E0"/>
    <w:rsid w:val="00EB677C"/>
    <w:rsid w:val="00EB6809"/>
    <w:rsid w:val="00EB68B9"/>
    <w:rsid w:val="00EB68D6"/>
    <w:rsid w:val="00EB69CB"/>
    <w:rsid w:val="00EB69DA"/>
    <w:rsid w:val="00EB69DB"/>
    <w:rsid w:val="00EB6A57"/>
    <w:rsid w:val="00EB6AEE"/>
    <w:rsid w:val="00EB6C21"/>
    <w:rsid w:val="00EB6C60"/>
    <w:rsid w:val="00EB6D25"/>
    <w:rsid w:val="00EB6DE1"/>
    <w:rsid w:val="00EB6EAC"/>
    <w:rsid w:val="00EB6EBA"/>
    <w:rsid w:val="00EB6ED4"/>
    <w:rsid w:val="00EB6FFD"/>
    <w:rsid w:val="00EB7005"/>
    <w:rsid w:val="00EB7038"/>
    <w:rsid w:val="00EB7065"/>
    <w:rsid w:val="00EB7077"/>
    <w:rsid w:val="00EB7098"/>
    <w:rsid w:val="00EB7106"/>
    <w:rsid w:val="00EB7167"/>
    <w:rsid w:val="00EB7178"/>
    <w:rsid w:val="00EB73C2"/>
    <w:rsid w:val="00EB73FC"/>
    <w:rsid w:val="00EB7525"/>
    <w:rsid w:val="00EB75E9"/>
    <w:rsid w:val="00EB7749"/>
    <w:rsid w:val="00EB7764"/>
    <w:rsid w:val="00EB77F8"/>
    <w:rsid w:val="00EB78E0"/>
    <w:rsid w:val="00EB78F9"/>
    <w:rsid w:val="00EB7946"/>
    <w:rsid w:val="00EB7C8C"/>
    <w:rsid w:val="00EB7E08"/>
    <w:rsid w:val="00EB7EAA"/>
    <w:rsid w:val="00EB7F5C"/>
    <w:rsid w:val="00EB7F88"/>
    <w:rsid w:val="00EC0018"/>
    <w:rsid w:val="00EC00D3"/>
    <w:rsid w:val="00EC012C"/>
    <w:rsid w:val="00EC020F"/>
    <w:rsid w:val="00EC0299"/>
    <w:rsid w:val="00EC0381"/>
    <w:rsid w:val="00EC03D0"/>
    <w:rsid w:val="00EC04B9"/>
    <w:rsid w:val="00EC0535"/>
    <w:rsid w:val="00EC05AE"/>
    <w:rsid w:val="00EC05CA"/>
    <w:rsid w:val="00EC07A3"/>
    <w:rsid w:val="00EC07D8"/>
    <w:rsid w:val="00EC07F1"/>
    <w:rsid w:val="00EC0809"/>
    <w:rsid w:val="00EC08B0"/>
    <w:rsid w:val="00EC09D7"/>
    <w:rsid w:val="00EC09FC"/>
    <w:rsid w:val="00EC0A26"/>
    <w:rsid w:val="00EC0AD1"/>
    <w:rsid w:val="00EC0B3E"/>
    <w:rsid w:val="00EC0C98"/>
    <w:rsid w:val="00EC0EAF"/>
    <w:rsid w:val="00EC112B"/>
    <w:rsid w:val="00EC11B5"/>
    <w:rsid w:val="00EC11FE"/>
    <w:rsid w:val="00EC12DC"/>
    <w:rsid w:val="00EC1300"/>
    <w:rsid w:val="00EC13B5"/>
    <w:rsid w:val="00EC14D3"/>
    <w:rsid w:val="00EC1626"/>
    <w:rsid w:val="00EC16E1"/>
    <w:rsid w:val="00EC174E"/>
    <w:rsid w:val="00EC176A"/>
    <w:rsid w:val="00EC17A4"/>
    <w:rsid w:val="00EC18D3"/>
    <w:rsid w:val="00EC1943"/>
    <w:rsid w:val="00EC1B01"/>
    <w:rsid w:val="00EC1B7D"/>
    <w:rsid w:val="00EC1B84"/>
    <w:rsid w:val="00EC1C72"/>
    <w:rsid w:val="00EC1DD1"/>
    <w:rsid w:val="00EC1ECE"/>
    <w:rsid w:val="00EC1F86"/>
    <w:rsid w:val="00EC202F"/>
    <w:rsid w:val="00EC2034"/>
    <w:rsid w:val="00EC2050"/>
    <w:rsid w:val="00EC2073"/>
    <w:rsid w:val="00EC220C"/>
    <w:rsid w:val="00EC228D"/>
    <w:rsid w:val="00EC2369"/>
    <w:rsid w:val="00EC23F6"/>
    <w:rsid w:val="00EC2442"/>
    <w:rsid w:val="00EC2473"/>
    <w:rsid w:val="00EC24ED"/>
    <w:rsid w:val="00EC2589"/>
    <w:rsid w:val="00EC25A2"/>
    <w:rsid w:val="00EC264C"/>
    <w:rsid w:val="00EC2655"/>
    <w:rsid w:val="00EC2802"/>
    <w:rsid w:val="00EC2809"/>
    <w:rsid w:val="00EC281B"/>
    <w:rsid w:val="00EC2890"/>
    <w:rsid w:val="00EC28BD"/>
    <w:rsid w:val="00EC2939"/>
    <w:rsid w:val="00EC2951"/>
    <w:rsid w:val="00EC2974"/>
    <w:rsid w:val="00EC29FF"/>
    <w:rsid w:val="00EC2A85"/>
    <w:rsid w:val="00EC2B89"/>
    <w:rsid w:val="00EC2BDB"/>
    <w:rsid w:val="00EC2BFD"/>
    <w:rsid w:val="00EC2C0C"/>
    <w:rsid w:val="00EC2C4C"/>
    <w:rsid w:val="00EC2D99"/>
    <w:rsid w:val="00EC2E4A"/>
    <w:rsid w:val="00EC2E4F"/>
    <w:rsid w:val="00EC2F70"/>
    <w:rsid w:val="00EC2F93"/>
    <w:rsid w:val="00EC3094"/>
    <w:rsid w:val="00EC30AE"/>
    <w:rsid w:val="00EC30E6"/>
    <w:rsid w:val="00EC319A"/>
    <w:rsid w:val="00EC322E"/>
    <w:rsid w:val="00EC3247"/>
    <w:rsid w:val="00EC327A"/>
    <w:rsid w:val="00EC32A0"/>
    <w:rsid w:val="00EC331B"/>
    <w:rsid w:val="00EC332A"/>
    <w:rsid w:val="00EC338C"/>
    <w:rsid w:val="00EC344D"/>
    <w:rsid w:val="00EC34DF"/>
    <w:rsid w:val="00EC356C"/>
    <w:rsid w:val="00EC3588"/>
    <w:rsid w:val="00EC36C5"/>
    <w:rsid w:val="00EC3768"/>
    <w:rsid w:val="00EC3835"/>
    <w:rsid w:val="00EC38B1"/>
    <w:rsid w:val="00EC394A"/>
    <w:rsid w:val="00EC394E"/>
    <w:rsid w:val="00EC3B1B"/>
    <w:rsid w:val="00EC3B56"/>
    <w:rsid w:val="00EC3CD8"/>
    <w:rsid w:val="00EC3CDA"/>
    <w:rsid w:val="00EC3D59"/>
    <w:rsid w:val="00EC3DA8"/>
    <w:rsid w:val="00EC3E75"/>
    <w:rsid w:val="00EC3E80"/>
    <w:rsid w:val="00EC3E98"/>
    <w:rsid w:val="00EC3F81"/>
    <w:rsid w:val="00EC3FAA"/>
    <w:rsid w:val="00EC3FCD"/>
    <w:rsid w:val="00EC4045"/>
    <w:rsid w:val="00EC41D7"/>
    <w:rsid w:val="00EC4225"/>
    <w:rsid w:val="00EC42DD"/>
    <w:rsid w:val="00EC436C"/>
    <w:rsid w:val="00EC443F"/>
    <w:rsid w:val="00EC44FB"/>
    <w:rsid w:val="00EC451F"/>
    <w:rsid w:val="00EC4564"/>
    <w:rsid w:val="00EC4642"/>
    <w:rsid w:val="00EC4A1E"/>
    <w:rsid w:val="00EC4AD2"/>
    <w:rsid w:val="00EC4B16"/>
    <w:rsid w:val="00EC4BC3"/>
    <w:rsid w:val="00EC4C12"/>
    <w:rsid w:val="00EC4C31"/>
    <w:rsid w:val="00EC4CB8"/>
    <w:rsid w:val="00EC4D1B"/>
    <w:rsid w:val="00EC4E7A"/>
    <w:rsid w:val="00EC4F1F"/>
    <w:rsid w:val="00EC4F3B"/>
    <w:rsid w:val="00EC4F71"/>
    <w:rsid w:val="00EC4FFD"/>
    <w:rsid w:val="00EC506D"/>
    <w:rsid w:val="00EC5089"/>
    <w:rsid w:val="00EC518E"/>
    <w:rsid w:val="00EC51C6"/>
    <w:rsid w:val="00EC5214"/>
    <w:rsid w:val="00EC52CF"/>
    <w:rsid w:val="00EC52E8"/>
    <w:rsid w:val="00EC53C5"/>
    <w:rsid w:val="00EC53D6"/>
    <w:rsid w:val="00EC5610"/>
    <w:rsid w:val="00EC568D"/>
    <w:rsid w:val="00EC56B7"/>
    <w:rsid w:val="00EC571C"/>
    <w:rsid w:val="00EC5740"/>
    <w:rsid w:val="00EC58BB"/>
    <w:rsid w:val="00EC5917"/>
    <w:rsid w:val="00EC5981"/>
    <w:rsid w:val="00EC59A4"/>
    <w:rsid w:val="00EC5A26"/>
    <w:rsid w:val="00EC5A4A"/>
    <w:rsid w:val="00EC5AA1"/>
    <w:rsid w:val="00EC5B06"/>
    <w:rsid w:val="00EC5B1F"/>
    <w:rsid w:val="00EC5BDA"/>
    <w:rsid w:val="00EC5CE6"/>
    <w:rsid w:val="00EC5D48"/>
    <w:rsid w:val="00EC5D6B"/>
    <w:rsid w:val="00EC5DBB"/>
    <w:rsid w:val="00EC6021"/>
    <w:rsid w:val="00EC6073"/>
    <w:rsid w:val="00EC617E"/>
    <w:rsid w:val="00EC62A3"/>
    <w:rsid w:val="00EC659B"/>
    <w:rsid w:val="00EC6665"/>
    <w:rsid w:val="00EC66EC"/>
    <w:rsid w:val="00EC678F"/>
    <w:rsid w:val="00EC6831"/>
    <w:rsid w:val="00EC688E"/>
    <w:rsid w:val="00EC68E8"/>
    <w:rsid w:val="00EC6A10"/>
    <w:rsid w:val="00EC6AC4"/>
    <w:rsid w:val="00EC6BFD"/>
    <w:rsid w:val="00EC6C6C"/>
    <w:rsid w:val="00EC6C80"/>
    <w:rsid w:val="00EC6D0A"/>
    <w:rsid w:val="00EC6D75"/>
    <w:rsid w:val="00EC6D86"/>
    <w:rsid w:val="00EC6E3E"/>
    <w:rsid w:val="00EC6F8C"/>
    <w:rsid w:val="00EC704C"/>
    <w:rsid w:val="00EC7144"/>
    <w:rsid w:val="00EC72D8"/>
    <w:rsid w:val="00EC72F0"/>
    <w:rsid w:val="00EC745A"/>
    <w:rsid w:val="00EC75E9"/>
    <w:rsid w:val="00EC77D3"/>
    <w:rsid w:val="00EC77D5"/>
    <w:rsid w:val="00EC77DA"/>
    <w:rsid w:val="00EC77FF"/>
    <w:rsid w:val="00EC7945"/>
    <w:rsid w:val="00EC79E7"/>
    <w:rsid w:val="00EC79F8"/>
    <w:rsid w:val="00EC7A5D"/>
    <w:rsid w:val="00EC7B13"/>
    <w:rsid w:val="00EC7C85"/>
    <w:rsid w:val="00EC7CB3"/>
    <w:rsid w:val="00EC7CB4"/>
    <w:rsid w:val="00EC7DD1"/>
    <w:rsid w:val="00EC7E96"/>
    <w:rsid w:val="00EC7F21"/>
    <w:rsid w:val="00EC83FE"/>
    <w:rsid w:val="00ED003D"/>
    <w:rsid w:val="00ED0090"/>
    <w:rsid w:val="00ED0198"/>
    <w:rsid w:val="00ED022C"/>
    <w:rsid w:val="00ED02F6"/>
    <w:rsid w:val="00ED030A"/>
    <w:rsid w:val="00ED0335"/>
    <w:rsid w:val="00ED03BD"/>
    <w:rsid w:val="00ED03D9"/>
    <w:rsid w:val="00ED0401"/>
    <w:rsid w:val="00ED044B"/>
    <w:rsid w:val="00ED04F9"/>
    <w:rsid w:val="00ED0561"/>
    <w:rsid w:val="00ED0645"/>
    <w:rsid w:val="00ED0720"/>
    <w:rsid w:val="00ED09B6"/>
    <w:rsid w:val="00ED09FD"/>
    <w:rsid w:val="00ED0B90"/>
    <w:rsid w:val="00ED0C3F"/>
    <w:rsid w:val="00ED0C60"/>
    <w:rsid w:val="00ED0D77"/>
    <w:rsid w:val="00ED0E77"/>
    <w:rsid w:val="00ED0EB1"/>
    <w:rsid w:val="00ED0F33"/>
    <w:rsid w:val="00ED0F87"/>
    <w:rsid w:val="00ED0FC2"/>
    <w:rsid w:val="00ED1032"/>
    <w:rsid w:val="00ED11BE"/>
    <w:rsid w:val="00ED126D"/>
    <w:rsid w:val="00ED12C1"/>
    <w:rsid w:val="00ED13B2"/>
    <w:rsid w:val="00ED13EB"/>
    <w:rsid w:val="00ED1672"/>
    <w:rsid w:val="00ED177C"/>
    <w:rsid w:val="00ED19F7"/>
    <w:rsid w:val="00ED1AC8"/>
    <w:rsid w:val="00ED1B4E"/>
    <w:rsid w:val="00ED1B9D"/>
    <w:rsid w:val="00ED1E7F"/>
    <w:rsid w:val="00ED1EBE"/>
    <w:rsid w:val="00ED1F81"/>
    <w:rsid w:val="00ED1FAC"/>
    <w:rsid w:val="00ED1FC8"/>
    <w:rsid w:val="00ED20E1"/>
    <w:rsid w:val="00ED218A"/>
    <w:rsid w:val="00ED224E"/>
    <w:rsid w:val="00ED22FD"/>
    <w:rsid w:val="00ED239E"/>
    <w:rsid w:val="00ED2433"/>
    <w:rsid w:val="00ED24BA"/>
    <w:rsid w:val="00ED24BE"/>
    <w:rsid w:val="00ED24F0"/>
    <w:rsid w:val="00ED25A8"/>
    <w:rsid w:val="00ED25EB"/>
    <w:rsid w:val="00ED25FF"/>
    <w:rsid w:val="00ED2697"/>
    <w:rsid w:val="00ED269E"/>
    <w:rsid w:val="00ED2797"/>
    <w:rsid w:val="00ED279A"/>
    <w:rsid w:val="00ED2838"/>
    <w:rsid w:val="00ED2875"/>
    <w:rsid w:val="00ED28BB"/>
    <w:rsid w:val="00ED292D"/>
    <w:rsid w:val="00ED29ED"/>
    <w:rsid w:val="00ED2BD0"/>
    <w:rsid w:val="00ED2C07"/>
    <w:rsid w:val="00ED2E30"/>
    <w:rsid w:val="00ED2FAB"/>
    <w:rsid w:val="00ED30D0"/>
    <w:rsid w:val="00ED30E2"/>
    <w:rsid w:val="00ED30F0"/>
    <w:rsid w:val="00ED3112"/>
    <w:rsid w:val="00ED328E"/>
    <w:rsid w:val="00ED3354"/>
    <w:rsid w:val="00ED3390"/>
    <w:rsid w:val="00ED33B3"/>
    <w:rsid w:val="00ED349A"/>
    <w:rsid w:val="00ED3512"/>
    <w:rsid w:val="00ED355D"/>
    <w:rsid w:val="00ED35B1"/>
    <w:rsid w:val="00ED35B6"/>
    <w:rsid w:val="00ED360F"/>
    <w:rsid w:val="00ED363F"/>
    <w:rsid w:val="00ED36FD"/>
    <w:rsid w:val="00ED372F"/>
    <w:rsid w:val="00ED37B1"/>
    <w:rsid w:val="00ED37EF"/>
    <w:rsid w:val="00ED3901"/>
    <w:rsid w:val="00ED3915"/>
    <w:rsid w:val="00ED3984"/>
    <w:rsid w:val="00ED3A66"/>
    <w:rsid w:val="00ED3B3B"/>
    <w:rsid w:val="00ED3B4D"/>
    <w:rsid w:val="00ED3C41"/>
    <w:rsid w:val="00ED3CA9"/>
    <w:rsid w:val="00ED3FD2"/>
    <w:rsid w:val="00ED3FDB"/>
    <w:rsid w:val="00ED40F6"/>
    <w:rsid w:val="00ED42B3"/>
    <w:rsid w:val="00ED42DF"/>
    <w:rsid w:val="00ED43D6"/>
    <w:rsid w:val="00ED447A"/>
    <w:rsid w:val="00ED45A3"/>
    <w:rsid w:val="00ED482D"/>
    <w:rsid w:val="00ED48E0"/>
    <w:rsid w:val="00ED4A41"/>
    <w:rsid w:val="00ED4ACE"/>
    <w:rsid w:val="00ED4B1F"/>
    <w:rsid w:val="00ED4B8C"/>
    <w:rsid w:val="00ED4BC4"/>
    <w:rsid w:val="00ED4C1D"/>
    <w:rsid w:val="00ED4CA6"/>
    <w:rsid w:val="00ED4D20"/>
    <w:rsid w:val="00ED4D64"/>
    <w:rsid w:val="00ED4F58"/>
    <w:rsid w:val="00ED4FBA"/>
    <w:rsid w:val="00ED51F7"/>
    <w:rsid w:val="00ED5288"/>
    <w:rsid w:val="00ED529C"/>
    <w:rsid w:val="00ED5322"/>
    <w:rsid w:val="00ED535D"/>
    <w:rsid w:val="00ED54AA"/>
    <w:rsid w:val="00ED5519"/>
    <w:rsid w:val="00ED55E6"/>
    <w:rsid w:val="00ED566E"/>
    <w:rsid w:val="00ED5731"/>
    <w:rsid w:val="00ED579C"/>
    <w:rsid w:val="00ED5824"/>
    <w:rsid w:val="00ED5872"/>
    <w:rsid w:val="00ED587F"/>
    <w:rsid w:val="00ED594D"/>
    <w:rsid w:val="00ED598F"/>
    <w:rsid w:val="00ED5B33"/>
    <w:rsid w:val="00ED5B71"/>
    <w:rsid w:val="00ED5B8C"/>
    <w:rsid w:val="00ED5BBE"/>
    <w:rsid w:val="00ED5C4E"/>
    <w:rsid w:val="00ED5CC8"/>
    <w:rsid w:val="00ED5D2F"/>
    <w:rsid w:val="00ED5D64"/>
    <w:rsid w:val="00ED5DBA"/>
    <w:rsid w:val="00ED5DE1"/>
    <w:rsid w:val="00ED5DFF"/>
    <w:rsid w:val="00ED5E00"/>
    <w:rsid w:val="00ED5E1C"/>
    <w:rsid w:val="00ED5F48"/>
    <w:rsid w:val="00ED6042"/>
    <w:rsid w:val="00ED60C6"/>
    <w:rsid w:val="00ED6187"/>
    <w:rsid w:val="00ED61D1"/>
    <w:rsid w:val="00ED61E4"/>
    <w:rsid w:val="00ED62D0"/>
    <w:rsid w:val="00ED634A"/>
    <w:rsid w:val="00ED635D"/>
    <w:rsid w:val="00ED63C8"/>
    <w:rsid w:val="00ED63E1"/>
    <w:rsid w:val="00ED63E3"/>
    <w:rsid w:val="00ED6556"/>
    <w:rsid w:val="00ED6559"/>
    <w:rsid w:val="00ED65C0"/>
    <w:rsid w:val="00ED65D2"/>
    <w:rsid w:val="00ED6611"/>
    <w:rsid w:val="00ED6712"/>
    <w:rsid w:val="00ED68F7"/>
    <w:rsid w:val="00ED692D"/>
    <w:rsid w:val="00ED6936"/>
    <w:rsid w:val="00ED6A49"/>
    <w:rsid w:val="00ED6A6D"/>
    <w:rsid w:val="00ED6B3C"/>
    <w:rsid w:val="00ED6B89"/>
    <w:rsid w:val="00ED6C19"/>
    <w:rsid w:val="00ED6C21"/>
    <w:rsid w:val="00ED6C41"/>
    <w:rsid w:val="00ED6C54"/>
    <w:rsid w:val="00ED6C72"/>
    <w:rsid w:val="00ED6CA9"/>
    <w:rsid w:val="00ED6CEC"/>
    <w:rsid w:val="00ED6E78"/>
    <w:rsid w:val="00ED6E89"/>
    <w:rsid w:val="00ED6ECA"/>
    <w:rsid w:val="00ED703F"/>
    <w:rsid w:val="00ED7063"/>
    <w:rsid w:val="00ED70B4"/>
    <w:rsid w:val="00ED7144"/>
    <w:rsid w:val="00ED7215"/>
    <w:rsid w:val="00ED7275"/>
    <w:rsid w:val="00ED72EC"/>
    <w:rsid w:val="00ED7344"/>
    <w:rsid w:val="00ED736E"/>
    <w:rsid w:val="00ED7433"/>
    <w:rsid w:val="00ED7715"/>
    <w:rsid w:val="00ED781B"/>
    <w:rsid w:val="00ED7887"/>
    <w:rsid w:val="00ED7939"/>
    <w:rsid w:val="00ED7A2C"/>
    <w:rsid w:val="00ED7BF8"/>
    <w:rsid w:val="00ED7C51"/>
    <w:rsid w:val="00ED7D23"/>
    <w:rsid w:val="00ED7E27"/>
    <w:rsid w:val="00ED7EA3"/>
    <w:rsid w:val="00ED7F0B"/>
    <w:rsid w:val="00ED7FA4"/>
    <w:rsid w:val="00EE0013"/>
    <w:rsid w:val="00EE0123"/>
    <w:rsid w:val="00EE01AB"/>
    <w:rsid w:val="00EE01E6"/>
    <w:rsid w:val="00EE0315"/>
    <w:rsid w:val="00EE04BE"/>
    <w:rsid w:val="00EE04D4"/>
    <w:rsid w:val="00EE04E6"/>
    <w:rsid w:val="00EE060B"/>
    <w:rsid w:val="00EE06A5"/>
    <w:rsid w:val="00EE06AF"/>
    <w:rsid w:val="00EE06B4"/>
    <w:rsid w:val="00EE07B7"/>
    <w:rsid w:val="00EE07C0"/>
    <w:rsid w:val="00EE07E1"/>
    <w:rsid w:val="00EE0827"/>
    <w:rsid w:val="00EE0831"/>
    <w:rsid w:val="00EE0855"/>
    <w:rsid w:val="00EE0A97"/>
    <w:rsid w:val="00EE0AE3"/>
    <w:rsid w:val="00EE0B62"/>
    <w:rsid w:val="00EE0C4F"/>
    <w:rsid w:val="00EE0CD0"/>
    <w:rsid w:val="00EE0D74"/>
    <w:rsid w:val="00EE0E8A"/>
    <w:rsid w:val="00EE0E95"/>
    <w:rsid w:val="00EE0F32"/>
    <w:rsid w:val="00EE1015"/>
    <w:rsid w:val="00EE12AD"/>
    <w:rsid w:val="00EE130D"/>
    <w:rsid w:val="00EE1393"/>
    <w:rsid w:val="00EE13A0"/>
    <w:rsid w:val="00EE13A8"/>
    <w:rsid w:val="00EE147B"/>
    <w:rsid w:val="00EE1689"/>
    <w:rsid w:val="00EE16D8"/>
    <w:rsid w:val="00EE16DB"/>
    <w:rsid w:val="00EE16ED"/>
    <w:rsid w:val="00EE1766"/>
    <w:rsid w:val="00EE178A"/>
    <w:rsid w:val="00EE17D4"/>
    <w:rsid w:val="00EE17F3"/>
    <w:rsid w:val="00EE1805"/>
    <w:rsid w:val="00EE1819"/>
    <w:rsid w:val="00EE1887"/>
    <w:rsid w:val="00EE18B3"/>
    <w:rsid w:val="00EE1A7A"/>
    <w:rsid w:val="00EE1B5E"/>
    <w:rsid w:val="00EE1B6C"/>
    <w:rsid w:val="00EE1C21"/>
    <w:rsid w:val="00EE1DD9"/>
    <w:rsid w:val="00EE1EA3"/>
    <w:rsid w:val="00EE1F6D"/>
    <w:rsid w:val="00EE1FCB"/>
    <w:rsid w:val="00EE2010"/>
    <w:rsid w:val="00EE2138"/>
    <w:rsid w:val="00EE2166"/>
    <w:rsid w:val="00EE2330"/>
    <w:rsid w:val="00EE2457"/>
    <w:rsid w:val="00EE25AB"/>
    <w:rsid w:val="00EE2617"/>
    <w:rsid w:val="00EE2634"/>
    <w:rsid w:val="00EE264E"/>
    <w:rsid w:val="00EE2699"/>
    <w:rsid w:val="00EE26D6"/>
    <w:rsid w:val="00EE27F5"/>
    <w:rsid w:val="00EE2815"/>
    <w:rsid w:val="00EE2823"/>
    <w:rsid w:val="00EE282B"/>
    <w:rsid w:val="00EE2A5E"/>
    <w:rsid w:val="00EE2AA9"/>
    <w:rsid w:val="00EE2ACE"/>
    <w:rsid w:val="00EE2C12"/>
    <w:rsid w:val="00EE2C37"/>
    <w:rsid w:val="00EE2C3B"/>
    <w:rsid w:val="00EE2C4D"/>
    <w:rsid w:val="00EE2C62"/>
    <w:rsid w:val="00EE2E16"/>
    <w:rsid w:val="00EE2E48"/>
    <w:rsid w:val="00EE2ED3"/>
    <w:rsid w:val="00EE2EEB"/>
    <w:rsid w:val="00EE2F83"/>
    <w:rsid w:val="00EE301E"/>
    <w:rsid w:val="00EE3106"/>
    <w:rsid w:val="00EE3110"/>
    <w:rsid w:val="00EE313C"/>
    <w:rsid w:val="00EE3202"/>
    <w:rsid w:val="00EE320C"/>
    <w:rsid w:val="00EE3269"/>
    <w:rsid w:val="00EE32AB"/>
    <w:rsid w:val="00EE32B5"/>
    <w:rsid w:val="00EE3493"/>
    <w:rsid w:val="00EE34DF"/>
    <w:rsid w:val="00EE3538"/>
    <w:rsid w:val="00EE3541"/>
    <w:rsid w:val="00EE3561"/>
    <w:rsid w:val="00EE35CF"/>
    <w:rsid w:val="00EE365F"/>
    <w:rsid w:val="00EE380D"/>
    <w:rsid w:val="00EE3872"/>
    <w:rsid w:val="00EE38A8"/>
    <w:rsid w:val="00EE3A3F"/>
    <w:rsid w:val="00EE3A40"/>
    <w:rsid w:val="00EE3A7B"/>
    <w:rsid w:val="00EE3A7D"/>
    <w:rsid w:val="00EE3B0F"/>
    <w:rsid w:val="00EE3B5A"/>
    <w:rsid w:val="00EE3BDD"/>
    <w:rsid w:val="00EE3BF7"/>
    <w:rsid w:val="00EE3C5C"/>
    <w:rsid w:val="00EE3D6E"/>
    <w:rsid w:val="00EE3E25"/>
    <w:rsid w:val="00EE3E6D"/>
    <w:rsid w:val="00EE3F1D"/>
    <w:rsid w:val="00EE3F5C"/>
    <w:rsid w:val="00EE3F66"/>
    <w:rsid w:val="00EE3FC7"/>
    <w:rsid w:val="00EE40C8"/>
    <w:rsid w:val="00EE40EB"/>
    <w:rsid w:val="00EE429F"/>
    <w:rsid w:val="00EE42CA"/>
    <w:rsid w:val="00EE42F2"/>
    <w:rsid w:val="00EE4328"/>
    <w:rsid w:val="00EE4397"/>
    <w:rsid w:val="00EE43D9"/>
    <w:rsid w:val="00EE454F"/>
    <w:rsid w:val="00EE4617"/>
    <w:rsid w:val="00EE472B"/>
    <w:rsid w:val="00EE474A"/>
    <w:rsid w:val="00EE4883"/>
    <w:rsid w:val="00EE48AE"/>
    <w:rsid w:val="00EE495C"/>
    <w:rsid w:val="00EE4A00"/>
    <w:rsid w:val="00EE4A40"/>
    <w:rsid w:val="00EE4AA2"/>
    <w:rsid w:val="00EE4AB6"/>
    <w:rsid w:val="00EE4C4B"/>
    <w:rsid w:val="00EE4CB1"/>
    <w:rsid w:val="00EE4D87"/>
    <w:rsid w:val="00EE4E84"/>
    <w:rsid w:val="00EE4ECE"/>
    <w:rsid w:val="00EE4F18"/>
    <w:rsid w:val="00EE4FD5"/>
    <w:rsid w:val="00EE5133"/>
    <w:rsid w:val="00EE519A"/>
    <w:rsid w:val="00EE519C"/>
    <w:rsid w:val="00EE51E5"/>
    <w:rsid w:val="00EE525A"/>
    <w:rsid w:val="00EE526B"/>
    <w:rsid w:val="00EE52FE"/>
    <w:rsid w:val="00EE5382"/>
    <w:rsid w:val="00EE5398"/>
    <w:rsid w:val="00EE53B7"/>
    <w:rsid w:val="00EE53D3"/>
    <w:rsid w:val="00EE53F5"/>
    <w:rsid w:val="00EE5409"/>
    <w:rsid w:val="00EE5488"/>
    <w:rsid w:val="00EE558C"/>
    <w:rsid w:val="00EE5623"/>
    <w:rsid w:val="00EE5647"/>
    <w:rsid w:val="00EE5668"/>
    <w:rsid w:val="00EE570E"/>
    <w:rsid w:val="00EE5731"/>
    <w:rsid w:val="00EE57C5"/>
    <w:rsid w:val="00EE58B3"/>
    <w:rsid w:val="00EE59A2"/>
    <w:rsid w:val="00EE59FF"/>
    <w:rsid w:val="00EE5A39"/>
    <w:rsid w:val="00EE5A9F"/>
    <w:rsid w:val="00EE5B4D"/>
    <w:rsid w:val="00EE5B55"/>
    <w:rsid w:val="00EE5BE2"/>
    <w:rsid w:val="00EE5CA5"/>
    <w:rsid w:val="00EE5CCD"/>
    <w:rsid w:val="00EE5EBD"/>
    <w:rsid w:val="00EE5FCA"/>
    <w:rsid w:val="00EE602A"/>
    <w:rsid w:val="00EE6050"/>
    <w:rsid w:val="00EE606F"/>
    <w:rsid w:val="00EE60B3"/>
    <w:rsid w:val="00EE60FB"/>
    <w:rsid w:val="00EE6163"/>
    <w:rsid w:val="00EE61C6"/>
    <w:rsid w:val="00EE6290"/>
    <w:rsid w:val="00EE6303"/>
    <w:rsid w:val="00EE6338"/>
    <w:rsid w:val="00EE6353"/>
    <w:rsid w:val="00EE6443"/>
    <w:rsid w:val="00EE65CB"/>
    <w:rsid w:val="00EE65FD"/>
    <w:rsid w:val="00EE67F9"/>
    <w:rsid w:val="00EE680A"/>
    <w:rsid w:val="00EE6810"/>
    <w:rsid w:val="00EE683E"/>
    <w:rsid w:val="00EE6932"/>
    <w:rsid w:val="00EE6B70"/>
    <w:rsid w:val="00EE6F4B"/>
    <w:rsid w:val="00EE6F82"/>
    <w:rsid w:val="00EE70AC"/>
    <w:rsid w:val="00EE7111"/>
    <w:rsid w:val="00EE714B"/>
    <w:rsid w:val="00EE7160"/>
    <w:rsid w:val="00EE71A6"/>
    <w:rsid w:val="00EE7258"/>
    <w:rsid w:val="00EE728A"/>
    <w:rsid w:val="00EE7298"/>
    <w:rsid w:val="00EE7315"/>
    <w:rsid w:val="00EE7346"/>
    <w:rsid w:val="00EE7395"/>
    <w:rsid w:val="00EE73EA"/>
    <w:rsid w:val="00EE7414"/>
    <w:rsid w:val="00EE74B5"/>
    <w:rsid w:val="00EE7506"/>
    <w:rsid w:val="00EE7545"/>
    <w:rsid w:val="00EE76B1"/>
    <w:rsid w:val="00EE773C"/>
    <w:rsid w:val="00EE774D"/>
    <w:rsid w:val="00EE78CC"/>
    <w:rsid w:val="00EE7948"/>
    <w:rsid w:val="00EE796F"/>
    <w:rsid w:val="00EE79BE"/>
    <w:rsid w:val="00EE79BF"/>
    <w:rsid w:val="00EE7AC6"/>
    <w:rsid w:val="00EE7AC7"/>
    <w:rsid w:val="00EE7D7E"/>
    <w:rsid w:val="00EE7E82"/>
    <w:rsid w:val="00EE7F13"/>
    <w:rsid w:val="00EE7F92"/>
    <w:rsid w:val="00EF0000"/>
    <w:rsid w:val="00EF00B5"/>
    <w:rsid w:val="00EF00D0"/>
    <w:rsid w:val="00EF0146"/>
    <w:rsid w:val="00EF0199"/>
    <w:rsid w:val="00EF01C3"/>
    <w:rsid w:val="00EF01D5"/>
    <w:rsid w:val="00EF0244"/>
    <w:rsid w:val="00EF02D9"/>
    <w:rsid w:val="00EF0315"/>
    <w:rsid w:val="00EF048C"/>
    <w:rsid w:val="00EF049C"/>
    <w:rsid w:val="00EF04DE"/>
    <w:rsid w:val="00EF0542"/>
    <w:rsid w:val="00EF05CD"/>
    <w:rsid w:val="00EF06A6"/>
    <w:rsid w:val="00EF06B8"/>
    <w:rsid w:val="00EF0762"/>
    <w:rsid w:val="00EF0786"/>
    <w:rsid w:val="00EF0897"/>
    <w:rsid w:val="00EF08F5"/>
    <w:rsid w:val="00EF0920"/>
    <w:rsid w:val="00EF09AF"/>
    <w:rsid w:val="00EF0A6B"/>
    <w:rsid w:val="00EF0A70"/>
    <w:rsid w:val="00EF0A7F"/>
    <w:rsid w:val="00EF0AAB"/>
    <w:rsid w:val="00EF0B4A"/>
    <w:rsid w:val="00EF0C49"/>
    <w:rsid w:val="00EF0CC0"/>
    <w:rsid w:val="00EF0D16"/>
    <w:rsid w:val="00EF0DB0"/>
    <w:rsid w:val="00EF0E18"/>
    <w:rsid w:val="00EF0EE7"/>
    <w:rsid w:val="00EF0FDD"/>
    <w:rsid w:val="00EF10F4"/>
    <w:rsid w:val="00EF110B"/>
    <w:rsid w:val="00EF1134"/>
    <w:rsid w:val="00EF1137"/>
    <w:rsid w:val="00EF11A6"/>
    <w:rsid w:val="00EF11A9"/>
    <w:rsid w:val="00EF122C"/>
    <w:rsid w:val="00EF1298"/>
    <w:rsid w:val="00EF12AF"/>
    <w:rsid w:val="00EF1320"/>
    <w:rsid w:val="00EF1387"/>
    <w:rsid w:val="00EF1538"/>
    <w:rsid w:val="00EF15C9"/>
    <w:rsid w:val="00EF18A5"/>
    <w:rsid w:val="00EF18E2"/>
    <w:rsid w:val="00EF1A42"/>
    <w:rsid w:val="00EF1ADE"/>
    <w:rsid w:val="00EF1BCC"/>
    <w:rsid w:val="00EF1C24"/>
    <w:rsid w:val="00EF1E68"/>
    <w:rsid w:val="00EF1FE1"/>
    <w:rsid w:val="00EF2030"/>
    <w:rsid w:val="00EF2076"/>
    <w:rsid w:val="00EF212F"/>
    <w:rsid w:val="00EF2187"/>
    <w:rsid w:val="00EF2270"/>
    <w:rsid w:val="00EF242B"/>
    <w:rsid w:val="00EF252D"/>
    <w:rsid w:val="00EF2618"/>
    <w:rsid w:val="00EF26A1"/>
    <w:rsid w:val="00EF2746"/>
    <w:rsid w:val="00EF27EA"/>
    <w:rsid w:val="00EF2824"/>
    <w:rsid w:val="00EF295D"/>
    <w:rsid w:val="00EF2AFF"/>
    <w:rsid w:val="00EF2D55"/>
    <w:rsid w:val="00EF2D77"/>
    <w:rsid w:val="00EF2D8F"/>
    <w:rsid w:val="00EF2E80"/>
    <w:rsid w:val="00EF2F9A"/>
    <w:rsid w:val="00EF2FEE"/>
    <w:rsid w:val="00EF3062"/>
    <w:rsid w:val="00EF311F"/>
    <w:rsid w:val="00EF3192"/>
    <w:rsid w:val="00EF31A4"/>
    <w:rsid w:val="00EF3203"/>
    <w:rsid w:val="00EF3282"/>
    <w:rsid w:val="00EF33E3"/>
    <w:rsid w:val="00EF3435"/>
    <w:rsid w:val="00EF3450"/>
    <w:rsid w:val="00EF34A1"/>
    <w:rsid w:val="00EF350B"/>
    <w:rsid w:val="00EF3562"/>
    <w:rsid w:val="00EF3568"/>
    <w:rsid w:val="00EF356F"/>
    <w:rsid w:val="00EF35AF"/>
    <w:rsid w:val="00EF363C"/>
    <w:rsid w:val="00EF3661"/>
    <w:rsid w:val="00EF368D"/>
    <w:rsid w:val="00EF3690"/>
    <w:rsid w:val="00EF36B4"/>
    <w:rsid w:val="00EF37CB"/>
    <w:rsid w:val="00EF3852"/>
    <w:rsid w:val="00EF3863"/>
    <w:rsid w:val="00EF39B7"/>
    <w:rsid w:val="00EF39E3"/>
    <w:rsid w:val="00EF3A62"/>
    <w:rsid w:val="00EF3A98"/>
    <w:rsid w:val="00EF3B8E"/>
    <w:rsid w:val="00EF3BF5"/>
    <w:rsid w:val="00EF3CB9"/>
    <w:rsid w:val="00EF3D34"/>
    <w:rsid w:val="00EF3D51"/>
    <w:rsid w:val="00EF3F92"/>
    <w:rsid w:val="00EF3FEF"/>
    <w:rsid w:val="00EF4043"/>
    <w:rsid w:val="00EF40DB"/>
    <w:rsid w:val="00EF422A"/>
    <w:rsid w:val="00EF4243"/>
    <w:rsid w:val="00EF42D8"/>
    <w:rsid w:val="00EF4321"/>
    <w:rsid w:val="00EF443A"/>
    <w:rsid w:val="00EF44F1"/>
    <w:rsid w:val="00EF452E"/>
    <w:rsid w:val="00EF4558"/>
    <w:rsid w:val="00EF45FF"/>
    <w:rsid w:val="00EF4611"/>
    <w:rsid w:val="00EF4679"/>
    <w:rsid w:val="00EF470A"/>
    <w:rsid w:val="00EF470C"/>
    <w:rsid w:val="00EF471F"/>
    <w:rsid w:val="00EF48F1"/>
    <w:rsid w:val="00EF490C"/>
    <w:rsid w:val="00EF4964"/>
    <w:rsid w:val="00EF4A1E"/>
    <w:rsid w:val="00EF4AB4"/>
    <w:rsid w:val="00EF4AD5"/>
    <w:rsid w:val="00EF4B05"/>
    <w:rsid w:val="00EF4B5D"/>
    <w:rsid w:val="00EF4BBC"/>
    <w:rsid w:val="00EF4D2B"/>
    <w:rsid w:val="00EF4D32"/>
    <w:rsid w:val="00EF502E"/>
    <w:rsid w:val="00EF5047"/>
    <w:rsid w:val="00EF50D0"/>
    <w:rsid w:val="00EF514D"/>
    <w:rsid w:val="00EF5347"/>
    <w:rsid w:val="00EF53EB"/>
    <w:rsid w:val="00EF543E"/>
    <w:rsid w:val="00EF5655"/>
    <w:rsid w:val="00EF5669"/>
    <w:rsid w:val="00EF56DD"/>
    <w:rsid w:val="00EF5711"/>
    <w:rsid w:val="00EF579B"/>
    <w:rsid w:val="00EF57F3"/>
    <w:rsid w:val="00EF5861"/>
    <w:rsid w:val="00EF588A"/>
    <w:rsid w:val="00EF5915"/>
    <w:rsid w:val="00EF5AA6"/>
    <w:rsid w:val="00EF5BEF"/>
    <w:rsid w:val="00EF5C46"/>
    <w:rsid w:val="00EF5D3E"/>
    <w:rsid w:val="00EF5DFB"/>
    <w:rsid w:val="00EF5EEA"/>
    <w:rsid w:val="00EF5F6C"/>
    <w:rsid w:val="00EF60D4"/>
    <w:rsid w:val="00EF60F3"/>
    <w:rsid w:val="00EF614E"/>
    <w:rsid w:val="00EF61F5"/>
    <w:rsid w:val="00EF6207"/>
    <w:rsid w:val="00EF6323"/>
    <w:rsid w:val="00EF63CE"/>
    <w:rsid w:val="00EF6423"/>
    <w:rsid w:val="00EF64BD"/>
    <w:rsid w:val="00EF64D0"/>
    <w:rsid w:val="00EF65B5"/>
    <w:rsid w:val="00EF65E4"/>
    <w:rsid w:val="00EF683B"/>
    <w:rsid w:val="00EF6901"/>
    <w:rsid w:val="00EF69ED"/>
    <w:rsid w:val="00EF69FB"/>
    <w:rsid w:val="00EF6A2A"/>
    <w:rsid w:val="00EF6A51"/>
    <w:rsid w:val="00EF6B5C"/>
    <w:rsid w:val="00EF6B9A"/>
    <w:rsid w:val="00EF6BC0"/>
    <w:rsid w:val="00EF6BD8"/>
    <w:rsid w:val="00EF6BF4"/>
    <w:rsid w:val="00EF6C28"/>
    <w:rsid w:val="00EF6D31"/>
    <w:rsid w:val="00EF6DB5"/>
    <w:rsid w:val="00EF6E80"/>
    <w:rsid w:val="00EF6EB5"/>
    <w:rsid w:val="00EF6F4A"/>
    <w:rsid w:val="00EF6FD1"/>
    <w:rsid w:val="00EF718F"/>
    <w:rsid w:val="00EF71B5"/>
    <w:rsid w:val="00EF72AC"/>
    <w:rsid w:val="00EF72CC"/>
    <w:rsid w:val="00EF72CF"/>
    <w:rsid w:val="00EF73AB"/>
    <w:rsid w:val="00EF73E4"/>
    <w:rsid w:val="00EF74BE"/>
    <w:rsid w:val="00EF75EE"/>
    <w:rsid w:val="00EF75FA"/>
    <w:rsid w:val="00EF761B"/>
    <w:rsid w:val="00EF7713"/>
    <w:rsid w:val="00EF784E"/>
    <w:rsid w:val="00EF7905"/>
    <w:rsid w:val="00EF797D"/>
    <w:rsid w:val="00EF7A15"/>
    <w:rsid w:val="00EF7A4B"/>
    <w:rsid w:val="00EF7ACD"/>
    <w:rsid w:val="00EF7C3B"/>
    <w:rsid w:val="00EF7CA9"/>
    <w:rsid w:val="00EF7D1B"/>
    <w:rsid w:val="00EF7D44"/>
    <w:rsid w:val="00EF7D7C"/>
    <w:rsid w:val="00EF7DC5"/>
    <w:rsid w:val="00EF7E0F"/>
    <w:rsid w:val="00EF7E11"/>
    <w:rsid w:val="00EF7E30"/>
    <w:rsid w:val="00EF7E93"/>
    <w:rsid w:val="00EF7F35"/>
    <w:rsid w:val="00EF7F4F"/>
    <w:rsid w:val="00EF7FBF"/>
    <w:rsid w:val="00F0007B"/>
    <w:rsid w:val="00F000EC"/>
    <w:rsid w:val="00F00135"/>
    <w:rsid w:val="00F001FB"/>
    <w:rsid w:val="00F00386"/>
    <w:rsid w:val="00F0049E"/>
    <w:rsid w:val="00F004CD"/>
    <w:rsid w:val="00F00578"/>
    <w:rsid w:val="00F0057D"/>
    <w:rsid w:val="00F005C6"/>
    <w:rsid w:val="00F005E4"/>
    <w:rsid w:val="00F005FA"/>
    <w:rsid w:val="00F0063B"/>
    <w:rsid w:val="00F006CB"/>
    <w:rsid w:val="00F00760"/>
    <w:rsid w:val="00F007E9"/>
    <w:rsid w:val="00F009DD"/>
    <w:rsid w:val="00F009F3"/>
    <w:rsid w:val="00F00CEB"/>
    <w:rsid w:val="00F00DE2"/>
    <w:rsid w:val="00F00E0F"/>
    <w:rsid w:val="00F00E96"/>
    <w:rsid w:val="00F00EA8"/>
    <w:rsid w:val="00F00EB5"/>
    <w:rsid w:val="00F00EE2"/>
    <w:rsid w:val="00F00EF9"/>
    <w:rsid w:val="00F010E5"/>
    <w:rsid w:val="00F01177"/>
    <w:rsid w:val="00F012D1"/>
    <w:rsid w:val="00F012E5"/>
    <w:rsid w:val="00F015C8"/>
    <w:rsid w:val="00F015E2"/>
    <w:rsid w:val="00F01612"/>
    <w:rsid w:val="00F01613"/>
    <w:rsid w:val="00F016C9"/>
    <w:rsid w:val="00F016EF"/>
    <w:rsid w:val="00F016FB"/>
    <w:rsid w:val="00F0179B"/>
    <w:rsid w:val="00F01903"/>
    <w:rsid w:val="00F01931"/>
    <w:rsid w:val="00F0194C"/>
    <w:rsid w:val="00F019FA"/>
    <w:rsid w:val="00F01A2D"/>
    <w:rsid w:val="00F01A57"/>
    <w:rsid w:val="00F01B15"/>
    <w:rsid w:val="00F01C9A"/>
    <w:rsid w:val="00F01CA3"/>
    <w:rsid w:val="00F01D0C"/>
    <w:rsid w:val="00F01D23"/>
    <w:rsid w:val="00F01D97"/>
    <w:rsid w:val="00F01DDB"/>
    <w:rsid w:val="00F01F25"/>
    <w:rsid w:val="00F0203C"/>
    <w:rsid w:val="00F02058"/>
    <w:rsid w:val="00F0209A"/>
    <w:rsid w:val="00F021D1"/>
    <w:rsid w:val="00F0228D"/>
    <w:rsid w:val="00F024A8"/>
    <w:rsid w:val="00F0264A"/>
    <w:rsid w:val="00F02664"/>
    <w:rsid w:val="00F02723"/>
    <w:rsid w:val="00F027FD"/>
    <w:rsid w:val="00F02915"/>
    <w:rsid w:val="00F029DD"/>
    <w:rsid w:val="00F029F2"/>
    <w:rsid w:val="00F029FE"/>
    <w:rsid w:val="00F02A8F"/>
    <w:rsid w:val="00F02AA7"/>
    <w:rsid w:val="00F02ADD"/>
    <w:rsid w:val="00F02B4A"/>
    <w:rsid w:val="00F02BD1"/>
    <w:rsid w:val="00F02CDC"/>
    <w:rsid w:val="00F02DA2"/>
    <w:rsid w:val="00F02DED"/>
    <w:rsid w:val="00F02E6F"/>
    <w:rsid w:val="00F02E90"/>
    <w:rsid w:val="00F02FA6"/>
    <w:rsid w:val="00F02FD7"/>
    <w:rsid w:val="00F02FF2"/>
    <w:rsid w:val="00F0305C"/>
    <w:rsid w:val="00F030E1"/>
    <w:rsid w:val="00F030EF"/>
    <w:rsid w:val="00F03332"/>
    <w:rsid w:val="00F034F8"/>
    <w:rsid w:val="00F03622"/>
    <w:rsid w:val="00F0368D"/>
    <w:rsid w:val="00F036E1"/>
    <w:rsid w:val="00F03733"/>
    <w:rsid w:val="00F03737"/>
    <w:rsid w:val="00F03765"/>
    <w:rsid w:val="00F03871"/>
    <w:rsid w:val="00F038E7"/>
    <w:rsid w:val="00F03A13"/>
    <w:rsid w:val="00F03A24"/>
    <w:rsid w:val="00F03A84"/>
    <w:rsid w:val="00F03B56"/>
    <w:rsid w:val="00F03B58"/>
    <w:rsid w:val="00F03B95"/>
    <w:rsid w:val="00F03BE8"/>
    <w:rsid w:val="00F03C2F"/>
    <w:rsid w:val="00F03CFC"/>
    <w:rsid w:val="00F03D9D"/>
    <w:rsid w:val="00F03DB6"/>
    <w:rsid w:val="00F03E34"/>
    <w:rsid w:val="00F03E8C"/>
    <w:rsid w:val="00F03F1A"/>
    <w:rsid w:val="00F03F32"/>
    <w:rsid w:val="00F03F39"/>
    <w:rsid w:val="00F03FC6"/>
    <w:rsid w:val="00F04064"/>
    <w:rsid w:val="00F040E4"/>
    <w:rsid w:val="00F042D5"/>
    <w:rsid w:val="00F04305"/>
    <w:rsid w:val="00F04504"/>
    <w:rsid w:val="00F04579"/>
    <w:rsid w:val="00F04598"/>
    <w:rsid w:val="00F045B0"/>
    <w:rsid w:val="00F0464F"/>
    <w:rsid w:val="00F046C2"/>
    <w:rsid w:val="00F046E4"/>
    <w:rsid w:val="00F04733"/>
    <w:rsid w:val="00F048C9"/>
    <w:rsid w:val="00F04976"/>
    <w:rsid w:val="00F04980"/>
    <w:rsid w:val="00F049C2"/>
    <w:rsid w:val="00F04A17"/>
    <w:rsid w:val="00F04B61"/>
    <w:rsid w:val="00F04C34"/>
    <w:rsid w:val="00F04D25"/>
    <w:rsid w:val="00F04DD2"/>
    <w:rsid w:val="00F04EFF"/>
    <w:rsid w:val="00F04F30"/>
    <w:rsid w:val="00F04F73"/>
    <w:rsid w:val="00F04F75"/>
    <w:rsid w:val="00F04FB1"/>
    <w:rsid w:val="00F04FB9"/>
    <w:rsid w:val="00F05048"/>
    <w:rsid w:val="00F05098"/>
    <w:rsid w:val="00F050A9"/>
    <w:rsid w:val="00F050C7"/>
    <w:rsid w:val="00F05101"/>
    <w:rsid w:val="00F05130"/>
    <w:rsid w:val="00F05219"/>
    <w:rsid w:val="00F0526A"/>
    <w:rsid w:val="00F05293"/>
    <w:rsid w:val="00F0529C"/>
    <w:rsid w:val="00F0530D"/>
    <w:rsid w:val="00F05374"/>
    <w:rsid w:val="00F053FE"/>
    <w:rsid w:val="00F05455"/>
    <w:rsid w:val="00F054AD"/>
    <w:rsid w:val="00F054F8"/>
    <w:rsid w:val="00F054FC"/>
    <w:rsid w:val="00F055E9"/>
    <w:rsid w:val="00F057CC"/>
    <w:rsid w:val="00F057F8"/>
    <w:rsid w:val="00F058A9"/>
    <w:rsid w:val="00F05B1D"/>
    <w:rsid w:val="00F05B30"/>
    <w:rsid w:val="00F05E59"/>
    <w:rsid w:val="00F05E5A"/>
    <w:rsid w:val="00F05F13"/>
    <w:rsid w:val="00F0600C"/>
    <w:rsid w:val="00F06036"/>
    <w:rsid w:val="00F060B5"/>
    <w:rsid w:val="00F060F9"/>
    <w:rsid w:val="00F06160"/>
    <w:rsid w:val="00F0616F"/>
    <w:rsid w:val="00F061A0"/>
    <w:rsid w:val="00F061DE"/>
    <w:rsid w:val="00F062B3"/>
    <w:rsid w:val="00F06392"/>
    <w:rsid w:val="00F06436"/>
    <w:rsid w:val="00F06495"/>
    <w:rsid w:val="00F064B6"/>
    <w:rsid w:val="00F06524"/>
    <w:rsid w:val="00F065A0"/>
    <w:rsid w:val="00F065D5"/>
    <w:rsid w:val="00F066CD"/>
    <w:rsid w:val="00F0670B"/>
    <w:rsid w:val="00F0672F"/>
    <w:rsid w:val="00F06745"/>
    <w:rsid w:val="00F06768"/>
    <w:rsid w:val="00F067AD"/>
    <w:rsid w:val="00F06814"/>
    <w:rsid w:val="00F068A2"/>
    <w:rsid w:val="00F06998"/>
    <w:rsid w:val="00F06A61"/>
    <w:rsid w:val="00F06ADB"/>
    <w:rsid w:val="00F06AFD"/>
    <w:rsid w:val="00F06BC4"/>
    <w:rsid w:val="00F06D83"/>
    <w:rsid w:val="00F06DB4"/>
    <w:rsid w:val="00F06DD1"/>
    <w:rsid w:val="00F06E65"/>
    <w:rsid w:val="00F06E70"/>
    <w:rsid w:val="00F06EAA"/>
    <w:rsid w:val="00F06EDE"/>
    <w:rsid w:val="00F06F09"/>
    <w:rsid w:val="00F06F0D"/>
    <w:rsid w:val="00F06F28"/>
    <w:rsid w:val="00F06F60"/>
    <w:rsid w:val="00F06F6F"/>
    <w:rsid w:val="00F0700C"/>
    <w:rsid w:val="00F0710B"/>
    <w:rsid w:val="00F0716A"/>
    <w:rsid w:val="00F0718E"/>
    <w:rsid w:val="00F071CD"/>
    <w:rsid w:val="00F07240"/>
    <w:rsid w:val="00F072CD"/>
    <w:rsid w:val="00F07490"/>
    <w:rsid w:val="00F07501"/>
    <w:rsid w:val="00F075EB"/>
    <w:rsid w:val="00F077E7"/>
    <w:rsid w:val="00F07812"/>
    <w:rsid w:val="00F07830"/>
    <w:rsid w:val="00F0787C"/>
    <w:rsid w:val="00F0799F"/>
    <w:rsid w:val="00F079F3"/>
    <w:rsid w:val="00F07D4C"/>
    <w:rsid w:val="00F07E39"/>
    <w:rsid w:val="00F07F77"/>
    <w:rsid w:val="00F07FF5"/>
    <w:rsid w:val="00F100AB"/>
    <w:rsid w:val="00F100EF"/>
    <w:rsid w:val="00F1011E"/>
    <w:rsid w:val="00F10272"/>
    <w:rsid w:val="00F102B4"/>
    <w:rsid w:val="00F10327"/>
    <w:rsid w:val="00F10455"/>
    <w:rsid w:val="00F1046D"/>
    <w:rsid w:val="00F104C4"/>
    <w:rsid w:val="00F10520"/>
    <w:rsid w:val="00F10542"/>
    <w:rsid w:val="00F10556"/>
    <w:rsid w:val="00F1058A"/>
    <w:rsid w:val="00F105B4"/>
    <w:rsid w:val="00F105C7"/>
    <w:rsid w:val="00F105F0"/>
    <w:rsid w:val="00F10612"/>
    <w:rsid w:val="00F10687"/>
    <w:rsid w:val="00F10696"/>
    <w:rsid w:val="00F10886"/>
    <w:rsid w:val="00F10906"/>
    <w:rsid w:val="00F10A0E"/>
    <w:rsid w:val="00F10A28"/>
    <w:rsid w:val="00F10A41"/>
    <w:rsid w:val="00F10A8F"/>
    <w:rsid w:val="00F10AC8"/>
    <w:rsid w:val="00F10B8F"/>
    <w:rsid w:val="00F10BDD"/>
    <w:rsid w:val="00F10C23"/>
    <w:rsid w:val="00F10C51"/>
    <w:rsid w:val="00F10CB1"/>
    <w:rsid w:val="00F10D34"/>
    <w:rsid w:val="00F10D95"/>
    <w:rsid w:val="00F10ED6"/>
    <w:rsid w:val="00F10F3A"/>
    <w:rsid w:val="00F10FA1"/>
    <w:rsid w:val="00F11056"/>
    <w:rsid w:val="00F11061"/>
    <w:rsid w:val="00F1108D"/>
    <w:rsid w:val="00F110F2"/>
    <w:rsid w:val="00F1112A"/>
    <w:rsid w:val="00F1120F"/>
    <w:rsid w:val="00F112DD"/>
    <w:rsid w:val="00F113D4"/>
    <w:rsid w:val="00F114C5"/>
    <w:rsid w:val="00F115F6"/>
    <w:rsid w:val="00F11694"/>
    <w:rsid w:val="00F116CC"/>
    <w:rsid w:val="00F11702"/>
    <w:rsid w:val="00F11757"/>
    <w:rsid w:val="00F117B5"/>
    <w:rsid w:val="00F117C7"/>
    <w:rsid w:val="00F11880"/>
    <w:rsid w:val="00F1199A"/>
    <w:rsid w:val="00F11A9E"/>
    <w:rsid w:val="00F11ADA"/>
    <w:rsid w:val="00F11AED"/>
    <w:rsid w:val="00F11B80"/>
    <w:rsid w:val="00F11BD8"/>
    <w:rsid w:val="00F11BDF"/>
    <w:rsid w:val="00F11D2E"/>
    <w:rsid w:val="00F11DCB"/>
    <w:rsid w:val="00F12072"/>
    <w:rsid w:val="00F120C6"/>
    <w:rsid w:val="00F12126"/>
    <w:rsid w:val="00F12137"/>
    <w:rsid w:val="00F1216D"/>
    <w:rsid w:val="00F12226"/>
    <w:rsid w:val="00F122A4"/>
    <w:rsid w:val="00F122D1"/>
    <w:rsid w:val="00F12393"/>
    <w:rsid w:val="00F123D3"/>
    <w:rsid w:val="00F12462"/>
    <w:rsid w:val="00F125C2"/>
    <w:rsid w:val="00F125E4"/>
    <w:rsid w:val="00F125E5"/>
    <w:rsid w:val="00F12602"/>
    <w:rsid w:val="00F1268B"/>
    <w:rsid w:val="00F12740"/>
    <w:rsid w:val="00F12748"/>
    <w:rsid w:val="00F12789"/>
    <w:rsid w:val="00F128DA"/>
    <w:rsid w:val="00F12B13"/>
    <w:rsid w:val="00F12B6F"/>
    <w:rsid w:val="00F12BF0"/>
    <w:rsid w:val="00F12D6F"/>
    <w:rsid w:val="00F12DA7"/>
    <w:rsid w:val="00F12E54"/>
    <w:rsid w:val="00F12E8D"/>
    <w:rsid w:val="00F12EFD"/>
    <w:rsid w:val="00F12F92"/>
    <w:rsid w:val="00F12FA7"/>
    <w:rsid w:val="00F13106"/>
    <w:rsid w:val="00F1311C"/>
    <w:rsid w:val="00F13128"/>
    <w:rsid w:val="00F131D2"/>
    <w:rsid w:val="00F13237"/>
    <w:rsid w:val="00F1325F"/>
    <w:rsid w:val="00F13292"/>
    <w:rsid w:val="00F13313"/>
    <w:rsid w:val="00F13332"/>
    <w:rsid w:val="00F1338B"/>
    <w:rsid w:val="00F133B3"/>
    <w:rsid w:val="00F133BB"/>
    <w:rsid w:val="00F13407"/>
    <w:rsid w:val="00F135D9"/>
    <w:rsid w:val="00F1360F"/>
    <w:rsid w:val="00F13674"/>
    <w:rsid w:val="00F13679"/>
    <w:rsid w:val="00F137D7"/>
    <w:rsid w:val="00F1395C"/>
    <w:rsid w:val="00F13A7A"/>
    <w:rsid w:val="00F13BA4"/>
    <w:rsid w:val="00F13C55"/>
    <w:rsid w:val="00F13CE6"/>
    <w:rsid w:val="00F13CF0"/>
    <w:rsid w:val="00F13D61"/>
    <w:rsid w:val="00F13E5F"/>
    <w:rsid w:val="00F13FAE"/>
    <w:rsid w:val="00F1410D"/>
    <w:rsid w:val="00F14119"/>
    <w:rsid w:val="00F14121"/>
    <w:rsid w:val="00F14196"/>
    <w:rsid w:val="00F14307"/>
    <w:rsid w:val="00F14392"/>
    <w:rsid w:val="00F143D0"/>
    <w:rsid w:val="00F14419"/>
    <w:rsid w:val="00F1443C"/>
    <w:rsid w:val="00F1443E"/>
    <w:rsid w:val="00F144C5"/>
    <w:rsid w:val="00F14526"/>
    <w:rsid w:val="00F14569"/>
    <w:rsid w:val="00F145F0"/>
    <w:rsid w:val="00F1468C"/>
    <w:rsid w:val="00F14741"/>
    <w:rsid w:val="00F147C3"/>
    <w:rsid w:val="00F14924"/>
    <w:rsid w:val="00F14938"/>
    <w:rsid w:val="00F14A8A"/>
    <w:rsid w:val="00F14A8B"/>
    <w:rsid w:val="00F14B3C"/>
    <w:rsid w:val="00F14BB5"/>
    <w:rsid w:val="00F14C5A"/>
    <w:rsid w:val="00F14C63"/>
    <w:rsid w:val="00F14CEF"/>
    <w:rsid w:val="00F14D9E"/>
    <w:rsid w:val="00F14DA1"/>
    <w:rsid w:val="00F14EA4"/>
    <w:rsid w:val="00F14ECD"/>
    <w:rsid w:val="00F14F3E"/>
    <w:rsid w:val="00F14F6C"/>
    <w:rsid w:val="00F15014"/>
    <w:rsid w:val="00F15160"/>
    <w:rsid w:val="00F15196"/>
    <w:rsid w:val="00F1523D"/>
    <w:rsid w:val="00F1535D"/>
    <w:rsid w:val="00F15399"/>
    <w:rsid w:val="00F153DB"/>
    <w:rsid w:val="00F153DC"/>
    <w:rsid w:val="00F153EF"/>
    <w:rsid w:val="00F15401"/>
    <w:rsid w:val="00F15415"/>
    <w:rsid w:val="00F15425"/>
    <w:rsid w:val="00F1545D"/>
    <w:rsid w:val="00F15479"/>
    <w:rsid w:val="00F154BA"/>
    <w:rsid w:val="00F154D2"/>
    <w:rsid w:val="00F154FD"/>
    <w:rsid w:val="00F15526"/>
    <w:rsid w:val="00F156B7"/>
    <w:rsid w:val="00F157BC"/>
    <w:rsid w:val="00F158B5"/>
    <w:rsid w:val="00F158C3"/>
    <w:rsid w:val="00F15A3B"/>
    <w:rsid w:val="00F15A57"/>
    <w:rsid w:val="00F15A75"/>
    <w:rsid w:val="00F15B60"/>
    <w:rsid w:val="00F15CDE"/>
    <w:rsid w:val="00F15D61"/>
    <w:rsid w:val="00F15EA9"/>
    <w:rsid w:val="00F15F27"/>
    <w:rsid w:val="00F1604E"/>
    <w:rsid w:val="00F1635D"/>
    <w:rsid w:val="00F163A5"/>
    <w:rsid w:val="00F1648F"/>
    <w:rsid w:val="00F1651F"/>
    <w:rsid w:val="00F16573"/>
    <w:rsid w:val="00F16584"/>
    <w:rsid w:val="00F165B6"/>
    <w:rsid w:val="00F166C5"/>
    <w:rsid w:val="00F16972"/>
    <w:rsid w:val="00F169F0"/>
    <w:rsid w:val="00F16A93"/>
    <w:rsid w:val="00F16B48"/>
    <w:rsid w:val="00F16C1D"/>
    <w:rsid w:val="00F16CBE"/>
    <w:rsid w:val="00F16CDB"/>
    <w:rsid w:val="00F16D8E"/>
    <w:rsid w:val="00F16D9D"/>
    <w:rsid w:val="00F16DFA"/>
    <w:rsid w:val="00F16EC3"/>
    <w:rsid w:val="00F16F53"/>
    <w:rsid w:val="00F16F73"/>
    <w:rsid w:val="00F16FDA"/>
    <w:rsid w:val="00F171DD"/>
    <w:rsid w:val="00F171FE"/>
    <w:rsid w:val="00F17204"/>
    <w:rsid w:val="00F1724B"/>
    <w:rsid w:val="00F17252"/>
    <w:rsid w:val="00F172FF"/>
    <w:rsid w:val="00F17303"/>
    <w:rsid w:val="00F1740A"/>
    <w:rsid w:val="00F175B1"/>
    <w:rsid w:val="00F17603"/>
    <w:rsid w:val="00F17619"/>
    <w:rsid w:val="00F1773D"/>
    <w:rsid w:val="00F177AD"/>
    <w:rsid w:val="00F177B4"/>
    <w:rsid w:val="00F179A4"/>
    <w:rsid w:val="00F17A24"/>
    <w:rsid w:val="00F17A31"/>
    <w:rsid w:val="00F17B16"/>
    <w:rsid w:val="00F17B44"/>
    <w:rsid w:val="00F17B5D"/>
    <w:rsid w:val="00F17DCB"/>
    <w:rsid w:val="00F17DDA"/>
    <w:rsid w:val="00F17E4D"/>
    <w:rsid w:val="00F17FF3"/>
    <w:rsid w:val="00F1830E"/>
    <w:rsid w:val="00F20027"/>
    <w:rsid w:val="00F2011A"/>
    <w:rsid w:val="00F201AD"/>
    <w:rsid w:val="00F201DF"/>
    <w:rsid w:val="00F201FD"/>
    <w:rsid w:val="00F2027B"/>
    <w:rsid w:val="00F20289"/>
    <w:rsid w:val="00F20370"/>
    <w:rsid w:val="00F203EE"/>
    <w:rsid w:val="00F20417"/>
    <w:rsid w:val="00F2042E"/>
    <w:rsid w:val="00F204A6"/>
    <w:rsid w:val="00F204C6"/>
    <w:rsid w:val="00F204D0"/>
    <w:rsid w:val="00F2052F"/>
    <w:rsid w:val="00F20604"/>
    <w:rsid w:val="00F20667"/>
    <w:rsid w:val="00F206CD"/>
    <w:rsid w:val="00F2070B"/>
    <w:rsid w:val="00F208B6"/>
    <w:rsid w:val="00F20940"/>
    <w:rsid w:val="00F20A36"/>
    <w:rsid w:val="00F20AA1"/>
    <w:rsid w:val="00F20B2E"/>
    <w:rsid w:val="00F20C46"/>
    <w:rsid w:val="00F20D38"/>
    <w:rsid w:val="00F20E2C"/>
    <w:rsid w:val="00F20F19"/>
    <w:rsid w:val="00F20FF2"/>
    <w:rsid w:val="00F2105F"/>
    <w:rsid w:val="00F21108"/>
    <w:rsid w:val="00F2110C"/>
    <w:rsid w:val="00F2115E"/>
    <w:rsid w:val="00F21182"/>
    <w:rsid w:val="00F21201"/>
    <w:rsid w:val="00F21447"/>
    <w:rsid w:val="00F214F3"/>
    <w:rsid w:val="00F217A6"/>
    <w:rsid w:val="00F218EC"/>
    <w:rsid w:val="00F21921"/>
    <w:rsid w:val="00F2196F"/>
    <w:rsid w:val="00F219DA"/>
    <w:rsid w:val="00F21B59"/>
    <w:rsid w:val="00F21B8F"/>
    <w:rsid w:val="00F21BFF"/>
    <w:rsid w:val="00F21C38"/>
    <w:rsid w:val="00F21C3F"/>
    <w:rsid w:val="00F21F3C"/>
    <w:rsid w:val="00F21FF9"/>
    <w:rsid w:val="00F21FFB"/>
    <w:rsid w:val="00F22006"/>
    <w:rsid w:val="00F2206E"/>
    <w:rsid w:val="00F220C9"/>
    <w:rsid w:val="00F22267"/>
    <w:rsid w:val="00F2227A"/>
    <w:rsid w:val="00F22335"/>
    <w:rsid w:val="00F22421"/>
    <w:rsid w:val="00F22467"/>
    <w:rsid w:val="00F22595"/>
    <w:rsid w:val="00F22619"/>
    <w:rsid w:val="00F2270A"/>
    <w:rsid w:val="00F2274B"/>
    <w:rsid w:val="00F22762"/>
    <w:rsid w:val="00F227A7"/>
    <w:rsid w:val="00F227D6"/>
    <w:rsid w:val="00F22952"/>
    <w:rsid w:val="00F2297D"/>
    <w:rsid w:val="00F229B1"/>
    <w:rsid w:val="00F22A8D"/>
    <w:rsid w:val="00F22B01"/>
    <w:rsid w:val="00F22B29"/>
    <w:rsid w:val="00F22B7A"/>
    <w:rsid w:val="00F22BAB"/>
    <w:rsid w:val="00F22C6C"/>
    <w:rsid w:val="00F22C9F"/>
    <w:rsid w:val="00F22CC1"/>
    <w:rsid w:val="00F22D68"/>
    <w:rsid w:val="00F22DF1"/>
    <w:rsid w:val="00F22E15"/>
    <w:rsid w:val="00F22E29"/>
    <w:rsid w:val="00F22F87"/>
    <w:rsid w:val="00F2303E"/>
    <w:rsid w:val="00F231D5"/>
    <w:rsid w:val="00F231F5"/>
    <w:rsid w:val="00F23411"/>
    <w:rsid w:val="00F23452"/>
    <w:rsid w:val="00F2357F"/>
    <w:rsid w:val="00F23644"/>
    <w:rsid w:val="00F2367C"/>
    <w:rsid w:val="00F2367F"/>
    <w:rsid w:val="00F237C0"/>
    <w:rsid w:val="00F239E1"/>
    <w:rsid w:val="00F23A69"/>
    <w:rsid w:val="00F23AAA"/>
    <w:rsid w:val="00F23AF2"/>
    <w:rsid w:val="00F23BA6"/>
    <w:rsid w:val="00F23DD4"/>
    <w:rsid w:val="00F23DF1"/>
    <w:rsid w:val="00F23E52"/>
    <w:rsid w:val="00F23E6F"/>
    <w:rsid w:val="00F23EDC"/>
    <w:rsid w:val="00F23F3C"/>
    <w:rsid w:val="00F23F60"/>
    <w:rsid w:val="00F2419E"/>
    <w:rsid w:val="00F241B9"/>
    <w:rsid w:val="00F241E3"/>
    <w:rsid w:val="00F241EC"/>
    <w:rsid w:val="00F24320"/>
    <w:rsid w:val="00F2437C"/>
    <w:rsid w:val="00F243A4"/>
    <w:rsid w:val="00F2442B"/>
    <w:rsid w:val="00F244CC"/>
    <w:rsid w:val="00F244E4"/>
    <w:rsid w:val="00F244EC"/>
    <w:rsid w:val="00F24690"/>
    <w:rsid w:val="00F246BF"/>
    <w:rsid w:val="00F246FD"/>
    <w:rsid w:val="00F2488D"/>
    <w:rsid w:val="00F2491F"/>
    <w:rsid w:val="00F24955"/>
    <w:rsid w:val="00F249AE"/>
    <w:rsid w:val="00F24A38"/>
    <w:rsid w:val="00F24A68"/>
    <w:rsid w:val="00F24A79"/>
    <w:rsid w:val="00F24A7A"/>
    <w:rsid w:val="00F24ADE"/>
    <w:rsid w:val="00F24C2D"/>
    <w:rsid w:val="00F24D26"/>
    <w:rsid w:val="00F24D28"/>
    <w:rsid w:val="00F24D5F"/>
    <w:rsid w:val="00F24DEB"/>
    <w:rsid w:val="00F24EF5"/>
    <w:rsid w:val="00F24F6E"/>
    <w:rsid w:val="00F25064"/>
    <w:rsid w:val="00F250E4"/>
    <w:rsid w:val="00F251D4"/>
    <w:rsid w:val="00F2521D"/>
    <w:rsid w:val="00F25227"/>
    <w:rsid w:val="00F25266"/>
    <w:rsid w:val="00F2527D"/>
    <w:rsid w:val="00F252F2"/>
    <w:rsid w:val="00F25302"/>
    <w:rsid w:val="00F25422"/>
    <w:rsid w:val="00F2544B"/>
    <w:rsid w:val="00F254F6"/>
    <w:rsid w:val="00F254FC"/>
    <w:rsid w:val="00F25608"/>
    <w:rsid w:val="00F25622"/>
    <w:rsid w:val="00F25765"/>
    <w:rsid w:val="00F257C5"/>
    <w:rsid w:val="00F25805"/>
    <w:rsid w:val="00F258B3"/>
    <w:rsid w:val="00F25998"/>
    <w:rsid w:val="00F25A7C"/>
    <w:rsid w:val="00F25B31"/>
    <w:rsid w:val="00F25B7D"/>
    <w:rsid w:val="00F25CEB"/>
    <w:rsid w:val="00F25E7B"/>
    <w:rsid w:val="00F25F36"/>
    <w:rsid w:val="00F25F6F"/>
    <w:rsid w:val="00F25FFC"/>
    <w:rsid w:val="00F260CD"/>
    <w:rsid w:val="00F260DE"/>
    <w:rsid w:val="00F26217"/>
    <w:rsid w:val="00F2624C"/>
    <w:rsid w:val="00F2628B"/>
    <w:rsid w:val="00F262A1"/>
    <w:rsid w:val="00F263B1"/>
    <w:rsid w:val="00F263D2"/>
    <w:rsid w:val="00F267AC"/>
    <w:rsid w:val="00F2694E"/>
    <w:rsid w:val="00F269DC"/>
    <w:rsid w:val="00F269EF"/>
    <w:rsid w:val="00F26A50"/>
    <w:rsid w:val="00F26D47"/>
    <w:rsid w:val="00F26DD6"/>
    <w:rsid w:val="00F26DDB"/>
    <w:rsid w:val="00F26E7D"/>
    <w:rsid w:val="00F26F10"/>
    <w:rsid w:val="00F26F17"/>
    <w:rsid w:val="00F26F7A"/>
    <w:rsid w:val="00F27013"/>
    <w:rsid w:val="00F27170"/>
    <w:rsid w:val="00F27188"/>
    <w:rsid w:val="00F271E3"/>
    <w:rsid w:val="00F2729B"/>
    <w:rsid w:val="00F27337"/>
    <w:rsid w:val="00F27351"/>
    <w:rsid w:val="00F27379"/>
    <w:rsid w:val="00F27518"/>
    <w:rsid w:val="00F27520"/>
    <w:rsid w:val="00F27533"/>
    <w:rsid w:val="00F27669"/>
    <w:rsid w:val="00F2783E"/>
    <w:rsid w:val="00F2799E"/>
    <w:rsid w:val="00F279A9"/>
    <w:rsid w:val="00F27A2C"/>
    <w:rsid w:val="00F27A4A"/>
    <w:rsid w:val="00F27ACA"/>
    <w:rsid w:val="00F27AEB"/>
    <w:rsid w:val="00F27D21"/>
    <w:rsid w:val="00F27E3F"/>
    <w:rsid w:val="00F27F27"/>
    <w:rsid w:val="00F27F52"/>
    <w:rsid w:val="00F300F1"/>
    <w:rsid w:val="00F302B1"/>
    <w:rsid w:val="00F30334"/>
    <w:rsid w:val="00F303CD"/>
    <w:rsid w:val="00F30427"/>
    <w:rsid w:val="00F30541"/>
    <w:rsid w:val="00F30542"/>
    <w:rsid w:val="00F30570"/>
    <w:rsid w:val="00F305BA"/>
    <w:rsid w:val="00F3062F"/>
    <w:rsid w:val="00F3063D"/>
    <w:rsid w:val="00F30839"/>
    <w:rsid w:val="00F3093A"/>
    <w:rsid w:val="00F30A6A"/>
    <w:rsid w:val="00F30AD6"/>
    <w:rsid w:val="00F30AF8"/>
    <w:rsid w:val="00F30B93"/>
    <w:rsid w:val="00F30BBE"/>
    <w:rsid w:val="00F30BCF"/>
    <w:rsid w:val="00F30BE2"/>
    <w:rsid w:val="00F30CCB"/>
    <w:rsid w:val="00F30CEA"/>
    <w:rsid w:val="00F30D02"/>
    <w:rsid w:val="00F30D5F"/>
    <w:rsid w:val="00F30D7F"/>
    <w:rsid w:val="00F30E7E"/>
    <w:rsid w:val="00F30F60"/>
    <w:rsid w:val="00F30F95"/>
    <w:rsid w:val="00F31060"/>
    <w:rsid w:val="00F311AF"/>
    <w:rsid w:val="00F31210"/>
    <w:rsid w:val="00F312F5"/>
    <w:rsid w:val="00F31300"/>
    <w:rsid w:val="00F31376"/>
    <w:rsid w:val="00F31385"/>
    <w:rsid w:val="00F31453"/>
    <w:rsid w:val="00F31460"/>
    <w:rsid w:val="00F314B9"/>
    <w:rsid w:val="00F3154F"/>
    <w:rsid w:val="00F315BF"/>
    <w:rsid w:val="00F31735"/>
    <w:rsid w:val="00F31766"/>
    <w:rsid w:val="00F31769"/>
    <w:rsid w:val="00F317F8"/>
    <w:rsid w:val="00F31975"/>
    <w:rsid w:val="00F319E1"/>
    <w:rsid w:val="00F31A5E"/>
    <w:rsid w:val="00F31B5C"/>
    <w:rsid w:val="00F31C08"/>
    <w:rsid w:val="00F31C51"/>
    <w:rsid w:val="00F31D39"/>
    <w:rsid w:val="00F31D8D"/>
    <w:rsid w:val="00F31DB3"/>
    <w:rsid w:val="00F31DEA"/>
    <w:rsid w:val="00F31FD3"/>
    <w:rsid w:val="00F3206A"/>
    <w:rsid w:val="00F32071"/>
    <w:rsid w:val="00F32199"/>
    <w:rsid w:val="00F321AF"/>
    <w:rsid w:val="00F32221"/>
    <w:rsid w:val="00F322DB"/>
    <w:rsid w:val="00F324DE"/>
    <w:rsid w:val="00F32639"/>
    <w:rsid w:val="00F326D3"/>
    <w:rsid w:val="00F326F3"/>
    <w:rsid w:val="00F32774"/>
    <w:rsid w:val="00F32832"/>
    <w:rsid w:val="00F32838"/>
    <w:rsid w:val="00F32858"/>
    <w:rsid w:val="00F32909"/>
    <w:rsid w:val="00F32D02"/>
    <w:rsid w:val="00F32D84"/>
    <w:rsid w:val="00F32DD5"/>
    <w:rsid w:val="00F32DF3"/>
    <w:rsid w:val="00F32ED3"/>
    <w:rsid w:val="00F330B9"/>
    <w:rsid w:val="00F3328A"/>
    <w:rsid w:val="00F33433"/>
    <w:rsid w:val="00F334E0"/>
    <w:rsid w:val="00F3354C"/>
    <w:rsid w:val="00F335B6"/>
    <w:rsid w:val="00F33640"/>
    <w:rsid w:val="00F3372C"/>
    <w:rsid w:val="00F3378C"/>
    <w:rsid w:val="00F3381C"/>
    <w:rsid w:val="00F338C9"/>
    <w:rsid w:val="00F33A2C"/>
    <w:rsid w:val="00F33A69"/>
    <w:rsid w:val="00F33AEA"/>
    <w:rsid w:val="00F33E2C"/>
    <w:rsid w:val="00F33E8B"/>
    <w:rsid w:val="00F33FCD"/>
    <w:rsid w:val="00F33FE5"/>
    <w:rsid w:val="00F340AF"/>
    <w:rsid w:val="00F341BA"/>
    <w:rsid w:val="00F3420D"/>
    <w:rsid w:val="00F34287"/>
    <w:rsid w:val="00F34347"/>
    <w:rsid w:val="00F344F3"/>
    <w:rsid w:val="00F34585"/>
    <w:rsid w:val="00F345B0"/>
    <w:rsid w:val="00F345F7"/>
    <w:rsid w:val="00F34607"/>
    <w:rsid w:val="00F34746"/>
    <w:rsid w:val="00F3478A"/>
    <w:rsid w:val="00F34A3D"/>
    <w:rsid w:val="00F34A70"/>
    <w:rsid w:val="00F34C19"/>
    <w:rsid w:val="00F34C56"/>
    <w:rsid w:val="00F34C8F"/>
    <w:rsid w:val="00F34D16"/>
    <w:rsid w:val="00F34D4A"/>
    <w:rsid w:val="00F34DC3"/>
    <w:rsid w:val="00F34E2B"/>
    <w:rsid w:val="00F34ECA"/>
    <w:rsid w:val="00F34ED1"/>
    <w:rsid w:val="00F34F11"/>
    <w:rsid w:val="00F34F36"/>
    <w:rsid w:val="00F34F57"/>
    <w:rsid w:val="00F34F69"/>
    <w:rsid w:val="00F35069"/>
    <w:rsid w:val="00F350CD"/>
    <w:rsid w:val="00F350D6"/>
    <w:rsid w:val="00F35198"/>
    <w:rsid w:val="00F3519B"/>
    <w:rsid w:val="00F351C5"/>
    <w:rsid w:val="00F35204"/>
    <w:rsid w:val="00F3521D"/>
    <w:rsid w:val="00F35273"/>
    <w:rsid w:val="00F352F9"/>
    <w:rsid w:val="00F35346"/>
    <w:rsid w:val="00F3544B"/>
    <w:rsid w:val="00F35459"/>
    <w:rsid w:val="00F354C8"/>
    <w:rsid w:val="00F354DB"/>
    <w:rsid w:val="00F3559B"/>
    <w:rsid w:val="00F355E1"/>
    <w:rsid w:val="00F35789"/>
    <w:rsid w:val="00F35845"/>
    <w:rsid w:val="00F358B3"/>
    <w:rsid w:val="00F35924"/>
    <w:rsid w:val="00F35947"/>
    <w:rsid w:val="00F35A6C"/>
    <w:rsid w:val="00F35ADD"/>
    <w:rsid w:val="00F35B46"/>
    <w:rsid w:val="00F35B47"/>
    <w:rsid w:val="00F35B69"/>
    <w:rsid w:val="00F35C3A"/>
    <w:rsid w:val="00F35CA0"/>
    <w:rsid w:val="00F35CD6"/>
    <w:rsid w:val="00F35CF6"/>
    <w:rsid w:val="00F35D1E"/>
    <w:rsid w:val="00F35D51"/>
    <w:rsid w:val="00F35ECE"/>
    <w:rsid w:val="00F36062"/>
    <w:rsid w:val="00F3606A"/>
    <w:rsid w:val="00F36079"/>
    <w:rsid w:val="00F360E2"/>
    <w:rsid w:val="00F360F2"/>
    <w:rsid w:val="00F36100"/>
    <w:rsid w:val="00F361E5"/>
    <w:rsid w:val="00F36214"/>
    <w:rsid w:val="00F362EE"/>
    <w:rsid w:val="00F365C7"/>
    <w:rsid w:val="00F365F0"/>
    <w:rsid w:val="00F366C5"/>
    <w:rsid w:val="00F36719"/>
    <w:rsid w:val="00F36733"/>
    <w:rsid w:val="00F36748"/>
    <w:rsid w:val="00F367FD"/>
    <w:rsid w:val="00F36817"/>
    <w:rsid w:val="00F3691D"/>
    <w:rsid w:val="00F36A38"/>
    <w:rsid w:val="00F36A4A"/>
    <w:rsid w:val="00F36A81"/>
    <w:rsid w:val="00F36B06"/>
    <w:rsid w:val="00F36CDE"/>
    <w:rsid w:val="00F36D9B"/>
    <w:rsid w:val="00F36F21"/>
    <w:rsid w:val="00F36F3E"/>
    <w:rsid w:val="00F36FC0"/>
    <w:rsid w:val="00F36FD5"/>
    <w:rsid w:val="00F37019"/>
    <w:rsid w:val="00F37062"/>
    <w:rsid w:val="00F37063"/>
    <w:rsid w:val="00F3715C"/>
    <w:rsid w:val="00F37168"/>
    <w:rsid w:val="00F37307"/>
    <w:rsid w:val="00F37376"/>
    <w:rsid w:val="00F3737E"/>
    <w:rsid w:val="00F37460"/>
    <w:rsid w:val="00F37525"/>
    <w:rsid w:val="00F37599"/>
    <w:rsid w:val="00F37674"/>
    <w:rsid w:val="00F377BC"/>
    <w:rsid w:val="00F377DA"/>
    <w:rsid w:val="00F37805"/>
    <w:rsid w:val="00F3781E"/>
    <w:rsid w:val="00F3784D"/>
    <w:rsid w:val="00F378B0"/>
    <w:rsid w:val="00F378D8"/>
    <w:rsid w:val="00F378FE"/>
    <w:rsid w:val="00F3796B"/>
    <w:rsid w:val="00F379EC"/>
    <w:rsid w:val="00F37A76"/>
    <w:rsid w:val="00F37AA7"/>
    <w:rsid w:val="00F37B5B"/>
    <w:rsid w:val="00F37B5D"/>
    <w:rsid w:val="00F37C5F"/>
    <w:rsid w:val="00F37C76"/>
    <w:rsid w:val="00F37CAF"/>
    <w:rsid w:val="00F37D26"/>
    <w:rsid w:val="00F37F58"/>
    <w:rsid w:val="00F37FA8"/>
    <w:rsid w:val="00F4006C"/>
    <w:rsid w:val="00F40173"/>
    <w:rsid w:val="00F40187"/>
    <w:rsid w:val="00F40223"/>
    <w:rsid w:val="00F40301"/>
    <w:rsid w:val="00F40344"/>
    <w:rsid w:val="00F40519"/>
    <w:rsid w:val="00F4055B"/>
    <w:rsid w:val="00F405DC"/>
    <w:rsid w:val="00F405DE"/>
    <w:rsid w:val="00F405F5"/>
    <w:rsid w:val="00F405F8"/>
    <w:rsid w:val="00F40628"/>
    <w:rsid w:val="00F40669"/>
    <w:rsid w:val="00F40700"/>
    <w:rsid w:val="00F407DA"/>
    <w:rsid w:val="00F408E5"/>
    <w:rsid w:val="00F40927"/>
    <w:rsid w:val="00F409DE"/>
    <w:rsid w:val="00F409E2"/>
    <w:rsid w:val="00F40A48"/>
    <w:rsid w:val="00F40A5A"/>
    <w:rsid w:val="00F40A84"/>
    <w:rsid w:val="00F40B21"/>
    <w:rsid w:val="00F40B96"/>
    <w:rsid w:val="00F40C0C"/>
    <w:rsid w:val="00F40C3B"/>
    <w:rsid w:val="00F40C99"/>
    <w:rsid w:val="00F40D10"/>
    <w:rsid w:val="00F40D31"/>
    <w:rsid w:val="00F40D5B"/>
    <w:rsid w:val="00F40D66"/>
    <w:rsid w:val="00F40DE4"/>
    <w:rsid w:val="00F40E10"/>
    <w:rsid w:val="00F40E60"/>
    <w:rsid w:val="00F40EC9"/>
    <w:rsid w:val="00F40F5C"/>
    <w:rsid w:val="00F40F9E"/>
    <w:rsid w:val="00F40FCC"/>
    <w:rsid w:val="00F41043"/>
    <w:rsid w:val="00F41047"/>
    <w:rsid w:val="00F41182"/>
    <w:rsid w:val="00F41188"/>
    <w:rsid w:val="00F41215"/>
    <w:rsid w:val="00F4125E"/>
    <w:rsid w:val="00F41291"/>
    <w:rsid w:val="00F412FE"/>
    <w:rsid w:val="00F4131F"/>
    <w:rsid w:val="00F41356"/>
    <w:rsid w:val="00F41397"/>
    <w:rsid w:val="00F4142F"/>
    <w:rsid w:val="00F414B9"/>
    <w:rsid w:val="00F41789"/>
    <w:rsid w:val="00F417FC"/>
    <w:rsid w:val="00F41886"/>
    <w:rsid w:val="00F4190B"/>
    <w:rsid w:val="00F41930"/>
    <w:rsid w:val="00F41A92"/>
    <w:rsid w:val="00F41C24"/>
    <w:rsid w:val="00F41C97"/>
    <w:rsid w:val="00F41E66"/>
    <w:rsid w:val="00F41EE0"/>
    <w:rsid w:val="00F41FC1"/>
    <w:rsid w:val="00F4205E"/>
    <w:rsid w:val="00F421D1"/>
    <w:rsid w:val="00F422C3"/>
    <w:rsid w:val="00F422DD"/>
    <w:rsid w:val="00F422DE"/>
    <w:rsid w:val="00F4237A"/>
    <w:rsid w:val="00F423A5"/>
    <w:rsid w:val="00F423D2"/>
    <w:rsid w:val="00F42421"/>
    <w:rsid w:val="00F42468"/>
    <w:rsid w:val="00F4259B"/>
    <w:rsid w:val="00F425BA"/>
    <w:rsid w:val="00F4260E"/>
    <w:rsid w:val="00F426DC"/>
    <w:rsid w:val="00F427FD"/>
    <w:rsid w:val="00F428B6"/>
    <w:rsid w:val="00F428EB"/>
    <w:rsid w:val="00F428FD"/>
    <w:rsid w:val="00F4294F"/>
    <w:rsid w:val="00F4296D"/>
    <w:rsid w:val="00F42B79"/>
    <w:rsid w:val="00F42BA0"/>
    <w:rsid w:val="00F42BD3"/>
    <w:rsid w:val="00F42C10"/>
    <w:rsid w:val="00F42CF6"/>
    <w:rsid w:val="00F42D10"/>
    <w:rsid w:val="00F42D38"/>
    <w:rsid w:val="00F42E97"/>
    <w:rsid w:val="00F42F4E"/>
    <w:rsid w:val="00F43082"/>
    <w:rsid w:val="00F4309A"/>
    <w:rsid w:val="00F4315C"/>
    <w:rsid w:val="00F431DE"/>
    <w:rsid w:val="00F431E3"/>
    <w:rsid w:val="00F432AA"/>
    <w:rsid w:val="00F4332E"/>
    <w:rsid w:val="00F43356"/>
    <w:rsid w:val="00F4338F"/>
    <w:rsid w:val="00F4339A"/>
    <w:rsid w:val="00F433BC"/>
    <w:rsid w:val="00F433E7"/>
    <w:rsid w:val="00F4351B"/>
    <w:rsid w:val="00F43660"/>
    <w:rsid w:val="00F436C9"/>
    <w:rsid w:val="00F43758"/>
    <w:rsid w:val="00F43787"/>
    <w:rsid w:val="00F43888"/>
    <w:rsid w:val="00F43A1E"/>
    <w:rsid w:val="00F43AE3"/>
    <w:rsid w:val="00F43B17"/>
    <w:rsid w:val="00F43B72"/>
    <w:rsid w:val="00F43D41"/>
    <w:rsid w:val="00F43D81"/>
    <w:rsid w:val="00F43F0C"/>
    <w:rsid w:val="00F43F70"/>
    <w:rsid w:val="00F440BE"/>
    <w:rsid w:val="00F4411D"/>
    <w:rsid w:val="00F44147"/>
    <w:rsid w:val="00F44170"/>
    <w:rsid w:val="00F44219"/>
    <w:rsid w:val="00F44254"/>
    <w:rsid w:val="00F442CC"/>
    <w:rsid w:val="00F442DA"/>
    <w:rsid w:val="00F4438A"/>
    <w:rsid w:val="00F443CF"/>
    <w:rsid w:val="00F4446D"/>
    <w:rsid w:val="00F44486"/>
    <w:rsid w:val="00F44586"/>
    <w:rsid w:val="00F445E6"/>
    <w:rsid w:val="00F44750"/>
    <w:rsid w:val="00F44808"/>
    <w:rsid w:val="00F44A5D"/>
    <w:rsid w:val="00F44B0D"/>
    <w:rsid w:val="00F44C40"/>
    <w:rsid w:val="00F44D53"/>
    <w:rsid w:val="00F44D9E"/>
    <w:rsid w:val="00F44F7C"/>
    <w:rsid w:val="00F44FDD"/>
    <w:rsid w:val="00F4505C"/>
    <w:rsid w:val="00F45222"/>
    <w:rsid w:val="00F453D4"/>
    <w:rsid w:val="00F45404"/>
    <w:rsid w:val="00F454D5"/>
    <w:rsid w:val="00F45503"/>
    <w:rsid w:val="00F4559B"/>
    <w:rsid w:val="00F45613"/>
    <w:rsid w:val="00F4567C"/>
    <w:rsid w:val="00F45692"/>
    <w:rsid w:val="00F45758"/>
    <w:rsid w:val="00F457C1"/>
    <w:rsid w:val="00F458B0"/>
    <w:rsid w:val="00F458C6"/>
    <w:rsid w:val="00F45A62"/>
    <w:rsid w:val="00F45A99"/>
    <w:rsid w:val="00F45BAA"/>
    <w:rsid w:val="00F45BBD"/>
    <w:rsid w:val="00F45DD5"/>
    <w:rsid w:val="00F45E90"/>
    <w:rsid w:val="00F460A0"/>
    <w:rsid w:val="00F461F0"/>
    <w:rsid w:val="00F462E8"/>
    <w:rsid w:val="00F4635B"/>
    <w:rsid w:val="00F463D2"/>
    <w:rsid w:val="00F4640A"/>
    <w:rsid w:val="00F4653A"/>
    <w:rsid w:val="00F46651"/>
    <w:rsid w:val="00F466EF"/>
    <w:rsid w:val="00F46759"/>
    <w:rsid w:val="00F46970"/>
    <w:rsid w:val="00F46B0B"/>
    <w:rsid w:val="00F46B2B"/>
    <w:rsid w:val="00F46E43"/>
    <w:rsid w:val="00F46E72"/>
    <w:rsid w:val="00F46E8B"/>
    <w:rsid w:val="00F46FBC"/>
    <w:rsid w:val="00F46FDC"/>
    <w:rsid w:val="00F47056"/>
    <w:rsid w:val="00F47185"/>
    <w:rsid w:val="00F47253"/>
    <w:rsid w:val="00F4725A"/>
    <w:rsid w:val="00F472CC"/>
    <w:rsid w:val="00F472F2"/>
    <w:rsid w:val="00F4739A"/>
    <w:rsid w:val="00F474F2"/>
    <w:rsid w:val="00F47664"/>
    <w:rsid w:val="00F476E9"/>
    <w:rsid w:val="00F477D0"/>
    <w:rsid w:val="00F478CF"/>
    <w:rsid w:val="00F47A22"/>
    <w:rsid w:val="00F47BF4"/>
    <w:rsid w:val="00F47D13"/>
    <w:rsid w:val="00F47D30"/>
    <w:rsid w:val="00F47DB0"/>
    <w:rsid w:val="00F47E97"/>
    <w:rsid w:val="00F47EBD"/>
    <w:rsid w:val="00F47EED"/>
    <w:rsid w:val="00F47FA4"/>
    <w:rsid w:val="00F47FAB"/>
    <w:rsid w:val="00F47FB0"/>
    <w:rsid w:val="00F47FBD"/>
    <w:rsid w:val="00F47FF4"/>
    <w:rsid w:val="00F5008B"/>
    <w:rsid w:val="00F500DC"/>
    <w:rsid w:val="00F50233"/>
    <w:rsid w:val="00F5023C"/>
    <w:rsid w:val="00F50244"/>
    <w:rsid w:val="00F503D1"/>
    <w:rsid w:val="00F5040E"/>
    <w:rsid w:val="00F50412"/>
    <w:rsid w:val="00F50533"/>
    <w:rsid w:val="00F50571"/>
    <w:rsid w:val="00F506E8"/>
    <w:rsid w:val="00F50790"/>
    <w:rsid w:val="00F50802"/>
    <w:rsid w:val="00F50A0F"/>
    <w:rsid w:val="00F50A2E"/>
    <w:rsid w:val="00F50A39"/>
    <w:rsid w:val="00F50A6A"/>
    <w:rsid w:val="00F50A6E"/>
    <w:rsid w:val="00F50B9E"/>
    <w:rsid w:val="00F50BB9"/>
    <w:rsid w:val="00F50BBC"/>
    <w:rsid w:val="00F50C16"/>
    <w:rsid w:val="00F50CF2"/>
    <w:rsid w:val="00F50D4C"/>
    <w:rsid w:val="00F50D86"/>
    <w:rsid w:val="00F50E37"/>
    <w:rsid w:val="00F50E63"/>
    <w:rsid w:val="00F50EC8"/>
    <w:rsid w:val="00F50F55"/>
    <w:rsid w:val="00F50FEE"/>
    <w:rsid w:val="00F51040"/>
    <w:rsid w:val="00F510F0"/>
    <w:rsid w:val="00F51149"/>
    <w:rsid w:val="00F512DC"/>
    <w:rsid w:val="00F512E7"/>
    <w:rsid w:val="00F512EA"/>
    <w:rsid w:val="00F51318"/>
    <w:rsid w:val="00F51356"/>
    <w:rsid w:val="00F5138C"/>
    <w:rsid w:val="00F51415"/>
    <w:rsid w:val="00F5142D"/>
    <w:rsid w:val="00F51463"/>
    <w:rsid w:val="00F515A0"/>
    <w:rsid w:val="00F515F1"/>
    <w:rsid w:val="00F516D1"/>
    <w:rsid w:val="00F5172A"/>
    <w:rsid w:val="00F51993"/>
    <w:rsid w:val="00F519BB"/>
    <w:rsid w:val="00F51A9D"/>
    <w:rsid w:val="00F51C00"/>
    <w:rsid w:val="00F51C83"/>
    <w:rsid w:val="00F51CE6"/>
    <w:rsid w:val="00F51EA9"/>
    <w:rsid w:val="00F51EBE"/>
    <w:rsid w:val="00F51F3E"/>
    <w:rsid w:val="00F51F8B"/>
    <w:rsid w:val="00F51FF6"/>
    <w:rsid w:val="00F52159"/>
    <w:rsid w:val="00F52197"/>
    <w:rsid w:val="00F5220B"/>
    <w:rsid w:val="00F522AE"/>
    <w:rsid w:val="00F522B4"/>
    <w:rsid w:val="00F522E3"/>
    <w:rsid w:val="00F52351"/>
    <w:rsid w:val="00F5237E"/>
    <w:rsid w:val="00F523DF"/>
    <w:rsid w:val="00F5244B"/>
    <w:rsid w:val="00F5254C"/>
    <w:rsid w:val="00F52615"/>
    <w:rsid w:val="00F52675"/>
    <w:rsid w:val="00F5268A"/>
    <w:rsid w:val="00F5271D"/>
    <w:rsid w:val="00F52853"/>
    <w:rsid w:val="00F52961"/>
    <w:rsid w:val="00F529A1"/>
    <w:rsid w:val="00F529BA"/>
    <w:rsid w:val="00F52A7A"/>
    <w:rsid w:val="00F52B55"/>
    <w:rsid w:val="00F52C02"/>
    <w:rsid w:val="00F52C07"/>
    <w:rsid w:val="00F52C84"/>
    <w:rsid w:val="00F52CC4"/>
    <w:rsid w:val="00F52CE5"/>
    <w:rsid w:val="00F52D46"/>
    <w:rsid w:val="00F52DBF"/>
    <w:rsid w:val="00F52DCD"/>
    <w:rsid w:val="00F52EAE"/>
    <w:rsid w:val="00F52F35"/>
    <w:rsid w:val="00F53020"/>
    <w:rsid w:val="00F5317C"/>
    <w:rsid w:val="00F53185"/>
    <w:rsid w:val="00F5325C"/>
    <w:rsid w:val="00F532DB"/>
    <w:rsid w:val="00F5334C"/>
    <w:rsid w:val="00F533B1"/>
    <w:rsid w:val="00F53459"/>
    <w:rsid w:val="00F53485"/>
    <w:rsid w:val="00F534A0"/>
    <w:rsid w:val="00F534CF"/>
    <w:rsid w:val="00F5353F"/>
    <w:rsid w:val="00F535C0"/>
    <w:rsid w:val="00F53602"/>
    <w:rsid w:val="00F53606"/>
    <w:rsid w:val="00F5361F"/>
    <w:rsid w:val="00F5375A"/>
    <w:rsid w:val="00F5376D"/>
    <w:rsid w:val="00F53851"/>
    <w:rsid w:val="00F538DE"/>
    <w:rsid w:val="00F538F1"/>
    <w:rsid w:val="00F538FD"/>
    <w:rsid w:val="00F5396A"/>
    <w:rsid w:val="00F5396F"/>
    <w:rsid w:val="00F5398D"/>
    <w:rsid w:val="00F5399D"/>
    <w:rsid w:val="00F539DD"/>
    <w:rsid w:val="00F539E2"/>
    <w:rsid w:val="00F53ADA"/>
    <w:rsid w:val="00F53B7A"/>
    <w:rsid w:val="00F53D2D"/>
    <w:rsid w:val="00F53D72"/>
    <w:rsid w:val="00F53DB8"/>
    <w:rsid w:val="00F53DB9"/>
    <w:rsid w:val="00F53E24"/>
    <w:rsid w:val="00F53E49"/>
    <w:rsid w:val="00F53ECC"/>
    <w:rsid w:val="00F53ECE"/>
    <w:rsid w:val="00F5400A"/>
    <w:rsid w:val="00F5402E"/>
    <w:rsid w:val="00F540E9"/>
    <w:rsid w:val="00F5416F"/>
    <w:rsid w:val="00F54180"/>
    <w:rsid w:val="00F5429E"/>
    <w:rsid w:val="00F54337"/>
    <w:rsid w:val="00F5455C"/>
    <w:rsid w:val="00F545AD"/>
    <w:rsid w:val="00F54656"/>
    <w:rsid w:val="00F54678"/>
    <w:rsid w:val="00F546FD"/>
    <w:rsid w:val="00F54759"/>
    <w:rsid w:val="00F547A0"/>
    <w:rsid w:val="00F547F4"/>
    <w:rsid w:val="00F54970"/>
    <w:rsid w:val="00F54992"/>
    <w:rsid w:val="00F549A3"/>
    <w:rsid w:val="00F54B8A"/>
    <w:rsid w:val="00F54B94"/>
    <w:rsid w:val="00F54D22"/>
    <w:rsid w:val="00F54E18"/>
    <w:rsid w:val="00F54E44"/>
    <w:rsid w:val="00F54E51"/>
    <w:rsid w:val="00F54E56"/>
    <w:rsid w:val="00F54F53"/>
    <w:rsid w:val="00F554FA"/>
    <w:rsid w:val="00F55592"/>
    <w:rsid w:val="00F555E9"/>
    <w:rsid w:val="00F55698"/>
    <w:rsid w:val="00F556C1"/>
    <w:rsid w:val="00F557D2"/>
    <w:rsid w:val="00F55911"/>
    <w:rsid w:val="00F5596B"/>
    <w:rsid w:val="00F55A3F"/>
    <w:rsid w:val="00F55BCF"/>
    <w:rsid w:val="00F55DA4"/>
    <w:rsid w:val="00F55DCA"/>
    <w:rsid w:val="00F55E85"/>
    <w:rsid w:val="00F55ED2"/>
    <w:rsid w:val="00F55EF9"/>
    <w:rsid w:val="00F55F57"/>
    <w:rsid w:val="00F56063"/>
    <w:rsid w:val="00F5606B"/>
    <w:rsid w:val="00F56182"/>
    <w:rsid w:val="00F561DD"/>
    <w:rsid w:val="00F561F7"/>
    <w:rsid w:val="00F562A2"/>
    <w:rsid w:val="00F562AB"/>
    <w:rsid w:val="00F562F7"/>
    <w:rsid w:val="00F564E0"/>
    <w:rsid w:val="00F564F6"/>
    <w:rsid w:val="00F56532"/>
    <w:rsid w:val="00F5660F"/>
    <w:rsid w:val="00F56670"/>
    <w:rsid w:val="00F566B3"/>
    <w:rsid w:val="00F566C1"/>
    <w:rsid w:val="00F5680B"/>
    <w:rsid w:val="00F56879"/>
    <w:rsid w:val="00F56926"/>
    <w:rsid w:val="00F56A5A"/>
    <w:rsid w:val="00F56A82"/>
    <w:rsid w:val="00F56AD8"/>
    <w:rsid w:val="00F56C3D"/>
    <w:rsid w:val="00F56E99"/>
    <w:rsid w:val="00F56F78"/>
    <w:rsid w:val="00F56F8C"/>
    <w:rsid w:val="00F56FB9"/>
    <w:rsid w:val="00F570FA"/>
    <w:rsid w:val="00F57144"/>
    <w:rsid w:val="00F57228"/>
    <w:rsid w:val="00F5731D"/>
    <w:rsid w:val="00F5736F"/>
    <w:rsid w:val="00F57397"/>
    <w:rsid w:val="00F573DB"/>
    <w:rsid w:val="00F573E5"/>
    <w:rsid w:val="00F5749B"/>
    <w:rsid w:val="00F57699"/>
    <w:rsid w:val="00F57813"/>
    <w:rsid w:val="00F57928"/>
    <w:rsid w:val="00F57953"/>
    <w:rsid w:val="00F57972"/>
    <w:rsid w:val="00F57A20"/>
    <w:rsid w:val="00F57B93"/>
    <w:rsid w:val="00F57BD8"/>
    <w:rsid w:val="00F57C04"/>
    <w:rsid w:val="00F57D47"/>
    <w:rsid w:val="00F57D7B"/>
    <w:rsid w:val="00F57E75"/>
    <w:rsid w:val="00F5954C"/>
    <w:rsid w:val="00F6000E"/>
    <w:rsid w:val="00F600F1"/>
    <w:rsid w:val="00F60165"/>
    <w:rsid w:val="00F601B5"/>
    <w:rsid w:val="00F601E2"/>
    <w:rsid w:val="00F602A1"/>
    <w:rsid w:val="00F60398"/>
    <w:rsid w:val="00F60415"/>
    <w:rsid w:val="00F60449"/>
    <w:rsid w:val="00F604EB"/>
    <w:rsid w:val="00F60683"/>
    <w:rsid w:val="00F608E7"/>
    <w:rsid w:val="00F6091B"/>
    <w:rsid w:val="00F60A24"/>
    <w:rsid w:val="00F60A66"/>
    <w:rsid w:val="00F60B28"/>
    <w:rsid w:val="00F60B30"/>
    <w:rsid w:val="00F60BC4"/>
    <w:rsid w:val="00F60D0E"/>
    <w:rsid w:val="00F60D3C"/>
    <w:rsid w:val="00F60D4C"/>
    <w:rsid w:val="00F60D84"/>
    <w:rsid w:val="00F60D94"/>
    <w:rsid w:val="00F60DC7"/>
    <w:rsid w:val="00F60DF2"/>
    <w:rsid w:val="00F60E99"/>
    <w:rsid w:val="00F60ECF"/>
    <w:rsid w:val="00F60F1D"/>
    <w:rsid w:val="00F60F69"/>
    <w:rsid w:val="00F60FBA"/>
    <w:rsid w:val="00F61144"/>
    <w:rsid w:val="00F611BB"/>
    <w:rsid w:val="00F611E4"/>
    <w:rsid w:val="00F6129B"/>
    <w:rsid w:val="00F612EC"/>
    <w:rsid w:val="00F61310"/>
    <w:rsid w:val="00F613A0"/>
    <w:rsid w:val="00F6143F"/>
    <w:rsid w:val="00F6149B"/>
    <w:rsid w:val="00F614E4"/>
    <w:rsid w:val="00F6161E"/>
    <w:rsid w:val="00F61620"/>
    <w:rsid w:val="00F6166B"/>
    <w:rsid w:val="00F61912"/>
    <w:rsid w:val="00F61A1E"/>
    <w:rsid w:val="00F61BA3"/>
    <w:rsid w:val="00F61BAF"/>
    <w:rsid w:val="00F61C00"/>
    <w:rsid w:val="00F61C34"/>
    <w:rsid w:val="00F61D6D"/>
    <w:rsid w:val="00F61D71"/>
    <w:rsid w:val="00F61F30"/>
    <w:rsid w:val="00F61F7D"/>
    <w:rsid w:val="00F61FD8"/>
    <w:rsid w:val="00F62034"/>
    <w:rsid w:val="00F6203B"/>
    <w:rsid w:val="00F6218D"/>
    <w:rsid w:val="00F621A8"/>
    <w:rsid w:val="00F62232"/>
    <w:rsid w:val="00F6228E"/>
    <w:rsid w:val="00F62408"/>
    <w:rsid w:val="00F6240F"/>
    <w:rsid w:val="00F6245E"/>
    <w:rsid w:val="00F62725"/>
    <w:rsid w:val="00F62763"/>
    <w:rsid w:val="00F62810"/>
    <w:rsid w:val="00F62886"/>
    <w:rsid w:val="00F629C2"/>
    <w:rsid w:val="00F629FE"/>
    <w:rsid w:val="00F62A34"/>
    <w:rsid w:val="00F62A5F"/>
    <w:rsid w:val="00F62B7F"/>
    <w:rsid w:val="00F62B83"/>
    <w:rsid w:val="00F62BA3"/>
    <w:rsid w:val="00F62BBC"/>
    <w:rsid w:val="00F62BEF"/>
    <w:rsid w:val="00F62DB6"/>
    <w:rsid w:val="00F62F0A"/>
    <w:rsid w:val="00F63043"/>
    <w:rsid w:val="00F63064"/>
    <w:rsid w:val="00F630E1"/>
    <w:rsid w:val="00F6348E"/>
    <w:rsid w:val="00F63537"/>
    <w:rsid w:val="00F6355A"/>
    <w:rsid w:val="00F63696"/>
    <w:rsid w:val="00F63781"/>
    <w:rsid w:val="00F637CC"/>
    <w:rsid w:val="00F6380F"/>
    <w:rsid w:val="00F63925"/>
    <w:rsid w:val="00F63A75"/>
    <w:rsid w:val="00F63BB7"/>
    <w:rsid w:val="00F63C53"/>
    <w:rsid w:val="00F63ECE"/>
    <w:rsid w:val="00F63EEB"/>
    <w:rsid w:val="00F63FAF"/>
    <w:rsid w:val="00F63FCB"/>
    <w:rsid w:val="00F6406A"/>
    <w:rsid w:val="00F640BC"/>
    <w:rsid w:val="00F6411C"/>
    <w:rsid w:val="00F6418F"/>
    <w:rsid w:val="00F641AF"/>
    <w:rsid w:val="00F64263"/>
    <w:rsid w:val="00F643A0"/>
    <w:rsid w:val="00F644B7"/>
    <w:rsid w:val="00F6457C"/>
    <w:rsid w:val="00F645F5"/>
    <w:rsid w:val="00F64617"/>
    <w:rsid w:val="00F6463A"/>
    <w:rsid w:val="00F64677"/>
    <w:rsid w:val="00F646B7"/>
    <w:rsid w:val="00F646DD"/>
    <w:rsid w:val="00F646E0"/>
    <w:rsid w:val="00F6477F"/>
    <w:rsid w:val="00F647D4"/>
    <w:rsid w:val="00F648BC"/>
    <w:rsid w:val="00F6498E"/>
    <w:rsid w:val="00F64B3C"/>
    <w:rsid w:val="00F64B60"/>
    <w:rsid w:val="00F64BA6"/>
    <w:rsid w:val="00F64BF9"/>
    <w:rsid w:val="00F64C97"/>
    <w:rsid w:val="00F64D0C"/>
    <w:rsid w:val="00F64D51"/>
    <w:rsid w:val="00F64E48"/>
    <w:rsid w:val="00F64F34"/>
    <w:rsid w:val="00F64F94"/>
    <w:rsid w:val="00F64FF0"/>
    <w:rsid w:val="00F6500C"/>
    <w:rsid w:val="00F6504B"/>
    <w:rsid w:val="00F65065"/>
    <w:rsid w:val="00F6507D"/>
    <w:rsid w:val="00F650AA"/>
    <w:rsid w:val="00F650AB"/>
    <w:rsid w:val="00F65150"/>
    <w:rsid w:val="00F6516E"/>
    <w:rsid w:val="00F651C8"/>
    <w:rsid w:val="00F65208"/>
    <w:rsid w:val="00F65239"/>
    <w:rsid w:val="00F654A2"/>
    <w:rsid w:val="00F65523"/>
    <w:rsid w:val="00F655A6"/>
    <w:rsid w:val="00F6563D"/>
    <w:rsid w:val="00F65649"/>
    <w:rsid w:val="00F6565D"/>
    <w:rsid w:val="00F65703"/>
    <w:rsid w:val="00F65802"/>
    <w:rsid w:val="00F65807"/>
    <w:rsid w:val="00F6591E"/>
    <w:rsid w:val="00F65923"/>
    <w:rsid w:val="00F65A35"/>
    <w:rsid w:val="00F65A9F"/>
    <w:rsid w:val="00F65B11"/>
    <w:rsid w:val="00F65CC8"/>
    <w:rsid w:val="00F65CC9"/>
    <w:rsid w:val="00F65CEA"/>
    <w:rsid w:val="00F65DA9"/>
    <w:rsid w:val="00F65E0B"/>
    <w:rsid w:val="00F65E1D"/>
    <w:rsid w:val="00F65E4B"/>
    <w:rsid w:val="00F65E64"/>
    <w:rsid w:val="00F65E70"/>
    <w:rsid w:val="00F65F6A"/>
    <w:rsid w:val="00F65F6E"/>
    <w:rsid w:val="00F65FCC"/>
    <w:rsid w:val="00F66014"/>
    <w:rsid w:val="00F6601A"/>
    <w:rsid w:val="00F6617C"/>
    <w:rsid w:val="00F66261"/>
    <w:rsid w:val="00F66479"/>
    <w:rsid w:val="00F664D9"/>
    <w:rsid w:val="00F665AE"/>
    <w:rsid w:val="00F666A9"/>
    <w:rsid w:val="00F667A5"/>
    <w:rsid w:val="00F667D6"/>
    <w:rsid w:val="00F66864"/>
    <w:rsid w:val="00F66921"/>
    <w:rsid w:val="00F66930"/>
    <w:rsid w:val="00F66A65"/>
    <w:rsid w:val="00F66AB6"/>
    <w:rsid w:val="00F66B1A"/>
    <w:rsid w:val="00F66B89"/>
    <w:rsid w:val="00F66BED"/>
    <w:rsid w:val="00F66C13"/>
    <w:rsid w:val="00F66CBA"/>
    <w:rsid w:val="00F66D71"/>
    <w:rsid w:val="00F66D9A"/>
    <w:rsid w:val="00F66DBA"/>
    <w:rsid w:val="00F66DD7"/>
    <w:rsid w:val="00F66F88"/>
    <w:rsid w:val="00F66F9D"/>
    <w:rsid w:val="00F671DE"/>
    <w:rsid w:val="00F671DF"/>
    <w:rsid w:val="00F671E8"/>
    <w:rsid w:val="00F67286"/>
    <w:rsid w:val="00F6728F"/>
    <w:rsid w:val="00F6730C"/>
    <w:rsid w:val="00F67536"/>
    <w:rsid w:val="00F67549"/>
    <w:rsid w:val="00F6756D"/>
    <w:rsid w:val="00F67626"/>
    <w:rsid w:val="00F67699"/>
    <w:rsid w:val="00F676C8"/>
    <w:rsid w:val="00F6775C"/>
    <w:rsid w:val="00F677BD"/>
    <w:rsid w:val="00F6787D"/>
    <w:rsid w:val="00F67891"/>
    <w:rsid w:val="00F678CA"/>
    <w:rsid w:val="00F678D2"/>
    <w:rsid w:val="00F6792F"/>
    <w:rsid w:val="00F679B6"/>
    <w:rsid w:val="00F67A85"/>
    <w:rsid w:val="00F67ABD"/>
    <w:rsid w:val="00F67B53"/>
    <w:rsid w:val="00F67B8E"/>
    <w:rsid w:val="00F67CEE"/>
    <w:rsid w:val="00F67DA9"/>
    <w:rsid w:val="00F67E1B"/>
    <w:rsid w:val="00F67E6A"/>
    <w:rsid w:val="00F67EA9"/>
    <w:rsid w:val="00F67ED4"/>
    <w:rsid w:val="00F7011D"/>
    <w:rsid w:val="00F70196"/>
    <w:rsid w:val="00F7023F"/>
    <w:rsid w:val="00F70293"/>
    <w:rsid w:val="00F7039C"/>
    <w:rsid w:val="00F703E7"/>
    <w:rsid w:val="00F703F0"/>
    <w:rsid w:val="00F70583"/>
    <w:rsid w:val="00F705D2"/>
    <w:rsid w:val="00F705FA"/>
    <w:rsid w:val="00F70611"/>
    <w:rsid w:val="00F70648"/>
    <w:rsid w:val="00F70679"/>
    <w:rsid w:val="00F706F2"/>
    <w:rsid w:val="00F707C8"/>
    <w:rsid w:val="00F7088F"/>
    <w:rsid w:val="00F70904"/>
    <w:rsid w:val="00F70979"/>
    <w:rsid w:val="00F709CC"/>
    <w:rsid w:val="00F70A84"/>
    <w:rsid w:val="00F70AE2"/>
    <w:rsid w:val="00F70D50"/>
    <w:rsid w:val="00F70E11"/>
    <w:rsid w:val="00F71180"/>
    <w:rsid w:val="00F71254"/>
    <w:rsid w:val="00F71451"/>
    <w:rsid w:val="00F71496"/>
    <w:rsid w:val="00F71512"/>
    <w:rsid w:val="00F7152E"/>
    <w:rsid w:val="00F71565"/>
    <w:rsid w:val="00F71634"/>
    <w:rsid w:val="00F71659"/>
    <w:rsid w:val="00F71671"/>
    <w:rsid w:val="00F7173F"/>
    <w:rsid w:val="00F71808"/>
    <w:rsid w:val="00F7181D"/>
    <w:rsid w:val="00F71980"/>
    <w:rsid w:val="00F71A58"/>
    <w:rsid w:val="00F71A92"/>
    <w:rsid w:val="00F71AD8"/>
    <w:rsid w:val="00F71BB1"/>
    <w:rsid w:val="00F71BD1"/>
    <w:rsid w:val="00F71D37"/>
    <w:rsid w:val="00F71DB4"/>
    <w:rsid w:val="00F71E0B"/>
    <w:rsid w:val="00F71E18"/>
    <w:rsid w:val="00F71E6A"/>
    <w:rsid w:val="00F71F84"/>
    <w:rsid w:val="00F71FD9"/>
    <w:rsid w:val="00F72018"/>
    <w:rsid w:val="00F72280"/>
    <w:rsid w:val="00F7233C"/>
    <w:rsid w:val="00F7241B"/>
    <w:rsid w:val="00F72557"/>
    <w:rsid w:val="00F725A5"/>
    <w:rsid w:val="00F72643"/>
    <w:rsid w:val="00F72689"/>
    <w:rsid w:val="00F726A0"/>
    <w:rsid w:val="00F72866"/>
    <w:rsid w:val="00F72877"/>
    <w:rsid w:val="00F72889"/>
    <w:rsid w:val="00F728CE"/>
    <w:rsid w:val="00F72B9E"/>
    <w:rsid w:val="00F72C36"/>
    <w:rsid w:val="00F72CFD"/>
    <w:rsid w:val="00F72D2B"/>
    <w:rsid w:val="00F72E8D"/>
    <w:rsid w:val="00F72F92"/>
    <w:rsid w:val="00F72FBA"/>
    <w:rsid w:val="00F72FDA"/>
    <w:rsid w:val="00F72FED"/>
    <w:rsid w:val="00F72FFC"/>
    <w:rsid w:val="00F73045"/>
    <w:rsid w:val="00F731B6"/>
    <w:rsid w:val="00F731D4"/>
    <w:rsid w:val="00F73221"/>
    <w:rsid w:val="00F73359"/>
    <w:rsid w:val="00F733F1"/>
    <w:rsid w:val="00F734E4"/>
    <w:rsid w:val="00F734EF"/>
    <w:rsid w:val="00F7350A"/>
    <w:rsid w:val="00F73544"/>
    <w:rsid w:val="00F7370D"/>
    <w:rsid w:val="00F73740"/>
    <w:rsid w:val="00F7383E"/>
    <w:rsid w:val="00F738A2"/>
    <w:rsid w:val="00F73954"/>
    <w:rsid w:val="00F73A78"/>
    <w:rsid w:val="00F73AE3"/>
    <w:rsid w:val="00F73B43"/>
    <w:rsid w:val="00F73B74"/>
    <w:rsid w:val="00F73C60"/>
    <w:rsid w:val="00F73C87"/>
    <w:rsid w:val="00F73CBE"/>
    <w:rsid w:val="00F73DB9"/>
    <w:rsid w:val="00F73EA7"/>
    <w:rsid w:val="00F73EEE"/>
    <w:rsid w:val="00F73EF6"/>
    <w:rsid w:val="00F73F1D"/>
    <w:rsid w:val="00F73F6D"/>
    <w:rsid w:val="00F73F79"/>
    <w:rsid w:val="00F73FD6"/>
    <w:rsid w:val="00F740A4"/>
    <w:rsid w:val="00F740FC"/>
    <w:rsid w:val="00F74153"/>
    <w:rsid w:val="00F74199"/>
    <w:rsid w:val="00F74220"/>
    <w:rsid w:val="00F74247"/>
    <w:rsid w:val="00F74434"/>
    <w:rsid w:val="00F74484"/>
    <w:rsid w:val="00F74490"/>
    <w:rsid w:val="00F74559"/>
    <w:rsid w:val="00F7464B"/>
    <w:rsid w:val="00F74680"/>
    <w:rsid w:val="00F7473A"/>
    <w:rsid w:val="00F7484B"/>
    <w:rsid w:val="00F74C88"/>
    <w:rsid w:val="00F74CA7"/>
    <w:rsid w:val="00F74CE7"/>
    <w:rsid w:val="00F74D40"/>
    <w:rsid w:val="00F74E70"/>
    <w:rsid w:val="00F74F09"/>
    <w:rsid w:val="00F75030"/>
    <w:rsid w:val="00F75051"/>
    <w:rsid w:val="00F75066"/>
    <w:rsid w:val="00F75090"/>
    <w:rsid w:val="00F750F8"/>
    <w:rsid w:val="00F75249"/>
    <w:rsid w:val="00F75255"/>
    <w:rsid w:val="00F75271"/>
    <w:rsid w:val="00F753D8"/>
    <w:rsid w:val="00F75568"/>
    <w:rsid w:val="00F755D2"/>
    <w:rsid w:val="00F75715"/>
    <w:rsid w:val="00F75723"/>
    <w:rsid w:val="00F757D7"/>
    <w:rsid w:val="00F75864"/>
    <w:rsid w:val="00F7586D"/>
    <w:rsid w:val="00F75923"/>
    <w:rsid w:val="00F75B4E"/>
    <w:rsid w:val="00F75BC8"/>
    <w:rsid w:val="00F75C07"/>
    <w:rsid w:val="00F75C6E"/>
    <w:rsid w:val="00F75D04"/>
    <w:rsid w:val="00F75D17"/>
    <w:rsid w:val="00F75D50"/>
    <w:rsid w:val="00F75ED8"/>
    <w:rsid w:val="00F75EE3"/>
    <w:rsid w:val="00F760CB"/>
    <w:rsid w:val="00F76102"/>
    <w:rsid w:val="00F76312"/>
    <w:rsid w:val="00F76356"/>
    <w:rsid w:val="00F76444"/>
    <w:rsid w:val="00F7653C"/>
    <w:rsid w:val="00F76555"/>
    <w:rsid w:val="00F76595"/>
    <w:rsid w:val="00F765B6"/>
    <w:rsid w:val="00F765DF"/>
    <w:rsid w:val="00F76688"/>
    <w:rsid w:val="00F76788"/>
    <w:rsid w:val="00F76800"/>
    <w:rsid w:val="00F7683E"/>
    <w:rsid w:val="00F768D1"/>
    <w:rsid w:val="00F76971"/>
    <w:rsid w:val="00F769A2"/>
    <w:rsid w:val="00F76A41"/>
    <w:rsid w:val="00F76A9D"/>
    <w:rsid w:val="00F76BF0"/>
    <w:rsid w:val="00F76C38"/>
    <w:rsid w:val="00F76D6C"/>
    <w:rsid w:val="00F76D90"/>
    <w:rsid w:val="00F76DAD"/>
    <w:rsid w:val="00F76DB9"/>
    <w:rsid w:val="00F76E5C"/>
    <w:rsid w:val="00F76FC9"/>
    <w:rsid w:val="00F7700A"/>
    <w:rsid w:val="00F77018"/>
    <w:rsid w:val="00F77096"/>
    <w:rsid w:val="00F771F2"/>
    <w:rsid w:val="00F77282"/>
    <w:rsid w:val="00F772FC"/>
    <w:rsid w:val="00F77377"/>
    <w:rsid w:val="00F77381"/>
    <w:rsid w:val="00F77475"/>
    <w:rsid w:val="00F7757A"/>
    <w:rsid w:val="00F77587"/>
    <w:rsid w:val="00F77702"/>
    <w:rsid w:val="00F77822"/>
    <w:rsid w:val="00F77871"/>
    <w:rsid w:val="00F77919"/>
    <w:rsid w:val="00F7791B"/>
    <w:rsid w:val="00F779A9"/>
    <w:rsid w:val="00F779AF"/>
    <w:rsid w:val="00F77A03"/>
    <w:rsid w:val="00F77A62"/>
    <w:rsid w:val="00F77B25"/>
    <w:rsid w:val="00F77BC2"/>
    <w:rsid w:val="00F77BD4"/>
    <w:rsid w:val="00F77C64"/>
    <w:rsid w:val="00F77C82"/>
    <w:rsid w:val="00F77CA8"/>
    <w:rsid w:val="00F77CD1"/>
    <w:rsid w:val="00F77E13"/>
    <w:rsid w:val="00F77E5E"/>
    <w:rsid w:val="00F77E78"/>
    <w:rsid w:val="00F77EE3"/>
    <w:rsid w:val="00F77F28"/>
    <w:rsid w:val="00F77FE1"/>
    <w:rsid w:val="00F80021"/>
    <w:rsid w:val="00F80075"/>
    <w:rsid w:val="00F800D5"/>
    <w:rsid w:val="00F800E5"/>
    <w:rsid w:val="00F8010A"/>
    <w:rsid w:val="00F80110"/>
    <w:rsid w:val="00F80409"/>
    <w:rsid w:val="00F8042B"/>
    <w:rsid w:val="00F804B7"/>
    <w:rsid w:val="00F805F5"/>
    <w:rsid w:val="00F8065E"/>
    <w:rsid w:val="00F806D4"/>
    <w:rsid w:val="00F80732"/>
    <w:rsid w:val="00F80820"/>
    <w:rsid w:val="00F8082F"/>
    <w:rsid w:val="00F809E6"/>
    <w:rsid w:val="00F80A6B"/>
    <w:rsid w:val="00F80B78"/>
    <w:rsid w:val="00F80BE8"/>
    <w:rsid w:val="00F80C63"/>
    <w:rsid w:val="00F80C6C"/>
    <w:rsid w:val="00F80D20"/>
    <w:rsid w:val="00F80D45"/>
    <w:rsid w:val="00F80DEA"/>
    <w:rsid w:val="00F80DFF"/>
    <w:rsid w:val="00F80ED8"/>
    <w:rsid w:val="00F80F35"/>
    <w:rsid w:val="00F8105D"/>
    <w:rsid w:val="00F8109C"/>
    <w:rsid w:val="00F81120"/>
    <w:rsid w:val="00F81122"/>
    <w:rsid w:val="00F81209"/>
    <w:rsid w:val="00F813E9"/>
    <w:rsid w:val="00F81419"/>
    <w:rsid w:val="00F8141B"/>
    <w:rsid w:val="00F81441"/>
    <w:rsid w:val="00F814FD"/>
    <w:rsid w:val="00F8169A"/>
    <w:rsid w:val="00F81796"/>
    <w:rsid w:val="00F817C6"/>
    <w:rsid w:val="00F8182D"/>
    <w:rsid w:val="00F818A6"/>
    <w:rsid w:val="00F8199E"/>
    <w:rsid w:val="00F81B37"/>
    <w:rsid w:val="00F81B7D"/>
    <w:rsid w:val="00F81BCB"/>
    <w:rsid w:val="00F81BD8"/>
    <w:rsid w:val="00F81C87"/>
    <w:rsid w:val="00F81C99"/>
    <w:rsid w:val="00F81E81"/>
    <w:rsid w:val="00F81EA1"/>
    <w:rsid w:val="00F81F88"/>
    <w:rsid w:val="00F820AC"/>
    <w:rsid w:val="00F820EF"/>
    <w:rsid w:val="00F82114"/>
    <w:rsid w:val="00F82219"/>
    <w:rsid w:val="00F822AC"/>
    <w:rsid w:val="00F822E9"/>
    <w:rsid w:val="00F8232E"/>
    <w:rsid w:val="00F823B4"/>
    <w:rsid w:val="00F823CD"/>
    <w:rsid w:val="00F82453"/>
    <w:rsid w:val="00F82505"/>
    <w:rsid w:val="00F82546"/>
    <w:rsid w:val="00F825E2"/>
    <w:rsid w:val="00F8270F"/>
    <w:rsid w:val="00F8290F"/>
    <w:rsid w:val="00F829FD"/>
    <w:rsid w:val="00F82AB9"/>
    <w:rsid w:val="00F82DD2"/>
    <w:rsid w:val="00F82FD5"/>
    <w:rsid w:val="00F83002"/>
    <w:rsid w:val="00F83075"/>
    <w:rsid w:val="00F8318F"/>
    <w:rsid w:val="00F8326D"/>
    <w:rsid w:val="00F83365"/>
    <w:rsid w:val="00F8337A"/>
    <w:rsid w:val="00F83388"/>
    <w:rsid w:val="00F834A6"/>
    <w:rsid w:val="00F834C8"/>
    <w:rsid w:val="00F834EC"/>
    <w:rsid w:val="00F834ED"/>
    <w:rsid w:val="00F83542"/>
    <w:rsid w:val="00F8361D"/>
    <w:rsid w:val="00F8362A"/>
    <w:rsid w:val="00F836B4"/>
    <w:rsid w:val="00F83719"/>
    <w:rsid w:val="00F8391B"/>
    <w:rsid w:val="00F839A7"/>
    <w:rsid w:val="00F83B15"/>
    <w:rsid w:val="00F83D99"/>
    <w:rsid w:val="00F83E27"/>
    <w:rsid w:val="00F83F7F"/>
    <w:rsid w:val="00F8404C"/>
    <w:rsid w:val="00F84089"/>
    <w:rsid w:val="00F840AA"/>
    <w:rsid w:val="00F840B2"/>
    <w:rsid w:val="00F840E7"/>
    <w:rsid w:val="00F841F8"/>
    <w:rsid w:val="00F84230"/>
    <w:rsid w:val="00F842D9"/>
    <w:rsid w:val="00F84317"/>
    <w:rsid w:val="00F843BA"/>
    <w:rsid w:val="00F843D2"/>
    <w:rsid w:val="00F843F0"/>
    <w:rsid w:val="00F84412"/>
    <w:rsid w:val="00F84515"/>
    <w:rsid w:val="00F845C7"/>
    <w:rsid w:val="00F847BB"/>
    <w:rsid w:val="00F8485E"/>
    <w:rsid w:val="00F848F9"/>
    <w:rsid w:val="00F84942"/>
    <w:rsid w:val="00F84989"/>
    <w:rsid w:val="00F84A60"/>
    <w:rsid w:val="00F84A96"/>
    <w:rsid w:val="00F84BB7"/>
    <w:rsid w:val="00F84BEA"/>
    <w:rsid w:val="00F84D76"/>
    <w:rsid w:val="00F84F3B"/>
    <w:rsid w:val="00F84F93"/>
    <w:rsid w:val="00F850F1"/>
    <w:rsid w:val="00F8516D"/>
    <w:rsid w:val="00F851DF"/>
    <w:rsid w:val="00F8520E"/>
    <w:rsid w:val="00F8528C"/>
    <w:rsid w:val="00F85397"/>
    <w:rsid w:val="00F85458"/>
    <w:rsid w:val="00F8549A"/>
    <w:rsid w:val="00F854C5"/>
    <w:rsid w:val="00F8550A"/>
    <w:rsid w:val="00F8553C"/>
    <w:rsid w:val="00F855CD"/>
    <w:rsid w:val="00F85633"/>
    <w:rsid w:val="00F85748"/>
    <w:rsid w:val="00F8582B"/>
    <w:rsid w:val="00F85908"/>
    <w:rsid w:val="00F85930"/>
    <w:rsid w:val="00F85ACF"/>
    <w:rsid w:val="00F85B4E"/>
    <w:rsid w:val="00F85B57"/>
    <w:rsid w:val="00F85B96"/>
    <w:rsid w:val="00F85BC0"/>
    <w:rsid w:val="00F85BFC"/>
    <w:rsid w:val="00F85C0F"/>
    <w:rsid w:val="00F85C45"/>
    <w:rsid w:val="00F85C58"/>
    <w:rsid w:val="00F85CCE"/>
    <w:rsid w:val="00F85CFA"/>
    <w:rsid w:val="00F85D60"/>
    <w:rsid w:val="00F85E58"/>
    <w:rsid w:val="00F85E8E"/>
    <w:rsid w:val="00F85EB8"/>
    <w:rsid w:val="00F85F71"/>
    <w:rsid w:val="00F85F7F"/>
    <w:rsid w:val="00F85FAA"/>
    <w:rsid w:val="00F85FF2"/>
    <w:rsid w:val="00F86089"/>
    <w:rsid w:val="00F86206"/>
    <w:rsid w:val="00F86360"/>
    <w:rsid w:val="00F8636C"/>
    <w:rsid w:val="00F86463"/>
    <w:rsid w:val="00F8649A"/>
    <w:rsid w:val="00F864DB"/>
    <w:rsid w:val="00F866F8"/>
    <w:rsid w:val="00F8670E"/>
    <w:rsid w:val="00F8671F"/>
    <w:rsid w:val="00F86811"/>
    <w:rsid w:val="00F8685F"/>
    <w:rsid w:val="00F869E2"/>
    <w:rsid w:val="00F86A21"/>
    <w:rsid w:val="00F86A8B"/>
    <w:rsid w:val="00F86B0B"/>
    <w:rsid w:val="00F86B19"/>
    <w:rsid w:val="00F86B3C"/>
    <w:rsid w:val="00F86C88"/>
    <w:rsid w:val="00F86CBC"/>
    <w:rsid w:val="00F86D46"/>
    <w:rsid w:val="00F86EC1"/>
    <w:rsid w:val="00F86F4C"/>
    <w:rsid w:val="00F86FB6"/>
    <w:rsid w:val="00F87046"/>
    <w:rsid w:val="00F87076"/>
    <w:rsid w:val="00F870ED"/>
    <w:rsid w:val="00F87140"/>
    <w:rsid w:val="00F8716A"/>
    <w:rsid w:val="00F871CB"/>
    <w:rsid w:val="00F8725A"/>
    <w:rsid w:val="00F8734A"/>
    <w:rsid w:val="00F8736F"/>
    <w:rsid w:val="00F87371"/>
    <w:rsid w:val="00F87476"/>
    <w:rsid w:val="00F874E8"/>
    <w:rsid w:val="00F874EB"/>
    <w:rsid w:val="00F8762F"/>
    <w:rsid w:val="00F87736"/>
    <w:rsid w:val="00F878C2"/>
    <w:rsid w:val="00F878E2"/>
    <w:rsid w:val="00F87916"/>
    <w:rsid w:val="00F87BA7"/>
    <w:rsid w:val="00F87BC8"/>
    <w:rsid w:val="00F87BCB"/>
    <w:rsid w:val="00F87C73"/>
    <w:rsid w:val="00F87C79"/>
    <w:rsid w:val="00F87C86"/>
    <w:rsid w:val="00F87CAD"/>
    <w:rsid w:val="00F87D2E"/>
    <w:rsid w:val="00F87D5B"/>
    <w:rsid w:val="00F87DA5"/>
    <w:rsid w:val="00F87E37"/>
    <w:rsid w:val="00F87F4F"/>
    <w:rsid w:val="00F90109"/>
    <w:rsid w:val="00F90186"/>
    <w:rsid w:val="00F90194"/>
    <w:rsid w:val="00F901A7"/>
    <w:rsid w:val="00F9035C"/>
    <w:rsid w:val="00F90385"/>
    <w:rsid w:val="00F903D1"/>
    <w:rsid w:val="00F904E8"/>
    <w:rsid w:val="00F9056B"/>
    <w:rsid w:val="00F90586"/>
    <w:rsid w:val="00F9073A"/>
    <w:rsid w:val="00F9074A"/>
    <w:rsid w:val="00F90788"/>
    <w:rsid w:val="00F907C9"/>
    <w:rsid w:val="00F90822"/>
    <w:rsid w:val="00F90827"/>
    <w:rsid w:val="00F90873"/>
    <w:rsid w:val="00F90939"/>
    <w:rsid w:val="00F9096F"/>
    <w:rsid w:val="00F909F8"/>
    <w:rsid w:val="00F909FB"/>
    <w:rsid w:val="00F90A57"/>
    <w:rsid w:val="00F90AAB"/>
    <w:rsid w:val="00F90AC7"/>
    <w:rsid w:val="00F90B24"/>
    <w:rsid w:val="00F90B83"/>
    <w:rsid w:val="00F90B9F"/>
    <w:rsid w:val="00F90D01"/>
    <w:rsid w:val="00F90D5C"/>
    <w:rsid w:val="00F90D9A"/>
    <w:rsid w:val="00F90E1A"/>
    <w:rsid w:val="00F90E75"/>
    <w:rsid w:val="00F90E7F"/>
    <w:rsid w:val="00F90EDB"/>
    <w:rsid w:val="00F90F1B"/>
    <w:rsid w:val="00F90FE4"/>
    <w:rsid w:val="00F9100D"/>
    <w:rsid w:val="00F91021"/>
    <w:rsid w:val="00F910CD"/>
    <w:rsid w:val="00F91159"/>
    <w:rsid w:val="00F911CC"/>
    <w:rsid w:val="00F91284"/>
    <w:rsid w:val="00F91334"/>
    <w:rsid w:val="00F91438"/>
    <w:rsid w:val="00F914CD"/>
    <w:rsid w:val="00F914F9"/>
    <w:rsid w:val="00F91707"/>
    <w:rsid w:val="00F9180A"/>
    <w:rsid w:val="00F91818"/>
    <w:rsid w:val="00F91826"/>
    <w:rsid w:val="00F91914"/>
    <w:rsid w:val="00F91981"/>
    <w:rsid w:val="00F91A4C"/>
    <w:rsid w:val="00F91AF2"/>
    <w:rsid w:val="00F91B68"/>
    <w:rsid w:val="00F91B8A"/>
    <w:rsid w:val="00F91CB6"/>
    <w:rsid w:val="00F91CF9"/>
    <w:rsid w:val="00F91D49"/>
    <w:rsid w:val="00F91DF7"/>
    <w:rsid w:val="00F91E13"/>
    <w:rsid w:val="00F91E56"/>
    <w:rsid w:val="00F91E8A"/>
    <w:rsid w:val="00F91F72"/>
    <w:rsid w:val="00F91FFF"/>
    <w:rsid w:val="00F92002"/>
    <w:rsid w:val="00F9207B"/>
    <w:rsid w:val="00F920FD"/>
    <w:rsid w:val="00F921A7"/>
    <w:rsid w:val="00F9235A"/>
    <w:rsid w:val="00F92390"/>
    <w:rsid w:val="00F9246F"/>
    <w:rsid w:val="00F92490"/>
    <w:rsid w:val="00F9268A"/>
    <w:rsid w:val="00F927D2"/>
    <w:rsid w:val="00F928F7"/>
    <w:rsid w:val="00F92935"/>
    <w:rsid w:val="00F929E8"/>
    <w:rsid w:val="00F92A73"/>
    <w:rsid w:val="00F92AE0"/>
    <w:rsid w:val="00F92B06"/>
    <w:rsid w:val="00F92B1A"/>
    <w:rsid w:val="00F92B46"/>
    <w:rsid w:val="00F92B79"/>
    <w:rsid w:val="00F92BE7"/>
    <w:rsid w:val="00F92BEE"/>
    <w:rsid w:val="00F92C5F"/>
    <w:rsid w:val="00F92C60"/>
    <w:rsid w:val="00F92D15"/>
    <w:rsid w:val="00F92E8F"/>
    <w:rsid w:val="00F92EA4"/>
    <w:rsid w:val="00F93094"/>
    <w:rsid w:val="00F930E5"/>
    <w:rsid w:val="00F93127"/>
    <w:rsid w:val="00F93249"/>
    <w:rsid w:val="00F93329"/>
    <w:rsid w:val="00F93586"/>
    <w:rsid w:val="00F935C2"/>
    <w:rsid w:val="00F935D8"/>
    <w:rsid w:val="00F93667"/>
    <w:rsid w:val="00F93695"/>
    <w:rsid w:val="00F937AD"/>
    <w:rsid w:val="00F938A1"/>
    <w:rsid w:val="00F939DE"/>
    <w:rsid w:val="00F93A53"/>
    <w:rsid w:val="00F93AE9"/>
    <w:rsid w:val="00F93B3C"/>
    <w:rsid w:val="00F93B3F"/>
    <w:rsid w:val="00F93B58"/>
    <w:rsid w:val="00F93E3D"/>
    <w:rsid w:val="00F93E5F"/>
    <w:rsid w:val="00F93EA9"/>
    <w:rsid w:val="00F93EDF"/>
    <w:rsid w:val="00F93F4E"/>
    <w:rsid w:val="00F93F54"/>
    <w:rsid w:val="00F93F6C"/>
    <w:rsid w:val="00F93FE4"/>
    <w:rsid w:val="00F940BE"/>
    <w:rsid w:val="00F94115"/>
    <w:rsid w:val="00F9412D"/>
    <w:rsid w:val="00F94214"/>
    <w:rsid w:val="00F942FA"/>
    <w:rsid w:val="00F9430E"/>
    <w:rsid w:val="00F94392"/>
    <w:rsid w:val="00F943EF"/>
    <w:rsid w:val="00F94436"/>
    <w:rsid w:val="00F94452"/>
    <w:rsid w:val="00F94464"/>
    <w:rsid w:val="00F9446C"/>
    <w:rsid w:val="00F94488"/>
    <w:rsid w:val="00F94534"/>
    <w:rsid w:val="00F9455F"/>
    <w:rsid w:val="00F945A7"/>
    <w:rsid w:val="00F9462F"/>
    <w:rsid w:val="00F94674"/>
    <w:rsid w:val="00F946A4"/>
    <w:rsid w:val="00F946AC"/>
    <w:rsid w:val="00F94702"/>
    <w:rsid w:val="00F94747"/>
    <w:rsid w:val="00F9478B"/>
    <w:rsid w:val="00F9479C"/>
    <w:rsid w:val="00F9482A"/>
    <w:rsid w:val="00F948CE"/>
    <w:rsid w:val="00F94BE5"/>
    <w:rsid w:val="00F94C5D"/>
    <w:rsid w:val="00F94E42"/>
    <w:rsid w:val="00F94EC1"/>
    <w:rsid w:val="00F94F11"/>
    <w:rsid w:val="00F950C1"/>
    <w:rsid w:val="00F95110"/>
    <w:rsid w:val="00F95157"/>
    <w:rsid w:val="00F9519C"/>
    <w:rsid w:val="00F9521A"/>
    <w:rsid w:val="00F95259"/>
    <w:rsid w:val="00F95262"/>
    <w:rsid w:val="00F952EF"/>
    <w:rsid w:val="00F9532A"/>
    <w:rsid w:val="00F953AB"/>
    <w:rsid w:val="00F9546E"/>
    <w:rsid w:val="00F9552B"/>
    <w:rsid w:val="00F95615"/>
    <w:rsid w:val="00F9562C"/>
    <w:rsid w:val="00F95638"/>
    <w:rsid w:val="00F956CA"/>
    <w:rsid w:val="00F957A7"/>
    <w:rsid w:val="00F9582A"/>
    <w:rsid w:val="00F95844"/>
    <w:rsid w:val="00F95887"/>
    <w:rsid w:val="00F95905"/>
    <w:rsid w:val="00F95935"/>
    <w:rsid w:val="00F959EB"/>
    <w:rsid w:val="00F95A29"/>
    <w:rsid w:val="00F95B53"/>
    <w:rsid w:val="00F95C03"/>
    <w:rsid w:val="00F95C19"/>
    <w:rsid w:val="00F95DCA"/>
    <w:rsid w:val="00F95DD0"/>
    <w:rsid w:val="00F95DEB"/>
    <w:rsid w:val="00F95E50"/>
    <w:rsid w:val="00F9606A"/>
    <w:rsid w:val="00F9611F"/>
    <w:rsid w:val="00F96215"/>
    <w:rsid w:val="00F9625E"/>
    <w:rsid w:val="00F9629E"/>
    <w:rsid w:val="00F962DE"/>
    <w:rsid w:val="00F96387"/>
    <w:rsid w:val="00F963A8"/>
    <w:rsid w:val="00F963CF"/>
    <w:rsid w:val="00F963E2"/>
    <w:rsid w:val="00F96415"/>
    <w:rsid w:val="00F96478"/>
    <w:rsid w:val="00F96740"/>
    <w:rsid w:val="00F9677C"/>
    <w:rsid w:val="00F967A3"/>
    <w:rsid w:val="00F96842"/>
    <w:rsid w:val="00F968B9"/>
    <w:rsid w:val="00F969BF"/>
    <w:rsid w:val="00F969E4"/>
    <w:rsid w:val="00F969EB"/>
    <w:rsid w:val="00F96A62"/>
    <w:rsid w:val="00F96A9C"/>
    <w:rsid w:val="00F96AA8"/>
    <w:rsid w:val="00F96B9C"/>
    <w:rsid w:val="00F96BE7"/>
    <w:rsid w:val="00F96CDD"/>
    <w:rsid w:val="00F96D77"/>
    <w:rsid w:val="00F96DB7"/>
    <w:rsid w:val="00F96E23"/>
    <w:rsid w:val="00F96E86"/>
    <w:rsid w:val="00F9700B"/>
    <w:rsid w:val="00F97081"/>
    <w:rsid w:val="00F970C3"/>
    <w:rsid w:val="00F97144"/>
    <w:rsid w:val="00F97161"/>
    <w:rsid w:val="00F97165"/>
    <w:rsid w:val="00F97207"/>
    <w:rsid w:val="00F972AF"/>
    <w:rsid w:val="00F97307"/>
    <w:rsid w:val="00F97352"/>
    <w:rsid w:val="00F973A7"/>
    <w:rsid w:val="00F97569"/>
    <w:rsid w:val="00F9763B"/>
    <w:rsid w:val="00F9765E"/>
    <w:rsid w:val="00F97683"/>
    <w:rsid w:val="00F977B6"/>
    <w:rsid w:val="00F977CD"/>
    <w:rsid w:val="00F9795E"/>
    <w:rsid w:val="00F97980"/>
    <w:rsid w:val="00F97BAC"/>
    <w:rsid w:val="00F97CB3"/>
    <w:rsid w:val="00F97CCF"/>
    <w:rsid w:val="00F97D39"/>
    <w:rsid w:val="00F97D7F"/>
    <w:rsid w:val="00F97DBA"/>
    <w:rsid w:val="00F97DF4"/>
    <w:rsid w:val="00F97DFF"/>
    <w:rsid w:val="00F97E3F"/>
    <w:rsid w:val="00F97E47"/>
    <w:rsid w:val="00F97E5E"/>
    <w:rsid w:val="00F97F42"/>
    <w:rsid w:val="00F97F9D"/>
    <w:rsid w:val="00FA0011"/>
    <w:rsid w:val="00FA003F"/>
    <w:rsid w:val="00FA005E"/>
    <w:rsid w:val="00FA00E2"/>
    <w:rsid w:val="00FA0196"/>
    <w:rsid w:val="00FA0256"/>
    <w:rsid w:val="00FA0332"/>
    <w:rsid w:val="00FA04ED"/>
    <w:rsid w:val="00FA0570"/>
    <w:rsid w:val="00FA0650"/>
    <w:rsid w:val="00FA078E"/>
    <w:rsid w:val="00FA07E6"/>
    <w:rsid w:val="00FA0875"/>
    <w:rsid w:val="00FA0878"/>
    <w:rsid w:val="00FA089E"/>
    <w:rsid w:val="00FA09BF"/>
    <w:rsid w:val="00FA0A2F"/>
    <w:rsid w:val="00FA0BD6"/>
    <w:rsid w:val="00FA0C38"/>
    <w:rsid w:val="00FA0CC5"/>
    <w:rsid w:val="00FA0D75"/>
    <w:rsid w:val="00FA0DBA"/>
    <w:rsid w:val="00FA0E43"/>
    <w:rsid w:val="00FA0F6D"/>
    <w:rsid w:val="00FA1071"/>
    <w:rsid w:val="00FA107E"/>
    <w:rsid w:val="00FA10A4"/>
    <w:rsid w:val="00FA11F1"/>
    <w:rsid w:val="00FA13D9"/>
    <w:rsid w:val="00FA14EA"/>
    <w:rsid w:val="00FA1598"/>
    <w:rsid w:val="00FA15C9"/>
    <w:rsid w:val="00FA1622"/>
    <w:rsid w:val="00FA167B"/>
    <w:rsid w:val="00FA1762"/>
    <w:rsid w:val="00FA17B2"/>
    <w:rsid w:val="00FA1820"/>
    <w:rsid w:val="00FA1909"/>
    <w:rsid w:val="00FA1965"/>
    <w:rsid w:val="00FA1BF1"/>
    <w:rsid w:val="00FA1C2A"/>
    <w:rsid w:val="00FA1CC9"/>
    <w:rsid w:val="00FA1CF4"/>
    <w:rsid w:val="00FA1D55"/>
    <w:rsid w:val="00FA1DB0"/>
    <w:rsid w:val="00FA1DC6"/>
    <w:rsid w:val="00FA1DF1"/>
    <w:rsid w:val="00FA1E5C"/>
    <w:rsid w:val="00FA1EAE"/>
    <w:rsid w:val="00FA1EBF"/>
    <w:rsid w:val="00FA1F8C"/>
    <w:rsid w:val="00FA2028"/>
    <w:rsid w:val="00FA2074"/>
    <w:rsid w:val="00FA209E"/>
    <w:rsid w:val="00FA20B9"/>
    <w:rsid w:val="00FA226D"/>
    <w:rsid w:val="00FA23C0"/>
    <w:rsid w:val="00FA2582"/>
    <w:rsid w:val="00FA25F5"/>
    <w:rsid w:val="00FA2610"/>
    <w:rsid w:val="00FA262B"/>
    <w:rsid w:val="00FA26F1"/>
    <w:rsid w:val="00FA2784"/>
    <w:rsid w:val="00FA27D2"/>
    <w:rsid w:val="00FA29CF"/>
    <w:rsid w:val="00FA2A42"/>
    <w:rsid w:val="00FA2A73"/>
    <w:rsid w:val="00FA2A99"/>
    <w:rsid w:val="00FA2B1F"/>
    <w:rsid w:val="00FA2B33"/>
    <w:rsid w:val="00FA2B38"/>
    <w:rsid w:val="00FA2B65"/>
    <w:rsid w:val="00FA2C1F"/>
    <w:rsid w:val="00FA2C33"/>
    <w:rsid w:val="00FA2C72"/>
    <w:rsid w:val="00FA2CBE"/>
    <w:rsid w:val="00FA2D0F"/>
    <w:rsid w:val="00FA30B3"/>
    <w:rsid w:val="00FA30E3"/>
    <w:rsid w:val="00FA3167"/>
    <w:rsid w:val="00FA32C0"/>
    <w:rsid w:val="00FA3430"/>
    <w:rsid w:val="00FA34CB"/>
    <w:rsid w:val="00FA36A1"/>
    <w:rsid w:val="00FA36B4"/>
    <w:rsid w:val="00FA374A"/>
    <w:rsid w:val="00FA3765"/>
    <w:rsid w:val="00FA3797"/>
    <w:rsid w:val="00FA37D5"/>
    <w:rsid w:val="00FA38DC"/>
    <w:rsid w:val="00FA3B54"/>
    <w:rsid w:val="00FA3C69"/>
    <w:rsid w:val="00FA3CE9"/>
    <w:rsid w:val="00FA3D16"/>
    <w:rsid w:val="00FA3D74"/>
    <w:rsid w:val="00FA3D91"/>
    <w:rsid w:val="00FA3E16"/>
    <w:rsid w:val="00FA3E2B"/>
    <w:rsid w:val="00FA3EA3"/>
    <w:rsid w:val="00FA417A"/>
    <w:rsid w:val="00FA41F0"/>
    <w:rsid w:val="00FA4248"/>
    <w:rsid w:val="00FA4359"/>
    <w:rsid w:val="00FA4360"/>
    <w:rsid w:val="00FA43BC"/>
    <w:rsid w:val="00FA43E0"/>
    <w:rsid w:val="00FA43FE"/>
    <w:rsid w:val="00FA44E0"/>
    <w:rsid w:val="00FA4558"/>
    <w:rsid w:val="00FA4583"/>
    <w:rsid w:val="00FA4762"/>
    <w:rsid w:val="00FA4793"/>
    <w:rsid w:val="00FA4945"/>
    <w:rsid w:val="00FA49C7"/>
    <w:rsid w:val="00FA4A6C"/>
    <w:rsid w:val="00FA4ABD"/>
    <w:rsid w:val="00FA4AC5"/>
    <w:rsid w:val="00FA4B66"/>
    <w:rsid w:val="00FA4C2C"/>
    <w:rsid w:val="00FA4C34"/>
    <w:rsid w:val="00FA4C7F"/>
    <w:rsid w:val="00FA4CB9"/>
    <w:rsid w:val="00FA4CEB"/>
    <w:rsid w:val="00FA4D2C"/>
    <w:rsid w:val="00FA4DBE"/>
    <w:rsid w:val="00FA4DD3"/>
    <w:rsid w:val="00FA4E3E"/>
    <w:rsid w:val="00FA4F41"/>
    <w:rsid w:val="00FA4F65"/>
    <w:rsid w:val="00FA5020"/>
    <w:rsid w:val="00FA506E"/>
    <w:rsid w:val="00FA5092"/>
    <w:rsid w:val="00FA50C1"/>
    <w:rsid w:val="00FA50E9"/>
    <w:rsid w:val="00FA524D"/>
    <w:rsid w:val="00FA5262"/>
    <w:rsid w:val="00FA5266"/>
    <w:rsid w:val="00FA5277"/>
    <w:rsid w:val="00FA52CC"/>
    <w:rsid w:val="00FA5459"/>
    <w:rsid w:val="00FA568D"/>
    <w:rsid w:val="00FA5883"/>
    <w:rsid w:val="00FA59F0"/>
    <w:rsid w:val="00FA59F1"/>
    <w:rsid w:val="00FA5A26"/>
    <w:rsid w:val="00FA5B37"/>
    <w:rsid w:val="00FA5BAE"/>
    <w:rsid w:val="00FA5BB1"/>
    <w:rsid w:val="00FA5C9D"/>
    <w:rsid w:val="00FA5D2B"/>
    <w:rsid w:val="00FA5D6E"/>
    <w:rsid w:val="00FA5E22"/>
    <w:rsid w:val="00FA5F45"/>
    <w:rsid w:val="00FA5F6D"/>
    <w:rsid w:val="00FA6071"/>
    <w:rsid w:val="00FA607D"/>
    <w:rsid w:val="00FA6123"/>
    <w:rsid w:val="00FA6196"/>
    <w:rsid w:val="00FA627B"/>
    <w:rsid w:val="00FA6356"/>
    <w:rsid w:val="00FA63B4"/>
    <w:rsid w:val="00FA6458"/>
    <w:rsid w:val="00FA6475"/>
    <w:rsid w:val="00FA65C7"/>
    <w:rsid w:val="00FA65CE"/>
    <w:rsid w:val="00FA65DA"/>
    <w:rsid w:val="00FA6621"/>
    <w:rsid w:val="00FA6797"/>
    <w:rsid w:val="00FA6814"/>
    <w:rsid w:val="00FA6886"/>
    <w:rsid w:val="00FA68BB"/>
    <w:rsid w:val="00FA68ED"/>
    <w:rsid w:val="00FA693B"/>
    <w:rsid w:val="00FA6978"/>
    <w:rsid w:val="00FA6993"/>
    <w:rsid w:val="00FA69A3"/>
    <w:rsid w:val="00FA6A29"/>
    <w:rsid w:val="00FA6B25"/>
    <w:rsid w:val="00FA6B59"/>
    <w:rsid w:val="00FA6B9C"/>
    <w:rsid w:val="00FA6C4B"/>
    <w:rsid w:val="00FA6CCA"/>
    <w:rsid w:val="00FA6CE7"/>
    <w:rsid w:val="00FA6CF4"/>
    <w:rsid w:val="00FA6D20"/>
    <w:rsid w:val="00FA6D81"/>
    <w:rsid w:val="00FA6D94"/>
    <w:rsid w:val="00FA6DF6"/>
    <w:rsid w:val="00FA6E0A"/>
    <w:rsid w:val="00FA6E6F"/>
    <w:rsid w:val="00FA6F14"/>
    <w:rsid w:val="00FA6F51"/>
    <w:rsid w:val="00FA6F61"/>
    <w:rsid w:val="00FA6FA0"/>
    <w:rsid w:val="00FA71BF"/>
    <w:rsid w:val="00FA72FC"/>
    <w:rsid w:val="00FA73A2"/>
    <w:rsid w:val="00FA73B4"/>
    <w:rsid w:val="00FA7418"/>
    <w:rsid w:val="00FA7421"/>
    <w:rsid w:val="00FA74FD"/>
    <w:rsid w:val="00FA7607"/>
    <w:rsid w:val="00FA7782"/>
    <w:rsid w:val="00FA786E"/>
    <w:rsid w:val="00FA78E4"/>
    <w:rsid w:val="00FA79F4"/>
    <w:rsid w:val="00FA7AB3"/>
    <w:rsid w:val="00FA7C15"/>
    <w:rsid w:val="00FA7CA2"/>
    <w:rsid w:val="00FA7CB3"/>
    <w:rsid w:val="00FA7CB6"/>
    <w:rsid w:val="00FA7D1E"/>
    <w:rsid w:val="00FA7E51"/>
    <w:rsid w:val="00FA7E6C"/>
    <w:rsid w:val="00FA7F36"/>
    <w:rsid w:val="00FB0018"/>
    <w:rsid w:val="00FB003C"/>
    <w:rsid w:val="00FB006C"/>
    <w:rsid w:val="00FB01C7"/>
    <w:rsid w:val="00FB01D5"/>
    <w:rsid w:val="00FB0205"/>
    <w:rsid w:val="00FB031C"/>
    <w:rsid w:val="00FB033E"/>
    <w:rsid w:val="00FB0359"/>
    <w:rsid w:val="00FB0432"/>
    <w:rsid w:val="00FB056A"/>
    <w:rsid w:val="00FB0616"/>
    <w:rsid w:val="00FB0694"/>
    <w:rsid w:val="00FB06B8"/>
    <w:rsid w:val="00FB09A5"/>
    <w:rsid w:val="00FB09DE"/>
    <w:rsid w:val="00FB09E4"/>
    <w:rsid w:val="00FB0AE5"/>
    <w:rsid w:val="00FB0B2D"/>
    <w:rsid w:val="00FB0B48"/>
    <w:rsid w:val="00FB0BC6"/>
    <w:rsid w:val="00FB0D17"/>
    <w:rsid w:val="00FB0D46"/>
    <w:rsid w:val="00FB0E22"/>
    <w:rsid w:val="00FB102F"/>
    <w:rsid w:val="00FB10E4"/>
    <w:rsid w:val="00FB111D"/>
    <w:rsid w:val="00FB1123"/>
    <w:rsid w:val="00FB1203"/>
    <w:rsid w:val="00FB136B"/>
    <w:rsid w:val="00FB13CC"/>
    <w:rsid w:val="00FB13E5"/>
    <w:rsid w:val="00FB140C"/>
    <w:rsid w:val="00FB1445"/>
    <w:rsid w:val="00FB144A"/>
    <w:rsid w:val="00FB146B"/>
    <w:rsid w:val="00FB14DE"/>
    <w:rsid w:val="00FB14F6"/>
    <w:rsid w:val="00FB14FA"/>
    <w:rsid w:val="00FB161A"/>
    <w:rsid w:val="00FB16EA"/>
    <w:rsid w:val="00FB1761"/>
    <w:rsid w:val="00FB17D7"/>
    <w:rsid w:val="00FB19B4"/>
    <w:rsid w:val="00FB1AF6"/>
    <w:rsid w:val="00FB1B57"/>
    <w:rsid w:val="00FB1D53"/>
    <w:rsid w:val="00FB1DFC"/>
    <w:rsid w:val="00FB1E4E"/>
    <w:rsid w:val="00FB1EB5"/>
    <w:rsid w:val="00FB1ED1"/>
    <w:rsid w:val="00FB1F59"/>
    <w:rsid w:val="00FB1FF8"/>
    <w:rsid w:val="00FB2010"/>
    <w:rsid w:val="00FB205B"/>
    <w:rsid w:val="00FB20FF"/>
    <w:rsid w:val="00FB211E"/>
    <w:rsid w:val="00FB2167"/>
    <w:rsid w:val="00FB2238"/>
    <w:rsid w:val="00FB22A2"/>
    <w:rsid w:val="00FB2357"/>
    <w:rsid w:val="00FB2366"/>
    <w:rsid w:val="00FB2384"/>
    <w:rsid w:val="00FB2459"/>
    <w:rsid w:val="00FB266E"/>
    <w:rsid w:val="00FB275B"/>
    <w:rsid w:val="00FB277C"/>
    <w:rsid w:val="00FB27B9"/>
    <w:rsid w:val="00FB27DC"/>
    <w:rsid w:val="00FB287B"/>
    <w:rsid w:val="00FB288C"/>
    <w:rsid w:val="00FB28B9"/>
    <w:rsid w:val="00FB293C"/>
    <w:rsid w:val="00FB2AC7"/>
    <w:rsid w:val="00FB2AD5"/>
    <w:rsid w:val="00FB2B1C"/>
    <w:rsid w:val="00FB2B94"/>
    <w:rsid w:val="00FB2CCC"/>
    <w:rsid w:val="00FB2D0E"/>
    <w:rsid w:val="00FB2E72"/>
    <w:rsid w:val="00FB2F3E"/>
    <w:rsid w:val="00FB2F56"/>
    <w:rsid w:val="00FB2FF0"/>
    <w:rsid w:val="00FB3079"/>
    <w:rsid w:val="00FB3170"/>
    <w:rsid w:val="00FB31E8"/>
    <w:rsid w:val="00FB3209"/>
    <w:rsid w:val="00FB3403"/>
    <w:rsid w:val="00FB35A8"/>
    <w:rsid w:val="00FB35FC"/>
    <w:rsid w:val="00FB3612"/>
    <w:rsid w:val="00FB37FA"/>
    <w:rsid w:val="00FB384B"/>
    <w:rsid w:val="00FB394E"/>
    <w:rsid w:val="00FB39E8"/>
    <w:rsid w:val="00FB3AB4"/>
    <w:rsid w:val="00FB3AE3"/>
    <w:rsid w:val="00FB3BE1"/>
    <w:rsid w:val="00FB3C16"/>
    <w:rsid w:val="00FB3D5F"/>
    <w:rsid w:val="00FB3D7E"/>
    <w:rsid w:val="00FB3D7F"/>
    <w:rsid w:val="00FB3FCB"/>
    <w:rsid w:val="00FB40C3"/>
    <w:rsid w:val="00FB433D"/>
    <w:rsid w:val="00FB4345"/>
    <w:rsid w:val="00FB44F2"/>
    <w:rsid w:val="00FB4561"/>
    <w:rsid w:val="00FB4685"/>
    <w:rsid w:val="00FB4B1E"/>
    <w:rsid w:val="00FB4B37"/>
    <w:rsid w:val="00FB4BDE"/>
    <w:rsid w:val="00FB4C2A"/>
    <w:rsid w:val="00FB4EE2"/>
    <w:rsid w:val="00FB4F1E"/>
    <w:rsid w:val="00FB4FBC"/>
    <w:rsid w:val="00FB5014"/>
    <w:rsid w:val="00FB53AD"/>
    <w:rsid w:val="00FB53E4"/>
    <w:rsid w:val="00FB53E9"/>
    <w:rsid w:val="00FB53F3"/>
    <w:rsid w:val="00FB53F8"/>
    <w:rsid w:val="00FB545D"/>
    <w:rsid w:val="00FB54DE"/>
    <w:rsid w:val="00FB567C"/>
    <w:rsid w:val="00FB582A"/>
    <w:rsid w:val="00FB58A1"/>
    <w:rsid w:val="00FB5962"/>
    <w:rsid w:val="00FB59CD"/>
    <w:rsid w:val="00FB5A25"/>
    <w:rsid w:val="00FB5B50"/>
    <w:rsid w:val="00FB5B9F"/>
    <w:rsid w:val="00FB5BA7"/>
    <w:rsid w:val="00FB5DE4"/>
    <w:rsid w:val="00FB5E35"/>
    <w:rsid w:val="00FB5EA3"/>
    <w:rsid w:val="00FB5EA4"/>
    <w:rsid w:val="00FB5EA7"/>
    <w:rsid w:val="00FB6072"/>
    <w:rsid w:val="00FB60F6"/>
    <w:rsid w:val="00FB618E"/>
    <w:rsid w:val="00FB629B"/>
    <w:rsid w:val="00FB6336"/>
    <w:rsid w:val="00FB6428"/>
    <w:rsid w:val="00FB656F"/>
    <w:rsid w:val="00FB6618"/>
    <w:rsid w:val="00FB6670"/>
    <w:rsid w:val="00FB671E"/>
    <w:rsid w:val="00FB68D2"/>
    <w:rsid w:val="00FB68F2"/>
    <w:rsid w:val="00FB6A32"/>
    <w:rsid w:val="00FB6A72"/>
    <w:rsid w:val="00FB6ACB"/>
    <w:rsid w:val="00FB6AF4"/>
    <w:rsid w:val="00FB6B8E"/>
    <w:rsid w:val="00FB6BBA"/>
    <w:rsid w:val="00FB6C91"/>
    <w:rsid w:val="00FB6CBC"/>
    <w:rsid w:val="00FB6D13"/>
    <w:rsid w:val="00FB6EB1"/>
    <w:rsid w:val="00FB70A0"/>
    <w:rsid w:val="00FB70C0"/>
    <w:rsid w:val="00FB70F9"/>
    <w:rsid w:val="00FB716B"/>
    <w:rsid w:val="00FB7269"/>
    <w:rsid w:val="00FB72F0"/>
    <w:rsid w:val="00FB72F9"/>
    <w:rsid w:val="00FB73F1"/>
    <w:rsid w:val="00FB7400"/>
    <w:rsid w:val="00FB746C"/>
    <w:rsid w:val="00FB746E"/>
    <w:rsid w:val="00FB758F"/>
    <w:rsid w:val="00FB7689"/>
    <w:rsid w:val="00FB78EC"/>
    <w:rsid w:val="00FB7951"/>
    <w:rsid w:val="00FB7A4E"/>
    <w:rsid w:val="00FB7A86"/>
    <w:rsid w:val="00FB7BE7"/>
    <w:rsid w:val="00FB7BF7"/>
    <w:rsid w:val="00FB7CA3"/>
    <w:rsid w:val="00FB7CC0"/>
    <w:rsid w:val="00FB7D19"/>
    <w:rsid w:val="00FB7E33"/>
    <w:rsid w:val="00FB7FF5"/>
    <w:rsid w:val="00FC0017"/>
    <w:rsid w:val="00FC00F5"/>
    <w:rsid w:val="00FC0120"/>
    <w:rsid w:val="00FC01C0"/>
    <w:rsid w:val="00FC0266"/>
    <w:rsid w:val="00FC02BA"/>
    <w:rsid w:val="00FC02E3"/>
    <w:rsid w:val="00FC0372"/>
    <w:rsid w:val="00FC04FE"/>
    <w:rsid w:val="00FC0568"/>
    <w:rsid w:val="00FC05AC"/>
    <w:rsid w:val="00FC05FD"/>
    <w:rsid w:val="00FC0603"/>
    <w:rsid w:val="00FC0659"/>
    <w:rsid w:val="00FC0697"/>
    <w:rsid w:val="00FC06F1"/>
    <w:rsid w:val="00FC08FF"/>
    <w:rsid w:val="00FC091F"/>
    <w:rsid w:val="00FC0965"/>
    <w:rsid w:val="00FC09A8"/>
    <w:rsid w:val="00FC0A47"/>
    <w:rsid w:val="00FC0B31"/>
    <w:rsid w:val="00FC0B41"/>
    <w:rsid w:val="00FC0B56"/>
    <w:rsid w:val="00FC0B5F"/>
    <w:rsid w:val="00FC0B66"/>
    <w:rsid w:val="00FC0BDC"/>
    <w:rsid w:val="00FC0BFB"/>
    <w:rsid w:val="00FC0C62"/>
    <w:rsid w:val="00FC0CF8"/>
    <w:rsid w:val="00FC0DC3"/>
    <w:rsid w:val="00FC0E11"/>
    <w:rsid w:val="00FC0EF1"/>
    <w:rsid w:val="00FC0F73"/>
    <w:rsid w:val="00FC0F7A"/>
    <w:rsid w:val="00FC10C4"/>
    <w:rsid w:val="00FC10D4"/>
    <w:rsid w:val="00FC10F0"/>
    <w:rsid w:val="00FC110F"/>
    <w:rsid w:val="00FC12DD"/>
    <w:rsid w:val="00FC140D"/>
    <w:rsid w:val="00FC14AA"/>
    <w:rsid w:val="00FC14B3"/>
    <w:rsid w:val="00FC14C1"/>
    <w:rsid w:val="00FC1516"/>
    <w:rsid w:val="00FC152D"/>
    <w:rsid w:val="00FC1540"/>
    <w:rsid w:val="00FC16B0"/>
    <w:rsid w:val="00FC16F0"/>
    <w:rsid w:val="00FC17A7"/>
    <w:rsid w:val="00FC1824"/>
    <w:rsid w:val="00FC1841"/>
    <w:rsid w:val="00FC1A3F"/>
    <w:rsid w:val="00FC1B48"/>
    <w:rsid w:val="00FC1BE9"/>
    <w:rsid w:val="00FC1C0C"/>
    <w:rsid w:val="00FC1C4D"/>
    <w:rsid w:val="00FC1CD1"/>
    <w:rsid w:val="00FC2052"/>
    <w:rsid w:val="00FC20AF"/>
    <w:rsid w:val="00FC20F6"/>
    <w:rsid w:val="00FC215A"/>
    <w:rsid w:val="00FC2246"/>
    <w:rsid w:val="00FC24D8"/>
    <w:rsid w:val="00FC26EA"/>
    <w:rsid w:val="00FC2704"/>
    <w:rsid w:val="00FC27F9"/>
    <w:rsid w:val="00FC28F5"/>
    <w:rsid w:val="00FC29E7"/>
    <w:rsid w:val="00FC2A0A"/>
    <w:rsid w:val="00FC2B84"/>
    <w:rsid w:val="00FC2BA1"/>
    <w:rsid w:val="00FC2C8B"/>
    <w:rsid w:val="00FC2DF7"/>
    <w:rsid w:val="00FC2E48"/>
    <w:rsid w:val="00FC2F47"/>
    <w:rsid w:val="00FC2F54"/>
    <w:rsid w:val="00FC2FD3"/>
    <w:rsid w:val="00FC3089"/>
    <w:rsid w:val="00FC3104"/>
    <w:rsid w:val="00FC3160"/>
    <w:rsid w:val="00FC3200"/>
    <w:rsid w:val="00FC325F"/>
    <w:rsid w:val="00FC32BC"/>
    <w:rsid w:val="00FC32EF"/>
    <w:rsid w:val="00FC337F"/>
    <w:rsid w:val="00FC3397"/>
    <w:rsid w:val="00FC33DC"/>
    <w:rsid w:val="00FC3442"/>
    <w:rsid w:val="00FC34BB"/>
    <w:rsid w:val="00FC34C1"/>
    <w:rsid w:val="00FC34C4"/>
    <w:rsid w:val="00FC3583"/>
    <w:rsid w:val="00FC35B7"/>
    <w:rsid w:val="00FC3819"/>
    <w:rsid w:val="00FC3886"/>
    <w:rsid w:val="00FC3896"/>
    <w:rsid w:val="00FC38B0"/>
    <w:rsid w:val="00FC3900"/>
    <w:rsid w:val="00FC3921"/>
    <w:rsid w:val="00FC3A3E"/>
    <w:rsid w:val="00FC3BE4"/>
    <w:rsid w:val="00FC3C17"/>
    <w:rsid w:val="00FC3C58"/>
    <w:rsid w:val="00FC3C72"/>
    <w:rsid w:val="00FC3CCE"/>
    <w:rsid w:val="00FC3D0B"/>
    <w:rsid w:val="00FC3F80"/>
    <w:rsid w:val="00FC3FFD"/>
    <w:rsid w:val="00FC401D"/>
    <w:rsid w:val="00FC41A7"/>
    <w:rsid w:val="00FC422D"/>
    <w:rsid w:val="00FC424F"/>
    <w:rsid w:val="00FC433C"/>
    <w:rsid w:val="00FC4355"/>
    <w:rsid w:val="00FC4460"/>
    <w:rsid w:val="00FC447B"/>
    <w:rsid w:val="00FC44CB"/>
    <w:rsid w:val="00FC4524"/>
    <w:rsid w:val="00FC4742"/>
    <w:rsid w:val="00FC486C"/>
    <w:rsid w:val="00FC48C0"/>
    <w:rsid w:val="00FC498E"/>
    <w:rsid w:val="00FC49C9"/>
    <w:rsid w:val="00FC4A83"/>
    <w:rsid w:val="00FC4D7C"/>
    <w:rsid w:val="00FC4F5D"/>
    <w:rsid w:val="00FC5181"/>
    <w:rsid w:val="00FC52B1"/>
    <w:rsid w:val="00FC53C4"/>
    <w:rsid w:val="00FC5432"/>
    <w:rsid w:val="00FC54AD"/>
    <w:rsid w:val="00FC555D"/>
    <w:rsid w:val="00FC558C"/>
    <w:rsid w:val="00FC55C4"/>
    <w:rsid w:val="00FC564E"/>
    <w:rsid w:val="00FC568B"/>
    <w:rsid w:val="00FC56D5"/>
    <w:rsid w:val="00FC5761"/>
    <w:rsid w:val="00FC57A8"/>
    <w:rsid w:val="00FC57B9"/>
    <w:rsid w:val="00FC57CA"/>
    <w:rsid w:val="00FC5850"/>
    <w:rsid w:val="00FC585D"/>
    <w:rsid w:val="00FC590F"/>
    <w:rsid w:val="00FC5985"/>
    <w:rsid w:val="00FC59EF"/>
    <w:rsid w:val="00FC5AA2"/>
    <w:rsid w:val="00FC5D06"/>
    <w:rsid w:val="00FC5E27"/>
    <w:rsid w:val="00FC5E66"/>
    <w:rsid w:val="00FC5F18"/>
    <w:rsid w:val="00FC618C"/>
    <w:rsid w:val="00FC6202"/>
    <w:rsid w:val="00FC6235"/>
    <w:rsid w:val="00FC6286"/>
    <w:rsid w:val="00FC62AC"/>
    <w:rsid w:val="00FC62E7"/>
    <w:rsid w:val="00FC6360"/>
    <w:rsid w:val="00FC6375"/>
    <w:rsid w:val="00FC6462"/>
    <w:rsid w:val="00FC64D3"/>
    <w:rsid w:val="00FC652C"/>
    <w:rsid w:val="00FC657B"/>
    <w:rsid w:val="00FC662C"/>
    <w:rsid w:val="00FC6652"/>
    <w:rsid w:val="00FC66A6"/>
    <w:rsid w:val="00FC66D3"/>
    <w:rsid w:val="00FC670B"/>
    <w:rsid w:val="00FC69B5"/>
    <w:rsid w:val="00FC6A55"/>
    <w:rsid w:val="00FC6B3B"/>
    <w:rsid w:val="00FC6B6B"/>
    <w:rsid w:val="00FC6BED"/>
    <w:rsid w:val="00FC6C10"/>
    <w:rsid w:val="00FC6C50"/>
    <w:rsid w:val="00FC6D1A"/>
    <w:rsid w:val="00FC6F08"/>
    <w:rsid w:val="00FC7013"/>
    <w:rsid w:val="00FC7245"/>
    <w:rsid w:val="00FC72AC"/>
    <w:rsid w:val="00FC74F1"/>
    <w:rsid w:val="00FC7508"/>
    <w:rsid w:val="00FC7511"/>
    <w:rsid w:val="00FC7592"/>
    <w:rsid w:val="00FC7597"/>
    <w:rsid w:val="00FC766F"/>
    <w:rsid w:val="00FC7761"/>
    <w:rsid w:val="00FC776F"/>
    <w:rsid w:val="00FC7804"/>
    <w:rsid w:val="00FC7843"/>
    <w:rsid w:val="00FC7918"/>
    <w:rsid w:val="00FC79D2"/>
    <w:rsid w:val="00FC7A19"/>
    <w:rsid w:val="00FC7AF5"/>
    <w:rsid w:val="00FC7B03"/>
    <w:rsid w:val="00FC7B2D"/>
    <w:rsid w:val="00FC7B5B"/>
    <w:rsid w:val="00FC7BC4"/>
    <w:rsid w:val="00FC7C41"/>
    <w:rsid w:val="00FC7D12"/>
    <w:rsid w:val="00FC7D49"/>
    <w:rsid w:val="00FC7DBA"/>
    <w:rsid w:val="00FC7DC5"/>
    <w:rsid w:val="00FC7EF2"/>
    <w:rsid w:val="00FC7F17"/>
    <w:rsid w:val="00FC7FC9"/>
    <w:rsid w:val="00FD0042"/>
    <w:rsid w:val="00FD004C"/>
    <w:rsid w:val="00FD0063"/>
    <w:rsid w:val="00FD007F"/>
    <w:rsid w:val="00FD00E8"/>
    <w:rsid w:val="00FD022E"/>
    <w:rsid w:val="00FD0246"/>
    <w:rsid w:val="00FD0284"/>
    <w:rsid w:val="00FD03E4"/>
    <w:rsid w:val="00FD0432"/>
    <w:rsid w:val="00FD0574"/>
    <w:rsid w:val="00FD0580"/>
    <w:rsid w:val="00FD06D4"/>
    <w:rsid w:val="00FD0716"/>
    <w:rsid w:val="00FD0743"/>
    <w:rsid w:val="00FD0744"/>
    <w:rsid w:val="00FD074B"/>
    <w:rsid w:val="00FD075E"/>
    <w:rsid w:val="00FD07F0"/>
    <w:rsid w:val="00FD08A7"/>
    <w:rsid w:val="00FD08CC"/>
    <w:rsid w:val="00FD096A"/>
    <w:rsid w:val="00FD0A55"/>
    <w:rsid w:val="00FD0B45"/>
    <w:rsid w:val="00FD0B88"/>
    <w:rsid w:val="00FD0B8B"/>
    <w:rsid w:val="00FD0B8E"/>
    <w:rsid w:val="00FD0BF7"/>
    <w:rsid w:val="00FD0C26"/>
    <w:rsid w:val="00FD0C3F"/>
    <w:rsid w:val="00FD0CCA"/>
    <w:rsid w:val="00FD0E32"/>
    <w:rsid w:val="00FD0E36"/>
    <w:rsid w:val="00FD0E46"/>
    <w:rsid w:val="00FD0EA2"/>
    <w:rsid w:val="00FD0F37"/>
    <w:rsid w:val="00FD0F91"/>
    <w:rsid w:val="00FD101B"/>
    <w:rsid w:val="00FD10E2"/>
    <w:rsid w:val="00FD1229"/>
    <w:rsid w:val="00FD1294"/>
    <w:rsid w:val="00FD134C"/>
    <w:rsid w:val="00FD13A0"/>
    <w:rsid w:val="00FD1640"/>
    <w:rsid w:val="00FD182F"/>
    <w:rsid w:val="00FD18FF"/>
    <w:rsid w:val="00FD19A6"/>
    <w:rsid w:val="00FD1A38"/>
    <w:rsid w:val="00FD1A95"/>
    <w:rsid w:val="00FD1AA3"/>
    <w:rsid w:val="00FD1B39"/>
    <w:rsid w:val="00FD1E0A"/>
    <w:rsid w:val="00FD1EDB"/>
    <w:rsid w:val="00FD1F58"/>
    <w:rsid w:val="00FD1F6D"/>
    <w:rsid w:val="00FD1F7B"/>
    <w:rsid w:val="00FD1FA6"/>
    <w:rsid w:val="00FD2048"/>
    <w:rsid w:val="00FD2068"/>
    <w:rsid w:val="00FD21F2"/>
    <w:rsid w:val="00FD2246"/>
    <w:rsid w:val="00FD2449"/>
    <w:rsid w:val="00FD2471"/>
    <w:rsid w:val="00FD254E"/>
    <w:rsid w:val="00FD258C"/>
    <w:rsid w:val="00FD2678"/>
    <w:rsid w:val="00FD275D"/>
    <w:rsid w:val="00FD27C6"/>
    <w:rsid w:val="00FD2870"/>
    <w:rsid w:val="00FD288B"/>
    <w:rsid w:val="00FD290B"/>
    <w:rsid w:val="00FD29F2"/>
    <w:rsid w:val="00FD29F3"/>
    <w:rsid w:val="00FD2A05"/>
    <w:rsid w:val="00FD2A47"/>
    <w:rsid w:val="00FD2A4C"/>
    <w:rsid w:val="00FD2B43"/>
    <w:rsid w:val="00FD2BDF"/>
    <w:rsid w:val="00FD2D36"/>
    <w:rsid w:val="00FD2DB2"/>
    <w:rsid w:val="00FD2DBC"/>
    <w:rsid w:val="00FD2E23"/>
    <w:rsid w:val="00FD2E5E"/>
    <w:rsid w:val="00FD2F8B"/>
    <w:rsid w:val="00FD2FB3"/>
    <w:rsid w:val="00FD2FC1"/>
    <w:rsid w:val="00FD304A"/>
    <w:rsid w:val="00FD3098"/>
    <w:rsid w:val="00FD30C5"/>
    <w:rsid w:val="00FD311C"/>
    <w:rsid w:val="00FD317E"/>
    <w:rsid w:val="00FD31A5"/>
    <w:rsid w:val="00FD3289"/>
    <w:rsid w:val="00FD33DA"/>
    <w:rsid w:val="00FD347C"/>
    <w:rsid w:val="00FD34EE"/>
    <w:rsid w:val="00FD3520"/>
    <w:rsid w:val="00FD3548"/>
    <w:rsid w:val="00FD355C"/>
    <w:rsid w:val="00FD37C0"/>
    <w:rsid w:val="00FD37CD"/>
    <w:rsid w:val="00FD380C"/>
    <w:rsid w:val="00FD3903"/>
    <w:rsid w:val="00FD3AC8"/>
    <w:rsid w:val="00FD3B49"/>
    <w:rsid w:val="00FD3B9F"/>
    <w:rsid w:val="00FD3BDA"/>
    <w:rsid w:val="00FD3BF4"/>
    <w:rsid w:val="00FD3C04"/>
    <w:rsid w:val="00FD3C09"/>
    <w:rsid w:val="00FD3C80"/>
    <w:rsid w:val="00FD3E52"/>
    <w:rsid w:val="00FD3E9C"/>
    <w:rsid w:val="00FD3EDE"/>
    <w:rsid w:val="00FD3FA3"/>
    <w:rsid w:val="00FD3FD1"/>
    <w:rsid w:val="00FD41A0"/>
    <w:rsid w:val="00FD4271"/>
    <w:rsid w:val="00FD428D"/>
    <w:rsid w:val="00FD42F0"/>
    <w:rsid w:val="00FD42F3"/>
    <w:rsid w:val="00FD433E"/>
    <w:rsid w:val="00FD447D"/>
    <w:rsid w:val="00FD448A"/>
    <w:rsid w:val="00FD44F3"/>
    <w:rsid w:val="00FD4501"/>
    <w:rsid w:val="00FD469D"/>
    <w:rsid w:val="00FD472B"/>
    <w:rsid w:val="00FD47C1"/>
    <w:rsid w:val="00FD4834"/>
    <w:rsid w:val="00FD49EA"/>
    <w:rsid w:val="00FD4A67"/>
    <w:rsid w:val="00FD4BB6"/>
    <w:rsid w:val="00FD4BE6"/>
    <w:rsid w:val="00FD4C1E"/>
    <w:rsid w:val="00FD4C56"/>
    <w:rsid w:val="00FD4CB2"/>
    <w:rsid w:val="00FD4D07"/>
    <w:rsid w:val="00FD4D62"/>
    <w:rsid w:val="00FD4DC5"/>
    <w:rsid w:val="00FD4DCF"/>
    <w:rsid w:val="00FD4F84"/>
    <w:rsid w:val="00FD50B4"/>
    <w:rsid w:val="00FD5195"/>
    <w:rsid w:val="00FD51D5"/>
    <w:rsid w:val="00FD533C"/>
    <w:rsid w:val="00FD53E7"/>
    <w:rsid w:val="00FD54C3"/>
    <w:rsid w:val="00FD54D1"/>
    <w:rsid w:val="00FD564B"/>
    <w:rsid w:val="00FD5749"/>
    <w:rsid w:val="00FD57C9"/>
    <w:rsid w:val="00FD57E4"/>
    <w:rsid w:val="00FD58C6"/>
    <w:rsid w:val="00FD58DC"/>
    <w:rsid w:val="00FD5938"/>
    <w:rsid w:val="00FD5990"/>
    <w:rsid w:val="00FD5AB6"/>
    <w:rsid w:val="00FD5BB5"/>
    <w:rsid w:val="00FD5C0A"/>
    <w:rsid w:val="00FD5CB1"/>
    <w:rsid w:val="00FD5CD5"/>
    <w:rsid w:val="00FD5D67"/>
    <w:rsid w:val="00FD5D72"/>
    <w:rsid w:val="00FD5DD8"/>
    <w:rsid w:val="00FD5EB3"/>
    <w:rsid w:val="00FD5EBC"/>
    <w:rsid w:val="00FD5EF5"/>
    <w:rsid w:val="00FD5F57"/>
    <w:rsid w:val="00FD5F88"/>
    <w:rsid w:val="00FD5FF3"/>
    <w:rsid w:val="00FD6018"/>
    <w:rsid w:val="00FD6048"/>
    <w:rsid w:val="00FD60BC"/>
    <w:rsid w:val="00FD60E1"/>
    <w:rsid w:val="00FD6145"/>
    <w:rsid w:val="00FD615F"/>
    <w:rsid w:val="00FD618D"/>
    <w:rsid w:val="00FD61F6"/>
    <w:rsid w:val="00FD629B"/>
    <w:rsid w:val="00FD6365"/>
    <w:rsid w:val="00FD639F"/>
    <w:rsid w:val="00FD63E3"/>
    <w:rsid w:val="00FD6583"/>
    <w:rsid w:val="00FD677C"/>
    <w:rsid w:val="00FD67A4"/>
    <w:rsid w:val="00FD68B9"/>
    <w:rsid w:val="00FD68F1"/>
    <w:rsid w:val="00FD6959"/>
    <w:rsid w:val="00FD69CD"/>
    <w:rsid w:val="00FD6A0F"/>
    <w:rsid w:val="00FD6A29"/>
    <w:rsid w:val="00FD6AD2"/>
    <w:rsid w:val="00FD6AD9"/>
    <w:rsid w:val="00FD6B14"/>
    <w:rsid w:val="00FD6C0A"/>
    <w:rsid w:val="00FD6C21"/>
    <w:rsid w:val="00FD6CAC"/>
    <w:rsid w:val="00FD6D7B"/>
    <w:rsid w:val="00FD6DB2"/>
    <w:rsid w:val="00FD6E79"/>
    <w:rsid w:val="00FD6EFB"/>
    <w:rsid w:val="00FD701F"/>
    <w:rsid w:val="00FD70A8"/>
    <w:rsid w:val="00FD710A"/>
    <w:rsid w:val="00FD7114"/>
    <w:rsid w:val="00FD717E"/>
    <w:rsid w:val="00FD7242"/>
    <w:rsid w:val="00FD72E5"/>
    <w:rsid w:val="00FD7376"/>
    <w:rsid w:val="00FD75CC"/>
    <w:rsid w:val="00FD7683"/>
    <w:rsid w:val="00FD772E"/>
    <w:rsid w:val="00FD776F"/>
    <w:rsid w:val="00FD77CA"/>
    <w:rsid w:val="00FD77FA"/>
    <w:rsid w:val="00FD7852"/>
    <w:rsid w:val="00FD7877"/>
    <w:rsid w:val="00FD78F0"/>
    <w:rsid w:val="00FD7961"/>
    <w:rsid w:val="00FD7A1D"/>
    <w:rsid w:val="00FD7A20"/>
    <w:rsid w:val="00FD7C09"/>
    <w:rsid w:val="00FD7C30"/>
    <w:rsid w:val="00FD7C41"/>
    <w:rsid w:val="00FD7CE0"/>
    <w:rsid w:val="00FD7EA7"/>
    <w:rsid w:val="00FE0213"/>
    <w:rsid w:val="00FE0242"/>
    <w:rsid w:val="00FE0316"/>
    <w:rsid w:val="00FE031A"/>
    <w:rsid w:val="00FE03D7"/>
    <w:rsid w:val="00FE0434"/>
    <w:rsid w:val="00FE0443"/>
    <w:rsid w:val="00FE04B9"/>
    <w:rsid w:val="00FE0503"/>
    <w:rsid w:val="00FE0568"/>
    <w:rsid w:val="00FE05FD"/>
    <w:rsid w:val="00FE0800"/>
    <w:rsid w:val="00FE083B"/>
    <w:rsid w:val="00FE098B"/>
    <w:rsid w:val="00FE0D1F"/>
    <w:rsid w:val="00FE0D38"/>
    <w:rsid w:val="00FE0E65"/>
    <w:rsid w:val="00FE0ECC"/>
    <w:rsid w:val="00FE0EED"/>
    <w:rsid w:val="00FE0F35"/>
    <w:rsid w:val="00FE0F71"/>
    <w:rsid w:val="00FE10B8"/>
    <w:rsid w:val="00FE12EF"/>
    <w:rsid w:val="00FE142F"/>
    <w:rsid w:val="00FE1657"/>
    <w:rsid w:val="00FE1690"/>
    <w:rsid w:val="00FE16BA"/>
    <w:rsid w:val="00FE18FA"/>
    <w:rsid w:val="00FE1B2D"/>
    <w:rsid w:val="00FE1B86"/>
    <w:rsid w:val="00FE1B9D"/>
    <w:rsid w:val="00FE1BAF"/>
    <w:rsid w:val="00FE1BB1"/>
    <w:rsid w:val="00FE1BE0"/>
    <w:rsid w:val="00FE1C7A"/>
    <w:rsid w:val="00FE1CC7"/>
    <w:rsid w:val="00FE1CCC"/>
    <w:rsid w:val="00FE1CF8"/>
    <w:rsid w:val="00FE1D28"/>
    <w:rsid w:val="00FE1F7E"/>
    <w:rsid w:val="00FE203C"/>
    <w:rsid w:val="00FE20BD"/>
    <w:rsid w:val="00FE2251"/>
    <w:rsid w:val="00FE22AF"/>
    <w:rsid w:val="00FE2399"/>
    <w:rsid w:val="00FE23B3"/>
    <w:rsid w:val="00FE240D"/>
    <w:rsid w:val="00FE2512"/>
    <w:rsid w:val="00FE25C2"/>
    <w:rsid w:val="00FE25FD"/>
    <w:rsid w:val="00FE264F"/>
    <w:rsid w:val="00FE26AE"/>
    <w:rsid w:val="00FE27F5"/>
    <w:rsid w:val="00FE2981"/>
    <w:rsid w:val="00FE2C9B"/>
    <w:rsid w:val="00FE2CEF"/>
    <w:rsid w:val="00FE2D90"/>
    <w:rsid w:val="00FE2E32"/>
    <w:rsid w:val="00FE2F3B"/>
    <w:rsid w:val="00FE308D"/>
    <w:rsid w:val="00FE30D2"/>
    <w:rsid w:val="00FE311E"/>
    <w:rsid w:val="00FE31C7"/>
    <w:rsid w:val="00FE34E8"/>
    <w:rsid w:val="00FE3522"/>
    <w:rsid w:val="00FE3616"/>
    <w:rsid w:val="00FE363A"/>
    <w:rsid w:val="00FE3A32"/>
    <w:rsid w:val="00FE3A35"/>
    <w:rsid w:val="00FE3AEB"/>
    <w:rsid w:val="00FE3B05"/>
    <w:rsid w:val="00FE3B11"/>
    <w:rsid w:val="00FE3B40"/>
    <w:rsid w:val="00FE3C24"/>
    <w:rsid w:val="00FE3CCA"/>
    <w:rsid w:val="00FE3CE6"/>
    <w:rsid w:val="00FE3D6F"/>
    <w:rsid w:val="00FE3E86"/>
    <w:rsid w:val="00FE3F18"/>
    <w:rsid w:val="00FE4129"/>
    <w:rsid w:val="00FE417F"/>
    <w:rsid w:val="00FE42FD"/>
    <w:rsid w:val="00FE43D5"/>
    <w:rsid w:val="00FE440B"/>
    <w:rsid w:val="00FE4453"/>
    <w:rsid w:val="00FE446F"/>
    <w:rsid w:val="00FE44FB"/>
    <w:rsid w:val="00FE4503"/>
    <w:rsid w:val="00FE45F2"/>
    <w:rsid w:val="00FE4653"/>
    <w:rsid w:val="00FE4687"/>
    <w:rsid w:val="00FE46ED"/>
    <w:rsid w:val="00FE47C4"/>
    <w:rsid w:val="00FE48A7"/>
    <w:rsid w:val="00FE4920"/>
    <w:rsid w:val="00FE4985"/>
    <w:rsid w:val="00FE49B3"/>
    <w:rsid w:val="00FE49D6"/>
    <w:rsid w:val="00FE4C5D"/>
    <w:rsid w:val="00FE4E74"/>
    <w:rsid w:val="00FE4EAB"/>
    <w:rsid w:val="00FE4F15"/>
    <w:rsid w:val="00FE4FD6"/>
    <w:rsid w:val="00FE5036"/>
    <w:rsid w:val="00FE5200"/>
    <w:rsid w:val="00FE5341"/>
    <w:rsid w:val="00FE535A"/>
    <w:rsid w:val="00FE53D3"/>
    <w:rsid w:val="00FE543B"/>
    <w:rsid w:val="00FE545D"/>
    <w:rsid w:val="00FE5477"/>
    <w:rsid w:val="00FE55C0"/>
    <w:rsid w:val="00FE5778"/>
    <w:rsid w:val="00FE57F0"/>
    <w:rsid w:val="00FE58ED"/>
    <w:rsid w:val="00FE59EF"/>
    <w:rsid w:val="00FE5A64"/>
    <w:rsid w:val="00FE5ABA"/>
    <w:rsid w:val="00FE5ADB"/>
    <w:rsid w:val="00FE5B0A"/>
    <w:rsid w:val="00FE5BBB"/>
    <w:rsid w:val="00FE5C86"/>
    <w:rsid w:val="00FE5CFC"/>
    <w:rsid w:val="00FE5D16"/>
    <w:rsid w:val="00FE5D43"/>
    <w:rsid w:val="00FE5DCF"/>
    <w:rsid w:val="00FE5DE2"/>
    <w:rsid w:val="00FE5E43"/>
    <w:rsid w:val="00FE5F7E"/>
    <w:rsid w:val="00FE6041"/>
    <w:rsid w:val="00FE607B"/>
    <w:rsid w:val="00FE608B"/>
    <w:rsid w:val="00FE60C0"/>
    <w:rsid w:val="00FE60FC"/>
    <w:rsid w:val="00FE61EE"/>
    <w:rsid w:val="00FE626E"/>
    <w:rsid w:val="00FE62B6"/>
    <w:rsid w:val="00FE636B"/>
    <w:rsid w:val="00FE63F6"/>
    <w:rsid w:val="00FE645E"/>
    <w:rsid w:val="00FE64A3"/>
    <w:rsid w:val="00FE6571"/>
    <w:rsid w:val="00FE6597"/>
    <w:rsid w:val="00FE661F"/>
    <w:rsid w:val="00FE6788"/>
    <w:rsid w:val="00FE679A"/>
    <w:rsid w:val="00FE67B8"/>
    <w:rsid w:val="00FE67DF"/>
    <w:rsid w:val="00FE6816"/>
    <w:rsid w:val="00FE6868"/>
    <w:rsid w:val="00FE68B5"/>
    <w:rsid w:val="00FE68C0"/>
    <w:rsid w:val="00FE690B"/>
    <w:rsid w:val="00FE690E"/>
    <w:rsid w:val="00FE6928"/>
    <w:rsid w:val="00FE6932"/>
    <w:rsid w:val="00FE6A15"/>
    <w:rsid w:val="00FE6A78"/>
    <w:rsid w:val="00FE6ABF"/>
    <w:rsid w:val="00FE6C80"/>
    <w:rsid w:val="00FE6C99"/>
    <w:rsid w:val="00FE6CA8"/>
    <w:rsid w:val="00FE6CC8"/>
    <w:rsid w:val="00FE6E99"/>
    <w:rsid w:val="00FE6EA7"/>
    <w:rsid w:val="00FE6EBD"/>
    <w:rsid w:val="00FE6EED"/>
    <w:rsid w:val="00FE6F92"/>
    <w:rsid w:val="00FE726A"/>
    <w:rsid w:val="00FE728C"/>
    <w:rsid w:val="00FE72E1"/>
    <w:rsid w:val="00FE73FD"/>
    <w:rsid w:val="00FE7474"/>
    <w:rsid w:val="00FE7493"/>
    <w:rsid w:val="00FE76FF"/>
    <w:rsid w:val="00FE7789"/>
    <w:rsid w:val="00FE7A26"/>
    <w:rsid w:val="00FE7B49"/>
    <w:rsid w:val="00FE7C90"/>
    <w:rsid w:val="00FE7CD6"/>
    <w:rsid w:val="00FE7D85"/>
    <w:rsid w:val="00FE7DA5"/>
    <w:rsid w:val="00FE7E80"/>
    <w:rsid w:val="00FE7E9E"/>
    <w:rsid w:val="00FE7EAF"/>
    <w:rsid w:val="00FE7EE3"/>
    <w:rsid w:val="00FF000E"/>
    <w:rsid w:val="00FF0151"/>
    <w:rsid w:val="00FF017B"/>
    <w:rsid w:val="00FF01F3"/>
    <w:rsid w:val="00FF022E"/>
    <w:rsid w:val="00FF03E8"/>
    <w:rsid w:val="00FF051D"/>
    <w:rsid w:val="00FF0631"/>
    <w:rsid w:val="00FF06FB"/>
    <w:rsid w:val="00FF0746"/>
    <w:rsid w:val="00FF07C8"/>
    <w:rsid w:val="00FF0802"/>
    <w:rsid w:val="00FF084E"/>
    <w:rsid w:val="00FF08CC"/>
    <w:rsid w:val="00FF0915"/>
    <w:rsid w:val="00FF09BA"/>
    <w:rsid w:val="00FF09DF"/>
    <w:rsid w:val="00FF09FB"/>
    <w:rsid w:val="00FF0B4F"/>
    <w:rsid w:val="00FF0C7A"/>
    <w:rsid w:val="00FF0CF4"/>
    <w:rsid w:val="00FF0D72"/>
    <w:rsid w:val="00FF0D87"/>
    <w:rsid w:val="00FF0E04"/>
    <w:rsid w:val="00FF0E38"/>
    <w:rsid w:val="00FF0E5F"/>
    <w:rsid w:val="00FF103F"/>
    <w:rsid w:val="00FF1103"/>
    <w:rsid w:val="00FF12F2"/>
    <w:rsid w:val="00FF147F"/>
    <w:rsid w:val="00FF1494"/>
    <w:rsid w:val="00FF14B8"/>
    <w:rsid w:val="00FF1582"/>
    <w:rsid w:val="00FF1768"/>
    <w:rsid w:val="00FF1930"/>
    <w:rsid w:val="00FF1ABF"/>
    <w:rsid w:val="00FF1B2E"/>
    <w:rsid w:val="00FF1BF7"/>
    <w:rsid w:val="00FF1C0E"/>
    <w:rsid w:val="00FF1CC0"/>
    <w:rsid w:val="00FF1F82"/>
    <w:rsid w:val="00FF2052"/>
    <w:rsid w:val="00FF2292"/>
    <w:rsid w:val="00FF242F"/>
    <w:rsid w:val="00FF2549"/>
    <w:rsid w:val="00FF2592"/>
    <w:rsid w:val="00FF25A5"/>
    <w:rsid w:val="00FF2605"/>
    <w:rsid w:val="00FF2622"/>
    <w:rsid w:val="00FF267C"/>
    <w:rsid w:val="00FF26A9"/>
    <w:rsid w:val="00FF270B"/>
    <w:rsid w:val="00FF2805"/>
    <w:rsid w:val="00FF2842"/>
    <w:rsid w:val="00FF2853"/>
    <w:rsid w:val="00FF2884"/>
    <w:rsid w:val="00FF2885"/>
    <w:rsid w:val="00FF28DD"/>
    <w:rsid w:val="00FF290C"/>
    <w:rsid w:val="00FF2923"/>
    <w:rsid w:val="00FF2975"/>
    <w:rsid w:val="00FF2978"/>
    <w:rsid w:val="00FF2A7A"/>
    <w:rsid w:val="00FF2B12"/>
    <w:rsid w:val="00FF2B3E"/>
    <w:rsid w:val="00FF2B99"/>
    <w:rsid w:val="00FF2BEE"/>
    <w:rsid w:val="00FF2C37"/>
    <w:rsid w:val="00FF2C91"/>
    <w:rsid w:val="00FF2D69"/>
    <w:rsid w:val="00FF2D97"/>
    <w:rsid w:val="00FF2DA4"/>
    <w:rsid w:val="00FF2DDB"/>
    <w:rsid w:val="00FF2E07"/>
    <w:rsid w:val="00FF2E23"/>
    <w:rsid w:val="00FF2F39"/>
    <w:rsid w:val="00FF2FF7"/>
    <w:rsid w:val="00FF2FFB"/>
    <w:rsid w:val="00FF3026"/>
    <w:rsid w:val="00FF3081"/>
    <w:rsid w:val="00FF321B"/>
    <w:rsid w:val="00FF322C"/>
    <w:rsid w:val="00FF3294"/>
    <w:rsid w:val="00FF32BC"/>
    <w:rsid w:val="00FF32D3"/>
    <w:rsid w:val="00FF3401"/>
    <w:rsid w:val="00FF342F"/>
    <w:rsid w:val="00FF349C"/>
    <w:rsid w:val="00FF349E"/>
    <w:rsid w:val="00FF34BD"/>
    <w:rsid w:val="00FF3622"/>
    <w:rsid w:val="00FF367A"/>
    <w:rsid w:val="00FF36A1"/>
    <w:rsid w:val="00FF371F"/>
    <w:rsid w:val="00FF3725"/>
    <w:rsid w:val="00FF373B"/>
    <w:rsid w:val="00FF3779"/>
    <w:rsid w:val="00FF3829"/>
    <w:rsid w:val="00FF3908"/>
    <w:rsid w:val="00FF3A2F"/>
    <w:rsid w:val="00FF3A5E"/>
    <w:rsid w:val="00FF3AB0"/>
    <w:rsid w:val="00FF3AB2"/>
    <w:rsid w:val="00FF3B69"/>
    <w:rsid w:val="00FF3B90"/>
    <w:rsid w:val="00FF3D3F"/>
    <w:rsid w:val="00FF3D41"/>
    <w:rsid w:val="00FF3F32"/>
    <w:rsid w:val="00FF3FE3"/>
    <w:rsid w:val="00FF3FE9"/>
    <w:rsid w:val="00FF4064"/>
    <w:rsid w:val="00FF4149"/>
    <w:rsid w:val="00FF41E2"/>
    <w:rsid w:val="00FF430F"/>
    <w:rsid w:val="00FF4338"/>
    <w:rsid w:val="00FF438B"/>
    <w:rsid w:val="00FF444E"/>
    <w:rsid w:val="00FF4453"/>
    <w:rsid w:val="00FF446D"/>
    <w:rsid w:val="00FF4556"/>
    <w:rsid w:val="00FF4625"/>
    <w:rsid w:val="00FF470E"/>
    <w:rsid w:val="00FF471F"/>
    <w:rsid w:val="00FF479F"/>
    <w:rsid w:val="00FF47BA"/>
    <w:rsid w:val="00FF4808"/>
    <w:rsid w:val="00FF48B2"/>
    <w:rsid w:val="00FF49C1"/>
    <w:rsid w:val="00FF4A2D"/>
    <w:rsid w:val="00FF4AB5"/>
    <w:rsid w:val="00FF4ADD"/>
    <w:rsid w:val="00FF4BF6"/>
    <w:rsid w:val="00FF4BFB"/>
    <w:rsid w:val="00FF4CD9"/>
    <w:rsid w:val="00FF4DAB"/>
    <w:rsid w:val="00FF4EC5"/>
    <w:rsid w:val="00FF4EF2"/>
    <w:rsid w:val="00FF4FCB"/>
    <w:rsid w:val="00FF4FCE"/>
    <w:rsid w:val="00FF5002"/>
    <w:rsid w:val="00FF5108"/>
    <w:rsid w:val="00FF53C6"/>
    <w:rsid w:val="00FF5451"/>
    <w:rsid w:val="00FF54B6"/>
    <w:rsid w:val="00FF54F7"/>
    <w:rsid w:val="00FF551E"/>
    <w:rsid w:val="00FF551F"/>
    <w:rsid w:val="00FF5645"/>
    <w:rsid w:val="00FF572A"/>
    <w:rsid w:val="00FF5778"/>
    <w:rsid w:val="00FF58CC"/>
    <w:rsid w:val="00FF596D"/>
    <w:rsid w:val="00FF5A92"/>
    <w:rsid w:val="00FF5C9A"/>
    <w:rsid w:val="00FF5CA0"/>
    <w:rsid w:val="00FF5CE0"/>
    <w:rsid w:val="00FF5D3F"/>
    <w:rsid w:val="00FF5D63"/>
    <w:rsid w:val="00FF5D8F"/>
    <w:rsid w:val="00FF5DAA"/>
    <w:rsid w:val="00FF5E22"/>
    <w:rsid w:val="00FF5F0E"/>
    <w:rsid w:val="00FF5F5B"/>
    <w:rsid w:val="00FF5FF0"/>
    <w:rsid w:val="00FF60A0"/>
    <w:rsid w:val="00FF60C3"/>
    <w:rsid w:val="00FF6129"/>
    <w:rsid w:val="00FF619D"/>
    <w:rsid w:val="00FF61B8"/>
    <w:rsid w:val="00FF6353"/>
    <w:rsid w:val="00FF635F"/>
    <w:rsid w:val="00FF6371"/>
    <w:rsid w:val="00FF63E6"/>
    <w:rsid w:val="00FF6403"/>
    <w:rsid w:val="00FF64FB"/>
    <w:rsid w:val="00FF657D"/>
    <w:rsid w:val="00FF65C9"/>
    <w:rsid w:val="00FF6602"/>
    <w:rsid w:val="00FF66DA"/>
    <w:rsid w:val="00FF67F3"/>
    <w:rsid w:val="00FF6897"/>
    <w:rsid w:val="00FF693C"/>
    <w:rsid w:val="00FF6942"/>
    <w:rsid w:val="00FF6A9C"/>
    <w:rsid w:val="00FF6B0C"/>
    <w:rsid w:val="00FF6BFF"/>
    <w:rsid w:val="00FF6C49"/>
    <w:rsid w:val="00FF6CA6"/>
    <w:rsid w:val="00FF6CBB"/>
    <w:rsid w:val="00FF6D4E"/>
    <w:rsid w:val="00FF6DBA"/>
    <w:rsid w:val="00FF6DBF"/>
    <w:rsid w:val="00FF6E47"/>
    <w:rsid w:val="00FF6F97"/>
    <w:rsid w:val="00FF72E6"/>
    <w:rsid w:val="00FF72F0"/>
    <w:rsid w:val="00FF72FA"/>
    <w:rsid w:val="00FF73FE"/>
    <w:rsid w:val="00FF74AD"/>
    <w:rsid w:val="00FF75A5"/>
    <w:rsid w:val="00FF7618"/>
    <w:rsid w:val="00FF7659"/>
    <w:rsid w:val="00FF76C0"/>
    <w:rsid w:val="00FF778A"/>
    <w:rsid w:val="00FF795F"/>
    <w:rsid w:val="00FF79C3"/>
    <w:rsid w:val="00FF7AA4"/>
    <w:rsid w:val="00FF7BA7"/>
    <w:rsid w:val="00FF7BF3"/>
    <w:rsid w:val="00FF7C29"/>
    <w:rsid w:val="00FF7E09"/>
    <w:rsid w:val="0100033F"/>
    <w:rsid w:val="011749B2"/>
    <w:rsid w:val="01275713"/>
    <w:rsid w:val="0129389A"/>
    <w:rsid w:val="01348451"/>
    <w:rsid w:val="013D7CD4"/>
    <w:rsid w:val="013E6150"/>
    <w:rsid w:val="0141D4F1"/>
    <w:rsid w:val="014259A8"/>
    <w:rsid w:val="014A3993"/>
    <w:rsid w:val="014BCD43"/>
    <w:rsid w:val="014BD26C"/>
    <w:rsid w:val="014FB0D7"/>
    <w:rsid w:val="0165B00B"/>
    <w:rsid w:val="016C67AF"/>
    <w:rsid w:val="017BEBAF"/>
    <w:rsid w:val="01822BD9"/>
    <w:rsid w:val="01832E30"/>
    <w:rsid w:val="01864FB6"/>
    <w:rsid w:val="01888E1E"/>
    <w:rsid w:val="018938BD"/>
    <w:rsid w:val="018BDACF"/>
    <w:rsid w:val="018C272E"/>
    <w:rsid w:val="01921C81"/>
    <w:rsid w:val="01939B30"/>
    <w:rsid w:val="0194A4F5"/>
    <w:rsid w:val="0196A273"/>
    <w:rsid w:val="019827DF"/>
    <w:rsid w:val="019DDB34"/>
    <w:rsid w:val="019E85CF"/>
    <w:rsid w:val="01A9F653"/>
    <w:rsid w:val="01AB47BD"/>
    <w:rsid w:val="01AC5455"/>
    <w:rsid w:val="01B7AF50"/>
    <w:rsid w:val="01BBC0BA"/>
    <w:rsid w:val="01BFDAFB"/>
    <w:rsid w:val="01C509A1"/>
    <w:rsid w:val="01C6EAB2"/>
    <w:rsid w:val="01C73C06"/>
    <w:rsid w:val="01D33B1F"/>
    <w:rsid w:val="01D5E0B3"/>
    <w:rsid w:val="01E0824A"/>
    <w:rsid w:val="01E0C097"/>
    <w:rsid w:val="01E0FA83"/>
    <w:rsid w:val="01EC1048"/>
    <w:rsid w:val="01ED7167"/>
    <w:rsid w:val="01F37500"/>
    <w:rsid w:val="01FA76C0"/>
    <w:rsid w:val="01FD2492"/>
    <w:rsid w:val="02023323"/>
    <w:rsid w:val="0205AA1D"/>
    <w:rsid w:val="0205F18D"/>
    <w:rsid w:val="0206706C"/>
    <w:rsid w:val="02074057"/>
    <w:rsid w:val="0207DAF9"/>
    <w:rsid w:val="020D986F"/>
    <w:rsid w:val="020E660F"/>
    <w:rsid w:val="0210BE79"/>
    <w:rsid w:val="021754A3"/>
    <w:rsid w:val="021A7EF4"/>
    <w:rsid w:val="021B8A97"/>
    <w:rsid w:val="022287BC"/>
    <w:rsid w:val="022A9538"/>
    <w:rsid w:val="022B8BE4"/>
    <w:rsid w:val="022D37B9"/>
    <w:rsid w:val="022E057D"/>
    <w:rsid w:val="022E7BC2"/>
    <w:rsid w:val="0234F294"/>
    <w:rsid w:val="023ADDD0"/>
    <w:rsid w:val="0244FB45"/>
    <w:rsid w:val="024C6215"/>
    <w:rsid w:val="02536622"/>
    <w:rsid w:val="025AE338"/>
    <w:rsid w:val="026AE0F4"/>
    <w:rsid w:val="027958C0"/>
    <w:rsid w:val="02851116"/>
    <w:rsid w:val="028F6CF4"/>
    <w:rsid w:val="0292EC6A"/>
    <w:rsid w:val="029360F1"/>
    <w:rsid w:val="02966FE8"/>
    <w:rsid w:val="02A2B2EE"/>
    <w:rsid w:val="02AABD69"/>
    <w:rsid w:val="02AFD2E8"/>
    <w:rsid w:val="02B670CB"/>
    <w:rsid w:val="02B9BD99"/>
    <w:rsid w:val="02C56122"/>
    <w:rsid w:val="02CBB93E"/>
    <w:rsid w:val="02CC98F7"/>
    <w:rsid w:val="02D1C161"/>
    <w:rsid w:val="02D4F3D7"/>
    <w:rsid w:val="02D801CC"/>
    <w:rsid w:val="02DCAC4A"/>
    <w:rsid w:val="02F7E1C4"/>
    <w:rsid w:val="02FA3541"/>
    <w:rsid w:val="02FB9CA5"/>
    <w:rsid w:val="02FEC1FF"/>
    <w:rsid w:val="0304A4F0"/>
    <w:rsid w:val="0304E700"/>
    <w:rsid w:val="0305D98B"/>
    <w:rsid w:val="0316513D"/>
    <w:rsid w:val="03195EE7"/>
    <w:rsid w:val="0319C63F"/>
    <w:rsid w:val="031C032F"/>
    <w:rsid w:val="0321238E"/>
    <w:rsid w:val="03238B8F"/>
    <w:rsid w:val="0335AE3D"/>
    <w:rsid w:val="034324F6"/>
    <w:rsid w:val="034329C0"/>
    <w:rsid w:val="03534B2D"/>
    <w:rsid w:val="03576773"/>
    <w:rsid w:val="03616FB1"/>
    <w:rsid w:val="03643039"/>
    <w:rsid w:val="0367A990"/>
    <w:rsid w:val="03684195"/>
    <w:rsid w:val="036A40FE"/>
    <w:rsid w:val="037259E3"/>
    <w:rsid w:val="0379A9D0"/>
    <w:rsid w:val="038163A6"/>
    <w:rsid w:val="038830B3"/>
    <w:rsid w:val="038B1D9C"/>
    <w:rsid w:val="038F3775"/>
    <w:rsid w:val="039280F9"/>
    <w:rsid w:val="03929AE5"/>
    <w:rsid w:val="0398C4E8"/>
    <w:rsid w:val="039C9170"/>
    <w:rsid w:val="03A32760"/>
    <w:rsid w:val="03A7EB8F"/>
    <w:rsid w:val="03A885A4"/>
    <w:rsid w:val="03AC912D"/>
    <w:rsid w:val="03B3C9A8"/>
    <w:rsid w:val="03B5B4C3"/>
    <w:rsid w:val="03B86828"/>
    <w:rsid w:val="03C0417B"/>
    <w:rsid w:val="03C875F7"/>
    <w:rsid w:val="03CBE6A4"/>
    <w:rsid w:val="03D20246"/>
    <w:rsid w:val="03D94786"/>
    <w:rsid w:val="03DBA286"/>
    <w:rsid w:val="03E1E407"/>
    <w:rsid w:val="03F47431"/>
    <w:rsid w:val="03FFD42F"/>
    <w:rsid w:val="04007188"/>
    <w:rsid w:val="04038EE2"/>
    <w:rsid w:val="040A1EA1"/>
    <w:rsid w:val="040B3B8D"/>
    <w:rsid w:val="040CDC08"/>
    <w:rsid w:val="0411D398"/>
    <w:rsid w:val="04159378"/>
    <w:rsid w:val="0415EDC1"/>
    <w:rsid w:val="04168F08"/>
    <w:rsid w:val="0416D7A3"/>
    <w:rsid w:val="04223196"/>
    <w:rsid w:val="04241973"/>
    <w:rsid w:val="0428E94B"/>
    <w:rsid w:val="04323D58"/>
    <w:rsid w:val="04342B6E"/>
    <w:rsid w:val="043FE35B"/>
    <w:rsid w:val="04514017"/>
    <w:rsid w:val="0455F9F5"/>
    <w:rsid w:val="0457E9C8"/>
    <w:rsid w:val="045C5F7F"/>
    <w:rsid w:val="0460E596"/>
    <w:rsid w:val="04631AAC"/>
    <w:rsid w:val="0465CB5D"/>
    <w:rsid w:val="04698E9E"/>
    <w:rsid w:val="046A0195"/>
    <w:rsid w:val="047089D2"/>
    <w:rsid w:val="0478F5EF"/>
    <w:rsid w:val="0484FEAA"/>
    <w:rsid w:val="0487BEE3"/>
    <w:rsid w:val="0488F0F5"/>
    <w:rsid w:val="04890517"/>
    <w:rsid w:val="048CC44F"/>
    <w:rsid w:val="04957790"/>
    <w:rsid w:val="049D2F13"/>
    <w:rsid w:val="04A2199D"/>
    <w:rsid w:val="04A2491A"/>
    <w:rsid w:val="04A5AB0C"/>
    <w:rsid w:val="04AF85F0"/>
    <w:rsid w:val="04B6E9D0"/>
    <w:rsid w:val="04B78E57"/>
    <w:rsid w:val="04BEBF9C"/>
    <w:rsid w:val="04E765F4"/>
    <w:rsid w:val="04EBE2CA"/>
    <w:rsid w:val="04F6D7FB"/>
    <w:rsid w:val="04F84601"/>
    <w:rsid w:val="0504C995"/>
    <w:rsid w:val="050F270B"/>
    <w:rsid w:val="05108C5B"/>
    <w:rsid w:val="05142126"/>
    <w:rsid w:val="05146371"/>
    <w:rsid w:val="0520D753"/>
    <w:rsid w:val="052171E6"/>
    <w:rsid w:val="0523480C"/>
    <w:rsid w:val="0525DFD9"/>
    <w:rsid w:val="0529A9A2"/>
    <w:rsid w:val="052DAE90"/>
    <w:rsid w:val="052DF2F6"/>
    <w:rsid w:val="052EAB86"/>
    <w:rsid w:val="05336176"/>
    <w:rsid w:val="05349B5F"/>
    <w:rsid w:val="053BF7F1"/>
    <w:rsid w:val="053F03F5"/>
    <w:rsid w:val="05424015"/>
    <w:rsid w:val="0542EC19"/>
    <w:rsid w:val="05464096"/>
    <w:rsid w:val="0547A7FC"/>
    <w:rsid w:val="05492314"/>
    <w:rsid w:val="054C48E2"/>
    <w:rsid w:val="055002F5"/>
    <w:rsid w:val="0550BE02"/>
    <w:rsid w:val="05544A1C"/>
    <w:rsid w:val="0556F584"/>
    <w:rsid w:val="055D8926"/>
    <w:rsid w:val="05637FE4"/>
    <w:rsid w:val="0567D169"/>
    <w:rsid w:val="0568FFA8"/>
    <w:rsid w:val="056DD8CB"/>
    <w:rsid w:val="057044A8"/>
    <w:rsid w:val="058B3FFD"/>
    <w:rsid w:val="058B773F"/>
    <w:rsid w:val="058D735E"/>
    <w:rsid w:val="0592799A"/>
    <w:rsid w:val="059C3C33"/>
    <w:rsid w:val="05A028B6"/>
    <w:rsid w:val="05A594C2"/>
    <w:rsid w:val="05AD5B00"/>
    <w:rsid w:val="05ADAB52"/>
    <w:rsid w:val="05AE1D73"/>
    <w:rsid w:val="05AFF8CD"/>
    <w:rsid w:val="05BF03B4"/>
    <w:rsid w:val="05C155D3"/>
    <w:rsid w:val="05C1A84B"/>
    <w:rsid w:val="05C33F62"/>
    <w:rsid w:val="05C65D5A"/>
    <w:rsid w:val="05CCE4D6"/>
    <w:rsid w:val="05CEE1DB"/>
    <w:rsid w:val="05D34A5E"/>
    <w:rsid w:val="05D5EFB7"/>
    <w:rsid w:val="05D7A459"/>
    <w:rsid w:val="05E64F5B"/>
    <w:rsid w:val="05E73FB2"/>
    <w:rsid w:val="05F4D33C"/>
    <w:rsid w:val="05F51A99"/>
    <w:rsid w:val="05FA70E2"/>
    <w:rsid w:val="0600813F"/>
    <w:rsid w:val="0610AE29"/>
    <w:rsid w:val="06136608"/>
    <w:rsid w:val="0619FCDC"/>
    <w:rsid w:val="061A4872"/>
    <w:rsid w:val="06245219"/>
    <w:rsid w:val="06259CB9"/>
    <w:rsid w:val="06269A4F"/>
    <w:rsid w:val="0626C1A4"/>
    <w:rsid w:val="063B3066"/>
    <w:rsid w:val="063F9B2E"/>
    <w:rsid w:val="064399E6"/>
    <w:rsid w:val="06446978"/>
    <w:rsid w:val="0647BD72"/>
    <w:rsid w:val="06562921"/>
    <w:rsid w:val="0657C1A7"/>
    <w:rsid w:val="065DB84B"/>
    <w:rsid w:val="066246D3"/>
    <w:rsid w:val="06627008"/>
    <w:rsid w:val="066C678C"/>
    <w:rsid w:val="06764A6B"/>
    <w:rsid w:val="067C56F9"/>
    <w:rsid w:val="068406C8"/>
    <w:rsid w:val="0685928A"/>
    <w:rsid w:val="06863C7E"/>
    <w:rsid w:val="06957991"/>
    <w:rsid w:val="0698E0F1"/>
    <w:rsid w:val="069F3A59"/>
    <w:rsid w:val="06A330D7"/>
    <w:rsid w:val="06ADDDDF"/>
    <w:rsid w:val="06C1B967"/>
    <w:rsid w:val="06C7CD75"/>
    <w:rsid w:val="06CB1304"/>
    <w:rsid w:val="06D115D9"/>
    <w:rsid w:val="06D3D051"/>
    <w:rsid w:val="06DA704E"/>
    <w:rsid w:val="06DB1AFE"/>
    <w:rsid w:val="06E250F2"/>
    <w:rsid w:val="06E283D8"/>
    <w:rsid w:val="06E8A015"/>
    <w:rsid w:val="06EA810B"/>
    <w:rsid w:val="06EF4D6F"/>
    <w:rsid w:val="06EFA7ED"/>
    <w:rsid w:val="06F40D08"/>
    <w:rsid w:val="06F68BE2"/>
    <w:rsid w:val="06F75EBE"/>
    <w:rsid w:val="0701D5C3"/>
    <w:rsid w:val="070AF1CF"/>
    <w:rsid w:val="071746E6"/>
    <w:rsid w:val="071838C7"/>
    <w:rsid w:val="071DEBEC"/>
    <w:rsid w:val="071E7964"/>
    <w:rsid w:val="071EC5E8"/>
    <w:rsid w:val="0721271A"/>
    <w:rsid w:val="0732DEB7"/>
    <w:rsid w:val="0733E592"/>
    <w:rsid w:val="0737CB52"/>
    <w:rsid w:val="073CF751"/>
    <w:rsid w:val="073E3DDD"/>
    <w:rsid w:val="074DB079"/>
    <w:rsid w:val="074DE55F"/>
    <w:rsid w:val="07514412"/>
    <w:rsid w:val="0758F37D"/>
    <w:rsid w:val="0759E3A3"/>
    <w:rsid w:val="075FC9F3"/>
    <w:rsid w:val="07609E7D"/>
    <w:rsid w:val="076428A5"/>
    <w:rsid w:val="076A8F14"/>
    <w:rsid w:val="076EE84C"/>
    <w:rsid w:val="0770DD3D"/>
    <w:rsid w:val="07713841"/>
    <w:rsid w:val="0774D81E"/>
    <w:rsid w:val="077A54D7"/>
    <w:rsid w:val="077CAD96"/>
    <w:rsid w:val="0782FCAF"/>
    <w:rsid w:val="07841D36"/>
    <w:rsid w:val="078AB69F"/>
    <w:rsid w:val="078E346A"/>
    <w:rsid w:val="0791B78B"/>
    <w:rsid w:val="0798630D"/>
    <w:rsid w:val="079FE13B"/>
    <w:rsid w:val="07A2B470"/>
    <w:rsid w:val="07A8C1D4"/>
    <w:rsid w:val="07AAEA64"/>
    <w:rsid w:val="07AB3245"/>
    <w:rsid w:val="07AB5231"/>
    <w:rsid w:val="07B93F8A"/>
    <w:rsid w:val="07B94C80"/>
    <w:rsid w:val="07BC3B88"/>
    <w:rsid w:val="07BD166E"/>
    <w:rsid w:val="07C0D5B6"/>
    <w:rsid w:val="07D04672"/>
    <w:rsid w:val="07DD1484"/>
    <w:rsid w:val="07EDF5DF"/>
    <w:rsid w:val="07EE38EF"/>
    <w:rsid w:val="07F5917B"/>
    <w:rsid w:val="07FFF524"/>
    <w:rsid w:val="08079DCA"/>
    <w:rsid w:val="080F1071"/>
    <w:rsid w:val="0810E7CF"/>
    <w:rsid w:val="081927BD"/>
    <w:rsid w:val="081C7444"/>
    <w:rsid w:val="0824716E"/>
    <w:rsid w:val="08277FB4"/>
    <w:rsid w:val="083D4B1C"/>
    <w:rsid w:val="083FC50C"/>
    <w:rsid w:val="0843036A"/>
    <w:rsid w:val="084E7CBD"/>
    <w:rsid w:val="0857C0F6"/>
    <w:rsid w:val="085B845A"/>
    <w:rsid w:val="085D8A83"/>
    <w:rsid w:val="085F681E"/>
    <w:rsid w:val="0865CE29"/>
    <w:rsid w:val="086984A9"/>
    <w:rsid w:val="086F5201"/>
    <w:rsid w:val="0872FED5"/>
    <w:rsid w:val="08738778"/>
    <w:rsid w:val="087785CA"/>
    <w:rsid w:val="087CBEFA"/>
    <w:rsid w:val="087D8E71"/>
    <w:rsid w:val="087F31EE"/>
    <w:rsid w:val="087FCF4F"/>
    <w:rsid w:val="0885909A"/>
    <w:rsid w:val="088817F2"/>
    <w:rsid w:val="0893EE38"/>
    <w:rsid w:val="089A9EA7"/>
    <w:rsid w:val="089E201B"/>
    <w:rsid w:val="08A35D61"/>
    <w:rsid w:val="08A82DF8"/>
    <w:rsid w:val="08A84C8F"/>
    <w:rsid w:val="08B4BBD9"/>
    <w:rsid w:val="08B7E8AF"/>
    <w:rsid w:val="08BC7D5E"/>
    <w:rsid w:val="08C52518"/>
    <w:rsid w:val="08CC9214"/>
    <w:rsid w:val="08D23E3C"/>
    <w:rsid w:val="08D5BA22"/>
    <w:rsid w:val="08D8964F"/>
    <w:rsid w:val="08E1C6B3"/>
    <w:rsid w:val="08E23C73"/>
    <w:rsid w:val="08E2681D"/>
    <w:rsid w:val="08EC36EE"/>
    <w:rsid w:val="08F0684A"/>
    <w:rsid w:val="08F85774"/>
    <w:rsid w:val="08FF39CE"/>
    <w:rsid w:val="0905C634"/>
    <w:rsid w:val="090915DB"/>
    <w:rsid w:val="090A2823"/>
    <w:rsid w:val="090FA8C7"/>
    <w:rsid w:val="0914B450"/>
    <w:rsid w:val="09159C75"/>
    <w:rsid w:val="0918F3C1"/>
    <w:rsid w:val="091EC8FD"/>
    <w:rsid w:val="0923799D"/>
    <w:rsid w:val="0926FDE6"/>
    <w:rsid w:val="0929AED5"/>
    <w:rsid w:val="092AB41A"/>
    <w:rsid w:val="0933A247"/>
    <w:rsid w:val="093489DA"/>
    <w:rsid w:val="093A352F"/>
    <w:rsid w:val="094DEE69"/>
    <w:rsid w:val="0957880B"/>
    <w:rsid w:val="095DF9B2"/>
    <w:rsid w:val="0973A176"/>
    <w:rsid w:val="097472AB"/>
    <w:rsid w:val="0989C04C"/>
    <w:rsid w:val="098F94F3"/>
    <w:rsid w:val="0995630E"/>
    <w:rsid w:val="09A630A2"/>
    <w:rsid w:val="09AB02B9"/>
    <w:rsid w:val="09B08D65"/>
    <w:rsid w:val="09B28C7E"/>
    <w:rsid w:val="09B32BE8"/>
    <w:rsid w:val="09B80AE0"/>
    <w:rsid w:val="09C02B79"/>
    <w:rsid w:val="09C2C0A2"/>
    <w:rsid w:val="09D1378F"/>
    <w:rsid w:val="09E86FE6"/>
    <w:rsid w:val="09F033B9"/>
    <w:rsid w:val="09F88A81"/>
    <w:rsid w:val="0A0071A8"/>
    <w:rsid w:val="0A054B80"/>
    <w:rsid w:val="0A05BB80"/>
    <w:rsid w:val="0A094700"/>
    <w:rsid w:val="0A0C3C64"/>
    <w:rsid w:val="0A1AFA29"/>
    <w:rsid w:val="0A1E0799"/>
    <w:rsid w:val="0A2C0CB8"/>
    <w:rsid w:val="0A2D9F52"/>
    <w:rsid w:val="0A2E07B3"/>
    <w:rsid w:val="0A46730F"/>
    <w:rsid w:val="0A587DA2"/>
    <w:rsid w:val="0A588686"/>
    <w:rsid w:val="0A5E4440"/>
    <w:rsid w:val="0A6052F1"/>
    <w:rsid w:val="0A658739"/>
    <w:rsid w:val="0A6776FC"/>
    <w:rsid w:val="0A6CBF06"/>
    <w:rsid w:val="0A780DC1"/>
    <w:rsid w:val="0A7AA343"/>
    <w:rsid w:val="0A7FF44F"/>
    <w:rsid w:val="0A82EA48"/>
    <w:rsid w:val="0A8DFEA0"/>
    <w:rsid w:val="0A8FAD27"/>
    <w:rsid w:val="0A9A804C"/>
    <w:rsid w:val="0A9D1496"/>
    <w:rsid w:val="0AABAA03"/>
    <w:rsid w:val="0AAE0AF9"/>
    <w:rsid w:val="0AB12220"/>
    <w:rsid w:val="0AB3A71F"/>
    <w:rsid w:val="0AB43852"/>
    <w:rsid w:val="0AB9AED9"/>
    <w:rsid w:val="0ABDF782"/>
    <w:rsid w:val="0ABE92E1"/>
    <w:rsid w:val="0ABEA0BD"/>
    <w:rsid w:val="0AC5515C"/>
    <w:rsid w:val="0AC7639E"/>
    <w:rsid w:val="0AC7FBC1"/>
    <w:rsid w:val="0AC9288D"/>
    <w:rsid w:val="0AC9A9C2"/>
    <w:rsid w:val="0AD251B1"/>
    <w:rsid w:val="0AD5B095"/>
    <w:rsid w:val="0AD7B378"/>
    <w:rsid w:val="0AD895B9"/>
    <w:rsid w:val="0AE2BBFC"/>
    <w:rsid w:val="0AF2FDAD"/>
    <w:rsid w:val="0AF9C986"/>
    <w:rsid w:val="0AFAE081"/>
    <w:rsid w:val="0AFDAB23"/>
    <w:rsid w:val="0B0941FC"/>
    <w:rsid w:val="0B0CDA22"/>
    <w:rsid w:val="0B20B075"/>
    <w:rsid w:val="0B283989"/>
    <w:rsid w:val="0B321AF3"/>
    <w:rsid w:val="0B3BBE85"/>
    <w:rsid w:val="0B3C2A24"/>
    <w:rsid w:val="0B462B01"/>
    <w:rsid w:val="0B47E015"/>
    <w:rsid w:val="0B48BD14"/>
    <w:rsid w:val="0B49B4C4"/>
    <w:rsid w:val="0B5F28E6"/>
    <w:rsid w:val="0B5F9EB7"/>
    <w:rsid w:val="0B627C7A"/>
    <w:rsid w:val="0B67D237"/>
    <w:rsid w:val="0B6B098C"/>
    <w:rsid w:val="0B761C27"/>
    <w:rsid w:val="0B764731"/>
    <w:rsid w:val="0B81DD9F"/>
    <w:rsid w:val="0B8BBA5B"/>
    <w:rsid w:val="0BA2BFB5"/>
    <w:rsid w:val="0BA4037D"/>
    <w:rsid w:val="0BA88F3E"/>
    <w:rsid w:val="0BA9393F"/>
    <w:rsid w:val="0BAD91C1"/>
    <w:rsid w:val="0BB3DAAE"/>
    <w:rsid w:val="0BBBE9B6"/>
    <w:rsid w:val="0BC82402"/>
    <w:rsid w:val="0BCE272A"/>
    <w:rsid w:val="0BD25034"/>
    <w:rsid w:val="0BD57165"/>
    <w:rsid w:val="0BD6142E"/>
    <w:rsid w:val="0BDB9B2C"/>
    <w:rsid w:val="0BE0ED4E"/>
    <w:rsid w:val="0BE3383E"/>
    <w:rsid w:val="0BE42790"/>
    <w:rsid w:val="0BE5FB79"/>
    <w:rsid w:val="0BE8F994"/>
    <w:rsid w:val="0BEBF77D"/>
    <w:rsid w:val="0BF2E774"/>
    <w:rsid w:val="0BF6FE04"/>
    <w:rsid w:val="0BFC775B"/>
    <w:rsid w:val="0C008365"/>
    <w:rsid w:val="0C05285A"/>
    <w:rsid w:val="0C08425C"/>
    <w:rsid w:val="0C0E7092"/>
    <w:rsid w:val="0C0F3767"/>
    <w:rsid w:val="0C10281A"/>
    <w:rsid w:val="0C1BBF3C"/>
    <w:rsid w:val="0C1C0BC0"/>
    <w:rsid w:val="0C1F09E3"/>
    <w:rsid w:val="0C220A7E"/>
    <w:rsid w:val="0C2850E5"/>
    <w:rsid w:val="0C2B3C00"/>
    <w:rsid w:val="0C30B93D"/>
    <w:rsid w:val="0C32AED7"/>
    <w:rsid w:val="0C336452"/>
    <w:rsid w:val="0C414AEE"/>
    <w:rsid w:val="0C437C5A"/>
    <w:rsid w:val="0C44F2DB"/>
    <w:rsid w:val="0C519549"/>
    <w:rsid w:val="0C51A77C"/>
    <w:rsid w:val="0C58AADC"/>
    <w:rsid w:val="0C63B2C6"/>
    <w:rsid w:val="0C64020F"/>
    <w:rsid w:val="0C656603"/>
    <w:rsid w:val="0C6962D6"/>
    <w:rsid w:val="0C6B2D1D"/>
    <w:rsid w:val="0C747134"/>
    <w:rsid w:val="0C7C8CD1"/>
    <w:rsid w:val="0C7D45DF"/>
    <w:rsid w:val="0C7EF2DF"/>
    <w:rsid w:val="0C8C0A92"/>
    <w:rsid w:val="0C90BE13"/>
    <w:rsid w:val="0C9CE37C"/>
    <w:rsid w:val="0CAA03B4"/>
    <w:rsid w:val="0CAD162B"/>
    <w:rsid w:val="0CAD7DDB"/>
    <w:rsid w:val="0CBC7B06"/>
    <w:rsid w:val="0CBD5763"/>
    <w:rsid w:val="0CBF0F96"/>
    <w:rsid w:val="0CC94F4A"/>
    <w:rsid w:val="0CCA9084"/>
    <w:rsid w:val="0CCAFFDD"/>
    <w:rsid w:val="0CD30B2B"/>
    <w:rsid w:val="0CD85254"/>
    <w:rsid w:val="0CE55EFC"/>
    <w:rsid w:val="0CE8813A"/>
    <w:rsid w:val="0CEDF1BD"/>
    <w:rsid w:val="0CFEB293"/>
    <w:rsid w:val="0D0230DD"/>
    <w:rsid w:val="0D26FC5B"/>
    <w:rsid w:val="0D270D10"/>
    <w:rsid w:val="0D4549EC"/>
    <w:rsid w:val="0D4A3B8D"/>
    <w:rsid w:val="0D563D4A"/>
    <w:rsid w:val="0D56404E"/>
    <w:rsid w:val="0D5DE995"/>
    <w:rsid w:val="0D5FE398"/>
    <w:rsid w:val="0D68C846"/>
    <w:rsid w:val="0D7453C2"/>
    <w:rsid w:val="0D7F1A3C"/>
    <w:rsid w:val="0D7F44BC"/>
    <w:rsid w:val="0D817D21"/>
    <w:rsid w:val="0D88E718"/>
    <w:rsid w:val="0D8BF448"/>
    <w:rsid w:val="0D8C49C3"/>
    <w:rsid w:val="0D909AB2"/>
    <w:rsid w:val="0D97299E"/>
    <w:rsid w:val="0D99F93E"/>
    <w:rsid w:val="0D9E8790"/>
    <w:rsid w:val="0DAA066A"/>
    <w:rsid w:val="0DAE4AA3"/>
    <w:rsid w:val="0DB1CEAD"/>
    <w:rsid w:val="0DBA4813"/>
    <w:rsid w:val="0DC43751"/>
    <w:rsid w:val="0DCE5751"/>
    <w:rsid w:val="0DD1F346"/>
    <w:rsid w:val="0DD5E8EF"/>
    <w:rsid w:val="0DD86510"/>
    <w:rsid w:val="0DDFDFAB"/>
    <w:rsid w:val="0DE8C9CC"/>
    <w:rsid w:val="0DE99DFE"/>
    <w:rsid w:val="0DEAF139"/>
    <w:rsid w:val="0DEBBCD1"/>
    <w:rsid w:val="0E010737"/>
    <w:rsid w:val="0E01AEDE"/>
    <w:rsid w:val="0E03B410"/>
    <w:rsid w:val="0E075E26"/>
    <w:rsid w:val="0E10F3D1"/>
    <w:rsid w:val="0E168F53"/>
    <w:rsid w:val="0E1781F2"/>
    <w:rsid w:val="0E1E4AB3"/>
    <w:rsid w:val="0E3BD076"/>
    <w:rsid w:val="0E45A2A2"/>
    <w:rsid w:val="0E4A4E3B"/>
    <w:rsid w:val="0E5287FB"/>
    <w:rsid w:val="0E567DCC"/>
    <w:rsid w:val="0E5C35A5"/>
    <w:rsid w:val="0E5C48F9"/>
    <w:rsid w:val="0E6C5680"/>
    <w:rsid w:val="0E73B83F"/>
    <w:rsid w:val="0E74E874"/>
    <w:rsid w:val="0E7555A7"/>
    <w:rsid w:val="0E773672"/>
    <w:rsid w:val="0E791552"/>
    <w:rsid w:val="0E7E0502"/>
    <w:rsid w:val="0E8E0830"/>
    <w:rsid w:val="0E944788"/>
    <w:rsid w:val="0E9A0628"/>
    <w:rsid w:val="0E9FBA1C"/>
    <w:rsid w:val="0EA41AE6"/>
    <w:rsid w:val="0EA52418"/>
    <w:rsid w:val="0EAA349A"/>
    <w:rsid w:val="0EADCD2F"/>
    <w:rsid w:val="0EB83A8C"/>
    <w:rsid w:val="0EBFA6C8"/>
    <w:rsid w:val="0EC20E9D"/>
    <w:rsid w:val="0EC4CFFB"/>
    <w:rsid w:val="0EC688C6"/>
    <w:rsid w:val="0EC93396"/>
    <w:rsid w:val="0ECA2B21"/>
    <w:rsid w:val="0ED92428"/>
    <w:rsid w:val="0EE13180"/>
    <w:rsid w:val="0EE9E62B"/>
    <w:rsid w:val="0EFA7879"/>
    <w:rsid w:val="0F02704F"/>
    <w:rsid w:val="0F034BEC"/>
    <w:rsid w:val="0F04B9A4"/>
    <w:rsid w:val="0F0D5676"/>
    <w:rsid w:val="0F0F6265"/>
    <w:rsid w:val="0F144CFF"/>
    <w:rsid w:val="0F1C3987"/>
    <w:rsid w:val="0F207889"/>
    <w:rsid w:val="0F257294"/>
    <w:rsid w:val="0F38591E"/>
    <w:rsid w:val="0F3F16B7"/>
    <w:rsid w:val="0F412168"/>
    <w:rsid w:val="0F45CABC"/>
    <w:rsid w:val="0F50E83D"/>
    <w:rsid w:val="0F511334"/>
    <w:rsid w:val="0F53750D"/>
    <w:rsid w:val="0F5470E0"/>
    <w:rsid w:val="0F558C52"/>
    <w:rsid w:val="0F56AD70"/>
    <w:rsid w:val="0F5A7218"/>
    <w:rsid w:val="0F5CAC4E"/>
    <w:rsid w:val="0F610C60"/>
    <w:rsid w:val="0F65051E"/>
    <w:rsid w:val="0F718ADE"/>
    <w:rsid w:val="0F7642C4"/>
    <w:rsid w:val="0F7E7E9B"/>
    <w:rsid w:val="0F8366AB"/>
    <w:rsid w:val="0F8426ED"/>
    <w:rsid w:val="0F8A480C"/>
    <w:rsid w:val="0F8E5973"/>
    <w:rsid w:val="0F93572D"/>
    <w:rsid w:val="0F9A882B"/>
    <w:rsid w:val="0F9C09DA"/>
    <w:rsid w:val="0F9DB39F"/>
    <w:rsid w:val="0F9F962F"/>
    <w:rsid w:val="0FAE0276"/>
    <w:rsid w:val="0FAEFB49"/>
    <w:rsid w:val="0FB4FD7D"/>
    <w:rsid w:val="0FC30A0F"/>
    <w:rsid w:val="0FC4C209"/>
    <w:rsid w:val="0FC69524"/>
    <w:rsid w:val="0FDB4569"/>
    <w:rsid w:val="0FDD1411"/>
    <w:rsid w:val="0FEDA318"/>
    <w:rsid w:val="0FF40BFC"/>
    <w:rsid w:val="0FF96D40"/>
    <w:rsid w:val="0FFBF9CC"/>
    <w:rsid w:val="10014BAD"/>
    <w:rsid w:val="1007029A"/>
    <w:rsid w:val="10078DDA"/>
    <w:rsid w:val="100C8AD0"/>
    <w:rsid w:val="100EB592"/>
    <w:rsid w:val="10158A1F"/>
    <w:rsid w:val="10235F9A"/>
    <w:rsid w:val="102A767F"/>
    <w:rsid w:val="103EB183"/>
    <w:rsid w:val="10433960"/>
    <w:rsid w:val="104ADAEA"/>
    <w:rsid w:val="104F3CDA"/>
    <w:rsid w:val="10559341"/>
    <w:rsid w:val="1063F884"/>
    <w:rsid w:val="10666289"/>
    <w:rsid w:val="106D9B16"/>
    <w:rsid w:val="1076636A"/>
    <w:rsid w:val="107EABD9"/>
    <w:rsid w:val="1082820A"/>
    <w:rsid w:val="1086092C"/>
    <w:rsid w:val="108769BD"/>
    <w:rsid w:val="1087ECE6"/>
    <w:rsid w:val="108C503B"/>
    <w:rsid w:val="1090775F"/>
    <w:rsid w:val="10912D94"/>
    <w:rsid w:val="10927F32"/>
    <w:rsid w:val="109702F2"/>
    <w:rsid w:val="1099F77B"/>
    <w:rsid w:val="109D306A"/>
    <w:rsid w:val="109EB2AA"/>
    <w:rsid w:val="10A22ED3"/>
    <w:rsid w:val="10A56C04"/>
    <w:rsid w:val="10A69BF9"/>
    <w:rsid w:val="10AE509B"/>
    <w:rsid w:val="10B6C249"/>
    <w:rsid w:val="10C51C35"/>
    <w:rsid w:val="10E9397B"/>
    <w:rsid w:val="10EB4443"/>
    <w:rsid w:val="10EC9DB1"/>
    <w:rsid w:val="10F87012"/>
    <w:rsid w:val="1100B402"/>
    <w:rsid w:val="1101D353"/>
    <w:rsid w:val="1104196F"/>
    <w:rsid w:val="1106123F"/>
    <w:rsid w:val="11074EB9"/>
    <w:rsid w:val="110F1AF1"/>
    <w:rsid w:val="110FDAD3"/>
    <w:rsid w:val="1111E8A9"/>
    <w:rsid w:val="1114E97E"/>
    <w:rsid w:val="11174D60"/>
    <w:rsid w:val="111E5D95"/>
    <w:rsid w:val="1120FF9C"/>
    <w:rsid w:val="11258C55"/>
    <w:rsid w:val="1127C653"/>
    <w:rsid w:val="112C7051"/>
    <w:rsid w:val="112DC34F"/>
    <w:rsid w:val="11327F0E"/>
    <w:rsid w:val="113A59B8"/>
    <w:rsid w:val="113B4742"/>
    <w:rsid w:val="1153177B"/>
    <w:rsid w:val="1161A116"/>
    <w:rsid w:val="116C42C3"/>
    <w:rsid w:val="1171EADB"/>
    <w:rsid w:val="117BB173"/>
    <w:rsid w:val="1181A476"/>
    <w:rsid w:val="119F550E"/>
    <w:rsid w:val="11AA3322"/>
    <w:rsid w:val="11AD1136"/>
    <w:rsid w:val="11C330E9"/>
    <w:rsid w:val="11C57F44"/>
    <w:rsid w:val="11C6AF33"/>
    <w:rsid w:val="11C9EAC9"/>
    <w:rsid w:val="11D4C44F"/>
    <w:rsid w:val="11D5A837"/>
    <w:rsid w:val="11DB0C57"/>
    <w:rsid w:val="11E218B8"/>
    <w:rsid w:val="11EBA464"/>
    <w:rsid w:val="11F9C18C"/>
    <w:rsid w:val="11FBD55D"/>
    <w:rsid w:val="11FECABD"/>
    <w:rsid w:val="12004C0E"/>
    <w:rsid w:val="12066873"/>
    <w:rsid w:val="120C9584"/>
    <w:rsid w:val="120DF73C"/>
    <w:rsid w:val="121A9C17"/>
    <w:rsid w:val="121B7D6C"/>
    <w:rsid w:val="121BC7FF"/>
    <w:rsid w:val="121EEB14"/>
    <w:rsid w:val="12244C6D"/>
    <w:rsid w:val="122BBABD"/>
    <w:rsid w:val="1230F7D4"/>
    <w:rsid w:val="1234EF34"/>
    <w:rsid w:val="12397690"/>
    <w:rsid w:val="12410F0B"/>
    <w:rsid w:val="124177E7"/>
    <w:rsid w:val="124572B4"/>
    <w:rsid w:val="124E5E25"/>
    <w:rsid w:val="12500F66"/>
    <w:rsid w:val="125637EB"/>
    <w:rsid w:val="126714ED"/>
    <w:rsid w:val="1269D736"/>
    <w:rsid w:val="126EB4D3"/>
    <w:rsid w:val="1278ED81"/>
    <w:rsid w:val="127D11F9"/>
    <w:rsid w:val="127F83E3"/>
    <w:rsid w:val="1280526A"/>
    <w:rsid w:val="128A4B72"/>
    <w:rsid w:val="12937841"/>
    <w:rsid w:val="129B437B"/>
    <w:rsid w:val="12B0ED9A"/>
    <w:rsid w:val="12B64979"/>
    <w:rsid w:val="12B649B4"/>
    <w:rsid w:val="12B80388"/>
    <w:rsid w:val="12B97AAB"/>
    <w:rsid w:val="12BA6235"/>
    <w:rsid w:val="12CB7FBA"/>
    <w:rsid w:val="12CC1D68"/>
    <w:rsid w:val="12D427BD"/>
    <w:rsid w:val="12DACFBD"/>
    <w:rsid w:val="12DB12FA"/>
    <w:rsid w:val="12DE154A"/>
    <w:rsid w:val="12E7B50E"/>
    <w:rsid w:val="12E90AEE"/>
    <w:rsid w:val="12EF536A"/>
    <w:rsid w:val="12F93938"/>
    <w:rsid w:val="12FCF103"/>
    <w:rsid w:val="12FF27CB"/>
    <w:rsid w:val="1301FD74"/>
    <w:rsid w:val="1302848C"/>
    <w:rsid w:val="1308368E"/>
    <w:rsid w:val="13087521"/>
    <w:rsid w:val="130D3EA7"/>
    <w:rsid w:val="130F022C"/>
    <w:rsid w:val="130F3D89"/>
    <w:rsid w:val="131BBC70"/>
    <w:rsid w:val="131D8B35"/>
    <w:rsid w:val="1322B787"/>
    <w:rsid w:val="132BDE32"/>
    <w:rsid w:val="1334ABC1"/>
    <w:rsid w:val="134240D2"/>
    <w:rsid w:val="1349640A"/>
    <w:rsid w:val="1364AE08"/>
    <w:rsid w:val="136C8C57"/>
    <w:rsid w:val="136D295D"/>
    <w:rsid w:val="136D3B90"/>
    <w:rsid w:val="136F5935"/>
    <w:rsid w:val="13701032"/>
    <w:rsid w:val="13781B33"/>
    <w:rsid w:val="13826DD5"/>
    <w:rsid w:val="138AB061"/>
    <w:rsid w:val="138F365E"/>
    <w:rsid w:val="1397A4CF"/>
    <w:rsid w:val="139E8FC6"/>
    <w:rsid w:val="13A60EA1"/>
    <w:rsid w:val="13AD38E5"/>
    <w:rsid w:val="13AE30D0"/>
    <w:rsid w:val="13B1E90B"/>
    <w:rsid w:val="13C4E5AD"/>
    <w:rsid w:val="13CCC418"/>
    <w:rsid w:val="13D09631"/>
    <w:rsid w:val="13D1BF4C"/>
    <w:rsid w:val="13DB76ED"/>
    <w:rsid w:val="13DD6F20"/>
    <w:rsid w:val="140C0789"/>
    <w:rsid w:val="141421EE"/>
    <w:rsid w:val="141929E1"/>
    <w:rsid w:val="1419F8CD"/>
    <w:rsid w:val="141B42B7"/>
    <w:rsid w:val="141FA639"/>
    <w:rsid w:val="142BFF8C"/>
    <w:rsid w:val="142D36BC"/>
    <w:rsid w:val="1432FD14"/>
    <w:rsid w:val="14383AB8"/>
    <w:rsid w:val="1439D1F7"/>
    <w:rsid w:val="143B9462"/>
    <w:rsid w:val="144051E0"/>
    <w:rsid w:val="144F617B"/>
    <w:rsid w:val="145D168D"/>
    <w:rsid w:val="145F2DA4"/>
    <w:rsid w:val="1465683D"/>
    <w:rsid w:val="146898DD"/>
    <w:rsid w:val="146C9A43"/>
    <w:rsid w:val="1472F7CB"/>
    <w:rsid w:val="14748C75"/>
    <w:rsid w:val="147597E8"/>
    <w:rsid w:val="1479802A"/>
    <w:rsid w:val="147EE432"/>
    <w:rsid w:val="14868B95"/>
    <w:rsid w:val="148D78F3"/>
    <w:rsid w:val="14920596"/>
    <w:rsid w:val="149219D3"/>
    <w:rsid w:val="14A05F7D"/>
    <w:rsid w:val="14B38E87"/>
    <w:rsid w:val="14B48203"/>
    <w:rsid w:val="14BA1A9E"/>
    <w:rsid w:val="14BC5EB7"/>
    <w:rsid w:val="14BDCBD8"/>
    <w:rsid w:val="14C4C402"/>
    <w:rsid w:val="14C789C8"/>
    <w:rsid w:val="14CBE95B"/>
    <w:rsid w:val="14D4B2A5"/>
    <w:rsid w:val="14E5ABCE"/>
    <w:rsid w:val="14E83C1E"/>
    <w:rsid w:val="14EA6ADA"/>
    <w:rsid w:val="14EA85BE"/>
    <w:rsid w:val="14EAAB3F"/>
    <w:rsid w:val="14F6613B"/>
    <w:rsid w:val="14F6A88E"/>
    <w:rsid w:val="150B362F"/>
    <w:rsid w:val="15103A8B"/>
    <w:rsid w:val="151491D0"/>
    <w:rsid w:val="1517CF79"/>
    <w:rsid w:val="151D2CD4"/>
    <w:rsid w:val="152271E8"/>
    <w:rsid w:val="1524B1C4"/>
    <w:rsid w:val="1525A487"/>
    <w:rsid w:val="1526D75A"/>
    <w:rsid w:val="152D4DCB"/>
    <w:rsid w:val="1531145C"/>
    <w:rsid w:val="15324690"/>
    <w:rsid w:val="1533E7D5"/>
    <w:rsid w:val="1539D7B6"/>
    <w:rsid w:val="154ABAB7"/>
    <w:rsid w:val="154BA53D"/>
    <w:rsid w:val="154E0C47"/>
    <w:rsid w:val="155D4DF9"/>
    <w:rsid w:val="1560376E"/>
    <w:rsid w:val="15653D48"/>
    <w:rsid w:val="156737D2"/>
    <w:rsid w:val="156B33A8"/>
    <w:rsid w:val="156CC0AD"/>
    <w:rsid w:val="157EE279"/>
    <w:rsid w:val="15830BCD"/>
    <w:rsid w:val="1588178D"/>
    <w:rsid w:val="158DE951"/>
    <w:rsid w:val="15924252"/>
    <w:rsid w:val="15925795"/>
    <w:rsid w:val="1593D8F5"/>
    <w:rsid w:val="1594A238"/>
    <w:rsid w:val="159E8AC6"/>
    <w:rsid w:val="15A8E3A0"/>
    <w:rsid w:val="15AB601C"/>
    <w:rsid w:val="15AF35A7"/>
    <w:rsid w:val="15AFBC6A"/>
    <w:rsid w:val="15BC9782"/>
    <w:rsid w:val="15BCA687"/>
    <w:rsid w:val="15C73359"/>
    <w:rsid w:val="15CE96EF"/>
    <w:rsid w:val="15D012C2"/>
    <w:rsid w:val="15D33B18"/>
    <w:rsid w:val="15D9350A"/>
    <w:rsid w:val="15ED284A"/>
    <w:rsid w:val="15ED93EF"/>
    <w:rsid w:val="15EE527A"/>
    <w:rsid w:val="15F2319F"/>
    <w:rsid w:val="15F983B4"/>
    <w:rsid w:val="1608CF7E"/>
    <w:rsid w:val="160B96B3"/>
    <w:rsid w:val="160F8C46"/>
    <w:rsid w:val="1612DFB5"/>
    <w:rsid w:val="16136E29"/>
    <w:rsid w:val="1617BF2C"/>
    <w:rsid w:val="161D76EA"/>
    <w:rsid w:val="161E7FBA"/>
    <w:rsid w:val="162DC183"/>
    <w:rsid w:val="162F74AF"/>
    <w:rsid w:val="163E3DB2"/>
    <w:rsid w:val="1643D2FF"/>
    <w:rsid w:val="16482456"/>
    <w:rsid w:val="1652B3AE"/>
    <w:rsid w:val="1653D8A9"/>
    <w:rsid w:val="16569E67"/>
    <w:rsid w:val="165B2AAB"/>
    <w:rsid w:val="16666F14"/>
    <w:rsid w:val="1666A8FD"/>
    <w:rsid w:val="16676B1E"/>
    <w:rsid w:val="1667BD07"/>
    <w:rsid w:val="1669A057"/>
    <w:rsid w:val="166A184C"/>
    <w:rsid w:val="166B4316"/>
    <w:rsid w:val="1673FF7C"/>
    <w:rsid w:val="167C636C"/>
    <w:rsid w:val="168626EF"/>
    <w:rsid w:val="1687E19D"/>
    <w:rsid w:val="168DF621"/>
    <w:rsid w:val="168F8AFE"/>
    <w:rsid w:val="169802DB"/>
    <w:rsid w:val="1698CDA3"/>
    <w:rsid w:val="16A0432A"/>
    <w:rsid w:val="16A08625"/>
    <w:rsid w:val="16AD7E7B"/>
    <w:rsid w:val="16B3302B"/>
    <w:rsid w:val="16B6D945"/>
    <w:rsid w:val="16C46CAC"/>
    <w:rsid w:val="16C62D67"/>
    <w:rsid w:val="16D28A58"/>
    <w:rsid w:val="16E14C85"/>
    <w:rsid w:val="16E176D7"/>
    <w:rsid w:val="16E1EEA3"/>
    <w:rsid w:val="16E2FF7B"/>
    <w:rsid w:val="16EB1BE8"/>
    <w:rsid w:val="1705B3EC"/>
    <w:rsid w:val="170BFD12"/>
    <w:rsid w:val="170F66A2"/>
    <w:rsid w:val="17120EC8"/>
    <w:rsid w:val="17140951"/>
    <w:rsid w:val="1728AB63"/>
    <w:rsid w:val="17369411"/>
    <w:rsid w:val="173768CE"/>
    <w:rsid w:val="1739FFAB"/>
    <w:rsid w:val="174026C1"/>
    <w:rsid w:val="17439EA7"/>
    <w:rsid w:val="17468B9F"/>
    <w:rsid w:val="174C5D88"/>
    <w:rsid w:val="174EB8A3"/>
    <w:rsid w:val="17513343"/>
    <w:rsid w:val="176A5845"/>
    <w:rsid w:val="176B3FAD"/>
    <w:rsid w:val="176C1F5E"/>
    <w:rsid w:val="176DF627"/>
    <w:rsid w:val="177A3249"/>
    <w:rsid w:val="1789ABBD"/>
    <w:rsid w:val="17903849"/>
    <w:rsid w:val="17915BE2"/>
    <w:rsid w:val="1795E484"/>
    <w:rsid w:val="179DC6E1"/>
    <w:rsid w:val="179E155A"/>
    <w:rsid w:val="17A41784"/>
    <w:rsid w:val="17A68B00"/>
    <w:rsid w:val="17A79160"/>
    <w:rsid w:val="17B98A05"/>
    <w:rsid w:val="17BB895F"/>
    <w:rsid w:val="17BE1E00"/>
    <w:rsid w:val="17C0DA47"/>
    <w:rsid w:val="17C36457"/>
    <w:rsid w:val="17C4CD6E"/>
    <w:rsid w:val="17CD7ED2"/>
    <w:rsid w:val="17D2FD8F"/>
    <w:rsid w:val="17D4C71C"/>
    <w:rsid w:val="17DA0130"/>
    <w:rsid w:val="17DA6DD1"/>
    <w:rsid w:val="17E20361"/>
    <w:rsid w:val="17E5D1DA"/>
    <w:rsid w:val="17F2144B"/>
    <w:rsid w:val="17F4DF46"/>
    <w:rsid w:val="17F7D469"/>
    <w:rsid w:val="17F8A6EF"/>
    <w:rsid w:val="17FA8D93"/>
    <w:rsid w:val="17FFEB4C"/>
    <w:rsid w:val="1804E760"/>
    <w:rsid w:val="1818B970"/>
    <w:rsid w:val="181F909C"/>
    <w:rsid w:val="183A29E8"/>
    <w:rsid w:val="183CEED6"/>
    <w:rsid w:val="1847E952"/>
    <w:rsid w:val="184C7089"/>
    <w:rsid w:val="184E8313"/>
    <w:rsid w:val="18542427"/>
    <w:rsid w:val="1855FA68"/>
    <w:rsid w:val="1867AB42"/>
    <w:rsid w:val="186DDD48"/>
    <w:rsid w:val="1873296E"/>
    <w:rsid w:val="18738FDB"/>
    <w:rsid w:val="18752694"/>
    <w:rsid w:val="187D9A80"/>
    <w:rsid w:val="1882E3A8"/>
    <w:rsid w:val="1887965B"/>
    <w:rsid w:val="188BDF3E"/>
    <w:rsid w:val="188C7AA7"/>
    <w:rsid w:val="1891C06E"/>
    <w:rsid w:val="1897BF74"/>
    <w:rsid w:val="18A68892"/>
    <w:rsid w:val="18AB7586"/>
    <w:rsid w:val="18AD6BAC"/>
    <w:rsid w:val="18BE5A6B"/>
    <w:rsid w:val="18C287E3"/>
    <w:rsid w:val="18C5E4C5"/>
    <w:rsid w:val="18C6B809"/>
    <w:rsid w:val="18C6D069"/>
    <w:rsid w:val="18CD5352"/>
    <w:rsid w:val="18CE6E83"/>
    <w:rsid w:val="18D4621A"/>
    <w:rsid w:val="18D8F027"/>
    <w:rsid w:val="18E8EB1D"/>
    <w:rsid w:val="18EADEEA"/>
    <w:rsid w:val="18EE84EF"/>
    <w:rsid w:val="18FEEDB9"/>
    <w:rsid w:val="18FF679E"/>
    <w:rsid w:val="19019251"/>
    <w:rsid w:val="1903DF37"/>
    <w:rsid w:val="190F351D"/>
    <w:rsid w:val="1913EEA5"/>
    <w:rsid w:val="191414EF"/>
    <w:rsid w:val="192C72A7"/>
    <w:rsid w:val="192D1E6C"/>
    <w:rsid w:val="1931417A"/>
    <w:rsid w:val="1937BB70"/>
    <w:rsid w:val="19382CBC"/>
    <w:rsid w:val="193C83CD"/>
    <w:rsid w:val="193DC188"/>
    <w:rsid w:val="19451765"/>
    <w:rsid w:val="1949319A"/>
    <w:rsid w:val="194A4E70"/>
    <w:rsid w:val="194CFFE8"/>
    <w:rsid w:val="194FDF78"/>
    <w:rsid w:val="1952468D"/>
    <w:rsid w:val="196F87BA"/>
    <w:rsid w:val="19724EDD"/>
    <w:rsid w:val="19737999"/>
    <w:rsid w:val="197EF9B3"/>
    <w:rsid w:val="19830368"/>
    <w:rsid w:val="198754B3"/>
    <w:rsid w:val="1989F1A8"/>
    <w:rsid w:val="198A48BF"/>
    <w:rsid w:val="199C8603"/>
    <w:rsid w:val="199ECD8A"/>
    <w:rsid w:val="19A3D196"/>
    <w:rsid w:val="19A79AB3"/>
    <w:rsid w:val="19BADD54"/>
    <w:rsid w:val="19BEE59A"/>
    <w:rsid w:val="19C599A7"/>
    <w:rsid w:val="19C84EE5"/>
    <w:rsid w:val="19D09E2B"/>
    <w:rsid w:val="19D1DD41"/>
    <w:rsid w:val="19D7D15C"/>
    <w:rsid w:val="19E2F642"/>
    <w:rsid w:val="19EF976B"/>
    <w:rsid w:val="19EFF5CB"/>
    <w:rsid w:val="19F107C0"/>
    <w:rsid w:val="19F16337"/>
    <w:rsid w:val="19F8E2CD"/>
    <w:rsid w:val="1A04F7D4"/>
    <w:rsid w:val="1A077681"/>
    <w:rsid w:val="1A08EED9"/>
    <w:rsid w:val="1A0A7605"/>
    <w:rsid w:val="1A115586"/>
    <w:rsid w:val="1A19D1DE"/>
    <w:rsid w:val="1A1BAC24"/>
    <w:rsid w:val="1A1CF61E"/>
    <w:rsid w:val="1A1D40B6"/>
    <w:rsid w:val="1A218F3B"/>
    <w:rsid w:val="1A231118"/>
    <w:rsid w:val="1A232469"/>
    <w:rsid w:val="1A2475EF"/>
    <w:rsid w:val="1A30D0C9"/>
    <w:rsid w:val="1A31EBF6"/>
    <w:rsid w:val="1A3B085E"/>
    <w:rsid w:val="1A3C302F"/>
    <w:rsid w:val="1A3F4516"/>
    <w:rsid w:val="1A419D88"/>
    <w:rsid w:val="1A43984D"/>
    <w:rsid w:val="1A47C1E1"/>
    <w:rsid w:val="1A491B3A"/>
    <w:rsid w:val="1A5034A9"/>
    <w:rsid w:val="1A52DD97"/>
    <w:rsid w:val="1A5BE2CC"/>
    <w:rsid w:val="1A5D27E3"/>
    <w:rsid w:val="1A614F28"/>
    <w:rsid w:val="1A61A91B"/>
    <w:rsid w:val="1A66DF45"/>
    <w:rsid w:val="1A6DA30D"/>
    <w:rsid w:val="1A6E4725"/>
    <w:rsid w:val="1A77C7F9"/>
    <w:rsid w:val="1A82DAD8"/>
    <w:rsid w:val="1A851532"/>
    <w:rsid w:val="1A8ECF62"/>
    <w:rsid w:val="1A907411"/>
    <w:rsid w:val="1A9488C1"/>
    <w:rsid w:val="1AA26E7A"/>
    <w:rsid w:val="1AB37661"/>
    <w:rsid w:val="1AB5C848"/>
    <w:rsid w:val="1AC37452"/>
    <w:rsid w:val="1AC448D5"/>
    <w:rsid w:val="1AC5B3EB"/>
    <w:rsid w:val="1AC8CF62"/>
    <w:rsid w:val="1AC8DF97"/>
    <w:rsid w:val="1ACBB951"/>
    <w:rsid w:val="1AD3B80F"/>
    <w:rsid w:val="1ADB82BF"/>
    <w:rsid w:val="1AE0747B"/>
    <w:rsid w:val="1AE25BF1"/>
    <w:rsid w:val="1AEB5AED"/>
    <w:rsid w:val="1AEF5B8F"/>
    <w:rsid w:val="1AF30807"/>
    <w:rsid w:val="1AF93420"/>
    <w:rsid w:val="1AFCC092"/>
    <w:rsid w:val="1B034DE6"/>
    <w:rsid w:val="1B09760B"/>
    <w:rsid w:val="1B09BC98"/>
    <w:rsid w:val="1B0DBD01"/>
    <w:rsid w:val="1B1116D0"/>
    <w:rsid w:val="1B143052"/>
    <w:rsid w:val="1B1980CF"/>
    <w:rsid w:val="1B19A32C"/>
    <w:rsid w:val="1B223AA6"/>
    <w:rsid w:val="1B29B563"/>
    <w:rsid w:val="1B2B72E2"/>
    <w:rsid w:val="1B2FACCF"/>
    <w:rsid w:val="1B3A922F"/>
    <w:rsid w:val="1B4A6E9F"/>
    <w:rsid w:val="1B58D204"/>
    <w:rsid w:val="1B8200A3"/>
    <w:rsid w:val="1B855AFD"/>
    <w:rsid w:val="1B8704FE"/>
    <w:rsid w:val="1B8D4A19"/>
    <w:rsid w:val="1B927114"/>
    <w:rsid w:val="1B93861F"/>
    <w:rsid w:val="1B95F45D"/>
    <w:rsid w:val="1B97D131"/>
    <w:rsid w:val="1B981591"/>
    <w:rsid w:val="1B99478B"/>
    <w:rsid w:val="1B9EFC5E"/>
    <w:rsid w:val="1BA2EFB6"/>
    <w:rsid w:val="1BAD9887"/>
    <w:rsid w:val="1BAE5722"/>
    <w:rsid w:val="1BB95BC0"/>
    <w:rsid w:val="1BBBDE2F"/>
    <w:rsid w:val="1BBEE1B7"/>
    <w:rsid w:val="1BC3D0D5"/>
    <w:rsid w:val="1BC637B2"/>
    <w:rsid w:val="1BCF75FD"/>
    <w:rsid w:val="1BD354B7"/>
    <w:rsid w:val="1BE20248"/>
    <w:rsid w:val="1BE8F658"/>
    <w:rsid w:val="1BEF952A"/>
    <w:rsid w:val="1BF5A1CA"/>
    <w:rsid w:val="1BF81A76"/>
    <w:rsid w:val="1BF972BC"/>
    <w:rsid w:val="1BFDF8B0"/>
    <w:rsid w:val="1BFEB8AA"/>
    <w:rsid w:val="1C12B6E8"/>
    <w:rsid w:val="1C13D768"/>
    <w:rsid w:val="1C192609"/>
    <w:rsid w:val="1C2009B6"/>
    <w:rsid w:val="1C20348D"/>
    <w:rsid w:val="1C28CB72"/>
    <w:rsid w:val="1C2D14A6"/>
    <w:rsid w:val="1C2E6C93"/>
    <w:rsid w:val="1C3BC2B6"/>
    <w:rsid w:val="1C443C9A"/>
    <w:rsid w:val="1C4FFDA9"/>
    <w:rsid w:val="1C555723"/>
    <w:rsid w:val="1C632963"/>
    <w:rsid w:val="1C699EC5"/>
    <w:rsid w:val="1C746600"/>
    <w:rsid w:val="1C77104E"/>
    <w:rsid w:val="1C78FA7C"/>
    <w:rsid w:val="1C8968A2"/>
    <w:rsid w:val="1C9111A6"/>
    <w:rsid w:val="1C9146C0"/>
    <w:rsid w:val="1C93144B"/>
    <w:rsid w:val="1C97DB32"/>
    <w:rsid w:val="1C9EABEB"/>
    <w:rsid w:val="1CA32133"/>
    <w:rsid w:val="1CA5AEAB"/>
    <w:rsid w:val="1CA9EEA3"/>
    <w:rsid w:val="1CAF5056"/>
    <w:rsid w:val="1CAF5E18"/>
    <w:rsid w:val="1CB805B9"/>
    <w:rsid w:val="1CBE2255"/>
    <w:rsid w:val="1CC3E782"/>
    <w:rsid w:val="1CC4603C"/>
    <w:rsid w:val="1CC5E2EB"/>
    <w:rsid w:val="1CC760B8"/>
    <w:rsid w:val="1CCB40D7"/>
    <w:rsid w:val="1CCBD5D7"/>
    <w:rsid w:val="1CCBE8DB"/>
    <w:rsid w:val="1CCD6B2A"/>
    <w:rsid w:val="1CDF1680"/>
    <w:rsid w:val="1CE20895"/>
    <w:rsid w:val="1CE6443C"/>
    <w:rsid w:val="1CE81B33"/>
    <w:rsid w:val="1CE94247"/>
    <w:rsid w:val="1CEAF73D"/>
    <w:rsid w:val="1CEB946E"/>
    <w:rsid w:val="1CEDAE90"/>
    <w:rsid w:val="1CEE84B9"/>
    <w:rsid w:val="1CFABF8C"/>
    <w:rsid w:val="1CFD4430"/>
    <w:rsid w:val="1D003850"/>
    <w:rsid w:val="1D00F409"/>
    <w:rsid w:val="1D19B704"/>
    <w:rsid w:val="1D214366"/>
    <w:rsid w:val="1D295B93"/>
    <w:rsid w:val="1D396F3D"/>
    <w:rsid w:val="1D3D4A26"/>
    <w:rsid w:val="1D3F2DD6"/>
    <w:rsid w:val="1D3FBE0D"/>
    <w:rsid w:val="1D454CBF"/>
    <w:rsid w:val="1D4D1211"/>
    <w:rsid w:val="1D4F0AD1"/>
    <w:rsid w:val="1D5649E6"/>
    <w:rsid w:val="1D62AF96"/>
    <w:rsid w:val="1D62BE84"/>
    <w:rsid w:val="1D633F7C"/>
    <w:rsid w:val="1D7399EC"/>
    <w:rsid w:val="1D73D118"/>
    <w:rsid w:val="1D7845D3"/>
    <w:rsid w:val="1D7AA8B7"/>
    <w:rsid w:val="1D873955"/>
    <w:rsid w:val="1D8EABC1"/>
    <w:rsid w:val="1D8F2ED3"/>
    <w:rsid w:val="1D921F0F"/>
    <w:rsid w:val="1D9A6DE4"/>
    <w:rsid w:val="1D9B6513"/>
    <w:rsid w:val="1D9D8748"/>
    <w:rsid w:val="1DA25F9D"/>
    <w:rsid w:val="1DA26506"/>
    <w:rsid w:val="1DA53438"/>
    <w:rsid w:val="1DAC719C"/>
    <w:rsid w:val="1DB0E967"/>
    <w:rsid w:val="1DBCA60E"/>
    <w:rsid w:val="1DBF13C6"/>
    <w:rsid w:val="1DC31D9B"/>
    <w:rsid w:val="1DC3292F"/>
    <w:rsid w:val="1DCA1FE3"/>
    <w:rsid w:val="1DD58C73"/>
    <w:rsid w:val="1DE65FA3"/>
    <w:rsid w:val="1DEB5708"/>
    <w:rsid w:val="1DEEF2E9"/>
    <w:rsid w:val="1DF0FEF5"/>
    <w:rsid w:val="1DF835FB"/>
    <w:rsid w:val="1DFB4252"/>
    <w:rsid w:val="1E010EEA"/>
    <w:rsid w:val="1E01147D"/>
    <w:rsid w:val="1E0C4436"/>
    <w:rsid w:val="1E0F3539"/>
    <w:rsid w:val="1E10C5CA"/>
    <w:rsid w:val="1E15156C"/>
    <w:rsid w:val="1E19556C"/>
    <w:rsid w:val="1E19FFC2"/>
    <w:rsid w:val="1E1BB068"/>
    <w:rsid w:val="1E1EDCE6"/>
    <w:rsid w:val="1E232F84"/>
    <w:rsid w:val="1E26F2A9"/>
    <w:rsid w:val="1E2AA095"/>
    <w:rsid w:val="1E2FA416"/>
    <w:rsid w:val="1E306776"/>
    <w:rsid w:val="1E31F76F"/>
    <w:rsid w:val="1E38AE59"/>
    <w:rsid w:val="1E4082D5"/>
    <w:rsid w:val="1E4C2F06"/>
    <w:rsid w:val="1E4F91B4"/>
    <w:rsid w:val="1E51D1A1"/>
    <w:rsid w:val="1E524D73"/>
    <w:rsid w:val="1E5284F8"/>
    <w:rsid w:val="1E52E629"/>
    <w:rsid w:val="1E577045"/>
    <w:rsid w:val="1E5864FC"/>
    <w:rsid w:val="1E637286"/>
    <w:rsid w:val="1E67AEDA"/>
    <w:rsid w:val="1E6D8BED"/>
    <w:rsid w:val="1E6F7255"/>
    <w:rsid w:val="1E781509"/>
    <w:rsid w:val="1E7AE206"/>
    <w:rsid w:val="1E7E7430"/>
    <w:rsid w:val="1E81CA7D"/>
    <w:rsid w:val="1E82D314"/>
    <w:rsid w:val="1E87454C"/>
    <w:rsid w:val="1E900D89"/>
    <w:rsid w:val="1E9762DA"/>
    <w:rsid w:val="1EA43783"/>
    <w:rsid w:val="1EAAAD44"/>
    <w:rsid w:val="1EADE0F5"/>
    <w:rsid w:val="1EBB70EA"/>
    <w:rsid w:val="1EBDD654"/>
    <w:rsid w:val="1EC32BAB"/>
    <w:rsid w:val="1EC756C3"/>
    <w:rsid w:val="1ED55762"/>
    <w:rsid w:val="1ED709C1"/>
    <w:rsid w:val="1EE6EB8D"/>
    <w:rsid w:val="1EF553E3"/>
    <w:rsid w:val="1EF8A730"/>
    <w:rsid w:val="1EFD4E7F"/>
    <w:rsid w:val="1F070C86"/>
    <w:rsid w:val="1F0BF457"/>
    <w:rsid w:val="1F0DFBDC"/>
    <w:rsid w:val="1F17130E"/>
    <w:rsid w:val="1F1DFD55"/>
    <w:rsid w:val="1F260DF5"/>
    <w:rsid w:val="1F27CC2C"/>
    <w:rsid w:val="1F2913BE"/>
    <w:rsid w:val="1F2B754B"/>
    <w:rsid w:val="1F2BA03B"/>
    <w:rsid w:val="1F2CC42D"/>
    <w:rsid w:val="1F42B6D1"/>
    <w:rsid w:val="1F43F8F6"/>
    <w:rsid w:val="1F44FA90"/>
    <w:rsid w:val="1F458E0C"/>
    <w:rsid w:val="1F4D5B83"/>
    <w:rsid w:val="1F4E1391"/>
    <w:rsid w:val="1F570F93"/>
    <w:rsid w:val="1F641DC3"/>
    <w:rsid w:val="1F652CAF"/>
    <w:rsid w:val="1F6AE38E"/>
    <w:rsid w:val="1F728535"/>
    <w:rsid w:val="1F739D65"/>
    <w:rsid w:val="1F8104BF"/>
    <w:rsid w:val="1F83172B"/>
    <w:rsid w:val="1F8A1984"/>
    <w:rsid w:val="1F8DA3B4"/>
    <w:rsid w:val="1F8ED285"/>
    <w:rsid w:val="1F9042DA"/>
    <w:rsid w:val="1F951D0F"/>
    <w:rsid w:val="1F95590B"/>
    <w:rsid w:val="1F9612AF"/>
    <w:rsid w:val="1F989A51"/>
    <w:rsid w:val="1F9E0876"/>
    <w:rsid w:val="1FA42983"/>
    <w:rsid w:val="1FAC229D"/>
    <w:rsid w:val="1FCCA753"/>
    <w:rsid w:val="1FD307C9"/>
    <w:rsid w:val="1FD91BAF"/>
    <w:rsid w:val="1FDB709B"/>
    <w:rsid w:val="1FE08B4E"/>
    <w:rsid w:val="1FE56FC9"/>
    <w:rsid w:val="1FE69AF7"/>
    <w:rsid w:val="1FE79090"/>
    <w:rsid w:val="1FEAD54F"/>
    <w:rsid w:val="1FEF9C11"/>
    <w:rsid w:val="1FF3EAFC"/>
    <w:rsid w:val="1FF6FC90"/>
    <w:rsid w:val="1FF884EC"/>
    <w:rsid w:val="1FFD774C"/>
    <w:rsid w:val="1FFE76DA"/>
    <w:rsid w:val="1FFF2AD7"/>
    <w:rsid w:val="2002C932"/>
    <w:rsid w:val="200302BB"/>
    <w:rsid w:val="200C1E36"/>
    <w:rsid w:val="200FCAC3"/>
    <w:rsid w:val="2018729B"/>
    <w:rsid w:val="20214F34"/>
    <w:rsid w:val="2024D000"/>
    <w:rsid w:val="20492282"/>
    <w:rsid w:val="204AA706"/>
    <w:rsid w:val="204F16A4"/>
    <w:rsid w:val="2053B99B"/>
    <w:rsid w:val="20565D2C"/>
    <w:rsid w:val="20622BFC"/>
    <w:rsid w:val="20628BAA"/>
    <w:rsid w:val="206C659F"/>
    <w:rsid w:val="206FDA50"/>
    <w:rsid w:val="2082B74C"/>
    <w:rsid w:val="2084DC97"/>
    <w:rsid w:val="208C4DD4"/>
    <w:rsid w:val="208E1C0B"/>
    <w:rsid w:val="208E28BB"/>
    <w:rsid w:val="20956595"/>
    <w:rsid w:val="2097D1E8"/>
    <w:rsid w:val="209AEB8D"/>
    <w:rsid w:val="209F16DB"/>
    <w:rsid w:val="209FA705"/>
    <w:rsid w:val="20ACE376"/>
    <w:rsid w:val="20B8C8A3"/>
    <w:rsid w:val="20BEA795"/>
    <w:rsid w:val="20C68B46"/>
    <w:rsid w:val="20C6BDC0"/>
    <w:rsid w:val="20C6DC39"/>
    <w:rsid w:val="20C73C6F"/>
    <w:rsid w:val="20CAE5BD"/>
    <w:rsid w:val="20CAF859"/>
    <w:rsid w:val="20CC685F"/>
    <w:rsid w:val="20D02C04"/>
    <w:rsid w:val="20D5AC6B"/>
    <w:rsid w:val="20D6A201"/>
    <w:rsid w:val="20E02347"/>
    <w:rsid w:val="20E86002"/>
    <w:rsid w:val="20EA8A8B"/>
    <w:rsid w:val="20F0380D"/>
    <w:rsid w:val="20F4055E"/>
    <w:rsid w:val="21006C51"/>
    <w:rsid w:val="211129A3"/>
    <w:rsid w:val="211384B5"/>
    <w:rsid w:val="21173E1C"/>
    <w:rsid w:val="21184D2B"/>
    <w:rsid w:val="211C03D4"/>
    <w:rsid w:val="2121A911"/>
    <w:rsid w:val="2124699B"/>
    <w:rsid w:val="2129FE61"/>
    <w:rsid w:val="212A30D0"/>
    <w:rsid w:val="212B005E"/>
    <w:rsid w:val="212EAEE1"/>
    <w:rsid w:val="214A5C58"/>
    <w:rsid w:val="2152F843"/>
    <w:rsid w:val="21544D8A"/>
    <w:rsid w:val="2154C853"/>
    <w:rsid w:val="215D37CA"/>
    <w:rsid w:val="215DD549"/>
    <w:rsid w:val="215F4C72"/>
    <w:rsid w:val="21625D0B"/>
    <w:rsid w:val="2162C4BE"/>
    <w:rsid w:val="21669F8B"/>
    <w:rsid w:val="216B9589"/>
    <w:rsid w:val="216F5447"/>
    <w:rsid w:val="217613B9"/>
    <w:rsid w:val="2177E835"/>
    <w:rsid w:val="218018D6"/>
    <w:rsid w:val="2184C941"/>
    <w:rsid w:val="2190B689"/>
    <w:rsid w:val="21964C2D"/>
    <w:rsid w:val="219A163B"/>
    <w:rsid w:val="219B977B"/>
    <w:rsid w:val="21A6DDB8"/>
    <w:rsid w:val="21B2E7D0"/>
    <w:rsid w:val="21B30757"/>
    <w:rsid w:val="21BA75FD"/>
    <w:rsid w:val="21BD03A1"/>
    <w:rsid w:val="21C6478D"/>
    <w:rsid w:val="21C6C8A7"/>
    <w:rsid w:val="21E1765C"/>
    <w:rsid w:val="21E30753"/>
    <w:rsid w:val="21E4E6D6"/>
    <w:rsid w:val="21F359C4"/>
    <w:rsid w:val="21F6FA00"/>
    <w:rsid w:val="21FEA819"/>
    <w:rsid w:val="22016320"/>
    <w:rsid w:val="22099595"/>
    <w:rsid w:val="220AF545"/>
    <w:rsid w:val="2210E0F0"/>
    <w:rsid w:val="2214EA93"/>
    <w:rsid w:val="22178790"/>
    <w:rsid w:val="221B11B7"/>
    <w:rsid w:val="222431D8"/>
    <w:rsid w:val="2225957C"/>
    <w:rsid w:val="222793E1"/>
    <w:rsid w:val="222C75C6"/>
    <w:rsid w:val="222CD58E"/>
    <w:rsid w:val="22328488"/>
    <w:rsid w:val="22344ECD"/>
    <w:rsid w:val="22353F6F"/>
    <w:rsid w:val="223D0BEA"/>
    <w:rsid w:val="2243B5D4"/>
    <w:rsid w:val="2247D590"/>
    <w:rsid w:val="224BB9F7"/>
    <w:rsid w:val="22644890"/>
    <w:rsid w:val="226B045E"/>
    <w:rsid w:val="22707B6C"/>
    <w:rsid w:val="227BEB69"/>
    <w:rsid w:val="228324BE"/>
    <w:rsid w:val="228833D5"/>
    <w:rsid w:val="2290A812"/>
    <w:rsid w:val="22AC485B"/>
    <w:rsid w:val="22B993A4"/>
    <w:rsid w:val="22BF4257"/>
    <w:rsid w:val="22BFB0AA"/>
    <w:rsid w:val="22C9571E"/>
    <w:rsid w:val="22D11CB7"/>
    <w:rsid w:val="22E17802"/>
    <w:rsid w:val="22E3B1A5"/>
    <w:rsid w:val="22E7F4BC"/>
    <w:rsid w:val="22E8352E"/>
    <w:rsid w:val="22F4D5C5"/>
    <w:rsid w:val="2300B2CF"/>
    <w:rsid w:val="23031720"/>
    <w:rsid w:val="230C421D"/>
    <w:rsid w:val="230DC89B"/>
    <w:rsid w:val="232402DC"/>
    <w:rsid w:val="23267F96"/>
    <w:rsid w:val="2333B0C1"/>
    <w:rsid w:val="23352541"/>
    <w:rsid w:val="2341F7BE"/>
    <w:rsid w:val="2342451B"/>
    <w:rsid w:val="2364A5B4"/>
    <w:rsid w:val="2366037D"/>
    <w:rsid w:val="2366C02F"/>
    <w:rsid w:val="23684434"/>
    <w:rsid w:val="2369C812"/>
    <w:rsid w:val="236CB49A"/>
    <w:rsid w:val="236D1F40"/>
    <w:rsid w:val="237D93D4"/>
    <w:rsid w:val="237DA44F"/>
    <w:rsid w:val="2385D2B8"/>
    <w:rsid w:val="2387D6AB"/>
    <w:rsid w:val="238AF563"/>
    <w:rsid w:val="238B0BE2"/>
    <w:rsid w:val="239A1481"/>
    <w:rsid w:val="239D1853"/>
    <w:rsid w:val="239E8641"/>
    <w:rsid w:val="23A25EF0"/>
    <w:rsid w:val="23A2EDD8"/>
    <w:rsid w:val="23A57C76"/>
    <w:rsid w:val="23AAC572"/>
    <w:rsid w:val="23AB1CFB"/>
    <w:rsid w:val="23BBDB26"/>
    <w:rsid w:val="23C5989E"/>
    <w:rsid w:val="23C66CBC"/>
    <w:rsid w:val="23C782C0"/>
    <w:rsid w:val="23C8C59B"/>
    <w:rsid w:val="23CCBE13"/>
    <w:rsid w:val="23D1C836"/>
    <w:rsid w:val="23D27F6F"/>
    <w:rsid w:val="23DF9961"/>
    <w:rsid w:val="23E73E1D"/>
    <w:rsid w:val="23E93873"/>
    <w:rsid w:val="23EABF62"/>
    <w:rsid w:val="23F0077D"/>
    <w:rsid w:val="23F7EB41"/>
    <w:rsid w:val="240303FB"/>
    <w:rsid w:val="240531B1"/>
    <w:rsid w:val="240FF098"/>
    <w:rsid w:val="24108991"/>
    <w:rsid w:val="2414640B"/>
    <w:rsid w:val="241755E9"/>
    <w:rsid w:val="241A3771"/>
    <w:rsid w:val="2422594B"/>
    <w:rsid w:val="2423AEB7"/>
    <w:rsid w:val="242546D2"/>
    <w:rsid w:val="242908E3"/>
    <w:rsid w:val="242ECF2A"/>
    <w:rsid w:val="242EDCDE"/>
    <w:rsid w:val="24378455"/>
    <w:rsid w:val="243E9B0B"/>
    <w:rsid w:val="24505F68"/>
    <w:rsid w:val="2453F3F9"/>
    <w:rsid w:val="245568D6"/>
    <w:rsid w:val="245C8DAD"/>
    <w:rsid w:val="24705C33"/>
    <w:rsid w:val="2474BEFD"/>
    <w:rsid w:val="2476AD34"/>
    <w:rsid w:val="247A8107"/>
    <w:rsid w:val="247D2BE1"/>
    <w:rsid w:val="24811FB2"/>
    <w:rsid w:val="24878B29"/>
    <w:rsid w:val="248B5E82"/>
    <w:rsid w:val="248F03AD"/>
    <w:rsid w:val="249DABA0"/>
    <w:rsid w:val="249EADE5"/>
    <w:rsid w:val="24A0C921"/>
    <w:rsid w:val="24A0FEAB"/>
    <w:rsid w:val="24AB07BB"/>
    <w:rsid w:val="24AD0D1F"/>
    <w:rsid w:val="24B6E33A"/>
    <w:rsid w:val="24B7184D"/>
    <w:rsid w:val="24B87649"/>
    <w:rsid w:val="24B939D8"/>
    <w:rsid w:val="24C15D9D"/>
    <w:rsid w:val="24C82EE9"/>
    <w:rsid w:val="24CE8384"/>
    <w:rsid w:val="24CF54E9"/>
    <w:rsid w:val="24D54231"/>
    <w:rsid w:val="24DB8009"/>
    <w:rsid w:val="24DB8C34"/>
    <w:rsid w:val="24E5B92E"/>
    <w:rsid w:val="24F10132"/>
    <w:rsid w:val="24F31033"/>
    <w:rsid w:val="24FC3F85"/>
    <w:rsid w:val="250A4E43"/>
    <w:rsid w:val="250AF3F7"/>
    <w:rsid w:val="251AFC57"/>
    <w:rsid w:val="251F8A3A"/>
    <w:rsid w:val="25226673"/>
    <w:rsid w:val="2522A46D"/>
    <w:rsid w:val="2523090C"/>
    <w:rsid w:val="25283783"/>
    <w:rsid w:val="252DEFC4"/>
    <w:rsid w:val="2530735A"/>
    <w:rsid w:val="2533165C"/>
    <w:rsid w:val="253333B4"/>
    <w:rsid w:val="2533F9CB"/>
    <w:rsid w:val="2535B0BA"/>
    <w:rsid w:val="25378E38"/>
    <w:rsid w:val="253BD362"/>
    <w:rsid w:val="2566DA3C"/>
    <w:rsid w:val="25682146"/>
    <w:rsid w:val="256C6915"/>
    <w:rsid w:val="256CB7EE"/>
    <w:rsid w:val="25707D44"/>
    <w:rsid w:val="2573921B"/>
    <w:rsid w:val="257470F5"/>
    <w:rsid w:val="2578BC48"/>
    <w:rsid w:val="25820FD7"/>
    <w:rsid w:val="258579DF"/>
    <w:rsid w:val="25905F69"/>
    <w:rsid w:val="25A79B1B"/>
    <w:rsid w:val="25A9FA9F"/>
    <w:rsid w:val="25B09A24"/>
    <w:rsid w:val="25B14A94"/>
    <w:rsid w:val="25B5D239"/>
    <w:rsid w:val="25B6502C"/>
    <w:rsid w:val="25B781A5"/>
    <w:rsid w:val="25B9944B"/>
    <w:rsid w:val="25BF56AD"/>
    <w:rsid w:val="25C741BA"/>
    <w:rsid w:val="25CB6279"/>
    <w:rsid w:val="25CEF624"/>
    <w:rsid w:val="25D2FC15"/>
    <w:rsid w:val="25D88515"/>
    <w:rsid w:val="25E02893"/>
    <w:rsid w:val="25E0349F"/>
    <w:rsid w:val="25EC622A"/>
    <w:rsid w:val="25ED4675"/>
    <w:rsid w:val="25EF0D75"/>
    <w:rsid w:val="25F9C1E3"/>
    <w:rsid w:val="25FA5D98"/>
    <w:rsid w:val="25FD058C"/>
    <w:rsid w:val="25FFF03F"/>
    <w:rsid w:val="260EDA7A"/>
    <w:rsid w:val="261260A4"/>
    <w:rsid w:val="2617685E"/>
    <w:rsid w:val="26185827"/>
    <w:rsid w:val="26186AA3"/>
    <w:rsid w:val="261F9B80"/>
    <w:rsid w:val="2621C0A6"/>
    <w:rsid w:val="262A344A"/>
    <w:rsid w:val="2630B9CF"/>
    <w:rsid w:val="263B148A"/>
    <w:rsid w:val="26408C56"/>
    <w:rsid w:val="264676C9"/>
    <w:rsid w:val="2648D719"/>
    <w:rsid w:val="2653F9B5"/>
    <w:rsid w:val="26578E98"/>
    <w:rsid w:val="265DF00D"/>
    <w:rsid w:val="26635A30"/>
    <w:rsid w:val="266625D9"/>
    <w:rsid w:val="2666C6AE"/>
    <w:rsid w:val="266B5C67"/>
    <w:rsid w:val="26767CEF"/>
    <w:rsid w:val="26767D9C"/>
    <w:rsid w:val="2677CB96"/>
    <w:rsid w:val="267EAC60"/>
    <w:rsid w:val="268BBD97"/>
    <w:rsid w:val="268BF0BE"/>
    <w:rsid w:val="26968767"/>
    <w:rsid w:val="2697665F"/>
    <w:rsid w:val="26A33C2B"/>
    <w:rsid w:val="26A4EFE2"/>
    <w:rsid w:val="26A868C6"/>
    <w:rsid w:val="26AC2FE2"/>
    <w:rsid w:val="26B5C5F5"/>
    <w:rsid w:val="26BD6B28"/>
    <w:rsid w:val="26C1CCC5"/>
    <w:rsid w:val="26CD9CE5"/>
    <w:rsid w:val="26CF55F1"/>
    <w:rsid w:val="26D42B84"/>
    <w:rsid w:val="26E7C3E9"/>
    <w:rsid w:val="26E9B8FB"/>
    <w:rsid w:val="26EB1B57"/>
    <w:rsid w:val="26ED6AB9"/>
    <w:rsid w:val="26EFD6B2"/>
    <w:rsid w:val="26F178F9"/>
    <w:rsid w:val="26FAAA9A"/>
    <w:rsid w:val="270460B4"/>
    <w:rsid w:val="2707E9F5"/>
    <w:rsid w:val="270CA58C"/>
    <w:rsid w:val="270CDE5D"/>
    <w:rsid w:val="2718F599"/>
    <w:rsid w:val="272E3D4F"/>
    <w:rsid w:val="2745CA1F"/>
    <w:rsid w:val="2746AC04"/>
    <w:rsid w:val="27472E42"/>
    <w:rsid w:val="274FE75D"/>
    <w:rsid w:val="276CC52D"/>
    <w:rsid w:val="276EC8AC"/>
    <w:rsid w:val="276F302D"/>
    <w:rsid w:val="276F940E"/>
    <w:rsid w:val="27706100"/>
    <w:rsid w:val="2770991D"/>
    <w:rsid w:val="277390A1"/>
    <w:rsid w:val="2778D378"/>
    <w:rsid w:val="277A8439"/>
    <w:rsid w:val="27900296"/>
    <w:rsid w:val="27963D8C"/>
    <w:rsid w:val="27A5C64D"/>
    <w:rsid w:val="27A60D44"/>
    <w:rsid w:val="27ABEB4C"/>
    <w:rsid w:val="27ACAEC2"/>
    <w:rsid w:val="27AE40E4"/>
    <w:rsid w:val="27B4C2EA"/>
    <w:rsid w:val="27BAFA79"/>
    <w:rsid w:val="27CD06FA"/>
    <w:rsid w:val="27CFF4C8"/>
    <w:rsid w:val="27D16029"/>
    <w:rsid w:val="27DB9E63"/>
    <w:rsid w:val="27EC015A"/>
    <w:rsid w:val="27ED66E2"/>
    <w:rsid w:val="27F04E04"/>
    <w:rsid w:val="27F741F2"/>
    <w:rsid w:val="27FC2D6E"/>
    <w:rsid w:val="27FF28D4"/>
    <w:rsid w:val="280449DF"/>
    <w:rsid w:val="28071BDC"/>
    <w:rsid w:val="28078506"/>
    <w:rsid w:val="2808DB90"/>
    <w:rsid w:val="2814F30B"/>
    <w:rsid w:val="281A1B08"/>
    <w:rsid w:val="281B0B2E"/>
    <w:rsid w:val="2827EA7E"/>
    <w:rsid w:val="282D0546"/>
    <w:rsid w:val="2834D07C"/>
    <w:rsid w:val="2839F6E1"/>
    <w:rsid w:val="283FB9A6"/>
    <w:rsid w:val="2840DECC"/>
    <w:rsid w:val="28453E25"/>
    <w:rsid w:val="285C0318"/>
    <w:rsid w:val="285EF7F1"/>
    <w:rsid w:val="28628E6F"/>
    <w:rsid w:val="28674549"/>
    <w:rsid w:val="286FC1C1"/>
    <w:rsid w:val="28720D09"/>
    <w:rsid w:val="28823C04"/>
    <w:rsid w:val="288D82CB"/>
    <w:rsid w:val="28955B39"/>
    <w:rsid w:val="28991D2D"/>
    <w:rsid w:val="28A85085"/>
    <w:rsid w:val="28A9A3FE"/>
    <w:rsid w:val="28AE8E62"/>
    <w:rsid w:val="28B3CCBA"/>
    <w:rsid w:val="28B5053E"/>
    <w:rsid w:val="28BB1BEF"/>
    <w:rsid w:val="28BDFA7F"/>
    <w:rsid w:val="28C162B8"/>
    <w:rsid w:val="28C5F29F"/>
    <w:rsid w:val="28C702B4"/>
    <w:rsid w:val="28C78744"/>
    <w:rsid w:val="28CC3A64"/>
    <w:rsid w:val="28D0D794"/>
    <w:rsid w:val="28D27789"/>
    <w:rsid w:val="28DBDDC1"/>
    <w:rsid w:val="28DFBC4A"/>
    <w:rsid w:val="28E17E2B"/>
    <w:rsid w:val="28FF1A3E"/>
    <w:rsid w:val="2905EBFA"/>
    <w:rsid w:val="29084113"/>
    <w:rsid w:val="2908DC53"/>
    <w:rsid w:val="29118ED1"/>
    <w:rsid w:val="2915F0ED"/>
    <w:rsid w:val="291795F5"/>
    <w:rsid w:val="291DF902"/>
    <w:rsid w:val="29242A55"/>
    <w:rsid w:val="292D0EA4"/>
    <w:rsid w:val="2931BE59"/>
    <w:rsid w:val="293AA640"/>
    <w:rsid w:val="293B5AD8"/>
    <w:rsid w:val="293C8CE1"/>
    <w:rsid w:val="29435F4B"/>
    <w:rsid w:val="29440008"/>
    <w:rsid w:val="2955DB94"/>
    <w:rsid w:val="295B26A1"/>
    <w:rsid w:val="2964B24A"/>
    <w:rsid w:val="29761298"/>
    <w:rsid w:val="29782AD2"/>
    <w:rsid w:val="297ED724"/>
    <w:rsid w:val="2983296C"/>
    <w:rsid w:val="2991A67B"/>
    <w:rsid w:val="2998AEAF"/>
    <w:rsid w:val="299E41B2"/>
    <w:rsid w:val="29A52D04"/>
    <w:rsid w:val="29B274C2"/>
    <w:rsid w:val="29B427DE"/>
    <w:rsid w:val="29B6F423"/>
    <w:rsid w:val="29B7B921"/>
    <w:rsid w:val="29BF3040"/>
    <w:rsid w:val="29C9564E"/>
    <w:rsid w:val="29D020B0"/>
    <w:rsid w:val="29D31CEF"/>
    <w:rsid w:val="29F1CA2F"/>
    <w:rsid w:val="29F496E7"/>
    <w:rsid w:val="29F62816"/>
    <w:rsid w:val="2A175101"/>
    <w:rsid w:val="2A206081"/>
    <w:rsid w:val="2A22574D"/>
    <w:rsid w:val="2A255968"/>
    <w:rsid w:val="2A3241EA"/>
    <w:rsid w:val="2A3EAC84"/>
    <w:rsid w:val="2A3EBE96"/>
    <w:rsid w:val="2A4CA671"/>
    <w:rsid w:val="2A51A3FF"/>
    <w:rsid w:val="2A5FC31C"/>
    <w:rsid w:val="2A69C093"/>
    <w:rsid w:val="2A6A7990"/>
    <w:rsid w:val="2A6D93C7"/>
    <w:rsid w:val="2A74C232"/>
    <w:rsid w:val="2A7ADED7"/>
    <w:rsid w:val="2A81FDA3"/>
    <w:rsid w:val="2A84308E"/>
    <w:rsid w:val="2A8B0B0B"/>
    <w:rsid w:val="2A8DA658"/>
    <w:rsid w:val="2A99695A"/>
    <w:rsid w:val="2AA48620"/>
    <w:rsid w:val="2AA52255"/>
    <w:rsid w:val="2AAFAEF5"/>
    <w:rsid w:val="2AB22DCA"/>
    <w:rsid w:val="2AB28D3A"/>
    <w:rsid w:val="2AB29FDE"/>
    <w:rsid w:val="2AB65170"/>
    <w:rsid w:val="2AB66CD3"/>
    <w:rsid w:val="2AC1CB0A"/>
    <w:rsid w:val="2ACC9CE4"/>
    <w:rsid w:val="2ACDF8E3"/>
    <w:rsid w:val="2AD4CB77"/>
    <w:rsid w:val="2ADB2D08"/>
    <w:rsid w:val="2AE51D97"/>
    <w:rsid w:val="2AF3651C"/>
    <w:rsid w:val="2AF5CF4A"/>
    <w:rsid w:val="2AF77F6E"/>
    <w:rsid w:val="2B04EB36"/>
    <w:rsid w:val="2B072E0A"/>
    <w:rsid w:val="2B07C96D"/>
    <w:rsid w:val="2B08C70E"/>
    <w:rsid w:val="2B0FF52F"/>
    <w:rsid w:val="2B185274"/>
    <w:rsid w:val="2B1A507D"/>
    <w:rsid w:val="2B2742A1"/>
    <w:rsid w:val="2B27C64F"/>
    <w:rsid w:val="2B297711"/>
    <w:rsid w:val="2B2AFDE8"/>
    <w:rsid w:val="2B3373CB"/>
    <w:rsid w:val="2B36904D"/>
    <w:rsid w:val="2B3A7119"/>
    <w:rsid w:val="2B3A9F39"/>
    <w:rsid w:val="2B3CDB4A"/>
    <w:rsid w:val="2B487D41"/>
    <w:rsid w:val="2B4C9E0B"/>
    <w:rsid w:val="2B67506B"/>
    <w:rsid w:val="2B6A38C4"/>
    <w:rsid w:val="2B72B194"/>
    <w:rsid w:val="2B738676"/>
    <w:rsid w:val="2B79C639"/>
    <w:rsid w:val="2B80B469"/>
    <w:rsid w:val="2B8A9C23"/>
    <w:rsid w:val="2B8FB04A"/>
    <w:rsid w:val="2B91DC25"/>
    <w:rsid w:val="2B93CDB0"/>
    <w:rsid w:val="2B9933AE"/>
    <w:rsid w:val="2B9CA73B"/>
    <w:rsid w:val="2BA0166C"/>
    <w:rsid w:val="2BA8C23C"/>
    <w:rsid w:val="2BAD19DE"/>
    <w:rsid w:val="2BADB7C4"/>
    <w:rsid w:val="2BAF9151"/>
    <w:rsid w:val="2BBCC992"/>
    <w:rsid w:val="2BBD9AAA"/>
    <w:rsid w:val="2BCB1904"/>
    <w:rsid w:val="2BCB568C"/>
    <w:rsid w:val="2BD93F0C"/>
    <w:rsid w:val="2BDD036F"/>
    <w:rsid w:val="2BEE19C9"/>
    <w:rsid w:val="2BF4FC39"/>
    <w:rsid w:val="2BF51CFB"/>
    <w:rsid w:val="2BF52177"/>
    <w:rsid w:val="2BF87C1E"/>
    <w:rsid w:val="2BF90A81"/>
    <w:rsid w:val="2BFF4A2D"/>
    <w:rsid w:val="2BFFF492"/>
    <w:rsid w:val="2C002D1E"/>
    <w:rsid w:val="2C05A527"/>
    <w:rsid w:val="2C0EEEF3"/>
    <w:rsid w:val="2C127CD3"/>
    <w:rsid w:val="2C163676"/>
    <w:rsid w:val="2C204FAD"/>
    <w:rsid w:val="2C20A248"/>
    <w:rsid w:val="2C24E0C5"/>
    <w:rsid w:val="2C29C107"/>
    <w:rsid w:val="2C332DAD"/>
    <w:rsid w:val="2C35E7FF"/>
    <w:rsid w:val="2C389B5A"/>
    <w:rsid w:val="2C38AAE2"/>
    <w:rsid w:val="2C3D13EC"/>
    <w:rsid w:val="2C3D37B7"/>
    <w:rsid w:val="2C3FEAF3"/>
    <w:rsid w:val="2C4320DF"/>
    <w:rsid w:val="2C48071D"/>
    <w:rsid w:val="2C48C688"/>
    <w:rsid w:val="2C4D171A"/>
    <w:rsid w:val="2C4EF3B1"/>
    <w:rsid w:val="2C6910DE"/>
    <w:rsid w:val="2C6B0406"/>
    <w:rsid w:val="2C6D199C"/>
    <w:rsid w:val="2C6ECD9E"/>
    <w:rsid w:val="2C6F77A2"/>
    <w:rsid w:val="2C734E78"/>
    <w:rsid w:val="2C752B48"/>
    <w:rsid w:val="2C7D45C8"/>
    <w:rsid w:val="2C8102AB"/>
    <w:rsid w:val="2C83FC40"/>
    <w:rsid w:val="2C91C525"/>
    <w:rsid w:val="2CA85246"/>
    <w:rsid w:val="2CB26C8F"/>
    <w:rsid w:val="2CB4A83D"/>
    <w:rsid w:val="2CB63786"/>
    <w:rsid w:val="2CBC4C1F"/>
    <w:rsid w:val="2CBD2A1B"/>
    <w:rsid w:val="2CBEF543"/>
    <w:rsid w:val="2CC8F0B0"/>
    <w:rsid w:val="2CC9ECF5"/>
    <w:rsid w:val="2CCD858A"/>
    <w:rsid w:val="2CE512F6"/>
    <w:rsid w:val="2CF84DD8"/>
    <w:rsid w:val="2CFF9B88"/>
    <w:rsid w:val="2D152539"/>
    <w:rsid w:val="2D1AB563"/>
    <w:rsid w:val="2D27EBA0"/>
    <w:rsid w:val="2D287FD5"/>
    <w:rsid w:val="2D2E9945"/>
    <w:rsid w:val="2D2EEBE6"/>
    <w:rsid w:val="2D2F6F2E"/>
    <w:rsid w:val="2D307655"/>
    <w:rsid w:val="2D314543"/>
    <w:rsid w:val="2D4549F9"/>
    <w:rsid w:val="2D46AA31"/>
    <w:rsid w:val="2D493588"/>
    <w:rsid w:val="2D4E223E"/>
    <w:rsid w:val="2D4FEB42"/>
    <w:rsid w:val="2D5015E8"/>
    <w:rsid w:val="2D59D0A6"/>
    <w:rsid w:val="2D5AB5CC"/>
    <w:rsid w:val="2D624B9D"/>
    <w:rsid w:val="2D67FE87"/>
    <w:rsid w:val="2D68458B"/>
    <w:rsid w:val="2D6B2589"/>
    <w:rsid w:val="2D72036B"/>
    <w:rsid w:val="2D75DA20"/>
    <w:rsid w:val="2D7C7D2A"/>
    <w:rsid w:val="2D85EB6C"/>
    <w:rsid w:val="2D8DF108"/>
    <w:rsid w:val="2D99BAEA"/>
    <w:rsid w:val="2DAF37BC"/>
    <w:rsid w:val="2DB12A9C"/>
    <w:rsid w:val="2DB175D3"/>
    <w:rsid w:val="2DB2C6FC"/>
    <w:rsid w:val="2DB2E2CA"/>
    <w:rsid w:val="2DBB5209"/>
    <w:rsid w:val="2DBB73B1"/>
    <w:rsid w:val="2DBCC929"/>
    <w:rsid w:val="2DBD7774"/>
    <w:rsid w:val="2DC29A43"/>
    <w:rsid w:val="2DC3D4EF"/>
    <w:rsid w:val="2DC53E42"/>
    <w:rsid w:val="2DC7BC82"/>
    <w:rsid w:val="2DCBDEA5"/>
    <w:rsid w:val="2DCE2881"/>
    <w:rsid w:val="2DD47B82"/>
    <w:rsid w:val="2DD5A9EF"/>
    <w:rsid w:val="2DD6F689"/>
    <w:rsid w:val="2DDA3775"/>
    <w:rsid w:val="2DDB2A48"/>
    <w:rsid w:val="2DE1C42E"/>
    <w:rsid w:val="2DE6A2E9"/>
    <w:rsid w:val="2DE73426"/>
    <w:rsid w:val="2DFA6784"/>
    <w:rsid w:val="2E05EE2B"/>
    <w:rsid w:val="2E08BE45"/>
    <w:rsid w:val="2E0B2F41"/>
    <w:rsid w:val="2E1637D7"/>
    <w:rsid w:val="2E17966C"/>
    <w:rsid w:val="2E2CCE69"/>
    <w:rsid w:val="2E2EEF6A"/>
    <w:rsid w:val="2E308A1F"/>
    <w:rsid w:val="2E309538"/>
    <w:rsid w:val="2E33EFFF"/>
    <w:rsid w:val="2E396D25"/>
    <w:rsid w:val="2E3A4045"/>
    <w:rsid w:val="2E3C5897"/>
    <w:rsid w:val="2E3CC4F1"/>
    <w:rsid w:val="2E42C76A"/>
    <w:rsid w:val="2E491ABA"/>
    <w:rsid w:val="2E499F02"/>
    <w:rsid w:val="2E49EDD5"/>
    <w:rsid w:val="2E4EAF2D"/>
    <w:rsid w:val="2E5211C6"/>
    <w:rsid w:val="2E5403AF"/>
    <w:rsid w:val="2E55575A"/>
    <w:rsid w:val="2E66DF75"/>
    <w:rsid w:val="2E695A8F"/>
    <w:rsid w:val="2E6998A8"/>
    <w:rsid w:val="2E6A2616"/>
    <w:rsid w:val="2E6F0562"/>
    <w:rsid w:val="2E70D051"/>
    <w:rsid w:val="2E7419A1"/>
    <w:rsid w:val="2E791EF0"/>
    <w:rsid w:val="2E7CF8BA"/>
    <w:rsid w:val="2E7D1569"/>
    <w:rsid w:val="2E81CDD2"/>
    <w:rsid w:val="2E867B5E"/>
    <w:rsid w:val="2E8881D3"/>
    <w:rsid w:val="2E9EF79B"/>
    <w:rsid w:val="2EAA7AE5"/>
    <w:rsid w:val="2EBAE23C"/>
    <w:rsid w:val="2EBF1AB9"/>
    <w:rsid w:val="2EC12BA5"/>
    <w:rsid w:val="2ECF8268"/>
    <w:rsid w:val="2ED2A1CF"/>
    <w:rsid w:val="2ED7ACC7"/>
    <w:rsid w:val="2EDCCEAA"/>
    <w:rsid w:val="2EE1A1CC"/>
    <w:rsid w:val="2EEC4BD8"/>
    <w:rsid w:val="2EED3BA3"/>
    <w:rsid w:val="2F01901B"/>
    <w:rsid w:val="2F064695"/>
    <w:rsid w:val="2F18C9D6"/>
    <w:rsid w:val="2F195B21"/>
    <w:rsid w:val="2F1D2AB9"/>
    <w:rsid w:val="2F1DFB58"/>
    <w:rsid w:val="2F22786F"/>
    <w:rsid w:val="2F2506EC"/>
    <w:rsid w:val="2F25C099"/>
    <w:rsid w:val="2F29D801"/>
    <w:rsid w:val="2F440952"/>
    <w:rsid w:val="2F4D8BC4"/>
    <w:rsid w:val="2F515AE2"/>
    <w:rsid w:val="2F5B32D9"/>
    <w:rsid w:val="2F616693"/>
    <w:rsid w:val="2F621EF5"/>
    <w:rsid w:val="2F664F93"/>
    <w:rsid w:val="2F6830B2"/>
    <w:rsid w:val="2F75EFCC"/>
    <w:rsid w:val="2F7A221B"/>
    <w:rsid w:val="2F7B49D7"/>
    <w:rsid w:val="2F842DD1"/>
    <w:rsid w:val="2F8C6C7B"/>
    <w:rsid w:val="2F940982"/>
    <w:rsid w:val="2F977758"/>
    <w:rsid w:val="2F9B5816"/>
    <w:rsid w:val="2FA055AB"/>
    <w:rsid w:val="2FA9EC6C"/>
    <w:rsid w:val="2FAA7B5C"/>
    <w:rsid w:val="2FAABF32"/>
    <w:rsid w:val="2FB0B22E"/>
    <w:rsid w:val="2FB12A55"/>
    <w:rsid w:val="2FB1BE29"/>
    <w:rsid w:val="2FB3D34B"/>
    <w:rsid w:val="2FB4C7E6"/>
    <w:rsid w:val="2FB70953"/>
    <w:rsid w:val="2FB7ADC7"/>
    <w:rsid w:val="2FBB3251"/>
    <w:rsid w:val="2FC6093E"/>
    <w:rsid w:val="2FCFCA9A"/>
    <w:rsid w:val="2FDC1635"/>
    <w:rsid w:val="2FDDC968"/>
    <w:rsid w:val="2FDFE059"/>
    <w:rsid w:val="2FE1B889"/>
    <w:rsid w:val="2FE4E381"/>
    <w:rsid w:val="2FE84172"/>
    <w:rsid w:val="2FE8C472"/>
    <w:rsid w:val="2FEB7BFB"/>
    <w:rsid w:val="2FF159D9"/>
    <w:rsid w:val="2FF15BBC"/>
    <w:rsid w:val="2FF7E5CE"/>
    <w:rsid w:val="3007C196"/>
    <w:rsid w:val="3007D9DC"/>
    <w:rsid w:val="30082D4C"/>
    <w:rsid w:val="3009791A"/>
    <w:rsid w:val="300C8F39"/>
    <w:rsid w:val="30101B8E"/>
    <w:rsid w:val="3015BC45"/>
    <w:rsid w:val="3020148B"/>
    <w:rsid w:val="30256058"/>
    <w:rsid w:val="3026BD7A"/>
    <w:rsid w:val="3028C5C1"/>
    <w:rsid w:val="302B9F95"/>
    <w:rsid w:val="302BCE7E"/>
    <w:rsid w:val="302F7DBD"/>
    <w:rsid w:val="30331793"/>
    <w:rsid w:val="303B6026"/>
    <w:rsid w:val="30413D14"/>
    <w:rsid w:val="30560217"/>
    <w:rsid w:val="30589955"/>
    <w:rsid w:val="305DFA30"/>
    <w:rsid w:val="3066EE19"/>
    <w:rsid w:val="306DD1C2"/>
    <w:rsid w:val="306F6CFD"/>
    <w:rsid w:val="30748533"/>
    <w:rsid w:val="307AB8A0"/>
    <w:rsid w:val="307ED4E6"/>
    <w:rsid w:val="3086343A"/>
    <w:rsid w:val="308849FB"/>
    <w:rsid w:val="30932E6F"/>
    <w:rsid w:val="30949809"/>
    <w:rsid w:val="30977A11"/>
    <w:rsid w:val="3098C336"/>
    <w:rsid w:val="30A33EF1"/>
    <w:rsid w:val="30AC0CA1"/>
    <w:rsid w:val="30B2BFE6"/>
    <w:rsid w:val="30B4120F"/>
    <w:rsid w:val="30B5367B"/>
    <w:rsid w:val="30C09E23"/>
    <w:rsid w:val="30D3C14C"/>
    <w:rsid w:val="30D40456"/>
    <w:rsid w:val="30D441A0"/>
    <w:rsid w:val="30DF4C2B"/>
    <w:rsid w:val="30E0BB11"/>
    <w:rsid w:val="30E570E5"/>
    <w:rsid w:val="30F1D9E1"/>
    <w:rsid w:val="30F84799"/>
    <w:rsid w:val="30FCD6C5"/>
    <w:rsid w:val="31068E01"/>
    <w:rsid w:val="3106E8B6"/>
    <w:rsid w:val="31086110"/>
    <w:rsid w:val="310B4AC8"/>
    <w:rsid w:val="310E977A"/>
    <w:rsid w:val="3116E530"/>
    <w:rsid w:val="311B35BB"/>
    <w:rsid w:val="311D5B56"/>
    <w:rsid w:val="311DE7F0"/>
    <w:rsid w:val="31211A8D"/>
    <w:rsid w:val="3123E755"/>
    <w:rsid w:val="31284BCA"/>
    <w:rsid w:val="3128AD32"/>
    <w:rsid w:val="31317768"/>
    <w:rsid w:val="313619F1"/>
    <w:rsid w:val="313C2A16"/>
    <w:rsid w:val="314D833E"/>
    <w:rsid w:val="315246B5"/>
    <w:rsid w:val="31558D69"/>
    <w:rsid w:val="31571302"/>
    <w:rsid w:val="315C2B23"/>
    <w:rsid w:val="31676EC7"/>
    <w:rsid w:val="316ED4AB"/>
    <w:rsid w:val="318ACF9A"/>
    <w:rsid w:val="319402BA"/>
    <w:rsid w:val="3195F793"/>
    <w:rsid w:val="319C2AAA"/>
    <w:rsid w:val="319D1EE8"/>
    <w:rsid w:val="31A03341"/>
    <w:rsid w:val="31A4E27C"/>
    <w:rsid w:val="31B499C4"/>
    <w:rsid w:val="31B6EE7C"/>
    <w:rsid w:val="31C560DF"/>
    <w:rsid w:val="31CCF3DC"/>
    <w:rsid w:val="31CD1312"/>
    <w:rsid w:val="31CD7A93"/>
    <w:rsid w:val="31DAC122"/>
    <w:rsid w:val="31DE8B33"/>
    <w:rsid w:val="31E231F0"/>
    <w:rsid w:val="31EB279B"/>
    <w:rsid w:val="31EB8185"/>
    <w:rsid w:val="31EBFCA3"/>
    <w:rsid w:val="31F2390F"/>
    <w:rsid w:val="31F54738"/>
    <w:rsid w:val="31FE387B"/>
    <w:rsid w:val="320FCABE"/>
    <w:rsid w:val="32124E3C"/>
    <w:rsid w:val="321381E9"/>
    <w:rsid w:val="32146974"/>
    <w:rsid w:val="32147D98"/>
    <w:rsid w:val="3230C13B"/>
    <w:rsid w:val="3230FDDD"/>
    <w:rsid w:val="32315349"/>
    <w:rsid w:val="3235665C"/>
    <w:rsid w:val="323AB1F1"/>
    <w:rsid w:val="323E3D37"/>
    <w:rsid w:val="324077B5"/>
    <w:rsid w:val="32527CAA"/>
    <w:rsid w:val="3256B77C"/>
    <w:rsid w:val="325949A2"/>
    <w:rsid w:val="325E7B3A"/>
    <w:rsid w:val="32624D83"/>
    <w:rsid w:val="3262752E"/>
    <w:rsid w:val="3267F143"/>
    <w:rsid w:val="3272426B"/>
    <w:rsid w:val="3277AED5"/>
    <w:rsid w:val="328E3128"/>
    <w:rsid w:val="3292C05C"/>
    <w:rsid w:val="329D04C4"/>
    <w:rsid w:val="32A11538"/>
    <w:rsid w:val="32B4218F"/>
    <w:rsid w:val="32BC1FCC"/>
    <w:rsid w:val="32C271BB"/>
    <w:rsid w:val="32C7378A"/>
    <w:rsid w:val="32DEE1E9"/>
    <w:rsid w:val="32E04690"/>
    <w:rsid w:val="32EC0423"/>
    <w:rsid w:val="3317CAB7"/>
    <w:rsid w:val="331B1C33"/>
    <w:rsid w:val="331E96B3"/>
    <w:rsid w:val="332BBDC7"/>
    <w:rsid w:val="332C9F1C"/>
    <w:rsid w:val="33310908"/>
    <w:rsid w:val="333DD23F"/>
    <w:rsid w:val="333F2652"/>
    <w:rsid w:val="334FDC22"/>
    <w:rsid w:val="3356D660"/>
    <w:rsid w:val="33635192"/>
    <w:rsid w:val="3363FACF"/>
    <w:rsid w:val="3376E1BF"/>
    <w:rsid w:val="3388EC04"/>
    <w:rsid w:val="338C6CA5"/>
    <w:rsid w:val="339B03DB"/>
    <w:rsid w:val="339C001A"/>
    <w:rsid w:val="339E992C"/>
    <w:rsid w:val="33A7B4AB"/>
    <w:rsid w:val="33ACFBD7"/>
    <w:rsid w:val="33AF25F0"/>
    <w:rsid w:val="33BECA9C"/>
    <w:rsid w:val="33BEE73E"/>
    <w:rsid w:val="33CCC55D"/>
    <w:rsid w:val="33CE5713"/>
    <w:rsid w:val="33DB8F90"/>
    <w:rsid w:val="33DE81EC"/>
    <w:rsid w:val="33E5A6D1"/>
    <w:rsid w:val="33E7C8E9"/>
    <w:rsid w:val="33E826B9"/>
    <w:rsid w:val="33E85019"/>
    <w:rsid w:val="33E9EE9E"/>
    <w:rsid w:val="33F71524"/>
    <w:rsid w:val="33F92452"/>
    <w:rsid w:val="33FD0ACB"/>
    <w:rsid w:val="33FEC700"/>
    <w:rsid w:val="340018FB"/>
    <w:rsid w:val="34027403"/>
    <w:rsid w:val="340B5A85"/>
    <w:rsid w:val="340FD70A"/>
    <w:rsid w:val="34218252"/>
    <w:rsid w:val="342912D0"/>
    <w:rsid w:val="342E07A2"/>
    <w:rsid w:val="34302A64"/>
    <w:rsid w:val="3430D70A"/>
    <w:rsid w:val="34313EEF"/>
    <w:rsid w:val="3431AD6B"/>
    <w:rsid w:val="3436E0B5"/>
    <w:rsid w:val="3442C08B"/>
    <w:rsid w:val="344343A8"/>
    <w:rsid w:val="344569C7"/>
    <w:rsid w:val="344E9333"/>
    <w:rsid w:val="34540110"/>
    <w:rsid w:val="34548E49"/>
    <w:rsid w:val="3465F46E"/>
    <w:rsid w:val="34755920"/>
    <w:rsid w:val="347A82A1"/>
    <w:rsid w:val="3482028A"/>
    <w:rsid w:val="34872589"/>
    <w:rsid w:val="3492BAF2"/>
    <w:rsid w:val="3496E416"/>
    <w:rsid w:val="3499A9A1"/>
    <w:rsid w:val="34A5FA1D"/>
    <w:rsid w:val="34A6B917"/>
    <w:rsid w:val="34B83493"/>
    <w:rsid w:val="34BF3192"/>
    <w:rsid w:val="34C7F359"/>
    <w:rsid w:val="34C8238D"/>
    <w:rsid w:val="34C924E0"/>
    <w:rsid w:val="34D5EBEA"/>
    <w:rsid w:val="34DA1AD2"/>
    <w:rsid w:val="34E1CE49"/>
    <w:rsid w:val="34E39748"/>
    <w:rsid w:val="34E58E48"/>
    <w:rsid w:val="34EEE598"/>
    <w:rsid w:val="34F10BA2"/>
    <w:rsid w:val="34F2FFBA"/>
    <w:rsid w:val="34F38346"/>
    <w:rsid w:val="34F42BA2"/>
    <w:rsid w:val="34F69C90"/>
    <w:rsid w:val="34F8B801"/>
    <w:rsid w:val="34FAAA12"/>
    <w:rsid w:val="34FC6867"/>
    <w:rsid w:val="34FF7045"/>
    <w:rsid w:val="3505CE3D"/>
    <w:rsid w:val="35084A79"/>
    <w:rsid w:val="3508DF5F"/>
    <w:rsid w:val="350E9A72"/>
    <w:rsid w:val="351DCAEA"/>
    <w:rsid w:val="3525771E"/>
    <w:rsid w:val="352B623E"/>
    <w:rsid w:val="352E08B6"/>
    <w:rsid w:val="352F50CF"/>
    <w:rsid w:val="353E954D"/>
    <w:rsid w:val="353F3E59"/>
    <w:rsid w:val="354FD5C6"/>
    <w:rsid w:val="35556162"/>
    <w:rsid w:val="3577095E"/>
    <w:rsid w:val="357D07D6"/>
    <w:rsid w:val="357DD756"/>
    <w:rsid w:val="357E8F94"/>
    <w:rsid w:val="35816CDB"/>
    <w:rsid w:val="359694D3"/>
    <w:rsid w:val="359BF787"/>
    <w:rsid w:val="359CF5F9"/>
    <w:rsid w:val="359F2255"/>
    <w:rsid w:val="359F828C"/>
    <w:rsid w:val="35A2E314"/>
    <w:rsid w:val="35A755F5"/>
    <w:rsid w:val="35A84A0A"/>
    <w:rsid w:val="35AA6DCD"/>
    <w:rsid w:val="35B16C57"/>
    <w:rsid w:val="35B1B219"/>
    <w:rsid w:val="35B24C82"/>
    <w:rsid w:val="35B93D23"/>
    <w:rsid w:val="35CB76FF"/>
    <w:rsid w:val="35D23A9A"/>
    <w:rsid w:val="35D36AD9"/>
    <w:rsid w:val="35DE8859"/>
    <w:rsid w:val="35EB7645"/>
    <w:rsid w:val="35EE4EED"/>
    <w:rsid w:val="35F46656"/>
    <w:rsid w:val="35F4692C"/>
    <w:rsid w:val="35F9919A"/>
    <w:rsid w:val="35FBEB3D"/>
    <w:rsid w:val="36014C1B"/>
    <w:rsid w:val="3601DB24"/>
    <w:rsid w:val="3617C15C"/>
    <w:rsid w:val="361CA32F"/>
    <w:rsid w:val="36203A86"/>
    <w:rsid w:val="36220400"/>
    <w:rsid w:val="362343DC"/>
    <w:rsid w:val="3627B71A"/>
    <w:rsid w:val="362A1E2E"/>
    <w:rsid w:val="36312A47"/>
    <w:rsid w:val="3631498A"/>
    <w:rsid w:val="3633760A"/>
    <w:rsid w:val="36357ABA"/>
    <w:rsid w:val="3636684B"/>
    <w:rsid w:val="363726D0"/>
    <w:rsid w:val="363B6A5D"/>
    <w:rsid w:val="363FF012"/>
    <w:rsid w:val="36445A0F"/>
    <w:rsid w:val="3646E82C"/>
    <w:rsid w:val="364C3BB2"/>
    <w:rsid w:val="365FEF14"/>
    <w:rsid w:val="3660822B"/>
    <w:rsid w:val="3662C858"/>
    <w:rsid w:val="3663C7F8"/>
    <w:rsid w:val="367A74C3"/>
    <w:rsid w:val="3681D9BD"/>
    <w:rsid w:val="3686F871"/>
    <w:rsid w:val="36909CB3"/>
    <w:rsid w:val="3693C62E"/>
    <w:rsid w:val="36961555"/>
    <w:rsid w:val="36970F99"/>
    <w:rsid w:val="369E14A9"/>
    <w:rsid w:val="36A4C55F"/>
    <w:rsid w:val="36A57F62"/>
    <w:rsid w:val="36A5DA4C"/>
    <w:rsid w:val="36A90345"/>
    <w:rsid w:val="36B9E123"/>
    <w:rsid w:val="36BB96BC"/>
    <w:rsid w:val="36C3D53C"/>
    <w:rsid w:val="36C5E787"/>
    <w:rsid w:val="36D212E6"/>
    <w:rsid w:val="36D53BBE"/>
    <w:rsid w:val="36DB159B"/>
    <w:rsid w:val="36DB4DA3"/>
    <w:rsid w:val="36DB8B2B"/>
    <w:rsid w:val="36E16305"/>
    <w:rsid w:val="36EA00D6"/>
    <w:rsid w:val="36EE6188"/>
    <w:rsid w:val="36F28F10"/>
    <w:rsid w:val="36F50B4C"/>
    <w:rsid w:val="36FA4093"/>
    <w:rsid w:val="37136E88"/>
    <w:rsid w:val="37158A23"/>
    <w:rsid w:val="37250FDC"/>
    <w:rsid w:val="3725EE89"/>
    <w:rsid w:val="3727707A"/>
    <w:rsid w:val="3727732B"/>
    <w:rsid w:val="372A8526"/>
    <w:rsid w:val="372D2590"/>
    <w:rsid w:val="37325054"/>
    <w:rsid w:val="37329AA5"/>
    <w:rsid w:val="3732E6FF"/>
    <w:rsid w:val="3734DC51"/>
    <w:rsid w:val="373BB547"/>
    <w:rsid w:val="37446361"/>
    <w:rsid w:val="37454746"/>
    <w:rsid w:val="37475E0E"/>
    <w:rsid w:val="374D398B"/>
    <w:rsid w:val="374D556F"/>
    <w:rsid w:val="375A7749"/>
    <w:rsid w:val="37620A2E"/>
    <w:rsid w:val="376CAB44"/>
    <w:rsid w:val="377CD606"/>
    <w:rsid w:val="37870AF6"/>
    <w:rsid w:val="3787B0D8"/>
    <w:rsid w:val="379D41AE"/>
    <w:rsid w:val="379DA85F"/>
    <w:rsid w:val="379FD544"/>
    <w:rsid w:val="379FE5D7"/>
    <w:rsid w:val="37AE423C"/>
    <w:rsid w:val="37BF2AB7"/>
    <w:rsid w:val="37C23222"/>
    <w:rsid w:val="37CB947E"/>
    <w:rsid w:val="37CEF57A"/>
    <w:rsid w:val="37D55C3B"/>
    <w:rsid w:val="37D76FA2"/>
    <w:rsid w:val="37EA2DBA"/>
    <w:rsid w:val="37F43484"/>
    <w:rsid w:val="37F5E24D"/>
    <w:rsid w:val="37F8E4BF"/>
    <w:rsid w:val="37FBE435"/>
    <w:rsid w:val="3803F184"/>
    <w:rsid w:val="38089E36"/>
    <w:rsid w:val="3814030E"/>
    <w:rsid w:val="381B9239"/>
    <w:rsid w:val="381D69EF"/>
    <w:rsid w:val="3824F6A7"/>
    <w:rsid w:val="38274B05"/>
    <w:rsid w:val="3829927E"/>
    <w:rsid w:val="382B626F"/>
    <w:rsid w:val="382C689A"/>
    <w:rsid w:val="3830326A"/>
    <w:rsid w:val="38345CF0"/>
    <w:rsid w:val="3835A52C"/>
    <w:rsid w:val="3838AAE9"/>
    <w:rsid w:val="383A4232"/>
    <w:rsid w:val="383AAF53"/>
    <w:rsid w:val="383E30AC"/>
    <w:rsid w:val="383EC2E3"/>
    <w:rsid w:val="3844190F"/>
    <w:rsid w:val="3844B532"/>
    <w:rsid w:val="384652EB"/>
    <w:rsid w:val="384DB200"/>
    <w:rsid w:val="3850569D"/>
    <w:rsid w:val="385334E9"/>
    <w:rsid w:val="385871AC"/>
    <w:rsid w:val="3859613E"/>
    <w:rsid w:val="385B4165"/>
    <w:rsid w:val="385D6BA6"/>
    <w:rsid w:val="3867A837"/>
    <w:rsid w:val="3867E7D4"/>
    <w:rsid w:val="387020AE"/>
    <w:rsid w:val="38780ABE"/>
    <w:rsid w:val="3881DDFE"/>
    <w:rsid w:val="388522E9"/>
    <w:rsid w:val="38875557"/>
    <w:rsid w:val="38930E27"/>
    <w:rsid w:val="389A88F1"/>
    <w:rsid w:val="389CFD1B"/>
    <w:rsid w:val="38A9EEE5"/>
    <w:rsid w:val="38AD6D77"/>
    <w:rsid w:val="38B210C7"/>
    <w:rsid w:val="38B51AC0"/>
    <w:rsid w:val="38B6AE0A"/>
    <w:rsid w:val="38B7DDE4"/>
    <w:rsid w:val="38BBE1B9"/>
    <w:rsid w:val="38BEC2AC"/>
    <w:rsid w:val="38C7C848"/>
    <w:rsid w:val="38CAAB77"/>
    <w:rsid w:val="38D96705"/>
    <w:rsid w:val="38E3AFE6"/>
    <w:rsid w:val="38E56300"/>
    <w:rsid w:val="38E60438"/>
    <w:rsid w:val="38ECB661"/>
    <w:rsid w:val="38FD220E"/>
    <w:rsid w:val="38FE0263"/>
    <w:rsid w:val="390271CA"/>
    <w:rsid w:val="39042B7F"/>
    <w:rsid w:val="39083CF8"/>
    <w:rsid w:val="390B42BA"/>
    <w:rsid w:val="39112998"/>
    <w:rsid w:val="39115A57"/>
    <w:rsid w:val="3913753D"/>
    <w:rsid w:val="391BCD2C"/>
    <w:rsid w:val="391CA945"/>
    <w:rsid w:val="391CD6B9"/>
    <w:rsid w:val="3923012A"/>
    <w:rsid w:val="393304CE"/>
    <w:rsid w:val="393A3B0A"/>
    <w:rsid w:val="3942B70F"/>
    <w:rsid w:val="3946CF4F"/>
    <w:rsid w:val="394C4551"/>
    <w:rsid w:val="394CE279"/>
    <w:rsid w:val="394DA318"/>
    <w:rsid w:val="3952B1BC"/>
    <w:rsid w:val="3958F6F2"/>
    <w:rsid w:val="395B06E5"/>
    <w:rsid w:val="3969B4DB"/>
    <w:rsid w:val="396C9B70"/>
    <w:rsid w:val="396DFFC1"/>
    <w:rsid w:val="396EDF9C"/>
    <w:rsid w:val="396F38C7"/>
    <w:rsid w:val="39774402"/>
    <w:rsid w:val="39799FE4"/>
    <w:rsid w:val="397E55B2"/>
    <w:rsid w:val="3983B507"/>
    <w:rsid w:val="39862D4B"/>
    <w:rsid w:val="39867B15"/>
    <w:rsid w:val="398F7D80"/>
    <w:rsid w:val="39908E50"/>
    <w:rsid w:val="39910621"/>
    <w:rsid w:val="399D52D6"/>
    <w:rsid w:val="39A2CC8D"/>
    <w:rsid w:val="39AB308B"/>
    <w:rsid w:val="39B67D6E"/>
    <w:rsid w:val="39C6FD63"/>
    <w:rsid w:val="39C9DBF8"/>
    <w:rsid w:val="39CDB018"/>
    <w:rsid w:val="39CE90BE"/>
    <w:rsid w:val="39D094A6"/>
    <w:rsid w:val="39D1EF79"/>
    <w:rsid w:val="39D4FBD6"/>
    <w:rsid w:val="39DBC013"/>
    <w:rsid w:val="39E50175"/>
    <w:rsid w:val="39E696C8"/>
    <w:rsid w:val="39E8250B"/>
    <w:rsid w:val="39E9D182"/>
    <w:rsid w:val="39EB5826"/>
    <w:rsid w:val="39F1AE9B"/>
    <w:rsid w:val="39F58610"/>
    <w:rsid w:val="3A03AA57"/>
    <w:rsid w:val="3A08DFD8"/>
    <w:rsid w:val="3A0B5C8D"/>
    <w:rsid w:val="3A0C4FC1"/>
    <w:rsid w:val="3A0D8697"/>
    <w:rsid w:val="3A13DD78"/>
    <w:rsid w:val="3A146BF8"/>
    <w:rsid w:val="3A155C83"/>
    <w:rsid w:val="3A182F9D"/>
    <w:rsid w:val="3A1BE5EE"/>
    <w:rsid w:val="3A1CBEF6"/>
    <w:rsid w:val="3A20788A"/>
    <w:rsid w:val="3A22D28A"/>
    <w:rsid w:val="3A2C1AB7"/>
    <w:rsid w:val="3A2D1A8F"/>
    <w:rsid w:val="3A2D6EC8"/>
    <w:rsid w:val="3A37AF7A"/>
    <w:rsid w:val="3A3BB422"/>
    <w:rsid w:val="3A3F3ED1"/>
    <w:rsid w:val="3A416364"/>
    <w:rsid w:val="3A4A2CD5"/>
    <w:rsid w:val="3A521ECE"/>
    <w:rsid w:val="3A61C028"/>
    <w:rsid w:val="3A751BDF"/>
    <w:rsid w:val="3A75F202"/>
    <w:rsid w:val="3A7B39CC"/>
    <w:rsid w:val="3A802795"/>
    <w:rsid w:val="3A82A05D"/>
    <w:rsid w:val="3A84F195"/>
    <w:rsid w:val="3A912B50"/>
    <w:rsid w:val="3A99FF74"/>
    <w:rsid w:val="3A9A6A00"/>
    <w:rsid w:val="3A9AE5C6"/>
    <w:rsid w:val="3A9CF960"/>
    <w:rsid w:val="3AA30F0A"/>
    <w:rsid w:val="3AA5B2E5"/>
    <w:rsid w:val="3AAC63EB"/>
    <w:rsid w:val="3AB4A24B"/>
    <w:rsid w:val="3AB9D993"/>
    <w:rsid w:val="3ABAD45B"/>
    <w:rsid w:val="3AC0BBC9"/>
    <w:rsid w:val="3AC497FA"/>
    <w:rsid w:val="3ACFD01E"/>
    <w:rsid w:val="3AD094CE"/>
    <w:rsid w:val="3AD1889B"/>
    <w:rsid w:val="3AD551D4"/>
    <w:rsid w:val="3AE1C231"/>
    <w:rsid w:val="3AE5FEFD"/>
    <w:rsid w:val="3AE8A005"/>
    <w:rsid w:val="3AE8C25B"/>
    <w:rsid w:val="3AF2C223"/>
    <w:rsid w:val="3B056FD3"/>
    <w:rsid w:val="3B072C68"/>
    <w:rsid w:val="3B079C19"/>
    <w:rsid w:val="3B0AC236"/>
    <w:rsid w:val="3B0C5B20"/>
    <w:rsid w:val="3B0C7238"/>
    <w:rsid w:val="3B17CB82"/>
    <w:rsid w:val="3B200F5B"/>
    <w:rsid w:val="3B25489B"/>
    <w:rsid w:val="3B3279F2"/>
    <w:rsid w:val="3B35EDAE"/>
    <w:rsid w:val="3B46A166"/>
    <w:rsid w:val="3B4EB89D"/>
    <w:rsid w:val="3B52DC91"/>
    <w:rsid w:val="3B54FC74"/>
    <w:rsid w:val="3B68EDAE"/>
    <w:rsid w:val="3B768067"/>
    <w:rsid w:val="3B799C38"/>
    <w:rsid w:val="3B7F726E"/>
    <w:rsid w:val="3B831E79"/>
    <w:rsid w:val="3B857E29"/>
    <w:rsid w:val="3B85BBD6"/>
    <w:rsid w:val="3B87DB11"/>
    <w:rsid w:val="3B88AED0"/>
    <w:rsid w:val="3B9266CB"/>
    <w:rsid w:val="3B99A4AF"/>
    <w:rsid w:val="3B9CB087"/>
    <w:rsid w:val="3BA54D40"/>
    <w:rsid w:val="3BC13437"/>
    <w:rsid w:val="3BC59FD7"/>
    <w:rsid w:val="3BD0A609"/>
    <w:rsid w:val="3BD2F014"/>
    <w:rsid w:val="3BDDD801"/>
    <w:rsid w:val="3BDF1DB5"/>
    <w:rsid w:val="3BE18C05"/>
    <w:rsid w:val="3BE6BE64"/>
    <w:rsid w:val="3BE9B7B1"/>
    <w:rsid w:val="3BEAD647"/>
    <w:rsid w:val="3BFABB48"/>
    <w:rsid w:val="3BFD14CC"/>
    <w:rsid w:val="3C02B829"/>
    <w:rsid w:val="3C09568C"/>
    <w:rsid w:val="3C0AE049"/>
    <w:rsid w:val="3C0EE1EE"/>
    <w:rsid w:val="3C105BE8"/>
    <w:rsid w:val="3C1AEAFA"/>
    <w:rsid w:val="3C1CDAEC"/>
    <w:rsid w:val="3C21AFB8"/>
    <w:rsid w:val="3C223F3D"/>
    <w:rsid w:val="3C24DD35"/>
    <w:rsid w:val="3C2B4F49"/>
    <w:rsid w:val="3C398BE6"/>
    <w:rsid w:val="3C44C4EC"/>
    <w:rsid w:val="3C5D23AE"/>
    <w:rsid w:val="3C5F53CF"/>
    <w:rsid w:val="3C65118D"/>
    <w:rsid w:val="3C6A738A"/>
    <w:rsid w:val="3C6ABCC3"/>
    <w:rsid w:val="3C738959"/>
    <w:rsid w:val="3C751676"/>
    <w:rsid w:val="3C780F3F"/>
    <w:rsid w:val="3C7B809A"/>
    <w:rsid w:val="3C7E087C"/>
    <w:rsid w:val="3C8220A1"/>
    <w:rsid w:val="3C83262F"/>
    <w:rsid w:val="3C84EA7F"/>
    <w:rsid w:val="3C85E3C0"/>
    <w:rsid w:val="3C8F0B77"/>
    <w:rsid w:val="3C91FC5D"/>
    <w:rsid w:val="3C9517DD"/>
    <w:rsid w:val="3C9AF915"/>
    <w:rsid w:val="3CA257DA"/>
    <w:rsid w:val="3CA2DDE0"/>
    <w:rsid w:val="3CA37D26"/>
    <w:rsid w:val="3CA49426"/>
    <w:rsid w:val="3CA68E5D"/>
    <w:rsid w:val="3CA6993B"/>
    <w:rsid w:val="3CA9C401"/>
    <w:rsid w:val="3CAC7725"/>
    <w:rsid w:val="3CBB0524"/>
    <w:rsid w:val="3CBCDEE7"/>
    <w:rsid w:val="3CC2BBB4"/>
    <w:rsid w:val="3CD10D09"/>
    <w:rsid w:val="3CD78D28"/>
    <w:rsid w:val="3CDBA498"/>
    <w:rsid w:val="3CDCE8D1"/>
    <w:rsid w:val="3CDDE278"/>
    <w:rsid w:val="3CE47F73"/>
    <w:rsid w:val="3CE57602"/>
    <w:rsid w:val="3CEBCFC3"/>
    <w:rsid w:val="3CED5F31"/>
    <w:rsid w:val="3CF2EFEE"/>
    <w:rsid w:val="3CF56E87"/>
    <w:rsid w:val="3D083FE8"/>
    <w:rsid w:val="3D0B296B"/>
    <w:rsid w:val="3D0C7D89"/>
    <w:rsid w:val="3D0DB441"/>
    <w:rsid w:val="3D14C78C"/>
    <w:rsid w:val="3D18B1DF"/>
    <w:rsid w:val="3D24C0A7"/>
    <w:rsid w:val="3D2CC02D"/>
    <w:rsid w:val="3D31C1E8"/>
    <w:rsid w:val="3D37EEED"/>
    <w:rsid w:val="3D39CC2E"/>
    <w:rsid w:val="3D4694AF"/>
    <w:rsid w:val="3D4970AE"/>
    <w:rsid w:val="3D49D803"/>
    <w:rsid w:val="3D4E5ECF"/>
    <w:rsid w:val="3D58D4D0"/>
    <w:rsid w:val="3D6C1FE1"/>
    <w:rsid w:val="3D72389F"/>
    <w:rsid w:val="3D781606"/>
    <w:rsid w:val="3D7A4214"/>
    <w:rsid w:val="3D7B1DB9"/>
    <w:rsid w:val="3D7E5A45"/>
    <w:rsid w:val="3D806569"/>
    <w:rsid w:val="3D936AC2"/>
    <w:rsid w:val="3D9FDA52"/>
    <w:rsid w:val="3DA030CD"/>
    <w:rsid w:val="3DA66035"/>
    <w:rsid w:val="3DAA2E7A"/>
    <w:rsid w:val="3DAE26E6"/>
    <w:rsid w:val="3DC5B0F5"/>
    <w:rsid w:val="3DCB916F"/>
    <w:rsid w:val="3DCC779F"/>
    <w:rsid w:val="3DD0A083"/>
    <w:rsid w:val="3DD1492A"/>
    <w:rsid w:val="3DD8D5D3"/>
    <w:rsid w:val="3DDA0731"/>
    <w:rsid w:val="3DE2110C"/>
    <w:rsid w:val="3DEF41B4"/>
    <w:rsid w:val="3DF2B6E6"/>
    <w:rsid w:val="3DF32C4B"/>
    <w:rsid w:val="3DF4F823"/>
    <w:rsid w:val="3DFB0A80"/>
    <w:rsid w:val="3DFBA66D"/>
    <w:rsid w:val="3E06D988"/>
    <w:rsid w:val="3E078A47"/>
    <w:rsid w:val="3E0FCCE3"/>
    <w:rsid w:val="3E1056C2"/>
    <w:rsid w:val="3E1FFED7"/>
    <w:rsid w:val="3E21E374"/>
    <w:rsid w:val="3E2C10D9"/>
    <w:rsid w:val="3E2DFB7C"/>
    <w:rsid w:val="3E2F9289"/>
    <w:rsid w:val="3E2FAB66"/>
    <w:rsid w:val="3E33840D"/>
    <w:rsid w:val="3E38A81D"/>
    <w:rsid w:val="3E3D48A3"/>
    <w:rsid w:val="3E406AAA"/>
    <w:rsid w:val="3E43C853"/>
    <w:rsid w:val="3E55E243"/>
    <w:rsid w:val="3E57BE19"/>
    <w:rsid w:val="3E584C19"/>
    <w:rsid w:val="3E588F5A"/>
    <w:rsid w:val="3E6002D3"/>
    <w:rsid w:val="3E612E51"/>
    <w:rsid w:val="3E66D802"/>
    <w:rsid w:val="3E716536"/>
    <w:rsid w:val="3E7BB520"/>
    <w:rsid w:val="3E7CA902"/>
    <w:rsid w:val="3E7E7BB0"/>
    <w:rsid w:val="3E848869"/>
    <w:rsid w:val="3E88C660"/>
    <w:rsid w:val="3E97A0A1"/>
    <w:rsid w:val="3E9D278B"/>
    <w:rsid w:val="3E9DADF2"/>
    <w:rsid w:val="3E9EE248"/>
    <w:rsid w:val="3EB95376"/>
    <w:rsid w:val="3EBBA2C0"/>
    <w:rsid w:val="3EBC434C"/>
    <w:rsid w:val="3EC187F8"/>
    <w:rsid w:val="3EC8F68B"/>
    <w:rsid w:val="3EC93FD8"/>
    <w:rsid w:val="3ECE6532"/>
    <w:rsid w:val="3ED4DEB3"/>
    <w:rsid w:val="3ED93801"/>
    <w:rsid w:val="3EE38197"/>
    <w:rsid w:val="3EE542F6"/>
    <w:rsid w:val="3EF23315"/>
    <w:rsid w:val="3EFA33A0"/>
    <w:rsid w:val="3EFCD858"/>
    <w:rsid w:val="3EFDA204"/>
    <w:rsid w:val="3EFF9D26"/>
    <w:rsid w:val="3F0D378D"/>
    <w:rsid w:val="3F0E6DA3"/>
    <w:rsid w:val="3F141094"/>
    <w:rsid w:val="3F17A466"/>
    <w:rsid w:val="3F19A883"/>
    <w:rsid w:val="3F1B9806"/>
    <w:rsid w:val="3F1F811A"/>
    <w:rsid w:val="3F23E074"/>
    <w:rsid w:val="3F38367B"/>
    <w:rsid w:val="3F3CF730"/>
    <w:rsid w:val="3F422F1C"/>
    <w:rsid w:val="3F49CA10"/>
    <w:rsid w:val="3F57EB34"/>
    <w:rsid w:val="3F5B2CF5"/>
    <w:rsid w:val="3F5BB8CA"/>
    <w:rsid w:val="3F62B458"/>
    <w:rsid w:val="3F65B641"/>
    <w:rsid w:val="3F6601C4"/>
    <w:rsid w:val="3F6EED7C"/>
    <w:rsid w:val="3F732406"/>
    <w:rsid w:val="3F78BD6F"/>
    <w:rsid w:val="3F7AE780"/>
    <w:rsid w:val="3F82868B"/>
    <w:rsid w:val="3F8BF0E1"/>
    <w:rsid w:val="3F927763"/>
    <w:rsid w:val="3F9D47EC"/>
    <w:rsid w:val="3F9F4BBB"/>
    <w:rsid w:val="3FA2445F"/>
    <w:rsid w:val="3FACBBB0"/>
    <w:rsid w:val="3FB0BFD3"/>
    <w:rsid w:val="3FB0E435"/>
    <w:rsid w:val="3FB7A97C"/>
    <w:rsid w:val="3FBA07A9"/>
    <w:rsid w:val="3FBC2AB0"/>
    <w:rsid w:val="3FBF37A8"/>
    <w:rsid w:val="3FC5660E"/>
    <w:rsid w:val="3FC70509"/>
    <w:rsid w:val="3FC8942B"/>
    <w:rsid w:val="3FCC5F40"/>
    <w:rsid w:val="3FCDED41"/>
    <w:rsid w:val="3FD7C725"/>
    <w:rsid w:val="3FD7CFA5"/>
    <w:rsid w:val="3FDDA545"/>
    <w:rsid w:val="3FE7B740"/>
    <w:rsid w:val="3FE9DEBA"/>
    <w:rsid w:val="3FF2242A"/>
    <w:rsid w:val="3FFACF6D"/>
    <w:rsid w:val="3FFBB876"/>
    <w:rsid w:val="40057759"/>
    <w:rsid w:val="4006673A"/>
    <w:rsid w:val="400EB2A7"/>
    <w:rsid w:val="4013CBCD"/>
    <w:rsid w:val="4016C260"/>
    <w:rsid w:val="401C5233"/>
    <w:rsid w:val="401D5E0F"/>
    <w:rsid w:val="401F31B7"/>
    <w:rsid w:val="40233DA8"/>
    <w:rsid w:val="403066BA"/>
    <w:rsid w:val="40314E86"/>
    <w:rsid w:val="40319B7A"/>
    <w:rsid w:val="403AABB3"/>
    <w:rsid w:val="403C5F3A"/>
    <w:rsid w:val="403C62B7"/>
    <w:rsid w:val="40402BC2"/>
    <w:rsid w:val="404118B6"/>
    <w:rsid w:val="40496995"/>
    <w:rsid w:val="4055BD06"/>
    <w:rsid w:val="405E21D5"/>
    <w:rsid w:val="405FCDF1"/>
    <w:rsid w:val="4064C211"/>
    <w:rsid w:val="406C60B7"/>
    <w:rsid w:val="406F3D07"/>
    <w:rsid w:val="40728D60"/>
    <w:rsid w:val="40800772"/>
    <w:rsid w:val="40866BD5"/>
    <w:rsid w:val="409089E3"/>
    <w:rsid w:val="40913CB9"/>
    <w:rsid w:val="40938EFD"/>
    <w:rsid w:val="40963346"/>
    <w:rsid w:val="4099BCF7"/>
    <w:rsid w:val="40A24B69"/>
    <w:rsid w:val="40A69FA6"/>
    <w:rsid w:val="40AAC469"/>
    <w:rsid w:val="40B13CF9"/>
    <w:rsid w:val="40BDA831"/>
    <w:rsid w:val="40BE8F0F"/>
    <w:rsid w:val="40C2A9EE"/>
    <w:rsid w:val="40C8C9FB"/>
    <w:rsid w:val="40CB516A"/>
    <w:rsid w:val="40CC67EE"/>
    <w:rsid w:val="40CC8DF8"/>
    <w:rsid w:val="40CEEDB2"/>
    <w:rsid w:val="40D0B42C"/>
    <w:rsid w:val="40DFF792"/>
    <w:rsid w:val="40E9570C"/>
    <w:rsid w:val="40F448D4"/>
    <w:rsid w:val="41137B79"/>
    <w:rsid w:val="41163C59"/>
    <w:rsid w:val="4119FAE2"/>
    <w:rsid w:val="412071AC"/>
    <w:rsid w:val="41332EA0"/>
    <w:rsid w:val="4135A731"/>
    <w:rsid w:val="413702CF"/>
    <w:rsid w:val="4140E62F"/>
    <w:rsid w:val="414A7E27"/>
    <w:rsid w:val="414EABCC"/>
    <w:rsid w:val="414ECDA7"/>
    <w:rsid w:val="41501B77"/>
    <w:rsid w:val="41557156"/>
    <w:rsid w:val="41664016"/>
    <w:rsid w:val="417C761B"/>
    <w:rsid w:val="417C7B04"/>
    <w:rsid w:val="41913159"/>
    <w:rsid w:val="419365E6"/>
    <w:rsid w:val="4196E7B0"/>
    <w:rsid w:val="419A6753"/>
    <w:rsid w:val="419E9359"/>
    <w:rsid w:val="41A399FF"/>
    <w:rsid w:val="41A5EFBF"/>
    <w:rsid w:val="41A763A9"/>
    <w:rsid w:val="41AA15DF"/>
    <w:rsid w:val="41AA35E4"/>
    <w:rsid w:val="41B067CC"/>
    <w:rsid w:val="41B3408C"/>
    <w:rsid w:val="41B3E048"/>
    <w:rsid w:val="41C6B930"/>
    <w:rsid w:val="41C94495"/>
    <w:rsid w:val="41C9D73A"/>
    <w:rsid w:val="41CB62E3"/>
    <w:rsid w:val="41CE3D62"/>
    <w:rsid w:val="41D25E44"/>
    <w:rsid w:val="41E2DEFA"/>
    <w:rsid w:val="41E3181A"/>
    <w:rsid w:val="41E9330A"/>
    <w:rsid w:val="41E9AC41"/>
    <w:rsid w:val="4208A772"/>
    <w:rsid w:val="4208F02C"/>
    <w:rsid w:val="421AFE54"/>
    <w:rsid w:val="421B455B"/>
    <w:rsid w:val="422A47C3"/>
    <w:rsid w:val="422D3E51"/>
    <w:rsid w:val="42322A76"/>
    <w:rsid w:val="42412DDE"/>
    <w:rsid w:val="4242F2DE"/>
    <w:rsid w:val="42434265"/>
    <w:rsid w:val="42449C5F"/>
    <w:rsid w:val="4246341E"/>
    <w:rsid w:val="424B6834"/>
    <w:rsid w:val="424C59F6"/>
    <w:rsid w:val="424DF392"/>
    <w:rsid w:val="425087F1"/>
    <w:rsid w:val="42589723"/>
    <w:rsid w:val="4262D46F"/>
    <w:rsid w:val="426BCEC6"/>
    <w:rsid w:val="42700983"/>
    <w:rsid w:val="42745024"/>
    <w:rsid w:val="427A69D4"/>
    <w:rsid w:val="4282B2B2"/>
    <w:rsid w:val="42880273"/>
    <w:rsid w:val="4288AC65"/>
    <w:rsid w:val="428DE955"/>
    <w:rsid w:val="4290A05C"/>
    <w:rsid w:val="4292D622"/>
    <w:rsid w:val="4298D76A"/>
    <w:rsid w:val="42A877A5"/>
    <w:rsid w:val="42AC73F5"/>
    <w:rsid w:val="42BABDD0"/>
    <w:rsid w:val="42C66361"/>
    <w:rsid w:val="42CDD2B0"/>
    <w:rsid w:val="42CEC871"/>
    <w:rsid w:val="42CFC34B"/>
    <w:rsid w:val="42D05E59"/>
    <w:rsid w:val="42D7DA61"/>
    <w:rsid w:val="42DEED30"/>
    <w:rsid w:val="42DF8694"/>
    <w:rsid w:val="42E1A2A4"/>
    <w:rsid w:val="42E209A0"/>
    <w:rsid w:val="42E2F5B8"/>
    <w:rsid w:val="42E4153E"/>
    <w:rsid w:val="42F3CA29"/>
    <w:rsid w:val="42F7BC85"/>
    <w:rsid w:val="42FA9AC8"/>
    <w:rsid w:val="430146AA"/>
    <w:rsid w:val="43172EE8"/>
    <w:rsid w:val="431E2EE7"/>
    <w:rsid w:val="432346C4"/>
    <w:rsid w:val="4324CBFD"/>
    <w:rsid w:val="432BA584"/>
    <w:rsid w:val="4332BEC5"/>
    <w:rsid w:val="433C9B02"/>
    <w:rsid w:val="433F1DA4"/>
    <w:rsid w:val="43476AFA"/>
    <w:rsid w:val="434A1AD4"/>
    <w:rsid w:val="4351F26E"/>
    <w:rsid w:val="4354D2F1"/>
    <w:rsid w:val="4355C440"/>
    <w:rsid w:val="4356A8D5"/>
    <w:rsid w:val="435B7B89"/>
    <w:rsid w:val="4360B440"/>
    <w:rsid w:val="4364933E"/>
    <w:rsid w:val="4367D8B5"/>
    <w:rsid w:val="436A90ED"/>
    <w:rsid w:val="436B0DB4"/>
    <w:rsid w:val="436B1EC8"/>
    <w:rsid w:val="43726E3F"/>
    <w:rsid w:val="437380E5"/>
    <w:rsid w:val="4380A56B"/>
    <w:rsid w:val="43881180"/>
    <w:rsid w:val="43894F72"/>
    <w:rsid w:val="438F8B0B"/>
    <w:rsid w:val="43936E3B"/>
    <w:rsid w:val="4395F1EB"/>
    <w:rsid w:val="43992C49"/>
    <w:rsid w:val="4399DE54"/>
    <w:rsid w:val="43A75194"/>
    <w:rsid w:val="43A7C2E4"/>
    <w:rsid w:val="43A93BAA"/>
    <w:rsid w:val="43AC8813"/>
    <w:rsid w:val="43B0FD33"/>
    <w:rsid w:val="43B63CF7"/>
    <w:rsid w:val="43BC52FD"/>
    <w:rsid w:val="43CF88AE"/>
    <w:rsid w:val="43D20A48"/>
    <w:rsid w:val="43D55199"/>
    <w:rsid w:val="43D8632B"/>
    <w:rsid w:val="43DD2E85"/>
    <w:rsid w:val="43DEB4AE"/>
    <w:rsid w:val="43E164E6"/>
    <w:rsid w:val="43E1C841"/>
    <w:rsid w:val="43E316B6"/>
    <w:rsid w:val="43E70F41"/>
    <w:rsid w:val="43EEDB0C"/>
    <w:rsid w:val="440F0E4D"/>
    <w:rsid w:val="4413EC67"/>
    <w:rsid w:val="44175567"/>
    <w:rsid w:val="4419620C"/>
    <w:rsid w:val="441D654E"/>
    <w:rsid w:val="441E2435"/>
    <w:rsid w:val="4422CB8B"/>
    <w:rsid w:val="442B36FC"/>
    <w:rsid w:val="442CC1E8"/>
    <w:rsid w:val="442D67B9"/>
    <w:rsid w:val="44495838"/>
    <w:rsid w:val="445151BC"/>
    <w:rsid w:val="44531006"/>
    <w:rsid w:val="4454B749"/>
    <w:rsid w:val="44557B7B"/>
    <w:rsid w:val="44672C47"/>
    <w:rsid w:val="4468CABE"/>
    <w:rsid w:val="447017F8"/>
    <w:rsid w:val="44761D97"/>
    <w:rsid w:val="44830BAF"/>
    <w:rsid w:val="44906707"/>
    <w:rsid w:val="4490E83D"/>
    <w:rsid w:val="44A666F8"/>
    <w:rsid w:val="44B01DFC"/>
    <w:rsid w:val="44B4C58C"/>
    <w:rsid w:val="44B6B9C0"/>
    <w:rsid w:val="44C1CA48"/>
    <w:rsid w:val="44C6AE65"/>
    <w:rsid w:val="44C7A560"/>
    <w:rsid w:val="44D059DF"/>
    <w:rsid w:val="44D10100"/>
    <w:rsid w:val="44D17219"/>
    <w:rsid w:val="44E3BEEC"/>
    <w:rsid w:val="44EBC6D8"/>
    <w:rsid w:val="44F63233"/>
    <w:rsid w:val="44F8677D"/>
    <w:rsid w:val="44FA76C2"/>
    <w:rsid w:val="44FC89DE"/>
    <w:rsid w:val="45017F2B"/>
    <w:rsid w:val="4501B8A4"/>
    <w:rsid w:val="45031828"/>
    <w:rsid w:val="4503D1A7"/>
    <w:rsid w:val="450A1203"/>
    <w:rsid w:val="450DB81B"/>
    <w:rsid w:val="450F83EC"/>
    <w:rsid w:val="4510F78F"/>
    <w:rsid w:val="4511410A"/>
    <w:rsid w:val="451A0E9F"/>
    <w:rsid w:val="451B8976"/>
    <w:rsid w:val="4523A5E4"/>
    <w:rsid w:val="452400C0"/>
    <w:rsid w:val="452674A6"/>
    <w:rsid w:val="4527A0D4"/>
    <w:rsid w:val="45284AC4"/>
    <w:rsid w:val="452EBEA0"/>
    <w:rsid w:val="4531189B"/>
    <w:rsid w:val="45312D5E"/>
    <w:rsid w:val="453C7BB9"/>
    <w:rsid w:val="45444D6C"/>
    <w:rsid w:val="45497FFD"/>
    <w:rsid w:val="454D0B91"/>
    <w:rsid w:val="454FE5A6"/>
    <w:rsid w:val="455063BA"/>
    <w:rsid w:val="4550BBAA"/>
    <w:rsid w:val="455A3D96"/>
    <w:rsid w:val="455EB837"/>
    <w:rsid w:val="4561CAEA"/>
    <w:rsid w:val="456349DC"/>
    <w:rsid w:val="4573D06E"/>
    <w:rsid w:val="4583B6EF"/>
    <w:rsid w:val="4585147E"/>
    <w:rsid w:val="45855C08"/>
    <w:rsid w:val="4598F91B"/>
    <w:rsid w:val="459B83F6"/>
    <w:rsid w:val="45A57075"/>
    <w:rsid w:val="45A8A7FB"/>
    <w:rsid w:val="45AA4B3E"/>
    <w:rsid w:val="45B2BA23"/>
    <w:rsid w:val="45B30BD8"/>
    <w:rsid w:val="45B74BE9"/>
    <w:rsid w:val="45C73CB3"/>
    <w:rsid w:val="45C9E3C9"/>
    <w:rsid w:val="45D1CEA9"/>
    <w:rsid w:val="45DD1580"/>
    <w:rsid w:val="45DEB9B1"/>
    <w:rsid w:val="45DEC1EE"/>
    <w:rsid w:val="45E5D49B"/>
    <w:rsid w:val="45E73958"/>
    <w:rsid w:val="45EE0DF2"/>
    <w:rsid w:val="45F165BE"/>
    <w:rsid w:val="45F56BAA"/>
    <w:rsid w:val="45F86845"/>
    <w:rsid w:val="45FAF1B1"/>
    <w:rsid w:val="4617D2CA"/>
    <w:rsid w:val="46235887"/>
    <w:rsid w:val="4626D573"/>
    <w:rsid w:val="46281AD3"/>
    <w:rsid w:val="462DFCB6"/>
    <w:rsid w:val="4631A1BF"/>
    <w:rsid w:val="4633F161"/>
    <w:rsid w:val="4639642C"/>
    <w:rsid w:val="46481857"/>
    <w:rsid w:val="464A500D"/>
    <w:rsid w:val="465693A4"/>
    <w:rsid w:val="465749F3"/>
    <w:rsid w:val="46577BAB"/>
    <w:rsid w:val="4657E745"/>
    <w:rsid w:val="46585588"/>
    <w:rsid w:val="465AE5F8"/>
    <w:rsid w:val="465BD997"/>
    <w:rsid w:val="466E6FB5"/>
    <w:rsid w:val="466E8B11"/>
    <w:rsid w:val="4673C188"/>
    <w:rsid w:val="46796EBB"/>
    <w:rsid w:val="4684CC47"/>
    <w:rsid w:val="468B27B9"/>
    <w:rsid w:val="468CC60B"/>
    <w:rsid w:val="468DA1B2"/>
    <w:rsid w:val="468EA0D1"/>
    <w:rsid w:val="46931363"/>
    <w:rsid w:val="46945E56"/>
    <w:rsid w:val="469A8A2F"/>
    <w:rsid w:val="469BE871"/>
    <w:rsid w:val="469E6A4B"/>
    <w:rsid w:val="46AAD012"/>
    <w:rsid w:val="46AEC9E7"/>
    <w:rsid w:val="46B8E426"/>
    <w:rsid w:val="46BA8726"/>
    <w:rsid w:val="46BBD87A"/>
    <w:rsid w:val="46BDA46D"/>
    <w:rsid w:val="46C41324"/>
    <w:rsid w:val="46C451B5"/>
    <w:rsid w:val="46C48D32"/>
    <w:rsid w:val="46C9A286"/>
    <w:rsid w:val="46D10343"/>
    <w:rsid w:val="46D4D386"/>
    <w:rsid w:val="46D5ECDD"/>
    <w:rsid w:val="46E16D36"/>
    <w:rsid w:val="46F05A09"/>
    <w:rsid w:val="46F9F50D"/>
    <w:rsid w:val="4708F20A"/>
    <w:rsid w:val="4709323D"/>
    <w:rsid w:val="47095015"/>
    <w:rsid w:val="47155F79"/>
    <w:rsid w:val="471F8412"/>
    <w:rsid w:val="4721DDDF"/>
    <w:rsid w:val="472ED85B"/>
    <w:rsid w:val="472FDA35"/>
    <w:rsid w:val="473029F4"/>
    <w:rsid w:val="4733D435"/>
    <w:rsid w:val="473737ED"/>
    <w:rsid w:val="473A0C16"/>
    <w:rsid w:val="473ECF38"/>
    <w:rsid w:val="4746B044"/>
    <w:rsid w:val="4746CE41"/>
    <w:rsid w:val="4754B3A1"/>
    <w:rsid w:val="4758EEE6"/>
    <w:rsid w:val="4778F06F"/>
    <w:rsid w:val="4779BEBB"/>
    <w:rsid w:val="477B7E9D"/>
    <w:rsid w:val="477E05BC"/>
    <w:rsid w:val="477EA19D"/>
    <w:rsid w:val="477F205F"/>
    <w:rsid w:val="4783E4CA"/>
    <w:rsid w:val="47855DC5"/>
    <w:rsid w:val="478E35D2"/>
    <w:rsid w:val="4793CF4C"/>
    <w:rsid w:val="479779C3"/>
    <w:rsid w:val="47977FF3"/>
    <w:rsid w:val="479B876A"/>
    <w:rsid w:val="47A0390E"/>
    <w:rsid w:val="47A1BD04"/>
    <w:rsid w:val="47AC40CC"/>
    <w:rsid w:val="47CB0402"/>
    <w:rsid w:val="47D81192"/>
    <w:rsid w:val="47DDAB5B"/>
    <w:rsid w:val="47E6A307"/>
    <w:rsid w:val="47E909ED"/>
    <w:rsid w:val="47EC45F0"/>
    <w:rsid w:val="47EE71A7"/>
    <w:rsid w:val="47F9FAC1"/>
    <w:rsid w:val="4807DE6F"/>
    <w:rsid w:val="4809192B"/>
    <w:rsid w:val="480F0236"/>
    <w:rsid w:val="481E6103"/>
    <w:rsid w:val="4832CB87"/>
    <w:rsid w:val="483B3207"/>
    <w:rsid w:val="483CDEB1"/>
    <w:rsid w:val="483DAA00"/>
    <w:rsid w:val="483E95DC"/>
    <w:rsid w:val="483F027D"/>
    <w:rsid w:val="48405EA0"/>
    <w:rsid w:val="4842DCCD"/>
    <w:rsid w:val="48445BA4"/>
    <w:rsid w:val="4851E36E"/>
    <w:rsid w:val="4855A7F2"/>
    <w:rsid w:val="485A6D93"/>
    <w:rsid w:val="485C59DB"/>
    <w:rsid w:val="485DD286"/>
    <w:rsid w:val="4866A1FA"/>
    <w:rsid w:val="4869EA67"/>
    <w:rsid w:val="486CF01A"/>
    <w:rsid w:val="4873FD86"/>
    <w:rsid w:val="4874DA56"/>
    <w:rsid w:val="4874E30D"/>
    <w:rsid w:val="48761A3B"/>
    <w:rsid w:val="487835DF"/>
    <w:rsid w:val="487990A2"/>
    <w:rsid w:val="487FC402"/>
    <w:rsid w:val="48864EC2"/>
    <w:rsid w:val="48870303"/>
    <w:rsid w:val="48893427"/>
    <w:rsid w:val="488EBE87"/>
    <w:rsid w:val="489EEAC4"/>
    <w:rsid w:val="48A35C71"/>
    <w:rsid w:val="48A5CD22"/>
    <w:rsid w:val="48A820D5"/>
    <w:rsid w:val="48AD8BAA"/>
    <w:rsid w:val="48B0982A"/>
    <w:rsid w:val="48BCBE7C"/>
    <w:rsid w:val="48BD2EC2"/>
    <w:rsid w:val="48C338E0"/>
    <w:rsid w:val="48C45533"/>
    <w:rsid w:val="48C707B9"/>
    <w:rsid w:val="48CB16C7"/>
    <w:rsid w:val="48D15696"/>
    <w:rsid w:val="48D688C6"/>
    <w:rsid w:val="48D6B219"/>
    <w:rsid w:val="48E6531B"/>
    <w:rsid w:val="48EBE3CE"/>
    <w:rsid w:val="4900FB91"/>
    <w:rsid w:val="49051F4A"/>
    <w:rsid w:val="4905E234"/>
    <w:rsid w:val="49060CE1"/>
    <w:rsid w:val="4908CE78"/>
    <w:rsid w:val="490A3C78"/>
    <w:rsid w:val="490CDD90"/>
    <w:rsid w:val="4919E535"/>
    <w:rsid w:val="491A9110"/>
    <w:rsid w:val="491CB68A"/>
    <w:rsid w:val="491D3D47"/>
    <w:rsid w:val="4920A05A"/>
    <w:rsid w:val="4923752B"/>
    <w:rsid w:val="4929995E"/>
    <w:rsid w:val="493D7E35"/>
    <w:rsid w:val="493E6EF0"/>
    <w:rsid w:val="493E9FF4"/>
    <w:rsid w:val="4947960C"/>
    <w:rsid w:val="4947B9AE"/>
    <w:rsid w:val="494AEDF3"/>
    <w:rsid w:val="494B0537"/>
    <w:rsid w:val="494CFBE6"/>
    <w:rsid w:val="494D68A4"/>
    <w:rsid w:val="4952514A"/>
    <w:rsid w:val="49540B07"/>
    <w:rsid w:val="49580932"/>
    <w:rsid w:val="4958E11B"/>
    <w:rsid w:val="49598A7B"/>
    <w:rsid w:val="496111C7"/>
    <w:rsid w:val="4961B780"/>
    <w:rsid w:val="49686A2F"/>
    <w:rsid w:val="496B2FAC"/>
    <w:rsid w:val="496E25ED"/>
    <w:rsid w:val="4971EEEE"/>
    <w:rsid w:val="4979AEFE"/>
    <w:rsid w:val="4983DE33"/>
    <w:rsid w:val="4988F14F"/>
    <w:rsid w:val="498DA6A7"/>
    <w:rsid w:val="498FABC6"/>
    <w:rsid w:val="49904D10"/>
    <w:rsid w:val="4991B677"/>
    <w:rsid w:val="49951234"/>
    <w:rsid w:val="499BCE04"/>
    <w:rsid w:val="49A626CF"/>
    <w:rsid w:val="49A7D248"/>
    <w:rsid w:val="49B35117"/>
    <w:rsid w:val="49B649BD"/>
    <w:rsid w:val="49C79AF7"/>
    <w:rsid w:val="49C8CB49"/>
    <w:rsid w:val="49D0058F"/>
    <w:rsid w:val="49D02B5F"/>
    <w:rsid w:val="49D46ABF"/>
    <w:rsid w:val="49D7599E"/>
    <w:rsid w:val="49D83D7A"/>
    <w:rsid w:val="49DE3AAC"/>
    <w:rsid w:val="49E32A45"/>
    <w:rsid w:val="49E547FD"/>
    <w:rsid w:val="49E8D2AF"/>
    <w:rsid w:val="49E9E1C7"/>
    <w:rsid w:val="49EE9759"/>
    <w:rsid w:val="49EEA3C9"/>
    <w:rsid w:val="49EEEA80"/>
    <w:rsid w:val="49EF8B7C"/>
    <w:rsid w:val="49F2AECB"/>
    <w:rsid w:val="49F2E417"/>
    <w:rsid w:val="49F43E67"/>
    <w:rsid w:val="4A090935"/>
    <w:rsid w:val="4A0B33F5"/>
    <w:rsid w:val="4A11E05B"/>
    <w:rsid w:val="4A1405C4"/>
    <w:rsid w:val="4A1614BB"/>
    <w:rsid w:val="4A16AB21"/>
    <w:rsid w:val="4A26730A"/>
    <w:rsid w:val="4A27F91E"/>
    <w:rsid w:val="4A2B68DD"/>
    <w:rsid w:val="4A3499A3"/>
    <w:rsid w:val="4A371843"/>
    <w:rsid w:val="4A3C6116"/>
    <w:rsid w:val="4A3D9A1D"/>
    <w:rsid w:val="4A445A7C"/>
    <w:rsid w:val="4A45BD10"/>
    <w:rsid w:val="4A46EB04"/>
    <w:rsid w:val="4A4B7D8E"/>
    <w:rsid w:val="4A51AFBA"/>
    <w:rsid w:val="4A56D14F"/>
    <w:rsid w:val="4A5B8A76"/>
    <w:rsid w:val="4A5C7A4C"/>
    <w:rsid w:val="4A6052EE"/>
    <w:rsid w:val="4A682EC9"/>
    <w:rsid w:val="4A68D8A0"/>
    <w:rsid w:val="4A70E9E7"/>
    <w:rsid w:val="4A761131"/>
    <w:rsid w:val="4A7BEB7D"/>
    <w:rsid w:val="4A819F7F"/>
    <w:rsid w:val="4A821F82"/>
    <w:rsid w:val="4A848E34"/>
    <w:rsid w:val="4A875519"/>
    <w:rsid w:val="4A8D890B"/>
    <w:rsid w:val="4A966ED7"/>
    <w:rsid w:val="4A97980C"/>
    <w:rsid w:val="4A989AE5"/>
    <w:rsid w:val="4A98E377"/>
    <w:rsid w:val="4A997596"/>
    <w:rsid w:val="4A9D9AE5"/>
    <w:rsid w:val="4A9E0EA7"/>
    <w:rsid w:val="4AA1632C"/>
    <w:rsid w:val="4AA23D50"/>
    <w:rsid w:val="4AA7D1FC"/>
    <w:rsid w:val="4AAA6938"/>
    <w:rsid w:val="4AADA0B3"/>
    <w:rsid w:val="4AB1FBD2"/>
    <w:rsid w:val="4AB751D0"/>
    <w:rsid w:val="4AB7B8B7"/>
    <w:rsid w:val="4ABB05B3"/>
    <w:rsid w:val="4AC28E1D"/>
    <w:rsid w:val="4AC2B8DD"/>
    <w:rsid w:val="4AC62466"/>
    <w:rsid w:val="4AC88CF7"/>
    <w:rsid w:val="4AD15649"/>
    <w:rsid w:val="4AD20BCA"/>
    <w:rsid w:val="4AD24473"/>
    <w:rsid w:val="4AD9E62B"/>
    <w:rsid w:val="4AEA8728"/>
    <w:rsid w:val="4AEEC2D9"/>
    <w:rsid w:val="4AF05F95"/>
    <w:rsid w:val="4AF38CFB"/>
    <w:rsid w:val="4B0137DE"/>
    <w:rsid w:val="4B095432"/>
    <w:rsid w:val="4B0E8674"/>
    <w:rsid w:val="4B0F39B7"/>
    <w:rsid w:val="4B0F58BB"/>
    <w:rsid w:val="4B1D8F79"/>
    <w:rsid w:val="4B1F09DD"/>
    <w:rsid w:val="4B22EBA3"/>
    <w:rsid w:val="4B2361F1"/>
    <w:rsid w:val="4B262FDF"/>
    <w:rsid w:val="4B2EFF84"/>
    <w:rsid w:val="4B310EB1"/>
    <w:rsid w:val="4B322019"/>
    <w:rsid w:val="4B3F68B8"/>
    <w:rsid w:val="4B3FF3DD"/>
    <w:rsid w:val="4B4371F2"/>
    <w:rsid w:val="4B45FB67"/>
    <w:rsid w:val="4B494A9B"/>
    <w:rsid w:val="4B4AFA21"/>
    <w:rsid w:val="4B58D5F4"/>
    <w:rsid w:val="4B5D8588"/>
    <w:rsid w:val="4B6E52E2"/>
    <w:rsid w:val="4B774B3B"/>
    <w:rsid w:val="4B7834EC"/>
    <w:rsid w:val="4B7E7F75"/>
    <w:rsid w:val="4B8B627F"/>
    <w:rsid w:val="4B90FFA0"/>
    <w:rsid w:val="4B9221E2"/>
    <w:rsid w:val="4B9B5312"/>
    <w:rsid w:val="4BA2DAC7"/>
    <w:rsid w:val="4BA34D0E"/>
    <w:rsid w:val="4BA80FA9"/>
    <w:rsid w:val="4BAB874A"/>
    <w:rsid w:val="4BB051F2"/>
    <w:rsid w:val="4BBBE434"/>
    <w:rsid w:val="4BBBEC89"/>
    <w:rsid w:val="4BBEDE9C"/>
    <w:rsid w:val="4BC0CF51"/>
    <w:rsid w:val="4BC150EF"/>
    <w:rsid w:val="4BC18F21"/>
    <w:rsid w:val="4BC1BDF3"/>
    <w:rsid w:val="4BC591C3"/>
    <w:rsid w:val="4BC7E4DE"/>
    <w:rsid w:val="4BCF943E"/>
    <w:rsid w:val="4BD3BF8A"/>
    <w:rsid w:val="4BD7D8AB"/>
    <w:rsid w:val="4BD81C80"/>
    <w:rsid w:val="4BDC0D2A"/>
    <w:rsid w:val="4BE15338"/>
    <w:rsid w:val="4BE3032E"/>
    <w:rsid w:val="4BEB3C74"/>
    <w:rsid w:val="4BEB3F76"/>
    <w:rsid w:val="4BEB6D9C"/>
    <w:rsid w:val="4BED36D2"/>
    <w:rsid w:val="4BEDE647"/>
    <w:rsid w:val="4BF280D7"/>
    <w:rsid w:val="4BF2FB4D"/>
    <w:rsid w:val="4BF4E21C"/>
    <w:rsid w:val="4BFBE8B5"/>
    <w:rsid w:val="4BFF47AC"/>
    <w:rsid w:val="4C00616E"/>
    <w:rsid w:val="4C03F46C"/>
    <w:rsid w:val="4C06341F"/>
    <w:rsid w:val="4C0BD02F"/>
    <w:rsid w:val="4C0DE6A6"/>
    <w:rsid w:val="4C116FB0"/>
    <w:rsid w:val="4C20C5D7"/>
    <w:rsid w:val="4C23499A"/>
    <w:rsid w:val="4C2D19B2"/>
    <w:rsid w:val="4C31FE7C"/>
    <w:rsid w:val="4C39E285"/>
    <w:rsid w:val="4C3C69E7"/>
    <w:rsid w:val="4C3CFE6E"/>
    <w:rsid w:val="4C3F8CC6"/>
    <w:rsid w:val="4C480A7A"/>
    <w:rsid w:val="4C4E6510"/>
    <w:rsid w:val="4C4F854D"/>
    <w:rsid w:val="4C55AF7D"/>
    <w:rsid w:val="4C57AD87"/>
    <w:rsid w:val="4C5AEA1E"/>
    <w:rsid w:val="4C635F8D"/>
    <w:rsid w:val="4C64D5A9"/>
    <w:rsid w:val="4C6A520E"/>
    <w:rsid w:val="4C6DD461"/>
    <w:rsid w:val="4C7373D6"/>
    <w:rsid w:val="4C84942F"/>
    <w:rsid w:val="4C93FD9F"/>
    <w:rsid w:val="4C942ED4"/>
    <w:rsid w:val="4C9492C7"/>
    <w:rsid w:val="4C9B5F64"/>
    <w:rsid w:val="4C9B601F"/>
    <w:rsid w:val="4C9D570B"/>
    <w:rsid w:val="4C9D6087"/>
    <w:rsid w:val="4C9E3A5C"/>
    <w:rsid w:val="4CA293E9"/>
    <w:rsid w:val="4CAA5487"/>
    <w:rsid w:val="4CAF4473"/>
    <w:rsid w:val="4CB7EAAB"/>
    <w:rsid w:val="4CBB63B4"/>
    <w:rsid w:val="4CBCCC35"/>
    <w:rsid w:val="4CBCD346"/>
    <w:rsid w:val="4CC0DDB3"/>
    <w:rsid w:val="4CC4589B"/>
    <w:rsid w:val="4CC597AA"/>
    <w:rsid w:val="4CC6C7EE"/>
    <w:rsid w:val="4CC83811"/>
    <w:rsid w:val="4CCD106A"/>
    <w:rsid w:val="4CD07674"/>
    <w:rsid w:val="4CD24745"/>
    <w:rsid w:val="4CDC43C6"/>
    <w:rsid w:val="4CEE4EE9"/>
    <w:rsid w:val="4CEF9A1E"/>
    <w:rsid w:val="4D08972D"/>
    <w:rsid w:val="4D0EF518"/>
    <w:rsid w:val="4D14C38D"/>
    <w:rsid w:val="4D1FCB12"/>
    <w:rsid w:val="4D208B58"/>
    <w:rsid w:val="4D28A16F"/>
    <w:rsid w:val="4D29718B"/>
    <w:rsid w:val="4D39A957"/>
    <w:rsid w:val="4D3CBC45"/>
    <w:rsid w:val="4D42C5A8"/>
    <w:rsid w:val="4D4A39B0"/>
    <w:rsid w:val="4D4D2C30"/>
    <w:rsid w:val="4D50DD75"/>
    <w:rsid w:val="4D54A6CF"/>
    <w:rsid w:val="4D62200C"/>
    <w:rsid w:val="4D62A31A"/>
    <w:rsid w:val="4D6E43E1"/>
    <w:rsid w:val="4D7D2E82"/>
    <w:rsid w:val="4D8B9CF2"/>
    <w:rsid w:val="4DAB565A"/>
    <w:rsid w:val="4DB7BDA0"/>
    <w:rsid w:val="4DCBB154"/>
    <w:rsid w:val="4DCE1741"/>
    <w:rsid w:val="4DD23020"/>
    <w:rsid w:val="4DD4BA09"/>
    <w:rsid w:val="4DE182A3"/>
    <w:rsid w:val="4DE2CFAE"/>
    <w:rsid w:val="4DEDC584"/>
    <w:rsid w:val="4DF82CC1"/>
    <w:rsid w:val="4E027184"/>
    <w:rsid w:val="4E078A0C"/>
    <w:rsid w:val="4E0DF8F7"/>
    <w:rsid w:val="4E188EE7"/>
    <w:rsid w:val="4E1B3A07"/>
    <w:rsid w:val="4E216FB4"/>
    <w:rsid w:val="4E26FCA9"/>
    <w:rsid w:val="4E28179A"/>
    <w:rsid w:val="4E294A43"/>
    <w:rsid w:val="4E2C4A39"/>
    <w:rsid w:val="4E2F7FB1"/>
    <w:rsid w:val="4E34ACF6"/>
    <w:rsid w:val="4E39F55E"/>
    <w:rsid w:val="4E3A16F5"/>
    <w:rsid w:val="4E3D5852"/>
    <w:rsid w:val="4E3DAAC9"/>
    <w:rsid w:val="4E40B52A"/>
    <w:rsid w:val="4E4AC859"/>
    <w:rsid w:val="4E5730D9"/>
    <w:rsid w:val="4E5A84FE"/>
    <w:rsid w:val="4E5B8CC8"/>
    <w:rsid w:val="4E609D6D"/>
    <w:rsid w:val="4E637B84"/>
    <w:rsid w:val="4E65FFED"/>
    <w:rsid w:val="4E66963B"/>
    <w:rsid w:val="4E70CBA6"/>
    <w:rsid w:val="4E77D643"/>
    <w:rsid w:val="4E7D30C2"/>
    <w:rsid w:val="4E8E2381"/>
    <w:rsid w:val="4E8E9620"/>
    <w:rsid w:val="4E955CE7"/>
    <w:rsid w:val="4E9B2C04"/>
    <w:rsid w:val="4E9B67E7"/>
    <w:rsid w:val="4EA75169"/>
    <w:rsid w:val="4EAC92F5"/>
    <w:rsid w:val="4EAE994F"/>
    <w:rsid w:val="4EB4EFA5"/>
    <w:rsid w:val="4EB878B1"/>
    <w:rsid w:val="4EB973BB"/>
    <w:rsid w:val="4EC5655C"/>
    <w:rsid w:val="4ECBD9B2"/>
    <w:rsid w:val="4ECE6C7A"/>
    <w:rsid w:val="4ED5B2E9"/>
    <w:rsid w:val="4ED99A07"/>
    <w:rsid w:val="4EDCDAF8"/>
    <w:rsid w:val="4EE13FCE"/>
    <w:rsid w:val="4EE28653"/>
    <w:rsid w:val="4EEC3E66"/>
    <w:rsid w:val="4EF0CDBC"/>
    <w:rsid w:val="4EF69364"/>
    <w:rsid w:val="4EF9E668"/>
    <w:rsid w:val="4F029570"/>
    <w:rsid w:val="4F07DFC0"/>
    <w:rsid w:val="4F0E7E8D"/>
    <w:rsid w:val="4F0F9A4A"/>
    <w:rsid w:val="4F11E9E4"/>
    <w:rsid w:val="4F149773"/>
    <w:rsid w:val="4F14E676"/>
    <w:rsid w:val="4F1A2E6D"/>
    <w:rsid w:val="4F2658F8"/>
    <w:rsid w:val="4F268EB5"/>
    <w:rsid w:val="4F2795E6"/>
    <w:rsid w:val="4F297B64"/>
    <w:rsid w:val="4F2F4E8D"/>
    <w:rsid w:val="4F3D5D39"/>
    <w:rsid w:val="4F496D52"/>
    <w:rsid w:val="4F49E94A"/>
    <w:rsid w:val="4F564197"/>
    <w:rsid w:val="4F592499"/>
    <w:rsid w:val="4F5A0225"/>
    <w:rsid w:val="4F5DDD2C"/>
    <w:rsid w:val="4F633A9F"/>
    <w:rsid w:val="4F6C1446"/>
    <w:rsid w:val="4F6E8D6E"/>
    <w:rsid w:val="4F84B67F"/>
    <w:rsid w:val="4F8643B7"/>
    <w:rsid w:val="4F88FFE8"/>
    <w:rsid w:val="4F97B7B8"/>
    <w:rsid w:val="4F9B323A"/>
    <w:rsid w:val="4FAED96E"/>
    <w:rsid w:val="4FB9DA71"/>
    <w:rsid w:val="4FBCDCD0"/>
    <w:rsid w:val="4FC36CB9"/>
    <w:rsid w:val="4FC44CBF"/>
    <w:rsid w:val="4FC58478"/>
    <w:rsid w:val="4FCEEFED"/>
    <w:rsid w:val="4FCFB9C9"/>
    <w:rsid w:val="4FD044CD"/>
    <w:rsid w:val="4FDBEB97"/>
    <w:rsid w:val="4FDC88BD"/>
    <w:rsid w:val="4FE2620B"/>
    <w:rsid w:val="4FEE6766"/>
    <w:rsid w:val="4FF10035"/>
    <w:rsid w:val="4FF353C0"/>
    <w:rsid w:val="4FF8EBE7"/>
    <w:rsid w:val="4FFEFEE3"/>
    <w:rsid w:val="5001DDC7"/>
    <w:rsid w:val="50036A6B"/>
    <w:rsid w:val="50048F17"/>
    <w:rsid w:val="501653FD"/>
    <w:rsid w:val="5016AC0F"/>
    <w:rsid w:val="501B1553"/>
    <w:rsid w:val="50231C0C"/>
    <w:rsid w:val="5023DA92"/>
    <w:rsid w:val="503555D0"/>
    <w:rsid w:val="503E11F2"/>
    <w:rsid w:val="503F5CF0"/>
    <w:rsid w:val="50406C4D"/>
    <w:rsid w:val="50444A62"/>
    <w:rsid w:val="5044B528"/>
    <w:rsid w:val="50570CF0"/>
    <w:rsid w:val="505F07EF"/>
    <w:rsid w:val="50615BDC"/>
    <w:rsid w:val="5061924E"/>
    <w:rsid w:val="5065448E"/>
    <w:rsid w:val="5065EF8D"/>
    <w:rsid w:val="5067E595"/>
    <w:rsid w:val="50694146"/>
    <w:rsid w:val="507BD077"/>
    <w:rsid w:val="507CAB4F"/>
    <w:rsid w:val="507E2665"/>
    <w:rsid w:val="507E6108"/>
    <w:rsid w:val="5084258A"/>
    <w:rsid w:val="5089C476"/>
    <w:rsid w:val="508DEBD3"/>
    <w:rsid w:val="50997460"/>
    <w:rsid w:val="509DEDBB"/>
    <w:rsid w:val="50A216E4"/>
    <w:rsid w:val="50A34C68"/>
    <w:rsid w:val="50ACF99D"/>
    <w:rsid w:val="50B2CBE5"/>
    <w:rsid w:val="50B56049"/>
    <w:rsid w:val="50C5A8DF"/>
    <w:rsid w:val="50CE09C3"/>
    <w:rsid w:val="50D0154E"/>
    <w:rsid w:val="50D375C9"/>
    <w:rsid w:val="50D474AC"/>
    <w:rsid w:val="50D7EB83"/>
    <w:rsid w:val="50D9A631"/>
    <w:rsid w:val="50DE730B"/>
    <w:rsid w:val="50DFFE5A"/>
    <w:rsid w:val="50FDFC80"/>
    <w:rsid w:val="5103DBA0"/>
    <w:rsid w:val="51043192"/>
    <w:rsid w:val="510B0826"/>
    <w:rsid w:val="510DD31F"/>
    <w:rsid w:val="511B4561"/>
    <w:rsid w:val="511C4C18"/>
    <w:rsid w:val="51223457"/>
    <w:rsid w:val="512870A0"/>
    <w:rsid w:val="512BFDEE"/>
    <w:rsid w:val="512CCAB2"/>
    <w:rsid w:val="512CEDCE"/>
    <w:rsid w:val="512FA69E"/>
    <w:rsid w:val="513ADD57"/>
    <w:rsid w:val="513C05F0"/>
    <w:rsid w:val="514495DA"/>
    <w:rsid w:val="51477CA1"/>
    <w:rsid w:val="5152806B"/>
    <w:rsid w:val="51531BF8"/>
    <w:rsid w:val="515F165A"/>
    <w:rsid w:val="516EB8CE"/>
    <w:rsid w:val="51705F4E"/>
    <w:rsid w:val="51782224"/>
    <w:rsid w:val="517BE93E"/>
    <w:rsid w:val="517E10EC"/>
    <w:rsid w:val="51868475"/>
    <w:rsid w:val="51977747"/>
    <w:rsid w:val="51A153C0"/>
    <w:rsid w:val="51BA0996"/>
    <w:rsid w:val="51BDD071"/>
    <w:rsid w:val="51C61719"/>
    <w:rsid w:val="51CBDCA3"/>
    <w:rsid w:val="51CEAD7A"/>
    <w:rsid w:val="51D395E1"/>
    <w:rsid w:val="51DAA520"/>
    <w:rsid w:val="51DAF369"/>
    <w:rsid w:val="51DC68AD"/>
    <w:rsid w:val="51DE0063"/>
    <w:rsid w:val="51DE482F"/>
    <w:rsid w:val="51E248E5"/>
    <w:rsid w:val="51E4C141"/>
    <w:rsid w:val="51E7162A"/>
    <w:rsid w:val="51E7884A"/>
    <w:rsid w:val="51F7CFD1"/>
    <w:rsid w:val="51FEDDE1"/>
    <w:rsid w:val="5212107A"/>
    <w:rsid w:val="5217B49A"/>
    <w:rsid w:val="5219117E"/>
    <w:rsid w:val="52239E94"/>
    <w:rsid w:val="522422C5"/>
    <w:rsid w:val="5226A7E3"/>
    <w:rsid w:val="522B9CA4"/>
    <w:rsid w:val="522CBC65"/>
    <w:rsid w:val="52383073"/>
    <w:rsid w:val="523B8D62"/>
    <w:rsid w:val="5251818D"/>
    <w:rsid w:val="5251F00D"/>
    <w:rsid w:val="525D5ED0"/>
    <w:rsid w:val="525EE497"/>
    <w:rsid w:val="52641581"/>
    <w:rsid w:val="527D9A0F"/>
    <w:rsid w:val="5280D71C"/>
    <w:rsid w:val="5280E993"/>
    <w:rsid w:val="52840494"/>
    <w:rsid w:val="52848582"/>
    <w:rsid w:val="5287DF2F"/>
    <w:rsid w:val="52890313"/>
    <w:rsid w:val="528C596C"/>
    <w:rsid w:val="5290D3CD"/>
    <w:rsid w:val="529B32D1"/>
    <w:rsid w:val="52AFAF0D"/>
    <w:rsid w:val="52B340B3"/>
    <w:rsid w:val="52B879BD"/>
    <w:rsid w:val="52BF2A4E"/>
    <w:rsid w:val="52C77075"/>
    <w:rsid w:val="52D0CAD5"/>
    <w:rsid w:val="52D41F6C"/>
    <w:rsid w:val="52D4E73B"/>
    <w:rsid w:val="52D8260F"/>
    <w:rsid w:val="52DCF453"/>
    <w:rsid w:val="52EA3B0F"/>
    <w:rsid w:val="52F21A83"/>
    <w:rsid w:val="52F625E1"/>
    <w:rsid w:val="52F83890"/>
    <w:rsid w:val="530091EB"/>
    <w:rsid w:val="53017F44"/>
    <w:rsid w:val="5303881D"/>
    <w:rsid w:val="531CD4EA"/>
    <w:rsid w:val="531F581E"/>
    <w:rsid w:val="531FE240"/>
    <w:rsid w:val="5330674C"/>
    <w:rsid w:val="533453A5"/>
    <w:rsid w:val="5336A78A"/>
    <w:rsid w:val="533DF6E2"/>
    <w:rsid w:val="5341CB8B"/>
    <w:rsid w:val="53428828"/>
    <w:rsid w:val="5348B5B9"/>
    <w:rsid w:val="534D9639"/>
    <w:rsid w:val="53532EF7"/>
    <w:rsid w:val="535CEE76"/>
    <w:rsid w:val="53656CD1"/>
    <w:rsid w:val="536C82FD"/>
    <w:rsid w:val="53762D42"/>
    <w:rsid w:val="5379AA82"/>
    <w:rsid w:val="538AEEB4"/>
    <w:rsid w:val="53979F58"/>
    <w:rsid w:val="539F2762"/>
    <w:rsid w:val="53A28DF6"/>
    <w:rsid w:val="53A7B944"/>
    <w:rsid w:val="53B100F7"/>
    <w:rsid w:val="53C3FEA7"/>
    <w:rsid w:val="53CF3076"/>
    <w:rsid w:val="53D631D3"/>
    <w:rsid w:val="53E3635A"/>
    <w:rsid w:val="53E6A59B"/>
    <w:rsid w:val="53EBD8D4"/>
    <w:rsid w:val="53F311B6"/>
    <w:rsid w:val="53FA6011"/>
    <w:rsid w:val="540A4FDC"/>
    <w:rsid w:val="540EEE08"/>
    <w:rsid w:val="54205153"/>
    <w:rsid w:val="5421828C"/>
    <w:rsid w:val="543254A1"/>
    <w:rsid w:val="543DCB26"/>
    <w:rsid w:val="5440ECB5"/>
    <w:rsid w:val="5442F370"/>
    <w:rsid w:val="5447ED27"/>
    <w:rsid w:val="545F1DC3"/>
    <w:rsid w:val="5465B65E"/>
    <w:rsid w:val="546F49AC"/>
    <w:rsid w:val="547B08BE"/>
    <w:rsid w:val="547B1654"/>
    <w:rsid w:val="5482365F"/>
    <w:rsid w:val="54841ACB"/>
    <w:rsid w:val="548B2451"/>
    <w:rsid w:val="5491DC40"/>
    <w:rsid w:val="549263E1"/>
    <w:rsid w:val="54A0C715"/>
    <w:rsid w:val="54A76632"/>
    <w:rsid w:val="54A91C79"/>
    <w:rsid w:val="54AC818F"/>
    <w:rsid w:val="54B2C2C6"/>
    <w:rsid w:val="54B47DC0"/>
    <w:rsid w:val="54B5A803"/>
    <w:rsid w:val="54C0A5DF"/>
    <w:rsid w:val="54C56B6B"/>
    <w:rsid w:val="54C75719"/>
    <w:rsid w:val="54CE73C2"/>
    <w:rsid w:val="54D3B99A"/>
    <w:rsid w:val="54DABDDC"/>
    <w:rsid w:val="54DE84F5"/>
    <w:rsid w:val="54E1BCFA"/>
    <w:rsid w:val="54E344DB"/>
    <w:rsid w:val="54E4508B"/>
    <w:rsid w:val="54E62332"/>
    <w:rsid w:val="54E84A1F"/>
    <w:rsid w:val="54E98180"/>
    <w:rsid w:val="54EA8BA9"/>
    <w:rsid w:val="54EBFB8C"/>
    <w:rsid w:val="54EBFF21"/>
    <w:rsid w:val="54EE9145"/>
    <w:rsid w:val="54EED4C9"/>
    <w:rsid w:val="54F25819"/>
    <w:rsid w:val="54FA6820"/>
    <w:rsid w:val="54FBA976"/>
    <w:rsid w:val="54FC8361"/>
    <w:rsid w:val="55049024"/>
    <w:rsid w:val="5508AFA5"/>
    <w:rsid w:val="550A7BE2"/>
    <w:rsid w:val="551338C7"/>
    <w:rsid w:val="55165F6F"/>
    <w:rsid w:val="551C34DE"/>
    <w:rsid w:val="552A26C1"/>
    <w:rsid w:val="55468196"/>
    <w:rsid w:val="555816DB"/>
    <w:rsid w:val="555C3EA7"/>
    <w:rsid w:val="5565A2AE"/>
    <w:rsid w:val="5566E58D"/>
    <w:rsid w:val="5567D315"/>
    <w:rsid w:val="5569E30D"/>
    <w:rsid w:val="5587178D"/>
    <w:rsid w:val="5587D8B4"/>
    <w:rsid w:val="559BBFA4"/>
    <w:rsid w:val="559D5E7A"/>
    <w:rsid w:val="559E61A6"/>
    <w:rsid w:val="55A0A4AA"/>
    <w:rsid w:val="55A11508"/>
    <w:rsid w:val="55A18DB1"/>
    <w:rsid w:val="55A3FEBA"/>
    <w:rsid w:val="55A79067"/>
    <w:rsid w:val="55A7D37B"/>
    <w:rsid w:val="55AB5C1E"/>
    <w:rsid w:val="55AD568E"/>
    <w:rsid w:val="55B3633E"/>
    <w:rsid w:val="55B47067"/>
    <w:rsid w:val="55B5FEA8"/>
    <w:rsid w:val="55B80DA6"/>
    <w:rsid w:val="55BCD479"/>
    <w:rsid w:val="55C4AE6A"/>
    <w:rsid w:val="55CAC81C"/>
    <w:rsid w:val="55CB9211"/>
    <w:rsid w:val="55D01A50"/>
    <w:rsid w:val="55D4838D"/>
    <w:rsid w:val="55DA4EFA"/>
    <w:rsid w:val="55DBFFDB"/>
    <w:rsid w:val="55E04052"/>
    <w:rsid w:val="55ECAA69"/>
    <w:rsid w:val="55F0E08C"/>
    <w:rsid w:val="55F74430"/>
    <w:rsid w:val="55FBEE2D"/>
    <w:rsid w:val="560C2B1C"/>
    <w:rsid w:val="5611C884"/>
    <w:rsid w:val="5617F4E5"/>
    <w:rsid w:val="562113AF"/>
    <w:rsid w:val="562792AF"/>
    <w:rsid w:val="5629C83D"/>
    <w:rsid w:val="5629DA63"/>
    <w:rsid w:val="562C7269"/>
    <w:rsid w:val="562D04CF"/>
    <w:rsid w:val="562EE8C6"/>
    <w:rsid w:val="562F193F"/>
    <w:rsid w:val="563D1920"/>
    <w:rsid w:val="5640EC81"/>
    <w:rsid w:val="5641248F"/>
    <w:rsid w:val="5642FF0D"/>
    <w:rsid w:val="56490A1F"/>
    <w:rsid w:val="564AB057"/>
    <w:rsid w:val="564E648B"/>
    <w:rsid w:val="565C160D"/>
    <w:rsid w:val="565E26D8"/>
    <w:rsid w:val="565EC7A4"/>
    <w:rsid w:val="565F184B"/>
    <w:rsid w:val="5668AF2E"/>
    <w:rsid w:val="566C2532"/>
    <w:rsid w:val="566C4E80"/>
    <w:rsid w:val="5673D7A9"/>
    <w:rsid w:val="5675876E"/>
    <w:rsid w:val="5675E184"/>
    <w:rsid w:val="567645E4"/>
    <w:rsid w:val="56764F8A"/>
    <w:rsid w:val="56773AAC"/>
    <w:rsid w:val="567D4C1A"/>
    <w:rsid w:val="56897F88"/>
    <w:rsid w:val="568A91AC"/>
    <w:rsid w:val="568FC9F4"/>
    <w:rsid w:val="5692AB0E"/>
    <w:rsid w:val="56931675"/>
    <w:rsid w:val="56968A54"/>
    <w:rsid w:val="56A366C9"/>
    <w:rsid w:val="56B04168"/>
    <w:rsid w:val="56B047F5"/>
    <w:rsid w:val="56B4BAB5"/>
    <w:rsid w:val="56B53F8D"/>
    <w:rsid w:val="56B60637"/>
    <w:rsid w:val="56BA2554"/>
    <w:rsid w:val="56C30332"/>
    <w:rsid w:val="56C3BB61"/>
    <w:rsid w:val="56C4C14E"/>
    <w:rsid w:val="56CA190D"/>
    <w:rsid w:val="56CCE9C0"/>
    <w:rsid w:val="56CF487A"/>
    <w:rsid w:val="56D45093"/>
    <w:rsid w:val="56DDDEC3"/>
    <w:rsid w:val="56DF44A4"/>
    <w:rsid w:val="56E4ECBE"/>
    <w:rsid w:val="56E58941"/>
    <w:rsid w:val="56E82222"/>
    <w:rsid w:val="56EC5A19"/>
    <w:rsid w:val="56FE6A72"/>
    <w:rsid w:val="5703A543"/>
    <w:rsid w:val="57055EDC"/>
    <w:rsid w:val="570ACC3B"/>
    <w:rsid w:val="570D9868"/>
    <w:rsid w:val="570DA124"/>
    <w:rsid w:val="57102790"/>
    <w:rsid w:val="57118B88"/>
    <w:rsid w:val="572271B6"/>
    <w:rsid w:val="5728070F"/>
    <w:rsid w:val="5735FB75"/>
    <w:rsid w:val="574969A1"/>
    <w:rsid w:val="574F5405"/>
    <w:rsid w:val="574F92F4"/>
    <w:rsid w:val="5753CAE0"/>
    <w:rsid w:val="575BE469"/>
    <w:rsid w:val="575DBD74"/>
    <w:rsid w:val="57675894"/>
    <w:rsid w:val="576AEF66"/>
    <w:rsid w:val="57770B98"/>
    <w:rsid w:val="578BCD4F"/>
    <w:rsid w:val="578DAEFC"/>
    <w:rsid w:val="579268DF"/>
    <w:rsid w:val="579BF5D9"/>
    <w:rsid w:val="579D7027"/>
    <w:rsid w:val="57A039AB"/>
    <w:rsid w:val="57A31262"/>
    <w:rsid w:val="57A3244A"/>
    <w:rsid w:val="57A636BB"/>
    <w:rsid w:val="57AD1CA6"/>
    <w:rsid w:val="57B8E44C"/>
    <w:rsid w:val="57C308ED"/>
    <w:rsid w:val="57C38D22"/>
    <w:rsid w:val="57C546EB"/>
    <w:rsid w:val="57CA60F9"/>
    <w:rsid w:val="57CD8A07"/>
    <w:rsid w:val="57D0D179"/>
    <w:rsid w:val="57D26FAD"/>
    <w:rsid w:val="57E248C5"/>
    <w:rsid w:val="57E31E40"/>
    <w:rsid w:val="57F1A08F"/>
    <w:rsid w:val="57F4B34D"/>
    <w:rsid w:val="57F5C901"/>
    <w:rsid w:val="57F65878"/>
    <w:rsid w:val="58010F64"/>
    <w:rsid w:val="5803BC38"/>
    <w:rsid w:val="5809E067"/>
    <w:rsid w:val="5819A995"/>
    <w:rsid w:val="581FBB0A"/>
    <w:rsid w:val="5829F543"/>
    <w:rsid w:val="582BA357"/>
    <w:rsid w:val="582F1A29"/>
    <w:rsid w:val="5835FF48"/>
    <w:rsid w:val="58373A63"/>
    <w:rsid w:val="5839980C"/>
    <w:rsid w:val="583B256C"/>
    <w:rsid w:val="583B5A68"/>
    <w:rsid w:val="583F873E"/>
    <w:rsid w:val="5858799B"/>
    <w:rsid w:val="585CA9BE"/>
    <w:rsid w:val="5863B7C0"/>
    <w:rsid w:val="5866DA44"/>
    <w:rsid w:val="587573ED"/>
    <w:rsid w:val="58829160"/>
    <w:rsid w:val="5885ECCB"/>
    <w:rsid w:val="588C4A1D"/>
    <w:rsid w:val="589DCA60"/>
    <w:rsid w:val="589EE82D"/>
    <w:rsid w:val="58B52E21"/>
    <w:rsid w:val="58B54618"/>
    <w:rsid w:val="58BE023B"/>
    <w:rsid w:val="58C1D475"/>
    <w:rsid w:val="58C42E95"/>
    <w:rsid w:val="58DE09B1"/>
    <w:rsid w:val="5903CEDE"/>
    <w:rsid w:val="5905440F"/>
    <w:rsid w:val="59059E53"/>
    <w:rsid w:val="590746D9"/>
    <w:rsid w:val="590BFB22"/>
    <w:rsid w:val="59176570"/>
    <w:rsid w:val="592628BF"/>
    <w:rsid w:val="59284929"/>
    <w:rsid w:val="592C4F56"/>
    <w:rsid w:val="592E8453"/>
    <w:rsid w:val="5935EA49"/>
    <w:rsid w:val="593F59F4"/>
    <w:rsid w:val="5950F898"/>
    <w:rsid w:val="5952B65F"/>
    <w:rsid w:val="59559097"/>
    <w:rsid w:val="5955AC68"/>
    <w:rsid w:val="595AACB2"/>
    <w:rsid w:val="5961A298"/>
    <w:rsid w:val="59675742"/>
    <w:rsid w:val="596FC357"/>
    <w:rsid w:val="5971A4CA"/>
    <w:rsid w:val="597317A3"/>
    <w:rsid w:val="5978A99B"/>
    <w:rsid w:val="597A8C28"/>
    <w:rsid w:val="597AA70F"/>
    <w:rsid w:val="597B488A"/>
    <w:rsid w:val="5981BD19"/>
    <w:rsid w:val="598483DE"/>
    <w:rsid w:val="598523E7"/>
    <w:rsid w:val="598612EF"/>
    <w:rsid w:val="5988788A"/>
    <w:rsid w:val="598E83E5"/>
    <w:rsid w:val="598F593F"/>
    <w:rsid w:val="5997511E"/>
    <w:rsid w:val="5997702A"/>
    <w:rsid w:val="599AA57A"/>
    <w:rsid w:val="599AB9F7"/>
    <w:rsid w:val="599BBDDE"/>
    <w:rsid w:val="599C43A6"/>
    <w:rsid w:val="59A0EEC0"/>
    <w:rsid w:val="59A1DF64"/>
    <w:rsid w:val="59A36071"/>
    <w:rsid w:val="59A4CB31"/>
    <w:rsid w:val="59A81874"/>
    <w:rsid w:val="59AA7EE7"/>
    <w:rsid w:val="59AF4F4E"/>
    <w:rsid w:val="59B55899"/>
    <w:rsid w:val="59B7D694"/>
    <w:rsid w:val="59C7EEBB"/>
    <w:rsid w:val="59CF4433"/>
    <w:rsid w:val="59CFEB8F"/>
    <w:rsid w:val="59D98C3A"/>
    <w:rsid w:val="59DA7730"/>
    <w:rsid w:val="59E52EA4"/>
    <w:rsid w:val="59E7DCEB"/>
    <w:rsid w:val="59ED8E72"/>
    <w:rsid w:val="59F5C9EE"/>
    <w:rsid w:val="59F6ABF8"/>
    <w:rsid w:val="5A078F35"/>
    <w:rsid w:val="5A07CF47"/>
    <w:rsid w:val="5A14095B"/>
    <w:rsid w:val="5A1434F5"/>
    <w:rsid w:val="5A19F80A"/>
    <w:rsid w:val="5A23BA87"/>
    <w:rsid w:val="5A302215"/>
    <w:rsid w:val="5A3042A1"/>
    <w:rsid w:val="5A349617"/>
    <w:rsid w:val="5A35D00C"/>
    <w:rsid w:val="5A3C9873"/>
    <w:rsid w:val="5A3D22BC"/>
    <w:rsid w:val="5A40F619"/>
    <w:rsid w:val="5A42CD77"/>
    <w:rsid w:val="5A47AE9A"/>
    <w:rsid w:val="5A57356D"/>
    <w:rsid w:val="5A57ADCA"/>
    <w:rsid w:val="5A58A443"/>
    <w:rsid w:val="5A621A37"/>
    <w:rsid w:val="5A65EEC6"/>
    <w:rsid w:val="5A678672"/>
    <w:rsid w:val="5A742341"/>
    <w:rsid w:val="5A76D5E1"/>
    <w:rsid w:val="5A7CC8D5"/>
    <w:rsid w:val="5A8A45BB"/>
    <w:rsid w:val="5A8BF021"/>
    <w:rsid w:val="5A9048DF"/>
    <w:rsid w:val="5A9662DD"/>
    <w:rsid w:val="5A9786C9"/>
    <w:rsid w:val="5A9913E5"/>
    <w:rsid w:val="5AA972C1"/>
    <w:rsid w:val="5AAEE563"/>
    <w:rsid w:val="5AB44595"/>
    <w:rsid w:val="5ABB87C5"/>
    <w:rsid w:val="5ABC9ADB"/>
    <w:rsid w:val="5ABFCFD9"/>
    <w:rsid w:val="5AD39879"/>
    <w:rsid w:val="5AD8744F"/>
    <w:rsid w:val="5AE0E977"/>
    <w:rsid w:val="5AE78642"/>
    <w:rsid w:val="5AF2CC9A"/>
    <w:rsid w:val="5AFD8916"/>
    <w:rsid w:val="5B100502"/>
    <w:rsid w:val="5B1342F6"/>
    <w:rsid w:val="5B13F53E"/>
    <w:rsid w:val="5B3056A8"/>
    <w:rsid w:val="5B36E915"/>
    <w:rsid w:val="5B378D40"/>
    <w:rsid w:val="5B4C2726"/>
    <w:rsid w:val="5B5D8314"/>
    <w:rsid w:val="5B5FF720"/>
    <w:rsid w:val="5B648D0D"/>
    <w:rsid w:val="5B68B4A7"/>
    <w:rsid w:val="5B6BB5D3"/>
    <w:rsid w:val="5B6C0FF7"/>
    <w:rsid w:val="5B6C99B3"/>
    <w:rsid w:val="5B6CEC80"/>
    <w:rsid w:val="5B7239D8"/>
    <w:rsid w:val="5B730AF6"/>
    <w:rsid w:val="5B77C03F"/>
    <w:rsid w:val="5B784868"/>
    <w:rsid w:val="5B7CE83F"/>
    <w:rsid w:val="5B815233"/>
    <w:rsid w:val="5B81E737"/>
    <w:rsid w:val="5B9919FF"/>
    <w:rsid w:val="5BA1BC4C"/>
    <w:rsid w:val="5BA76FA7"/>
    <w:rsid w:val="5BAF51A7"/>
    <w:rsid w:val="5BAF7979"/>
    <w:rsid w:val="5BB55C44"/>
    <w:rsid w:val="5BC0B7A2"/>
    <w:rsid w:val="5BC22128"/>
    <w:rsid w:val="5BC2AF65"/>
    <w:rsid w:val="5BD8A293"/>
    <w:rsid w:val="5BD90606"/>
    <w:rsid w:val="5BE6558F"/>
    <w:rsid w:val="5C018DE8"/>
    <w:rsid w:val="5C030546"/>
    <w:rsid w:val="5C082F42"/>
    <w:rsid w:val="5C0A2EA2"/>
    <w:rsid w:val="5C0D390D"/>
    <w:rsid w:val="5C0EF3F7"/>
    <w:rsid w:val="5C18258B"/>
    <w:rsid w:val="5C1B078B"/>
    <w:rsid w:val="5C1BC79B"/>
    <w:rsid w:val="5C2CEB4F"/>
    <w:rsid w:val="5C2D411C"/>
    <w:rsid w:val="5C2DCB2C"/>
    <w:rsid w:val="5C30D92F"/>
    <w:rsid w:val="5C316234"/>
    <w:rsid w:val="5C43114C"/>
    <w:rsid w:val="5C55D512"/>
    <w:rsid w:val="5C59F11D"/>
    <w:rsid w:val="5C5AE2D8"/>
    <w:rsid w:val="5C68D507"/>
    <w:rsid w:val="5C6AA8B0"/>
    <w:rsid w:val="5C6EF28A"/>
    <w:rsid w:val="5C6F46BE"/>
    <w:rsid w:val="5C6FA44B"/>
    <w:rsid w:val="5C71838B"/>
    <w:rsid w:val="5C7D3104"/>
    <w:rsid w:val="5C835973"/>
    <w:rsid w:val="5C87B73A"/>
    <w:rsid w:val="5C9AEB6E"/>
    <w:rsid w:val="5CAC0911"/>
    <w:rsid w:val="5CAD8F51"/>
    <w:rsid w:val="5CB4443A"/>
    <w:rsid w:val="5CB79F22"/>
    <w:rsid w:val="5CB88FFB"/>
    <w:rsid w:val="5CCBE7AF"/>
    <w:rsid w:val="5CCED0A5"/>
    <w:rsid w:val="5CD9F32C"/>
    <w:rsid w:val="5CE18F9B"/>
    <w:rsid w:val="5CE9E343"/>
    <w:rsid w:val="5CEE72BB"/>
    <w:rsid w:val="5CF00E85"/>
    <w:rsid w:val="5CF72EE1"/>
    <w:rsid w:val="5CFADE24"/>
    <w:rsid w:val="5CFAF262"/>
    <w:rsid w:val="5D0635EB"/>
    <w:rsid w:val="5D0D0640"/>
    <w:rsid w:val="5D129F71"/>
    <w:rsid w:val="5D12A030"/>
    <w:rsid w:val="5D16C3BE"/>
    <w:rsid w:val="5D192340"/>
    <w:rsid w:val="5D1B63CF"/>
    <w:rsid w:val="5D2A2933"/>
    <w:rsid w:val="5D2ECB51"/>
    <w:rsid w:val="5D3125DB"/>
    <w:rsid w:val="5D3371CD"/>
    <w:rsid w:val="5D3DEF70"/>
    <w:rsid w:val="5D3ED03C"/>
    <w:rsid w:val="5D3F694B"/>
    <w:rsid w:val="5D40ED21"/>
    <w:rsid w:val="5D423B19"/>
    <w:rsid w:val="5D440075"/>
    <w:rsid w:val="5D517FFA"/>
    <w:rsid w:val="5D5548FF"/>
    <w:rsid w:val="5D564274"/>
    <w:rsid w:val="5D74FA4F"/>
    <w:rsid w:val="5D7B3DF1"/>
    <w:rsid w:val="5D7CC2FA"/>
    <w:rsid w:val="5D7EBA91"/>
    <w:rsid w:val="5D7F0027"/>
    <w:rsid w:val="5D98CBC8"/>
    <w:rsid w:val="5D99CF94"/>
    <w:rsid w:val="5D9C4E0D"/>
    <w:rsid w:val="5D9D790B"/>
    <w:rsid w:val="5D9E148F"/>
    <w:rsid w:val="5D9F76B7"/>
    <w:rsid w:val="5DA3C31A"/>
    <w:rsid w:val="5DAF2D6C"/>
    <w:rsid w:val="5DB2BB79"/>
    <w:rsid w:val="5DB97BA8"/>
    <w:rsid w:val="5DC03BB8"/>
    <w:rsid w:val="5DC237FA"/>
    <w:rsid w:val="5DC4DF14"/>
    <w:rsid w:val="5DC54D9D"/>
    <w:rsid w:val="5DC87A67"/>
    <w:rsid w:val="5DD59F41"/>
    <w:rsid w:val="5DD9C7A8"/>
    <w:rsid w:val="5DDD89D3"/>
    <w:rsid w:val="5DE09043"/>
    <w:rsid w:val="5DE2D68C"/>
    <w:rsid w:val="5DE39235"/>
    <w:rsid w:val="5DEC0316"/>
    <w:rsid w:val="5DEDD59F"/>
    <w:rsid w:val="5DF2A6A4"/>
    <w:rsid w:val="5DFAE380"/>
    <w:rsid w:val="5E03CC62"/>
    <w:rsid w:val="5E0899FA"/>
    <w:rsid w:val="5E0D0C3A"/>
    <w:rsid w:val="5E125843"/>
    <w:rsid w:val="5E141FB3"/>
    <w:rsid w:val="5E14C5E1"/>
    <w:rsid w:val="5E157809"/>
    <w:rsid w:val="5E18F5B3"/>
    <w:rsid w:val="5E1A0D91"/>
    <w:rsid w:val="5E2300D9"/>
    <w:rsid w:val="5E247BDD"/>
    <w:rsid w:val="5E254D09"/>
    <w:rsid w:val="5E30E945"/>
    <w:rsid w:val="5E3FF1EE"/>
    <w:rsid w:val="5E4A96F9"/>
    <w:rsid w:val="5E4B0E64"/>
    <w:rsid w:val="5E4CA356"/>
    <w:rsid w:val="5E4D140E"/>
    <w:rsid w:val="5E54F02C"/>
    <w:rsid w:val="5E5857E8"/>
    <w:rsid w:val="5E5E7E0D"/>
    <w:rsid w:val="5E66F578"/>
    <w:rsid w:val="5E68852B"/>
    <w:rsid w:val="5E699181"/>
    <w:rsid w:val="5E7380E8"/>
    <w:rsid w:val="5E7D387B"/>
    <w:rsid w:val="5E80E62B"/>
    <w:rsid w:val="5E813A93"/>
    <w:rsid w:val="5E839FB6"/>
    <w:rsid w:val="5E8822A7"/>
    <w:rsid w:val="5E8B3322"/>
    <w:rsid w:val="5EA3F43F"/>
    <w:rsid w:val="5EA65A40"/>
    <w:rsid w:val="5EAB24AD"/>
    <w:rsid w:val="5EAE0263"/>
    <w:rsid w:val="5EAE0C11"/>
    <w:rsid w:val="5EB68839"/>
    <w:rsid w:val="5EBED44E"/>
    <w:rsid w:val="5ECBD33F"/>
    <w:rsid w:val="5ED9376E"/>
    <w:rsid w:val="5EDBF05E"/>
    <w:rsid w:val="5EDEC267"/>
    <w:rsid w:val="5EDEE1CE"/>
    <w:rsid w:val="5EE35A72"/>
    <w:rsid w:val="5EEBCC01"/>
    <w:rsid w:val="5EF38A7F"/>
    <w:rsid w:val="5EF5E953"/>
    <w:rsid w:val="5EF6AC9F"/>
    <w:rsid w:val="5EF768EF"/>
    <w:rsid w:val="5F014B9A"/>
    <w:rsid w:val="5F0383BE"/>
    <w:rsid w:val="5F05F487"/>
    <w:rsid w:val="5F0A0350"/>
    <w:rsid w:val="5F0A4ABF"/>
    <w:rsid w:val="5F156C11"/>
    <w:rsid w:val="5F17B365"/>
    <w:rsid w:val="5F192B21"/>
    <w:rsid w:val="5F19E68A"/>
    <w:rsid w:val="5F1CFA0D"/>
    <w:rsid w:val="5F219B27"/>
    <w:rsid w:val="5F2501A9"/>
    <w:rsid w:val="5F2A50C6"/>
    <w:rsid w:val="5F332908"/>
    <w:rsid w:val="5F344137"/>
    <w:rsid w:val="5F3CE52C"/>
    <w:rsid w:val="5F430F9F"/>
    <w:rsid w:val="5F491915"/>
    <w:rsid w:val="5F4AAE99"/>
    <w:rsid w:val="5F4BA098"/>
    <w:rsid w:val="5F64F6FB"/>
    <w:rsid w:val="5F675753"/>
    <w:rsid w:val="5F67E5C5"/>
    <w:rsid w:val="5F6EFCAE"/>
    <w:rsid w:val="5F76E3E2"/>
    <w:rsid w:val="5F7707DB"/>
    <w:rsid w:val="5F7DB519"/>
    <w:rsid w:val="5F822DBE"/>
    <w:rsid w:val="5F82983D"/>
    <w:rsid w:val="5F84C6C5"/>
    <w:rsid w:val="5F86C118"/>
    <w:rsid w:val="5F889C82"/>
    <w:rsid w:val="5F8A9BD6"/>
    <w:rsid w:val="5F97F81F"/>
    <w:rsid w:val="5F98C22E"/>
    <w:rsid w:val="5F997CE0"/>
    <w:rsid w:val="5FA31258"/>
    <w:rsid w:val="5FAAD322"/>
    <w:rsid w:val="5FAFFCE1"/>
    <w:rsid w:val="5FB5B978"/>
    <w:rsid w:val="5FB657F7"/>
    <w:rsid w:val="5FB7D21E"/>
    <w:rsid w:val="5FBC3B64"/>
    <w:rsid w:val="5FC090D0"/>
    <w:rsid w:val="5FC3C2B9"/>
    <w:rsid w:val="5FD60C0A"/>
    <w:rsid w:val="5FDC092F"/>
    <w:rsid w:val="5FE00E9E"/>
    <w:rsid w:val="5FE21E07"/>
    <w:rsid w:val="5FE67BA8"/>
    <w:rsid w:val="5FE8C947"/>
    <w:rsid w:val="5FED836E"/>
    <w:rsid w:val="5FF32370"/>
    <w:rsid w:val="5FF63973"/>
    <w:rsid w:val="5FFF95B1"/>
    <w:rsid w:val="6008D192"/>
    <w:rsid w:val="600A7019"/>
    <w:rsid w:val="600FB5FE"/>
    <w:rsid w:val="601EC5DA"/>
    <w:rsid w:val="6033B039"/>
    <w:rsid w:val="6037B518"/>
    <w:rsid w:val="603E92DB"/>
    <w:rsid w:val="60456A06"/>
    <w:rsid w:val="60466C33"/>
    <w:rsid w:val="604BDE1C"/>
    <w:rsid w:val="605154BA"/>
    <w:rsid w:val="605AF783"/>
    <w:rsid w:val="60618DB7"/>
    <w:rsid w:val="6069DE21"/>
    <w:rsid w:val="606AF449"/>
    <w:rsid w:val="606B94D9"/>
    <w:rsid w:val="607741A7"/>
    <w:rsid w:val="607FBE8A"/>
    <w:rsid w:val="60808F52"/>
    <w:rsid w:val="60826B8A"/>
    <w:rsid w:val="6082CC61"/>
    <w:rsid w:val="60845949"/>
    <w:rsid w:val="60868AA0"/>
    <w:rsid w:val="60941DD6"/>
    <w:rsid w:val="6098B302"/>
    <w:rsid w:val="609A8AED"/>
    <w:rsid w:val="609D0DE4"/>
    <w:rsid w:val="609D7A47"/>
    <w:rsid w:val="609DA7D0"/>
    <w:rsid w:val="60B00EE6"/>
    <w:rsid w:val="60B0F815"/>
    <w:rsid w:val="60B62E8B"/>
    <w:rsid w:val="60BB0165"/>
    <w:rsid w:val="60C36F15"/>
    <w:rsid w:val="60C87039"/>
    <w:rsid w:val="60D12453"/>
    <w:rsid w:val="60D228E5"/>
    <w:rsid w:val="60D6ABF4"/>
    <w:rsid w:val="60D7F4B6"/>
    <w:rsid w:val="60D8028B"/>
    <w:rsid w:val="60E253CE"/>
    <w:rsid w:val="60E3DB34"/>
    <w:rsid w:val="60EDDB7F"/>
    <w:rsid w:val="60F35F1C"/>
    <w:rsid w:val="60F49B66"/>
    <w:rsid w:val="6102ACBC"/>
    <w:rsid w:val="6109AC87"/>
    <w:rsid w:val="6111B728"/>
    <w:rsid w:val="6111C3A0"/>
    <w:rsid w:val="611239BA"/>
    <w:rsid w:val="6117F4FF"/>
    <w:rsid w:val="6118067E"/>
    <w:rsid w:val="611A09F7"/>
    <w:rsid w:val="611F9835"/>
    <w:rsid w:val="61256BA2"/>
    <w:rsid w:val="61277E9F"/>
    <w:rsid w:val="612B6EA9"/>
    <w:rsid w:val="6133EAC2"/>
    <w:rsid w:val="6139FDB9"/>
    <w:rsid w:val="613E822E"/>
    <w:rsid w:val="613F3882"/>
    <w:rsid w:val="614194D6"/>
    <w:rsid w:val="6141BD5E"/>
    <w:rsid w:val="61426636"/>
    <w:rsid w:val="614467B3"/>
    <w:rsid w:val="6149C0DD"/>
    <w:rsid w:val="614F5C17"/>
    <w:rsid w:val="615FAA5F"/>
    <w:rsid w:val="6172E7DE"/>
    <w:rsid w:val="617449E3"/>
    <w:rsid w:val="617AB95E"/>
    <w:rsid w:val="61816C9E"/>
    <w:rsid w:val="61838DF4"/>
    <w:rsid w:val="618680C5"/>
    <w:rsid w:val="61907E05"/>
    <w:rsid w:val="6199CB5D"/>
    <w:rsid w:val="619FA3B9"/>
    <w:rsid w:val="61A2E955"/>
    <w:rsid w:val="61B5A8A9"/>
    <w:rsid w:val="61B8352C"/>
    <w:rsid w:val="61B8CA2A"/>
    <w:rsid w:val="61C0924C"/>
    <w:rsid w:val="61C398DD"/>
    <w:rsid w:val="61C75351"/>
    <w:rsid w:val="61C7ECA1"/>
    <w:rsid w:val="61C85CFF"/>
    <w:rsid w:val="61D341A2"/>
    <w:rsid w:val="61D65F34"/>
    <w:rsid w:val="61D68444"/>
    <w:rsid w:val="61D7CE5C"/>
    <w:rsid w:val="61D83AC0"/>
    <w:rsid w:val="61D8A171"/>
    <w:rsid w:val="61DC2929"/>
    <w:rsid w:val="61E99773"/>
    <w:rsid w:val="61EA555B"/>
    <w:rsid w:val="61EFB79A"/>
    <w:rsid w:val="61F129E9"/>
    <w:rsid w:val="61F9D5EA"/>
    <w:rsid w:val="62009C6F"/>
    <w:rsid w:val="6203889D"/>
    <w:rsid w:val="620B2FA5"/>
    <w:rsid w:val="620E0AB8"/>
    <w:rsid w:val="621290D2"/>
    <w:rsid w:val="6214496A"/>
    <w:rsid w:val="6214B960"/>
    <w:rsid w:val="6217D53A"/>
    <w:rsid w:val="621981A8"/>
    <w:rsid w:val="622469CF"/>
    <w:rsid w:val="6226DFB5"/>
    <w:rsid w:val="62291316"/>
    <w:rsid w:val="6231AF5A"/>
    <w:rsid w:val="6237982F"/>
    <w:rsid w:val="6238D614"/>
    <w:rsid w:val="623A31BA"/>
    <w:rsid w:val="623B012E"/>
    <w:rsid w:val="623FAEA2"/>
    <w:rsid w:val="624CA6B0"/>
    <w:rsid w:val="624D4227"/>
    <w:rsid w:val="6253B94C"/>
    <w:rsid w:val="62553F5C"/>
    <w:rsid w:val="626B94F0"/>
    <w:rsid w:val="626EC92D"/>
    <w:rsid w:val="6271D865"/>
    <w:rsid w:val="62729DC9"/>
    <w:rsid w:val="6277ECD4"/>
    <w:rsid w:val="627F5897"/>
    <w:rsid w:val="6282ED58"/>
    <w:rsid w:val="6284D459"/>
    <w:rsid w:val="628C1C89"/>
    <w:rsid w:val="628CFFC6"/>
    <w:rsid w:val="629229FD"/>
    <w:rsid w:val="6294CC4E"/>
    <w:rsid w:val="629BEC69"/>
    <w:rsid w:val="629E5831"/>
    <w:rsid w:val="62B22F8B"/>
    <w:rsid w:val="62B4B2FE"/>
    <w:rsid w:val="62C20B0A"/>
    <w:rsid w:val="62C364B1"/>
    <w:rsid w:val="62CB5B99"/>
    <w:rsid w:val="62D62AAE"/>
    <w:rsid w:val="62D93840"/>
    <w:rsid w:val="62D9A2D1"/>
    <w:rsid w:val="62E0F374"/>
    <w:rsid w:val="62E22922"/>
    <w:rsid w:val="62FB52A5"/>
    <w:rsid w:val="63082CAD"/>
    <w:rsid w:val="630AA219"/>
    <w:rsid w:val="63227623"/>
    <w:rsid w:val="6322964C"/>
    <w:rsid w:val="632CBA2B"/>
    <w:rsid w:val="632E25D8"/>
    <w:rsid w:val="632F3C81"/>
    <w:rsid w:val="6334251D"/>
    <w:rsid w:val="633FC09B"/>
    <w:rsid w:val="6346A7BC"/>
    <w:rsid w:val="63490D71"/>
    <w:rsid w:val="634FB798"/>
    <w:rsid w:val="6351A803"/>
    <w:rsid w:val="635A55EB"/>
    <w:rsid w:val="6364E02F"/>
    <w:rsid w:val="6365BF86"/>
    <w:rsid w:val="6369BAE1"/>
    <w:rsid w:val="636C2F1C"/>
    <w:rsid w:val="636F377F"/>
    <w:rsid w:val="6378BEC4"/>
    <w:rsid w:val="63797F6B"/>
    <w:rsid w:val="637A2BD5"/>
    <w:rsid w:val="637A851A"/>
    <w:rsid w:val="637B9E5E"/>
    <w:rsid w:val="637D1B79"/>
    <w:rsid w:val="637F199C"/>
    <w:rsid w:val="63817908"/>
    <w:rsid w:val="63841692"/>
    <w:rsid w:val="6386486D"/>
    <w:rsid w:val="6389F02F"/>
    <w:rsid w:val="638B66BC"/>
    <w:rsid w:val="639007CD"/>
    <w:rsid w:val="63C6BD7C"/>
    <w:rsid w:val="63C8ED69"/>
    <w:rsid w:val="63CBC213"/>
    <w:rsid w:val="63D16054"/>
    <w:rsid w:val="63D2A39E"/>
    <w:rsid w:val="63D377C9"/>
    <w:rsid w:val="63D56872"/>
    <w:rsid w:val="63D5D05B"/>
    <w:rsid w:val="63F0C48D"/>
    <w:rsid w:val="63F9BB7D"/>
    <w:rsid w:val="63FAB775"/>
    <w:rsid w:val="63FEFC16"/>
    <w:rsid w:val="6400A07C"/>
    <w:rsid w:val="6405CCD3"/>
    <w:rsid w:val="640871F0"/>
    <w:rsid w:val="64106577"/>
    <w:rsid w:val="6410F4C1"/>
    <w:rsid w:val="641B2ED6"/>
    <w:rsid w:val="642E6267"/>
    <w:rsid w:val="642F2C6F"/>
    <w:rsid w:val="6440AC4A"/>
    <w:rsid w:val="6444824B"/>
    <w:rsid w:val="6445E544"/>
    <w:rsid w:val="6446B951"/>
    <w:rsid w:val="6448606B"/>
    <w:rsid w:val="6449B6B7"/>
    <w:rsid w:val="644B9F06"/>
    <w:rsid w:val="644DAD53"/>
    <w:rsid w:val="644EACDE"/>
    <w:rsid w:val="64520F93"/>
    <w:rsid w:val="6452A17D"/>
    <w:rsid w:val="64534EEC"/>
    <w:rsid w:val="645443B4"/>
    <w:rsid w:val="645C1B5B"/>
    <w:rsid w:val="645F26F3"/>
    <w:rsid w:val="646051A8"/>
    <w:rsid w:val="64614665"/>
    <w:rsid w:val="64635D82"/>
    <w:rsid w:val="64704422"/>
    <w:rsid w:val="647099C0"/>
    <w:rsid w:val="647536F2"/>
    <w:rsid w:val="6475D1DF"/>
    <w:rsid w:val="6476ABBB"/>
    <w:rsid w:val="64774ED3"/>
    <w:rsid w:val="647A5A9D"/>
    <w:rsid w:val="647C7985"/>
    <w:rsid w:val="6485F38E"/>
    <w:rsid w:val="648C5DC2"/>
    <w:rsid w:val="648D2A60"/>
    <w:rsid w:val="64923477"/>
    <w:rsid w:val="649419B5"/>
    <w:rsid w:val="6495A857"/>
    <w:rsid w:val="64974FC1"/>
    <w:rsid w:val="649A7879"/>
    <w:rsid w:val="64B0719C"/>
    <w:rsid w:val="64B33AEE"/>
    <w:rsid w:val="64B626ED"/>
    <w:rsid w:val="64BA9EEF"/>
    <w:rsid w:val="64C00EB5"/>
    <w:rsid w:val="64C1D7F6"/>
    <w:rsid w:val="64C6E028"/>
    <w:rsid w:val="64CB1BE6"/>
    <w:rsid w:val="64CBE4EB"/>
    <w:rsid w:val="64CC459F"/>
    <w:rsid w:val="64CCF496"/>
    <w:rsid w:val="64CFCB30"/>
    <w:rsid w:val="64D080F1"/>
    <w:rsid w:val="64E44EC4"/>
    <w:rsid w:val="64F21D05"/>
    <w:rsid w:val="64F339F5"/>
    <w:rsid w:val="64F6AA66"/>
    <w:rsid w:val="64FB0B86"/>
    <w:rsid w:val="64FC313A"/>
    <w:rsid w:val="65031C8A"/>
    <w:rsid w:val="650EA830"/>
    <w:rsid w:val="6517C83A"/>
    <w:rsid w:val="6518F70F"/>
    <w:rsid w:val="651B5B71"/>
    <w:rsid w:val="651D6658"/>
    <w:rsid w:val="652122FD"/>
    <w:rsid w:val="6524B174"/>
    <w:rsid w:val="652B2626"/>
    <w:rsid w:val="652FFE52"/>
    <w:rsid w:val="65367CE4"/>
    <w:rsid w:val="653B2442"/>
    <w:rsid w:val="653D7902"/>
    <w:rsid w:val="6544D1AA"/>
    <w:rsid w:val="654D9F0A"/>
    <w:rsid w:val="655711A5"/>
    <w:rsid w:val="65729556"/>
    <w:rsid w:val="65764F02"/>
    <w:rsid w:val="65780CB2"/>
    <w:rsid w:val="6578B51F"/>
    <w:rsid w:val="658675B2"/>
    <w:rsid w:val="6592869D"/>
    <w:rsid w:val="659CD867"/>
    <w:rsid w:val="65A0AB6F"/>
    <w:rsid w:val="65B7C995"/>
    <w:rsid w:val="65BEE4BF"/>
    <w:rsid w:val="65D2661A"/>
    <w:rsid w:val="65D2CBE8"/>
    <w:rsid w:val="65D40942"/>
    <w:rsid w:val="65D57055"/>
    <w:rsid w:val="65D75EF2"/>
    <w:rsid w:val="65DCAB6E"/>
    <w:rsid w:val="65DF98D7"/>
    <w:rsid w:val="65E871B9"/>
    <w:rsid w:val="65E8F709"/>
    <w:rsid w:val="65EFB636"/>
    <w:rsid w:val="65FC9FB6"/>
    <w:rsid w:val="6600E8B9"/>
    <w:rsid w:val="661019E4"/>
    <w:rsid w:val="66146CA5"/>
    <w:rsid w:val="662025D5"/>
    <w:rsid w:val="662087F2"/>
    <w:rsid w:val="6622CEEB"/>
    <w:rsid w:val="6627165A"/>
    <w:rsid w:val="662A7FCE"/>
    <w:rsid w:val="662B2B9E"/>
    <w:rsid w:val="663D29DC"/>
    <w:rsid w:val="663E260A"/>
    <w:rsid w:val="6642A242"/>
    <w:rsid w:val="6644FB23"/>
    <w:rsid w:val="6647E7F6"/>
    <w:rsid w:val="664D7281"/>
    <w:rsid w:val="664DF9BE"/>
    <w:rsid w:val="66507041"/>
    <w:rsid w:val="6656085D"/>
    <w:rsid w:val="66625CF2"/>
    <w:rsid w:val="6663108E"/>
    <w:rsid w:val="666DBFB5"/>
    <w:rsid w:val="666EC54E"/>
    <w:rsid w:val="667E949B"/>
    <w:rsid w:val="6682F139"/>
    <w:rsid w:val="66839972"/>
    <w:rsid w:val="6684E622"/>
    <w:rsid w:val="6696CDA8"/>
    <w:rsid w:val="669C1F17"/>
    <w:rsid w:val="66BF03F9"/>
    <w:rsid w:val="66CC75B1"/>
    <w:rsid w:val="66D259FA"/>
    <w:rsid w:val="66D52AC4"/>
    <w:rsid w:val="66DCFBBD"/>
    <w:rsid w:val="66E105FF"/>
    <w:rsid w:val="66F7FD12"/>
    <w:rsid w:val="66F99F12"/>
    <w:rsid w:val="66F9BD24"/>
    <w:rsid w:val="66FD5F54"/>
    <w:rsid w:val="6702C47D"/>
    <w:rsid w:val="670E9C9D"/>
    <w:rsid w:val="671071E7"/>
    <w:rsid w:val="6710815D"/>
    <w:rsid w:val="6716E2E6"/>
    <w:rsid w:val="671ABD2C"/>
    <w:rsid w:val="6720A171"/>
    <w:rsid w:val="6722C2B7"/>
    <w:rsid w:val="6722DDA4"/>
    <w:rsid w:val="67252B1F"/>
    <w:rsid w:val="67271EE9"/>
    <w:rsid w:val="6727B72B"/>
    <w:rsid w:val="6730F5DA"/>
    <w:rsid w:val="673703F4"/>
    <w:rsid w:val="67452EA2"/>
    <w:rsid w:val="674AB39F"/>
    <w:rsid w:val="6756DB4B"/>
    <w:rsid w:val="675748AE"/>
    <w:rsid w:val="67613CE7"/>
    <w:rsid w:val="676C447E"/>
    <w:rsid w:val="676FB6FD"/>
    <w:rsid w:val="67730F8E"/>
    <w:rsid w:val="67810350"/>
    <w:rsid w:val="6782C175"/>
    <w:rsid w:val="678FE9CE"/>
    <w:rsid w:val="67903920"/>
    <w:rsid w:val="6792792A"/>
    <w:rsid w:val="679DF06A"/>
    <w:rsid w:val="679FF8B3"/>
    <w:rsid w:val="67A3D9E7"/>
    <w:rsid w:val="67AF9A3F"/>
    <w:rsid w:val="67B27FF6"/>
    <w:rsid w:val="67B28FAD"/>
    <w:rsid w:val="67B48FAE"/>
    <w:rsid w:val="67BF6C79"/>
    <w:rsid w:val="67C1C766"/>
    <w:rsid w:val="67C9A851"/>
    <w:rsid w:val="67CC566B"/>
    <w:rsid w:val="67CED39C"/>
    <w:rsid w:val="67CF3A9C"/>
    <w:rsid w:val="67D07002"/>
    <w:rsid w:val="67D5BB12"/>
    <w:rsid w:val="67D6CA9B"/>
    <w:rsid w:val="67D910AA"/>
    <w:rsid w:val="67DB8F73"/>
    <w:rsid w:val="67DF3F47"/>
    <w:rsid w:val="67E1AC7A"/>
    <w:rsid w:val="67E1F841"/>
    <w:rsid w:val="67E8C248"/>
    <w:rsid w:val="67EA3861"/>
    <w:rsid w:val="67EBFED7"/>
    <w:rsid w:val="67EE3EF2"/>
    <w:rsid w:val="67EFED4F"/>
    <w:rsid w:val="67F14650"/>
    <w:rsid w:val="6801AEB3"/>
    <w:rsid w:val="6802129D"/>
    <w:rsid w:val="680A667F"/>
    <w:rsid w:val="680C3182"/>
    <w:rsid w:val="680FED36"/>
    <w:rsid w:val="6813C3F2"/>
    <w:rsid w:val="681E10D7"/>
    <w:rsid w:val="6827AF4C"/>
    <w:rsid w:val="682F8195"/>
    <w:rsid w:val="6833466F"/>
    <w:rsid w:val="683E016D"/>
    <w:rsid w:val="683EB92A"/>
    <w:rsid w:val="684E0469"/>
    <w:rsid w:val="684E9DFB"/>
    <w:rsid w:val="68558823"/>
    <w:rsid w:val="68561EA5"/>
    <w:rsid w:val="686706D5"/>
    <w:rsid w:val="6869947E"/>
    <w:rsid w:val="686AD071"/>
    <w:rsid w:val="686B2CD8"/>
    <w:rsid w:val="686B4F28"/>
    <w:rsid w:val="686C747E"/>
    <w:rsid w:val="686C8D73"/>
    <w:rsid w:val="686F7BEC"/>
    <w:rsid w:val="68747B61"/>
    <w:rsid w:val="68792D8F"/>
    <w:rsid w:val="687C3F4C"/>
    <w:rsid w:val="68803A38"/>
    <w:rsid w:val="68830023"/>
    <w:rsid w:val="6884293F"/>
    <w:rsid w:val="688C1849"/>
    <w:rsid w:val="688C86EC"/>
    <w:rsid w:val="688F8EB9"/>
    <w:rsid w:val="68905E8A"/>
    <w:rsid w:val="6894052D"/>
    <w:rsid w:val="6894A727"/>
    <w:rsid w:val="6897594E"/>
    <w:rsid w:val="689C48E9"/>
    <w:rsid w:val="689D1E51"/>
    <w:rsid w:val="689E782D"/>
    <w:rsid w:val="68A28FF2"/>
    <w:rsid w:val="68ACDF70"/>
    <w:rsid w:val="68B8BC03"/>
    <w:rsid w:val="68C0A0DA"/>
    <w:rsid w:val="68C0E728"/>
    <w:rsid w:val="68C2A4C2"/>
    <w:rsid w:val="68C4BA58"/>
    <w:rsid w:val="68C9B5C4"/>
    <w:rsid w:val="68CAA03B"/>
    <w:rsid w:val="68CD9658"/>
    <w:rsid w:val="68CE9152"/>
    <w:rsid w:val="68D2E61A"/>
    <w:rsid w:val="68D3A40B"/>
    <w:rsid w:val="68D72E7B"/>
    <w:rsid w:val="68D7F807"/>
    <w:rsid w:val="68DFEFE8"/>
    <w:rsid w:val="68E36D4C"/>
    <w:rsid w:val="68F5952D"/>
    <w:rsid w:val="6900276D"/>
    <w:rsid w:val="69079E24"/>
    <w:rsid w:val="69108703"/>
    <w:rsid w:val="69135242"/>
    <w:rsid w:val="691EC241"/>
    <w:rsid w:val="6934B6B1"/>
    <w:rsid w:val="6934E47F"/>
    <w:rsid w:val="69408AF4"/>
    <w:rsid w:val="694788AC"/>
    <w:rsid w:val="694DC354"/>
    <w:rsid w:val="6958C421"/>
    <w:rsid w:val="695E5B7B"/>
    <w:rsid w:val="696A96B3"/>
    <w:rsid w:val="6977C94A"/>
    <w:rsid w:val="697FD34D"/>
    <w:rsid w:val="69819D73"/>
    <w:rsid w:val="69819F6B"/>
    <w:rsid w:val="69859281"/>
    <w:rsid w:val="69867250"/>
    <w:rsid w:val="6995E2BA"/>
    <w:rsid w:val="6997E701"/>
    <w:rsid w:val="69A5C47C"/>
    <w:rsid w:val="69A6A14A"/>
    <w:rsid w:val="69A8A118"/>
    <w:rsid w:val="69AA1A7A"/>
    <w:rsid w:val="69AE6A86"/>
    <w:rsid w:val="69AEF704"/>
    <w:rsid w:val="69B4B81F"/>
    <w:rsid w:val="69BE0B5D"/>
    <w:rsid w:val="69C28C19"/>
    <w:rsid w:val="69CA305F"/>
    <w:rsid w:val="69E670D1"/>
    <w:rsid w:val="69EECE0C"/>
    <w:rsid w:val="6A16C6AB"/>
    <w:rsid w:val="6A1A4DEA"/>
    <w:rsid w:val="6A2A4140"/>
    <w:rsid w:val="6A318751"/>
    <w:rsid w:val="6A3A53B1"/>
    <w:rsid w:val="6A500F38"/>
    <w:rsid w:val="6A588479"/>
    <w:rsid w:val="6A5CC7DB"/>
    <w:rsid w:val="6A60DC5E"/>
    <w:rsid w:val="6A65386E"/>
    <w:rsid w:val="6A79EFBF"/>
    <w:rsid w:val="6A7BD241"/>
    <w:rsid w:val="6A88EA5B"/>
    <w:rsid w:val="6A8F9FE1"/>
    <w:rsid w:val="6A9D6F1B"/>
    <w:rsid w:val="6AA56308"/>
    <w:rsid w:val="6ABC9ECF"/>
    <w:rsid w:val="6AD532D5"/>
    <w:rsid w:val="6AD7A287"/>
    <w:rsid w:val="6AD901AC"/>
    <w:rsid w:val="6AD9E643"/>
    <w:rsid w:val="6AE145FC"/>
    <w:rsid w:val="6AE1DF47"/>
    <w:rsid w:val="6AF7C698"/>
    <w:rsid w:val="6B020B3C"/>
    <w:rsid w:val="6B0D61D4"/>
    <w:rsid w:val="6B15FB79"/>
    <w:rsid w:val="6B17DDE1"/>
    <w:rsid w:val="6B2139EA"/>
    <w:rsid w:val="6B35E83C"/>
    <w:rsid w:val="6B38BB60"/>
    <w:rsid w:val="6B3C5C58"/>
    <w:rsid w:val="6B3E6C01"/>
    <w:rsid w:val="6B40B693"/>
    <w:rsid w:val="6B412E20"/>
    <w:rsid w:val="6B42FD3F"/>
    <w:rsid w:val="6B456DF2"/>
    <w:rsid w:val="6B463AFD"/>
    <w:rsid w:val="6B4DC9C0"/>
    <w:rsid w:val="6B504936"/>
    <w:rsid w:val="6B527347"/>
    <w:rsid w:val="6B52DF12"/>
    <w:rsid w:val="6B591F93"/>
    <w:rsid w:val="6B637325"/>
    <w:rsid w:val="6B647FD7"/>
    <w:rsid w:val="6B696029"/>
    <w:rsid w:val="6B6FF7F7"/>
    <w:rsid w:val="6B72DD94"/>
    <w:rsid w:val="6B78ED24"/>
    <w:rsid w:val="6B7CB103"/>
    <w:rsid w:val="6B7F93B6"/>
    <w:rsid w:val="6B8B66B8"/>
    <w:rsid w:val="6B95FC0C"/>
    <w:rsid w:val="6B982407"/>
    <w:rsid w:val="6B9995A5"/>
    <w:rsid w:val="6B99FC31"/>
    <w:rsid w:val="6BA3EE08"/>
    <w:rsid w:val="6BA541B1"/>
    <w:rsid w:val="6BA6F29C"/>
    <w:rsid w:val="6BB189F8"/>
    <w:rsid w:val="6BB25896"/>
    <w:rsid w:val="6BBC8DD1"/>
    <w:rsid w:val="6BBC9D56"/>
    <w:rsid w:val="6BBCF0B9"/>
    <w:rsid w:val="6BC18B61"/>
    <w:rsid w:val="6BDAA679"/>
    <w:rsid w:val="6BE12A8D"/>
    <w:rsid w:val="6BE44E9C"/>
    <w:rsid w:val="6BF0AF0F"/>
    <w:rsid w:val="6BF2C4AA"/>
    <w:rsid w:val="6BF2E3BF"/>
    <w:rsid w:val="6BF6EF89"/>
    <w:rsid w:val="6BF984B1"/>
    <w:rsid w:val="6BFBAB12"/>
    <w:rsid w:val="6C004AD6"/>
    <w:rsid w:val="6C0752B9"/>
    <w:rsid w:val="6C0C084C"/>
    <w:rsid w:val="6C0FABF7"/>
    <w:rsid w:val="6C12655A"/>
    <w:rsid w:val="6C18B5D1"/>
    <w:rsid w:val="6C2162BE"/>
    <w:rsid w:val="6C2645C2"/>
    <w:rsid w:val="6C2775E5"/>
    <w:rsid w:val="6C35406A"/>
    <w:rsid w:val="6C355346"/>
    <w:rsid w:val="6C3DA91E"/>
    <w:rsid w:val="6C4B8257"/>
    <w:rsid w:val="6C5142AB"/>
    <w:rsid w:val="6C52F677"/>
    <w:rsid w:val="6C54CC14"/>
    <w:rsid w:val="6C55748F"/>
    <w:rsid w:val="6C5832DC"/>
    <w:rsid w:val="6C5D8E31"/>
    <w:rsid w:val="6C6076B7"/>
    <w:rsid w:val="6C6934B4"/>
    <w:rsid w:val="6C74346C"/>
    <w:rsid w:val="6C7474D0"/>
    <w:rsid w:val="6C89D155"/>
    <w:rsid w:val="6C902BAD"/>
    <w:rsid w:val="6C93B32B"/>
    <w:rsid w:val="6C9A14DF"/>
    <w:rsid w:val="6C9EEDC2"/>
    <w:rsid w:val="6CA748A7"/>
    <w:rsid w:val="6CAE1F54"/>
    <w:rsid w:val="6CAE4EA1"/>
    <w:rsid w:val="6CAFF938"/>
    <w:rsid w:val="6CBC902E"/>
    <w:rsid w:val="6CBDBB0F"/>
    <w:rsid w:val="6CCB7714"/>
    <w:rsid w:val="6CCBC915"/>
    <w:rsid w:val="6CD49F5D"/>
    <w:rsid w:val="6CD7558B"/>
    <w:rsid w:val="6CEDF504"/>
    <w:rsid w:val="6CF7152C"/>
    <w:rsid w:val="6D0075A0"/>
    <w:rsid w:val="6D019BC6"/>
    <w:rsid w:val="6D03250B"/>
    <w:rsid w:val="6D1A4771"/>
    <w:rsid w:val="6D207AFC"/>
    <w:rsid w:val="6D208C56"/>
    <w:rsid w:val="6D215989"/>
    <w:rsid w:val="6D252CB7"/>
    <w:rsid w:val="6D25C814"/>
    <w:rsid w:val="6D29DECE"/>
    <w:rsid w:val="6D2BFC5D"/>
    <w:rsid w:val="6D2CCA14"/>
    <w:rsid w:val="6D307787"/>
    <w:rsid w:val="6D370277"/>
    <w:rsid w:val="6D3C01A2"/>
    <w:rsid w:val="6D41D99D"/>
    <w:rsid w:val="6D4B205C"/>
    <w:rsid w:val="6D50B70F"/>
    <w:rsid w:val="6D566D92"/>
    <w:rsid w:val="6D5EF283"/>
    <w:rsid w:val="6D615C80"/>
    <w:rsid w:val="6D745AB4"/>
    <w:rsid w:val="6D7BACCD"/>
    <w:rsid w:val="6D850CA9"/>
    <w:rsid w:val="6D97382C"/>
    <w:rsid w:val="6D99AA83"/>
    <w:rsid w:val="6DA59371"/>
    <w:rsid w:val="6DA65DB8"/>
    <w:rsid w:val="6DAFF252"/>
    <w:rsid w:val="6DBB9B51"/>
    <w:rsid w:val="6DCB5F7F"/>
    <w:rsid w:val="6DD19BAF"/>
    <w:rsid w:val="6DD463A6"/>
    <w:rsid w:val="6DD58101"/>
    <w:rsid w:val="6DECDF44"/>
    <w:rsid w:val="6DEFAC80"/>
    <w:rsid w:val="6DF2DDF9"/>
    <w:rsid w:val="6DF6C8B7"/>
    <w:rsid w:val="6DF90F0F"/>
    <w:rsid w:val="6E01E2E4"/>
    <w:rsid w:val="6E187DB8"/>
    <w:rsid w:val="6E1D0EE1"/>
    <w:rsid w:val="6E1D94D7"/>
    <w:rsid w:val="6E20A3CC"/>
    <w:rsid w:val="6E2BDCE9"/>
    <w:rsid w:val="6E2DC5C6"/>
    <w:rsid w:val="6E305FE5"/>
    <w:rsid w:val="6E3757FD"/>
    <w:rsid w:val="6E39B16B"/>
    <w:rsid w:val="6E3AF540"/>
    <w:rsid w:val="6E3D9B80"/>
    <w:rsid w:val="6E480263"/>
    <w:rsid w:val="6E4FB81B"/>
    <w:rsid w:val="6E50B883"/>
    <w:rsid w:val="6E5652FE"/>
    <w:rsid w:val="6E57E738"/>
    <w:rsid w:val="6E59B7D0"/>
    <w:rsid w:val="6E62BE68"/>
    <w:rsid w:val="6E638D74"/>
    <w:rsid w:val="6E651A4B"/>
    <w:rsid w:val="6E6E3C93"/>
    <w:rsid w:val="6E7002BE"/>
    <w:rsid w:val="6E718E8C"/>
    <w:rsid w:val="6E78FC3D"/>
    <w:rsid w:val="6E79F8A4"/>
    <w:rsid w:val="6E7B6CD1"/>
    <w:rsid w:val="6E871102"/>
    <w:rsid w:val="6E8835D5"/>
    <w:rsid w:val="6E8A8784"/>
    <w:rsid w:val="6E8D2F24"/>
    <w:rsid w:val="6E9ADCC2"/>
    <w:rsid w:val="6E9B8FAB"/>
    <w:rsid w:val="6EA432B9"/>
    <w:rsid w:val="6EA627E9"/>
    <w:rsid w:val="6EAEC3D1"/>
    <w:rsid w:val="6EB2F00D"/>
    <w:rsid w:val="6EBA886D"/>
    <w:rsid w:val="6EC94D89"/>
    <w:rsid w:val="6ED30C41"/>
    <w:rsid w:val="6ED71F95"/>
    <w:rsid w:val="6ED832F9"/>
    <w:rsid w:val="6EDC2FE6"/>
    <w:rsid w:val="6EDFAE00"/>
    <w:rsid w:val="6EE0201A"/>
    <w:rsid w:val="6EE39F30"/>
    <w:rsid w:val="6EE3BB74"/>
    <w:rsid w:val="6EE6A47D"/>
    <w:rsid w:val="6EEBDCDF"/>
    <w:rsid w:val="6EF778D2"/>
    <w:rsid w:val="6EF85C30"/>
    <w:rsid w:val="6EFB799D"/>
    <w:rsid w:val="6F021F8E"/>
    <w:rsid w:val="6F0C761E"/>
    <w:rsid w:val="6F102268"/>
    <w:rsid w:val="6F10D227"/>
    <w:rsid w:val="6F127B42"/>
    <w:rsid w:val="6F1391E5"/>
    <w:rsid w:val="6F16016E"/>
    <w:rsid w:val="6F2633E8"/>
    <w:rsid w:val="6F2B140D"/>
    <w:rsid w:val="6F2C1611"/>
    <w:rsid w:val="6F3013F5"/>
    <w:rsid w:val="6F37E04A"/>
    <w:rsid w:val="6F3B1E51"/>
    <w:rsid w:val="6F3C6FB6"/>
    <w:rsid w:val="6F3D8D86"/>
    <w:rsid w:val="6F417C05"/>
    <w:rsid w:val="6F42984F"/>
    <w:rsid w:val="6F4A1C15"/>
    <w:rsid w:val="6F4BD0EF"/>
    <w:rsid w:val="6F5EDD3E"/>
    <w:rsid w:val="6F64AB1C"/>
    <w:rsid w:val="6F683FC8"/>
    <w:rsid w:val="6F6A4708"/>
    <w:rsid w:val="6F6C6F0F"/>
    <w:rsid w:val="6F6E0056"/>
    <w:rsid w:val="6F780371"/>
    <w:rsid w:val="6F7D4BBE"/>
    <w:rsid w:val="6F83BA1B"/>
    <w:rsid w:val="6F8D1C2A"/>
    <w:rsid w:val="6F925BAD"/>
    <w:rsid w:val="6F9FB320"/>
    <w:rsid w:val="6FA71CC0"/>
    <w:rsid w:val="6FB969C4"/>
    <w:rsid w:val="6FCC247A"/>
    <w:rsid w:val="6FCF5C13"/>
    <w:rsid w:val="6FDC0559"/>
    <w:rsid w:val="6FEB24D8"/>
    <w:rsid w:val="6FF5AC38"/>
    <w:rsid w:val="6FFB3836"/>
    <w:rsid w:val="7005CAAB"/>
    <w:rsid w:val="700849E3"/>
    <w:rsid w:val="700F46C7"/>
    <w:rsid w:val="701BDC9F"/>
    <w:rsid w:val="701F712B"/>
    <w:rsid w:val="70239B88"/>
    <w:rsid w:val="70246656"/>
    <w:rsid w:val="70363544"/>
    <w:rsid w:val="70392EB5"/>
    <w:rsid w:val="703D7E90"/>
    <w:rsid w:val="703F8D18"/>
    <w:rsid w:val="70413C30"/>
    <w:rsid w:val="7041A4C1"/>
    <w:rsid w:val="704712CC"/>
    <w:rsid w:val="70492E72"/>
    <w:rsid w:val="7058FEA8"/>
    <w:rsid w:val="706657A0"/>
    <w:rsid w:val="706B53E2"/>
    <w:rsid w:val="706C823A"/>
    <w:rsid w:val="70754616"/>
    <w:rsid w:val="707DA23E"/>
    <w:rsid w:val="70826F7D"/>
    <w:rsid w:val="7085B257"/>
    <w:rsid w:val="7086E8BD"/>
    <w:rsid w:val="7089150E"/>
    <w:rsid w:val="708A981B"/>
    <w:rsid w:val="708B043E"/>
    <w:rsid w:val="70904E41"/>
    <w:rsid w:val="7091299C"/>
    <w:rsid w:val="7096C98B"/>
    <w:rsid w:val="7097284E"/>
    <w:rsid w:val="7099B4B6"/>
    <w:rsid w:val="709A963D"/>
    <w:rsid w:val="709AC890"/>
    <w:rsid w:val="709F36E3"/>
    <w:rsid w:val="70A00F29"/>
    <w:rsid w:val="70A0FDEE"/>
    <w:rsid w:val="70A6FA34"/>
    <w:rsid w:val="70B2ECBD"/>
    <w:rsid w:val="70B6C2B2"/>
    <w:rsid w:val="70B8DB08"/>
    <w:rsid w:val="70BAA75A"/>
    <w:rsid w:val="70BC12BC"/>
    <w:rsid w:val="70BCBE34"/>
    <w:rsid w:val="70C03972"/>
    <w:rsid w:val="70C86DD2"/>
    <w:rsid w:val="70CCD303"/>
    <w:rsid w:val="70D64706"/>
    <w:rsid w:val="70DDF409"/>
    <w:rsid w:val="70E1CC71"/>
    <w:rsid w:val="70E28A40"/>
    <w:rsid w:val="70E802B7"/>
    <w:rsid w:val="70EE3CB1"/>
    <w:rsid w:val="70F3A3DF"/>
    <w:rsid w:val="70F58A44"/>
    <w:rsid w:val="70FB286A"/>
    <w:rsid w:val="70FB5CC7"/>
    <w:rsid w:val="70FD9B0C"/>
    <w:rsid w:val="7118ABD6"/>
    <w:rsid w:val="71198FC7"/>
    <w:rsid w:val="711DA39C"/>
    <w:rsid w:val="712760CD"/>
    <w:rsid w:val="7127C1C7"/>
    <w:rsid w:val="712BD2D6"/>
    <w:rsid w:val="71336D97"/>
    <w:rsid w:val="713C330B"/>
    <w:rsid w:val="713F6E3F"/>
    <w:rsid w:val="71407B9A"/>
    <w:rsid w:val="7145C7D0"/>
    <w:rsid w:val="714A08DE"/>
    <w:rsid w:val="71517932"/>
    <w:rsid w:val="71528E20"/>
    <w:rsid w:val="7158749F"/>
    <w:rsid w:val="715FF660"/>
    <w:rsid w:val="716827D1"/>
    <w:rsid w:val="716B871A"/>
    <w:rsid w:val="716EBF70"/>
    <w:rsid w:val="71739193"/>
    <w:rsid w:val="71752D4E"/>
    <w:rsid w:val="71773EF2"/>
    <w:rsid w:val="717CF0B6"/>
    <w:rsid w:val="717E5786"/>
    <w:rsid w:val="717FACF3"/>
    <w:rsid w:val="71834EB8"/>
    <w:rsid w:val="719AC8C3"/>
    <w:rsid w:val="719F462E"/>
    <w:rsid w:val="71A4F4FE"/>
    <w:rsid w:val="71A51548"/>
    <w:rsid w:val="71AC6C1F"/>
    <w:rsid w:val="71AEF61C"/>
    <w:rsid w:val="71B1672E"/>
    <w:rsid w:val="71B3A386"/>
    <w:rsid w:val="71B7A874"/>
    <w:rsid w:val="71B81130"/>
    <w:rsid w:val="71BA5085"/>
    <w:rsid w:val="71C5F65E"/>
    <w:rsid w:val="71D08138"/>
    <w:rsid w:val="71D2ACC3"/>
    <w:rsid w:val="71DE4F52"/>
    <w:rsid w:val="71DFB8CB"/>
    <w:rsid w:val="71E50DDF"/>
    <w:rsid w:val="71F0E68F"/>
    <w:rsid w:val="71F10649"/>
    <w:rsid w:val="71FA88E1"/>
    <w:rsid w:val="71FAF2EC"/>
    <w:rsid w:val="720A03A6"/>
    <w:rsid w:val="720C491C"/>
    <w:rsid w:val="720DD14A"/>
    <w:rsid w:val="7211316E"/>
    <w:rsid w:val="7212D63E"/>
    <w:rsid w:val="721616F1"/>
    <w:rsid w:val="72198720"/>
    <w:rsid w:val="7228B4B2"/>
    <w:rsid w:val="72305535"/>
    <w:rsid w:val="7238141E"/>
    <w:rsid w:val="723DFC33"/>
    <w:rsid w:val="72405162"/>
    <w:rsid w:val="724151C6"/>
    <w:rsid w:val="7245E1DB"/>
    <w:rsid w:val="724C7D4C"/>
    <w:rsid w:val="725262B4"/>
    <w:rsid w:val="72568AFD"/>
    <w:rsid w:val="72586190"/>
    <w:rsid w:val="725A00AC"/>
    <w:rsid w:val="725F17FF"/>
    <w:rsid w:val="72608B9B"/>
    <w:rsid w:val="72632927"/>
    <w:rsid w:val="726447C9"/>
    <w:rsid w:val="7264F529"/>
    <w:rsid w:val="72658D1F"/>
    <w:rsid w:val="726814F2"/>
    <w:rsid w:val="72700ED6"/>
    <w:rsid w:val="727171D1"/>
    <w:rsid w:val="72722C94"/>
    <w:rsid w:val="728CC6BA"/>
    <w:rsid w:val="7295F5B1"/>
    <w:rsid w:val="729C5DB6"/>
    <w:rsid w:val="72A2356C"/>
    <w:rsid w:val="72A3EB03"/>
    <w:rsid w:val="72ADF2EB"/>
    <w:rsid w:val="72B16DAF"/>
    <w:rsid w:val="72B697DF"/>
    <w:rsid w:val="72B6DDDF"/>
    <w:rsid w:val="72C56AD2"/>
    <w:rsid w:val="72C5FD8B"/>
    <w:rsid w:val="72D106D7"/>
    <w:rsid w:val="72D4E516"/>
    <w:rsid w:val="72D6A6A5"/>
    <w:rsid w:val="72DB848A"/>
    <w:rsid w:val="72E1B812"/>
    <w:rsid w:val="72E40D13"/>
    <w:rsid w:val="72E9E221"/>
    <w:rsid w:val="72F1F3CD"/>
    <w:rsid w:val="72F43F4D"/>
    <w:rsid w:val="72FAE766"/>
    <w:rsid w:val="72FB92C4"/>
    <w:rsid w:val="72FC4D3B"/>
    <w:rsid w:val="72FD7F29"/>
    <w:rsid w:val="73004633"/>
    <w:rsid w:val="73123764"/>
    <w:rsid w:val="73181A46"/>
    <w:rsid w:val="731DB927"/>
    <w:rsid w:val="731F837A"/>
    <w:rsid w:val="7321E6A3"/>
    <w:rsid w:val="73222FFC"/>
    <w:rsid w:val="732A6987"/>
    <w:rsid w:val="732F3CA0"/>
    <w:rsid w:val="73328078"/>
    <w:rsid w:val="73341DD6"/>
    <w:rsid w:val="734315A1"/>
    <w:rsid w:val="73481C96"/>
    <w:rsid w:val="73504973"/>
    <w:rsid w:val="7351AE6E"/>
    <w:rsid w:val="73570063"/>
    <w:rsid w:val="735B618D"/>
    <w:rsid w:val="736A1D94"/>
    <w:rsid w:val="7378490B"/>
    <w:rsid w:val="738AEA61"/>
    <w:rsid w:val="738F0ABB"/>
    <w:rsid w:val="73A52EC0"/>
    <w:rsid w:val="73A60B3A"/>
    <w:rsid w:val="73ADABE8"/>
    <w:rsid w:val="73B857F0"/>
    <w:rsid w:val="73BAC4D9"/>
    <w:rsid w:val="73C469D3"/>
    <w:rsid w:val="73C9B31E"/>
    <w:rsid w:val="73CFCCA3"/>
    <w:rsid w:val="73DA5EEF"/>
    <w:rsid w:val="73DF6935"/>
    <w:rsid w:val="73E1483F"/>
    <w:rsid w:val="73E590CF"/>
    <w:rsid w:val="73E94C0C"/>
    <w:rsid w:val="73F429DC"/>
    <w:rsid w:val="73F7AD50"/>
    <w:rsid w:val="73F9590D"/>
    <w:rsid w:val="7400CC7E"/>
    <w:rsid w:val="7406093D"/>
    <w:rsid w:val="7408FD94"/>
    <w:rsid w:val="7414832E"/>
    <w:rsid w:val="74152387"/>
    <w:rsid w:val="741A51DD"/>
    <w:rsid w:val="741BBDE6"/>
    <w:rsid w:val="74230307"/>
    <w:rsid w:val="7427BF9F"/>
    <w:rsid w:val="742927F3"/>
    <w:rsid w:val="74298958"/>
    <w:rsid w:val="7438BD99"/>
    <w:rsid w:val="743D9E7C"/>
    <w:rsid w:val="744D34CA"/>
    <w:rsid w:val="744F1878"/>
    <w:rsid w:val="74593332"/>
    <w:rsid w:val="745D229F"/>
    <w:rsid w:val="7463F0B6"/>
    <w:rsid w:val="746B5E5B"/>
    <w:rsid w:val="746C48DA"/>
    <w:rsid w:val="746F1784"/>
    <w:rsid w:val="7473977E"/>
    <w:rsid w:val="7476A490"/>
    <w:rsid w:val="747A519D"/>
    <w:rsid w:val="748C7625"/>
    <w:rsid w:val="748D6293"/>
    <w:rsid w:val="748F57C9"/>
    <w:rsid w:val="7490D3C5"/>
    <w:rsid w:val="749387D7"/>
    <w:rsid w:val="7499DB1A"/>
    <w:rsid w:val="749F1443"/>
    <w:rsid w:val="74B5D3CF"/>
    <w:rsid w:val="74B78737"/>
    <w:rsid w:val="74BE369B"/>
    <w:rsid w:val="74C380D9"/>
    <w:rsid w:val="74C5654D"/>
    <w:rsid w:val="74C6F6DF"/>
    <w:rsid w:val="74CC6E6D"/>
    <w:rsid w:val="74E0C567"/>
    <w:rsid w:val="74E86B54"/>
    <w:rsid w:val="74EFD93E"/>
    <w:rsid w:val="75022FC5"/>
    <w:rsid w:val="7502D59E"/>
    <w:rsid w:val="75060065"/>
    <w:rsid w:val="75074CB1"/>
    <w:rsid w:val="751602AD"/>
    <w:rsid w:val="7518940D"/>
    <w:rsid w:val="752150BD"/>
    <w:rsid w:val="752B9D63"/>
    <w:rsid w:val="75399C18"/>
    <w:rsid w:val="753B5693"/>
    <w:rsid w:val="753DC4A3"/>
    <w:rsid w:val="754C87DE"/>
    <w:rsid w:val="7557E459"/>
    <w:rsid w:val="7558B3F2"/>
    <w:rsid w:val="756043CA"/>
    <w:rsid w:val="75635613"/>
    <w:rsid w:val="7563CB55"/>
    <w:rsid w:val="756441AF"/>
    <w:rsid w:val="75731CA6"/>
    <w:rsid w:val="7574F75A"/>
    <w:rsid w:val="757807C9"/>
    <w:rsid w:val="757E429B"/>
    <w:rsid w:val="7580319A"/>
    <w:rsid w:val="75811442"/>
    <w:rsid w:val="7584FCA0"/>
    <w:rsid w:val="75879A26"/>
    <w:rsid w:val="759210EE"/>
    <w:rsid w:val="759CF0CF"/>
    <w:rsid w:val="75A23BF6"/>
    <w:rsid w:val="75A6D452"/>
    <w:rsid w:val="75A8D84B"/>
    <w:rsid w:val="75CF9126"/>
    <w:rsid w:val="75D132B3"/>
    <w:rsid w:val="75D61C2D"/>
    <w:rsid w:val="75E96F2D"/>
    <w:rsid w:val="75EA52D3"/>
    <w:rsid w:val="75EA6DF9"/>
    <w:rsid w:val="75EB43D6"/>
    <w:rsid w:val="75F0CAF8"/>
    <w:rsid w:val="7607AA78"/>
    <w:rsid w:val="76096A99"/>
    <w:rsid w:val="760CC49F"/>
    <w:rsid w:val="760DAB83"/>
    <w:rsid w:val="7611B589"/>
    <w:rsid w:val="7617026C"/>
    <w:rsid w:val="762002AB"/>
    <w:rsid w:val="764D460B"/>
    <w:rsid w:val="764E216C"/>
    <w:rsid w:val="76524C9B"/>
    <w:rsid w:val="76532C7E"/>
    <w:rsid w:val="76560AA4"/>
    <w:rsid w:val="76592FF2"/>
    <w:rsid w:val="765F1904"/>
    <w:rsid w:val="76616DFD"/>
    <w:rsid w:val="766C6A74"/>
    <w:rsid w:val="766D0351"/>
    <w:rsid w:val="766E647A"/>
    <w:rsid w:val="766FBAA3"/>
    <w:rsid w:val="767444CB"/>
    <w:rsid w:val="76786CB0"/>
    <w:rsid w:val="768A9988"/>
    <w:rsid w:val="7696AECA"/>
    <w:rsid w:val="76A0476E"/>
    <w:rsid w:val="76A77AA2"/>
    <w:rsid w:val="76A87B05"/>
    <w:rsid w:val="76B29CBD"/>
    <w:rsid w:val="76C401AA"/>
    <w:rsid w:val="76CA3FDC"/>
    <w:rsid w:val="76D09D4F"/>
    <w:rsid w:val="76D3900B"/>
    <w:rsid w:val="76DA5DEA"/>
    <w:rsid w:val="76E3BACD"/>
    <w:rsid w:val="76E66D5E"/>
    <w:rsid w:val="76EB01A1"/>
    <w:rsid w:val="76F2471A"/>
    <w:rsid w:val="76F552C7"/>
    <w:rsid w:val="76FF33C4"/>
    <w:rsid w:val="77018B8B"/>
    <w:rsid w:val="77041F9C"/>
    <w:rsid w:val="770F769D"/>
    <w:rsid w:val="770F92E6"/>
    <w:rsid w:val="7713583F"/>
    <w:rsid w:val="77157ABB"/>
    <w:rsid w:val="771601D0"/>
    <w:rsid w:val="77178F9C"/>
    <w:rsid w:val="771E37A1"/>
    <w:rsid w:val="772CFC04"/>
    <w:rsid w:val="77310D3F"/>
    <w:rsid w:val="7731DCE5"/>
    <w:rsid w:val="77369FB8"/>
    <w:rsid w:val="7736B72D"/>
    <w:rsid w:val="7736DE6C"/>
    <w:rsid w:val="773870CA"/>
    <w:rsid w:val="77396F7F"/>
    <w:rsid w:val="773A5330"/>
    <w:rsid w:val="773AF77E"/>
    <w:rsid w:val="773EF5BD"/>
    <w:rsid w:val="773F315F"/>
    <w:rsid w:val="77428A19"/>
    <w:rsid w:val="77438915"/>
    <w:rsid w:val="775754FD"/>
    <w:rsid w:val="7774A459"/>
    <w:rsid w:val="77917CCB"/>
    <w:rsid w:val="77993B1B"/>
    <w:rsid w:val="779BDF6C"/>
    <w:rsid w:val="779D6AB0"/>
    <w:rsid w:val="77A7B5F4"/>
    <w:rsid w:val="77A9D5DD"/>
    <w:rsid w:val="77A9F87B"/>
    <w:rsid w:val="77B195D2"/>
    <w:rsid w:val="77BC18F2"/>
    <w:rsid w:val="77C69F5E"/>
    <w:rsid w:val="77C8EC1F"/>
    <w:rsid w:val="77CB599C"/>
    <w:rsid w:val="77CC0877"/>
    <w:rsid w:val="77D493BE"/>
    <w:rsid w:val="77D679F7"/>
    <w:rsid w:val="77D7778B"/>
    <w:rsid w:val="77DBC692"/>
    <w:rsid w:val="77DBFAD0"/>
    <w:rsid w:val="77E3FC2D"/>
    <w:rsid w:val="77E46338"/>
    <w:rsid w:val="77E580CA"/>
    <w:rsid w:val="77E72DCC"/>
    <w:rsid w:val="77F3312C"/>
    <w:rsid w:val="77FB434A"/>
    <w:rsid w:val="77FFCAAD"/>
    <w:rsid w:val="7805E3FA"/>
    <w:rsid w:val="7808A765"/>
    <w:rsid w:val="7809D215"/>
    <w:rsid w:val="781012C6"/>
    <w:rsid w:val="78104FEA"/>
    <w:rsid w:val="781AF99D"/>
    <w:rsid w:val="781B019C"/>
    <w:rsid w:val="781B4783"/>
    <w:rsid w:val="782FB315"/>
    <w:rsid w:val="783DDC6F"/>
    <w:rsid w:val="78444BFD"/>
    <w:rsid w:val="78521C6E"/>
    <w:rsid w:val="7854437D"/>
    <w:rsid w:val="78557C32"/>
    <w:rsid w:val="78560500"/>
    <w:rsid w:val="7858CD34"/>
    <w:rsid w:val="785D2973"/>
    <w:rsid w:val="7860636E"/>
    <w:rsid w:val="78634F06"/>
    <w:rsid w:val="786903C6"/>
    <w:rsid w:val="7875F345"/>
    <w:rsid w:val="78763F74"/>
    <w:rsid w:val="787A3955"/>
    <w:rsid w:val="787C9447"/>
    <w:rsid w:val="78801787"/>
    <w:rsid w:val="788B7717"/>
    <w:rsid w:val="788E98DE"/>
    <w:rsid w:val="7896EAD0"/>
    <w:rsid w:val="78974417"/>
    <w:rsid w:val="789B4DD2"/>
    <w:rsid w:val="789C9071"/>
    <w:rsid w:val="78A1D53A"/>
    <w:rsid w:val="78A29313"/>
    <w:rsid w:val="78A5C9D8"/>
    <w:rsid w:val="78A99833"/>
    <w:rsid w:val="78A9DD04"/>
    <w:rsid w:val="78ABE66D"/>
    <w:rsid w:val="78BB6E79"/>
    <w:rsid w:val="78C3A43C"/>
    <w:rsid w:val="78D0736B"/>
    <w:rsid w:val="78D0BF34"/>
    <w:rsid w:val="78D52D3B"/>
    <w:rsid w:val="78D5B323"/>
    <w:rsid w:val="78D6A9D1"/>
    <w:rsid w:val="78D7BA0C"/>
    <w:rsid w:val="78E270BF"/>
    <w:rsid w:val="78E9EBAE"/>
    <w:rsid w:val="78EF045A"/>
    <w:rsid w:val="78F8B056"/>
    <w:rsid w:val="78FFC88B"/>
    <w:rsid w:val="790DB76B"/>
    <w:rsid w:val="790DF77A"/>
    <w:rsid w:val="79148680"/>
    <w:rsid w:val="791AD64C"/>
    <w:rsid w:val="791CEA62"/>
    <w:rsid w:val="7922117A"/>
    <w:rsid w:val="7927D9D2"/>
    <w:rsid w:val="7932F6C3"/>
    <w:rsid w:val="79334699"/>
    <w:rsid w:val="793B772E"/>
    <w:rsid w:val="793C30FE"/>
    <w:rsid w:val="793DC392"/>
    <w:rsid w:val="7949A6BA"/>
    <w:rsid w:val="7952F008"/>
    <w:rsid w:val="79595648"/>
    <w:rsid w:val="795A938C"/>
    <w:rsid w:val="79630330"/>
    <w:rsid w:val="7974BF6F"/>
    <w:rsid w:val="79789105"/>
    <w:rsid w:val="797D79AC"/>
    <w:rsid w:val="79826FEA"/>
    <w:rsid w:val="79842CCA"/>
    <w:rsid w:val="7991C393"/>
    <w:rsid w:val="7997466A"/>
    <w:rsid w:val="799A9B3D"/>
    <w:rsid w:val="799C9969"/>
    <w:rsid w:val="799F2A04"/>
    <w:rsid w:val="79A22D2F"/>
    <w:rsid w:val="79A352A7"/>
    <w:rsid w:val="79A7FF30"/>
    <w:rsid w:val="79A8C255"/>
    <w:rsid w:val="79A9A88B"/>
    <w:rsid w:val="79AB204E"/>
    <w:rsid w:val="79B6BEF1"/>
    <w:rsid w:val="79C4011A"/>
    <w:rsid w:val="79C85B67"/>
    <w:rsid w:val="79CD61BD"/>
    <w:rsid w:val="79CF9ECC"/>
    <w:rsid w:val="79CFFBC0"/>
    <w:rsid w:val="79D05166"/>
    <w:rsid w:val="79D3D029"/>
    <w:rsid w:val="79DA012D"/>
    <w:rsid w:val="79E07B73"/>
    <w:rsid w:val="79E40C92"/>
    <w:rsid w:val="79E67F34"/>
    <w:rsid w:val="79F80250"/>
    <w:rsid w:val="7A08E44C"/>
    <w:rsid w:val="7A0CB2AC"/>
    <w:rsid w:val="7A0F2C88"/>
    <w:rsid w:val="7A0F847B"/>
    <w:rsid w:val="7A14597C"/>
    <w:rsid w:val="7A23CAB9"/>
    <w:rsid w:val="7A24BBB3"/>
    <w:rsid w:val="7A2A08D8"/>
    <w:rsid w:val="7A35382A"/>
    <w:rsid w:val="7A3928FA"/>
    <w:rsid w:val="7A3BF4D0"/>
    <w:rsid w:val="7A4080B4"/>
    <w:rsid w:val="7A430ED2"/>
    <w:rsid w:val="7A431D92"/>
    <w:rsid w:val="7A4886D5"/>
    <w:rsid w:val="7A4C42A6"/>
    <w:rsid w:val="7A4E65A4"/>
    <w:rsid w:val="7A4FE8A1"/>
    <w:rsid w:val="7A5BBFD4"/>
    <w:rsid w:val="7A5BE8EB"/>
    <w:rsid w:val="7A5C5E7C"/>
    <w:rsid w:val="7A5D9DD6"/>
    <w:rsid w:val="7A5E4915"/>
    <w:rsid w:val="7A662F1C"/>
    <w:rsid w:val="7A6BCAFC"/>
    <w:rsid w:val="7A70FBB0"/>
    <w:rsid w:val="7A7BA3CB"/>
    <w:rsid w:val="7A823A27"/>
    <w:rsid w:val="7A8A14B3"/>
    <w:rsid w:val="7A8BF20C"/>
    <w:rsid w:val="7A8DE115"/>
    <w:rsid w:val="7A8EE01D"/>
    <w:rsid w:val="7A9304D8"/>
    <w:rsid w:val="7A93243F"/>
    <w:rsid w:val="7A99287B"/>
    <w:rsid w:val="7A9A9BF7"/>
    <w:rsid w:val="7AA10F1A"/>
    <w:rsid w:val="7AA72C3E"/>
    <w:rsid w:val="7AAD8695"/>
    <w:rsid w:val="7AB1A608"/>
    <w:rsid w:val="7ABA6607"/>
    <w:rsid w:val="7ABE8A08"/>
    <w:rsid w:val="7ABF22EB"/>
    <w:rsid w:val="7AC7659E"/>
    <w:rsid w:val="7ACB3E9D"/>
    <w:rsid w:val="7ACBE6AB"/>
    <w:rsid w:val="7AD15FA6"/>
    <w:rsid w:val="7AD6F4ED"/>
    <w:rsid w:val="7AD72124"/>
    <w:rsid w:val="7ADB4CE6"/>
    <w:rsid w:val="7AE50CDD"/>
    <w:rsid w:val="7AEDA8BD"/>
    <w:rsid w:val="7AF80B37"/>
    <w:rsid w:val="7AF944DF"/>
    <w:rsid w:val="7B02CB83"/>
    <w:rsid w:val="7B116ACD"/>
    <w:rsid w:val="7B15B1E2"/>
    <w:rsid w:val="7B16AF13"/>
    <w:rsid w:val="7B16B6D6"/>
    <w:rsid w:val="7B1F90F0"/>
    <w:rsid w:val="7B20C33B"/>
    <w:rsid w:val="7B213DAA"/>
    <w:rsid w:val="7B23DDB3"/>
    <w:rsid w:val="7B28FD3C"/>
    <w:rsid w:val="7B3B2891"/>
    <w:rsid w:val="7B41AF40"/>
    <w:rsid w:val="7B465444"/>
    <w:rsid w:val="7B4BB389"/>
    <w:rsid w:val="7B4E836E"/>
    <w:rsid w:val="7B57CF6E"/>
    <w:rsid w:val="7B649F29"/>
    <w:rsid w:val="7B66DE83"/>
    <w:rsid w:val="7B67316C"/>
    <w:rsid w:val="7B6B183C"/>
    <w:rsid w:val="7B6FA101"/>
    <w:rsid w:val="7B7ACF07"/>
    <w:rsid w:val="7B890D21"/>
    <w:rsid w:val="7BA3FDF2"/>
    <w:rsid w:val="7BA8936C"/>
    <w:rsid w:val="7BACFB64"/>
    <w:rsid w:val="7BB554D7"/>
    <w:rsid w:val="7BB5854F"/>
    <w:rsid w:val="7BB81B39"/>
    <w:rsid w:val="7BB87FA0"/>
    <w:rsid w:val="7BC00600"/>
    <w:rsid w:val="7BC0F84D"/>
    <w:rsid w:val="7BC7C93E"/>
    <w:rsid w:val="7BD18521"/>
    <w:rsid w:val="7BD23FBF"/>
    <w:rsid w:val="7BE207A2"/>
    <w:rsid w:val="7BE4927B"/>
    <w:rsid w:val="7BE50B8E"/>
    <w:rsid w:val="7BEA728C"/>
    <w:rsid w:val="7BFD11D1"/>
    <w:rsid w:val="7BFED1B6"/>
    <w:rsid w:val="7C104C80"/>
    <w:rsid w:val="7C162B81"/>
    <w:rsid w:val="7C1788BE"/>
    <w:rsid w:val="7C1F1F3B"/>
    <w:rsid w:val="7C2BFB3C"/>
    <w:rsid w:val="7C2C365C"/>
    <w:rsid w:val="7C30FBF5"/>
    <w:rsid w:val="7C33791A"/>
    <w:rsid w:val="7C45A472"/>
    <w:rsid w:val="7C46C822"/>
    <w:rsid w:val="7C49427C"/>
    <w:rsid w:val="7C4A6A03"/>
    <w:rsid w:val="7C4B060C"/>
    <w:rsid w:val="7C4D3526"/>
    <w:rsid w:val="7C4DAA0A"/>
    <w:rsid w:val="7C62821B"/>
    <w:rsid w:val="7C64E7DB"/>
    <w:rsid w:val="7C67DDF6"/>
    <w:rsid w:val="7C71AB49"/>
    <w:rsid w:val="7C744705"/>
    <w:rsid w:val="7C783529"/>
    <w:rsid w:val="7C7A472F"/>
    <w:rsid w:val="7C7E0075"/>
    <w:rsid w:val="7C81A0FF"/>
    <w:rsid w:val="7C8DEAB1"/>
    <w:rsid w:val="7C926278"/>
    <w:rsid w:val="7C93C627"/>
    <w:rsid w:val="7C97B2E4"/>
    <w:rsid w:val="7CAD339F"/>
    <w:rsid w:val="7CAD35A8"/>
    <w:rsid w:val="7CB33B18"/>
    <w:rsid w:val="7CBA8F1D"/>
    <w:rsid w:val="7CCA8F9B"/>
    <w:rsid w:val="7CD10FB5"/>
    <w:rsid w:val="7CD3EBDE"/>
    <w:rsid w:val="7CD91682"/>
    <w:rsid w:val="7CEB66B7"/>
    <w:rsid w:val="7CF40D2F"/>
    <w:rsid w:val="7CF5FD66"/>
    <w:rsid w:val="7CF9C800"/>
    <w:rsid w:val="7CFE33B0"/>
    <w:rsid w:val="7D02E1FE"/>
    <w:rsid w:val="7D053681"/>
    <w:rsid w:val="7D0B1414"/>
    <w:rsid w:val="7D0D16B1"/>
    <w:rsid w:val="7D0F361C"/>
    <w:rsid w:val="7D12F3AC"/>
    <w:rsid w:val="7D15A4AC"/>
    <w:rsid w:val="7D1D341E"/>
    <w:rsid w:val="7D1DD07D"/>
    <w:rsid w:val="7D212074"/>
    <w:rsid w:val="7D2317C4"/>
    <w:rsid w:val="7D2353B2"/>
    <w:rsid w:val="7D2742AD"/>
    <w:rsid w:val="7D2A3BFB"/>
    <w:rsid w:val="7D2C2A4E"/>
    <w:rsid w:val="7D2F6942"/>
    <w:rsid w:val="7D352CDD"/>
    <w:rsid w:val="7D3DCB15"/>
    <w:rsid w:val="7D50114A"/>
    <w:rsid w:val="7D51C8BD"/>
    <w:rsid w:val="7D522FE1"/>
    <w:rsid w:val="7D5791B8"/>
    <w:rsid w:val="7D5D54A1"/>
    <w:rsid w:val="7D5F5941"/>
    <w:rsid w:val="7D6425AA"/>
    <w:rsid w:val="7D67860B"/>
    <w:rsid w:val="7D6C66BE"/>
    <w:rsid w:val="7D6F80C5"/>
    <w:rsid w:val="7D727F3D"/>
    <w:rsid w:val="7D74C599"/>
    <w:rsid w:val="7D771C66"/>
    <w:rsid w:val="7D784DB4"/>
    <w:rsid w:val="7D79B6F4"/>
    <w:rsid w:val="7D7F641B"/>
    <w:rsid w:val="7D846F82"/>
    <w:rsid w:val="7D84B0DE"/>
    <w:rsid w:val="7D88CE63"/>
    <w:rsid w:val="7D8BAE5B"/>
    <w:rsid w:val="7D98FA9E"/>
    <w:rsid w:val="7DA5CA0A"/>
    <w:rsid w:val="7DADCB94"/>
    <w:rsid w:val="7DB638CE"/>
    <w:rsid w:val="7DB9552C"/>
    <w:rsid w:val="7DBA0B0C"/>
    <w:rsid w:val="7DBD29A9"/>
    <w:rsid w:val="7DC011B0"/>
    <w:rsid w:val="7DC0C1DD"/>
    <w:rsid w:val="7DC2E1F0"/>
    <w:rsid w:val="7DC4069B"/>
    <w:rsid w:val="7DC647C7"/>
    <w:rsid w:val="7DC869A4"/>
    <w:rsid w:val="7DCE1447"/>
    <w:rsid w:val="7DCFE472"/>
    <w:rsid w:val="7DDF6F6A"/>
    <w:rsid w:val="7DE4D118"/>
    <w:rsid w:val="7DF46447"/>
    <w:rsid w:val="7DFA3570"/>
    <w:rsid w:val="7DFCCCF3"/>
    <w:rsid w:val="7E082AD0"/>
    <w:rsid w:val="7E10E6DD"/>
    <w:rsid w:val="7E12E75E"/>
    <w:rsid w:val="7E1A9AE1"/>
    <w:rsid w:val="7E2CFF5D"/>
    <w:rsid w:val="7E53A06D"/>
    <w:rsid w:val="7E546DE1"/>
    <w:rsid w:val="7E5A135E"/>
    <w:rsid w:val="7E5D85A5"/>
    <w:rsid w:val="7E5F6AEC"/>
    <w:rsid w:val="7E631FDB"/>
    <w:rsid w:val="7E683CC0"/>
    <w:rsid w:val="7E73C00D"/>
    <w:rsid w:val="7E7E9AD6"/>
    <w:rsid w:val="7E83503A"/>
    <w:rsid w:val="7E885F3F"/>
    <w:rsid w:val="7E975E80"/>
    <w:rsid w:val="7E9883E5"/>
    <w:rsid w:val="7E99AFD5"/>
    <w:rsid w:val="7E9C703C"/>
    <w:rsid w:val="7EA0CF3F"/>
    <w:rsid w:val="7EA59847"/>
    <w:rsid w:val="7EA97D01"/>
    <w:rsid w:val="7EAE3319"/>
    <w:rsid w:val="7EB09E42"/>
    <w:rsid w:val="7EB0A2D8"/>
    <w:rsid w:val="7EB51C9C"/>
    <w:rsid w:val="7EB6C511"/>
    <w:rsid w:val="7EB809CA"/>
    <w:rsid w:val="7EBDD63A"/>
    <w:rsid w:val="7EC48FB0"/>
    <w:rsid w:val="7EC52FE9"/>
    <w:rsid w:val="7ED94931"/>
    <w:rsid w:val="7EDBC6B6"/>
    <w:rsid w:val="7EE46F63"/>
    <w:rsid w:val="7EEAA1DC"/>
    <w:rsid w:val="7EFAE1AA"/>
    <w:rsid w:val="7F007AC9"/>
    <w:rsid w:val="7F0641E0"/>
    <w:rsid w:val="7F06D0C8"/>
    <w:rsid w:val="7F0B30DA"/>
    <w:rsid w:val="7F0BC5C1"/>
    <w:rsid w:val="7F0BD592"/>
    <w:rsid w:val="7F0F72D8"/>
    <w:rsid w:val="7F1136DC"/>
    <w:rsid w:val="7F1A8A0A"/>
    <w:rsid w:val="7F206706"/>
    <w:rsid w:val="7F2352D3"/>
    <w:rsid w:val="7F277202"/>
    <w:rsid w:val="7F2782FD"/>
    <w:rsid w:val="7F2886E0"/>
    <w:rsid w:val="7F28CE41"/>
    <w:rsid w:val="7F2973FA"/>
    <w:rsid w:val="7F2DC6A6"/>
    <w:rsid w:val="7F2DE2BB"/>
    <w:rsid w:val="7F331613"/>
    <w:rsid w:val="7F3AA2E4"/>
    <w:rsid w:val="7F3F8CBB"/>
    <w:rsid w:val="7F4A4EF2"/>
    <w:rsid w:val="7F5325DF"/>
    <w:rsid w:val="7F5B5EA6"/>
    <w:rsid w:val="7F6098D6"/>
    <w:rsid w:val="7F651D60"/>
    <w:rsid w:val="7F67EC48"/>
    <w:rsid w:val="7F69E8EC"/>
    <w:rsid w:val="7F74A100"/>
    <w:rsid w:val="7F764F8D"/>
    <w:rsid w:val="7F7A0D46"/>
    <w:rsid w:val="7F8245AD"/>
    <w:rsid w:val="7F83B13A"/>
    <w:rsid w:val="7F8A894F"/>
    <w:rsid w:val="7F948D5A"/>
    <w:rsid w:val="7F95F092"/>
    <w:rsid w:val="7FA60302"/>
    <w:rsid w:val="7FA62E00"/>
    <w:rsid w:val="7FA8FE05"/>
    <w:rsid w:val="7FAC1A13"/>
    <w:rsid w:val="7FAC1E3E"/>
    <w:rsid w:val="7FB39B57"/>
    <w:rsid w:val="7FB7DECB"/>
    <w:rsid w:val="7FBFB5AC"/>
    <w:rsid w:val="7FC6BE08"/>
    <w:rsid w:val="7FCF74AD"/>
    <w:rsid w:val="7FD0F9AB"/>
    <w:rsid w:val="7FD1CA6B"/>
    <w:rsid w:val="7FD6C7E2"/>
    <w:rsid w:val="7FDAAFFE"/>
    <w:rsid w:val="7FDB0F30"/>
    <w:rsid w:val="7FE7FBC2"/>
    <w:rsid w:val="7FE968FF"/>
    <w:rsid w:val="7FEC93FF"/>
    <w:rsid w:val="7FF29AD1"/>
    <w:rsid w:val="7FF5924C"/>
    <w:rsid w:val="7FF5926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A96F6B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07EA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007EA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7B0810"/>
    <w:pPr>
      <w:keepNext/>
      <w:keepLines/>
      <w:spacing w:before="160" w:after="80"/>
      <w:outlineLvl w:val="2"/>
    </w:pPr>
    <w:rPr>
      <w:rFonts w:eastAsiaTheme="majorEastAsia" w:cstheme="majorBidi"/>
      <w:i/>
      <w:color w:val="0F4761" w:themeColor="accent1" w:themeShade="BF"/>
      <w:sz w:val="28"/>
      <w:szCs w:val="28"/>
    </w:rPr>
  </w:style>
  <w:style w:type="paragraph" w:styleId="Heading4">
    <w:name w:val="heading 4"/>
    <w:basedOn w:val="Normal"/>
    <w:next w:val="Normal"/>
    <w:link w:val="Heading4Char"/>
    <w:uiPriority w:val="9"/>
    <w:unhideWhenUsed/>
    <w:qFormat/>
    <w:rsid w:val="00007EA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00007EA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07EA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07EA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07EA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07EA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07EA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007EA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007EAA"/>
    <w:rPr>
      <w:rFonts w:eastAsiaTheme="majorEastAsia" w:cstheme="majorBidi"/>
      <w:i/>
      <w:color w:val="0F4761" w:themeColor="accent1" w:themeShade="BF"/>
      <w:sz w:val="28"/>
      <w:szCs w:val="28"/>
    </w:rPr>
  </w:style>
  <w:style w:type="character" w:customStyle="1" w:styleId="Heading4Char">
    <w:name w:val="Heading 4 Char"/>
    <w:basedOn w:val="DefaultParagraphFont"/>
    <w:link w:val="Heading4"/>
    <w:uiPriority w:val="9"/>
    <w:rsid w:val="00007EAA"/>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sid w:val="00007EAA"/>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07EA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07EA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07EA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07EAA"/>
    <w:rPr>
      <w:rFonts w:eastAsiaTheme="majorEastAsia" w:cstheme="majorBidi"/>
      <w:color w:val="272727" w:themeColor="text1" w:themeTint="D8"/>
    </w:rPr>
  </w:style>
  <w:style w:type="paragraph" w:styleId="Title">
    <w:name w:val="Title"/>
    <w:basedOn w:val="Normal"/>
    <w:next w:val="Normal"/>
    <w:link w:val="TitleChar"/>
    <w:uiPriority w:val="10"/>
    <w:qFormat/>
    <w:rsid w:val="00007EA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07EA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07EA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07EA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07EAA"/>
    <w:pPr>
      <w:spacing w:before="160"/>
      <w:jc w:val="center"/>
    </w:pPr>
    <w:rPr>
      <w:i/>
      <w:iCs/>
      <w:color w:val="404040" w:themeColor="text1" w:themeTint="BF"/>
    </w:rPr>
  </w:style>
  <w:style w:type="character" w:customStyle="1" w:styleId="QuoteChar">
    <w:name w:val="Quote Char"/>
    <w:basedOn w:val="DefaultParagraphFont"/>
    <w:link w:val="Quote"/>
    <w:uiPriority w:val="29"/>
    <w:rsid w:val="00007EAA"/>
    <w:rPr>
      <w:i/>
      <w:iCs/>
      <w:color w:val="404040" w:themeColor="text1" w:themeTint="BF"/>
    </w:rPr>
  </w:style>
  <w:style w:type="paragraph" w:styleId="ListParagraph">
    <w:name w:val="List Paragraph"/>
    <w:basedOn w:val="Normal"/>
    <w:link w:val="ListParagraphChar"/>
    <w:uiPriority w:val="34"/>
    <w:qFormat/>
    <w:rsid w:val="00007EAA"/>
    <w:pPr>
      <w:ind w:left="720"/>
      <w:contextualSpacing/>
    </w:pPr>
  </w:style>
  <w:style w:type="character" w:styleId="IntenseEmphasis">
    <w:name w:val="Intense Emphasis"/>
    <w:basedOn w:val="DefaultParagraphFont"/>
    <w:uiPriority w:val="21"/>
    <w:qFormat/>
    <w:rsid w:val="00007EAA"/>
    <w:rPr>
      <w:i/>
      <w:iCs/>
      <w:color w:val="0F4761" w:themeColor="accent1" w:themeShade="BF"/>
    </w:rPr>
  </w:style>
  <w:style w:type="paragraph" w:styleId="IntenseQuote">
    <w:name w:val="Intense Quote"/>
    <w:basedOn w:val="Normal"/>
    <w:next w:val="Normal"/>
    <w:link w:val="IntenseQuoteChar"/>
    <w:uiPriority w:val="30"/>
    <w:qFormat/>
    <w:rsid w:val="00007EA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07EAA"/>
    <w:rPr>
      <w:i/>
      <w:iCs/>
      <w:color w:val="0F4761" w:themeColor="accent1" w:themeShade="BF"/>
    </w:rPr>
  </w:style>
  <w:style w:type="character" w:styleId="IntenseReference">
    <w:name w:val="Intense Reference"/>
    <w:basedOn w:val="DefaultParagraphFont"/>
    <w:uiPriority w:val="32"/>
    <w:qFormat/>
    <w:rsid w:val="00007EAA"/>
    <w:rPr>
      <w:b/>
      <w:bCs/>
      <w:smallCaps/>
      <w:color w:val="0F4761" w:themeColor="accent1" w:themeShade="BF"/>
      <w:spacing w:val="5"/>
    </w:rPr>
  </w:style>
  <w:style w:type="character" w:styleId="Hyperlink">
    <w:name w:val="Hyperlink"/>
    <w:basedOn w:val="DefaultParagraphFont"/>
    <w:uiPriority w:val="99"/>
    <w:unhideWhenUsed/>
    <w:rsid w:val="00172173"/>
    <w:rPr>
      <w:color w:val="467886" w:themeColor="hyperlink"/>
      <w:u w:val="single"/>
    </w:rPr>
  </w:style>
  <w:style w:type="character" w:styleId="UnresolvedMention">
    <w:name w:val="Unresolved Mention"/>
    <w:basedOn w:val="DefaultParagraphFont"/>
    <w:uiPriority w:val="99"/>
    <w:unhideWhenUsed/>
    <w:rsid w:val="00172173"/>
    <w:rPr>
      <w:color w:val="605E5C"/>
      <w:shd w:val="clear" w:color="auto" w:fill="E1DFDD"/>
    </w:rPr>
  </w:style>
  <w:style w:type="paragraph" w:styleId="Header">
    <w:name w:val="header"/>
    <w:basedOn w:val="Normal"/>
    <w:link w:val="HeaderChar"/>
    <w:uiPriority w:val="99"/>
    <w:unhideWhenUsed/>
    <w:rsid w:val="00AB5FD6"/>
    <w:pPr>
      <w:tabs>
        <w:tab w:val="center" w:pos="4680"/>
        <w:tab w:val="right" w:pos="9360"/>
      </w:tabs>
      <w:spacing w:after="0" w:line="240" w:lineRule="auto"/>
    </w:pPr>
  </w:style>
  <w:style w:type="character" w:customStyle="1" w:styleId="HeaderChar">
    <w:name w:val="Header Char"/>
    <w:basedOn w:val="DefaultParagraphFont"/>
    <w:link w:val="Header"/>
    <w:uiPriority w:val="99"/>
    <w:rsid w:val="00AB5FD6"/>
  </w:style>
  <w:style w:type="paragraph" w:styleId="Footer">
    <w:name w:val="footer"/>
    <w:basedOn w:val="Normal"/>
    <w:link w:val="FooterChar"/>
    <w:uiPriority w:val="99"/>
    <w:unhideWhenUsed/>
    <w:rsid w:val="00AB5FD6"/>
    <w:pPr>
      <w:tabs>
        <w:tab w:val="center" w:pos="4680"/>
        <w:tab w:val="right" w:pos="9360"/>
      </w:tabs>
      <w:spacing w:after="0" w:line="240" w:lineRule="auto"/>
    </w:pPr>
  </w:style>
  <w:style w:type="character" w:customStyle="1" w:styleId="FooterChar">
    <w:name w:val="Footer Char"/>
    <w:basedOn w:val="DefaultParagraphFont"/>
    <w:link w:val="Footer"/>
    <w:uiPriority w:val="99"/>
    <w:rsid w:val="00AB5FD6"/>
  </w:style>
  <w:style w:type="paragraph" w:styleId="TOCHeading">
    <w:name w:val="TOC Heading"/>
    <w:basedOn w:val="Heading1"/>
    <w:next w:val="Normal"/>
    <w:uiPriority w:val="39"/>
    <w:unhideWhenUsed/>
    <w:qFormat/>
    <w:rsid w:val="00614E18"/>
    <w:pPr>
      <w:spacing w:before="240" w:after="0"/>
      <w:outlineLvl w:val="9"/>
    </w:pPr>
    <w:rPr>
      <w:kern w:val="0"/>
      <w:sz w:val="32"/>
      <w:szCs w:val="32"/>
      <w14:ligatures w14:val="none"/>
    </w:rPr>
  </w:style>
  <w:style w:type="paragraph" w:styleId="TOC1">
    <w:name w:val="toc 1"/>
    <w:basedOn w:val="Normal"/>
    <w:next w:val="Normal"/>
    <w:autoRedefine/>
    <w:uiPriority w:val="39"/>
    <w:unhideWhenUsed/>
    <w:rsid w:val="00111CB5"/>
    <w:pPr>
      <w:spacing w:after="100"/>
    </w:pPr>
  </w:style>
  <w:style w:type="paragraph" w:styleId="TOC2">
    <w:name w:val="toc 2"/>
    <w:basedOn w:val="Normal"/>
    <w:next w:val="Normal"/>
    <w:autoRedefine/>
    <w:uiPriority w:val="39"/>
    <w:unhideWhenUsed/>
    <w:rsid w:val="00111CB5"/>
    <w:pPr>
      <w:spacing w:after="100"/>
      <w:ind w:left="220"/>
    </w:pPr>
  </w:style>
  <w:style w:type="paragraph" w:styleId="TOC3">
    <w:name w:val="toc 3"/>
    <w:basedOn w:val="Normal"/>
    <w:next w:val="Normal"/>
    <w:autoRedefine/>
    <w:uiPriority w:val="39"/>
    <w:unhideWhenUsed/>
    <w:rsid w:val="00FD5195"/>
    <w:pPr>
      <w:spacing w:after="100"/>
      <w:ind w:left="440"/>
    </w:pPr>
  </w:style>
  <w:style w:type="character" w:styleId="CommentReference">
    <w:name w:val="annotation reference"/>
    <w:basedOn w:val="DefaultParagraphFont"/>
    <w:uiPriority w:val="99"/>
    <w:unhideWhenUsed/>
    <w:rsid w:val="002E6C63"/>
    <w:rPr>
      <w:sz w:val="16"/>
      <w:szCs w:val="16"/>
    </w:rPr>
  </w:style>
  <w:style w:type="paragraph" w:styleId="CommentText">
    <w:name w:val="annotation text"/>
    <w:basedOn w:val="Normal"/>
    <w:link w:val="CommentTextChar"/>
    <w:uiPriority w:val="99"/>
    <w:unhideWhenUsed/>
    <w:rsid w:val="002E6C63"/>
    <w:pPr>
      <w:spacing w:line="240" w:lineRule="auto"/>
    </w:pPr>
    <w:rPr>
      <w:sz w:val="20"/>
      <w:szCs w:val="20"/>
    </w:rPr>
  </w:style>
  <w:style w:type="character" w:customStyle="1" w:styleId="CommentTextChar">
    <w:name w:val="Comment Text Char"/>
    <w:basedOn w:val="DefaultParagraphFont"/>
    <w:link w:val="CommentText"/>
    <w:uiPriority w:val="99"/>
    <w:rsid w:val="002E6C63"/>
    <w:rPr>
      <w:sz w:val="20"/>
      <w:szCs w:val="20"/>
    </w:rPr>
  </w:style>
  <w:style w:type="paragraph" w:styleId="CommentSubject">
    <w:name w:val="annotation subject"/>
    <w:basedOn w:val="CommentText"/>
    <w:next w:val="CommentText"/>
    <w:link w:val="CommentSubjectChar"/>
    <w:uiPriority w:val="99"/>
    <w:semiHidden/>
    <w:unhideWhenUsed/>
    <w:rsid w:val="002E6C63"/>
    <w:rPr>
      <w:b/>
      <w:bCs/>
    </w:rPr>
  </w:style>
  <w:style w:type="character" w:customStyle="1" w:styleId="CommentSubjectChar">
    <w:name w:val="Comment Subject Char"/>
    <w:basedOn w:val="CommentTextChar"/>
    <w:link w:val="CommentSubject"/>
    <w:uiPriority w:val="99"/>
    <w:semiHidden/>
    <w:rsid w:val="002E6C63"/>
    <w:rPr>
      <w:b/>
      <w:bCs/>
      <w:sz w:val="20"/>
      <w:szCs w:val="20"/>
    </w:rPr>
  </w:style>
  <w:style w:type="paragraph" w:styleId="FootnoteText">
    <w:name w:val="footnote text"/>
    <w:basedOn w:val="Normal"/>
    <w:link w:val="FootnoteTextChar"/>
    <w:uiPriority w:val="99"/>
    <w:unhideWhenUsed/>
    <w:rsid w:val="00B16A6E"/>
    <w:pPr>
      <w:spacing w:after="0" w:line="240" w:lineRule="auto"/>
    </w:pPr>
    <w:rPr>
      <w:sz w:val="20"/>
      <w:szCs w:val="20"/>
    </w:rPr>
  </w:style>
  <w:style w:type="character" w:customStyle="1" w:styleId="FootnoteTextChar">
    <w:name w:val="Footnote Text Char"/>
    <w:basedOn w:val="DefaultParagraphFont"/>
    <w:link w:val="FootnoteText"/>
    <w:uiPriority w:val="99"/>
    <w:rsid w:val="00B16A6E"/>
    <w:rPr>
      <w:sz w:val="20"/>
      <w:szCs w:val="20"/>
    </w:rPr>
  </w:style>
  <w:style w:type="character" w:styleId="FootnoteReference">
    <w:name w:val="footnote reference"/>
    <w:basedOn w:val="DefaultParagraphFont"/>
    <w:uiPriority w:val="99"/>
    <w:semiHidden/>
    <w:unhideWhenUsed/>
    <w:rsid w:val="00B16A6E"/>
    <w:rPr>
      <w:vertAlign w:val="superscript"/>
    </w:rPr>
  </w:style>
  <w:style w:type="character" w:styleId="PlaceholderText">
    <w:name w:val="Placeholder Text"/>
    <w:basedOn w:val="DefaultParagraphFont"/>
    <w:uiPriority w:val="99"/>
    <w:semiHidden/>
    <w:rsid w:val="0092684A"/>
    <w:rPr>
      <w:color w:val="666666"/>
    </w:rPr>
  </w:style>
  <w:style w:type="paragraph" w:styleId="TOC4">
    <w:name w:val="toc 4"/>
    <w:basedOn w:val="Normal"/>
    <w:next w:val="Normal"/>
    <w:autoRedefine/>
    <w:uiPriority w:val="39"/>
    <w:unhideWhenUsed/>
    <w:rsid w:val="008C1703"/>
    <w:pPr>
      <w:spacing w:after="100" w:line="278" w:lineRule="auto"/>
      <w:ind w:left="720"/>
    </w:pPr>
    <w:rPr>
      <w:rFonts w:eastAsiaTheme="minorEastAsia"/>
      <w:sz w:val="24"/>
      <w:szCs w:val="24"/>
    </w:rPr>
  </w:style>
  <w:style w:type="paragraph" w:styleId="TOC5">
    <w:name w:val="toc 5"/>
    <w:basedOn w:val="Normal"/>
    <w:next w:val="Normal"/>
    <w:autoRedefine/>
    <w:uiPriority w:val="39"/>
    <w:unhideWhenUsed/>
    <w:rsid w:val="008C1703"/>
    <w:pPr>
      <w:spacing w:after="100" w:line="278" w:lineRule="auto"/>
      <w:ind w:left="960"/>
    </w:pPr>
    <w:rPr>
      <w:rFonts w:eastAsiaTheme="minorEastAsia"/>
      <w:sz w:val="24"/>
      <w:szCs w:val="24"/>
    </w:rPr>
  </w:style>
  <w:style w:type="paragraph" w:styleId="TOC6">
    <w:name w:val="toc 6"/>
    <w:basedOn w:val="Normal"/>
    <w:next w:val="Normal"/>
    <w:autoRedefine/>
    <w:uiPriority w:val="39"/>
    <w:unhideWhenUsed/>
    <w:rsid w:val="008C1703"/>
    <w:pPr>
      <w:spacing w:after="100" w:line="278" w:lineRule="auto"/>
      <w:ind w:left="1200"/>
    </w:pPr>
    <w:rPr>
      <w:rFonts w:eastAsiaTheme="minorEastAsia"/>
      <w:sz w:val="24"/>
      <w:szCs w:val="24"/>
    </w:rPr>
  </w:style>
  <w:style w:type="paragraph" w:styleId="TOC7">
    <w:name w:val="toc 7"/>
    <w:basedOn w:val="Normal"/>
    <w:next w:val="Normal"/>
    <w:autoRedefine/>
    <w:uiPriority w:val="39"/>
    <w:unhideWhenUsed/>
    <w:rsid w:val="008C1703"/>
    <w:pPr>
      <w:spacing w:after="100" w:line="278" w:lineRule="auto"/>
      <w:ind w:left="1440"/>
    </w:pPr>
    <w:rPr>
      <w:rFonts w:eastAsiaTheme="minorEastAsia"/>
      <w:sz w:val="24"/>
      <w:szCs w:val="24"/>
    </w:rPr>
  </w:style>
  <w:style w:type="paragraph" w:styleId="TOC8">
    <w:name w:val="toc 8"/>
    <w:basedOn w:val="Normal"/>
    <w:next w:val="Normal"/>
    <w:autoRedefine/>
    <w:uiPriority w:val="39"/>
    <w:unhideWhenUsed/>
    <w:rsid w:val="008C1703"/>
    <w:pPr>
      <w:spacing w:after="100" w:line="278" w:lineRule="auto"/>
      <w:ind w:left="1680"/>
    </w:pPr>
    <w:rPr>
      <w:rFonts w:eastAsiaTheme="minorEastAsia"/>
      <w:sz w:val="24"/>
      <w:szCs w:val="24"/>
    </w:rPr>
  </w:style>
  <w:style w:type="paragraph" w:styleId="TOC9">
    <w:name w:val="toc 9"/>
    <w:basedOn w:val="Normal"/>
    <w:next w:val="Normal"/>
    <w:autoRedefine/>
    <w:uiPriority w:val="39"/>
    <w:unhideWhenUsed/>
    <w:rsid w:val="008C1703"/>
    <w:pPr>
      <w:spacing w:after="100" w:line="278" w:lineRule="auto"/>
      <w:ind w:left="1920"/>
    </w:pPr>
    <w:rPr>
      <w:rFonts w:eastAsiaTheme="minorEastAsia"/>
      <w:sz w:val="24"/>
      <w:szCs w:val="24"/>
    </w:rPr>
  </w:style>
  <w:style w:type="paragraph" w:customStyle="1" w:styleId="Footnote">
    <w:name w:val="Footnote"/>
    <w:basedOn w:val="FootnoteText"/>
    <w:link w:val="FootnoteChar"/>
    <w:uiPriority w:val="12"/>
    <w:qFormat/>
    <w:rsid w:val="00C210A4"/>
    <w:pPr>
      <w:jc w:val="both"/>
    </w:pPr>
    <w:rPr>
      <w:rFonts w:eastAsia="Times New Roman" w:cs="Times New Roman"/>
      <w:color w:val="0E2841" w:themeColor="text2"/>
      <w:kern w:val="0"/>
      <w:sz w:val="19"/>
      <w14:ligatures w14:val="none"/>
    </w:rPr>
  </w:style>
  <w:style w:type="character" w:customStyle="1" w:styleId="FootnoteChar">
    <w:name w:val="Footnote Char"/>
    <w:basedOn w:val="FootnoteTextChar"/>
    <w:link w:val="Footnote"/>
    <w:uiPriority w:val="12"/>
    <w:rsid w:val="00C210A4"/>
    <w:rPr>
      <w:rFonts w:eastAsia="Times New Roman" w:cs="Times New Roman"/>
      <w:color w:val="0E2841" w:themeColor="text2"/>
      <w:kern w:val="0"/>
      <w:sz w:val="19"/>
      <w:szCs w:val="20"/>
      <w14:ligatures w14:val="none"/>
    </w:rPr>
  </w:style>
  <w:style w:type="table" w:customStyle="1" w:styleId="GridTable41">
    <w:name w:val="Grid Table 41"/>
    <w:basedOn w:val="TableNormal"/>
    <w:uiPriority w:val="49"/>
    <w:rsid w:val="00D14D20"/>
    <w:pPr>
      <w:spacing w:after="0" w:line="240" w:lineRule="auto"/>
    </w:pPr>
    <w:rPr>
      <w:kern w:val="0"/>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
    <w:name w:val="Table Grid"/>
    <w:basedOn w:val="TableNormal"/>
    <w:uiPriority w:val="59"/>
    <w:rsid w:val="00B10D4C"/>
    <w:pPr>
      <w:spacing w:after="0" w:line="240" w:lineRule="auto"/>
    </w:pPr>
    <w:rPr>
      <w:rFonts w:ascii="Times New Roman" w:eastAsia="Times New Roman" w:hAnsi="Times New Roman"/>
      <w:kern w:val="0"/>
      <w:sz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224D5"/>
    <w:rPr>
      <w:color w:val="96607D" w:themeColor="followedHyperlink"/>
      <w:u w:val="single"/>
    </w:rPr>
  </w:style>
  <w:style w:type="paragraph" w:styleId="Revision">
    <w:name w:val="Revision"/>
    <w:hidden/>
    <w:uiPriority w:val="99"/>
    <w:semiHidden/>
    <w:rsid w:val="00D310AD"/>
    <w:pPr>
      <w:spacing w:after="0" w:line="240" w:lineRule="auto"/>
    </w:pPr>
  </w:style>
  <w:style w:type="character" w:styleId="Mention">
    <w:name w:val="Mention"/>
    <w:basedOn w:val="DefaultParagraphFont"/>
    <w:uiPriority w:val="99"/>
    <w:unhideWhenUsed/>
    <w:rsid w:val="00205075"/>
    <w:rPr>
      <w:color w:val="2B579A"/>
      <w:shd w:val="clear" w:color="auto" w:fill="E1DFDD"/>
    </w:rPr>
  </w:style>
  <w:style w:type="character" w:customStyle="1" w:styleId="ListParagraphChar">
    <w:name w:val="List Paragraph Char"/>
    <w:link w:val="ListParagraph"/>
    <w:uiPriority w:val="34"/>
    <w:rsid w:val="00C127D5"/>
  </w:style>
  <w:style w:type="character" w:customStyle="1" w:styleId="normaltextrun">
    <w:name w:val="normaltextrun"/>
    <w:basedOn w:val="DefaultParagraphFont"/>
    <w:rsid w:val="00864032"/>
  </w:style>
  <w:style w:type="paragraph" w:customStyle="1" w:styleId="paragraph">
    <w:name w:val="paragraph"/>
    <w:basedOn w:val="Normal"/>
    <w:rsid w:val="00864032"/>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eop">
    <w:name w:val="eop"/>
    <w:basedOn w:val="DefaultParagraphFont"/>
    <w:rsid w:val="00D81D4B"/>
  </w:style>
  <w:style w:type="paragraph" w:customStyle="1" w:styleId="ESBullets">
    <w:name w:val="ES Bullets"/>
    <w:basedOn w:val="Normal"/>
    <w:qFormat/>
    <w:rsid w:val="007B2AFE"/>
    <w:pPr>
      <w:numPr>
        <w:numId w:val="35"/>
      </w:numPr>
      <w:spacing w:before="60" w:after="0" w:line="240" w:lineRule="auto"/>
    </w:pPr>
    <w:rPr>
      <w:rFonts w:eastAsia="Calibri" w:cs="Times New Roman"/>
      <w:kern w:val="0"/>
      <w:sz w:val="24"/>
      <w14:ligatures w14:val="none"/>
    </w:rPr>
  </w:style>
  <w:style w:type="paragraph" w:customStyle="1" w:styleId="EPRINormal">
    <w:name w:val="EPRI Normal"/>
    <w:link w:val="EPRINormalChar"/>
    <w:qFormat/>
    <w:rsid w:val="004C30D2"/>
    <w:pPr>
      <w:spacing w:before="120" w:after="240" w:line="240" w:lineRule="auto"/>
    </w:pPr>
    <w:rPr>
      <w:rFonts w:eastAsia="Times New Roman" w:cs="Times New Roman"/>
      <w:kern w:val="0"/>
      <w:sz w:val="24"/>
      <w14:ligatures w14:val="none"/>
    </w:rPr>
  </w:style>
  <w:style w:type="character" w:customStyle="1" w:styleId="EPRINormalChar">
    <w:name w:val="EPRI Normal Char"/>
    <w:basedOn w:val="DefaultParagraphFont"/>
    <w:link w:val="EPRINormal"/>
    <w:rsid w:val="004C30D2"/>
    <w:rPr>
      <w:rFonts w:eastAsia="Times New Roman" w:cs="Times New Roman"/>
      <w:kern w:val="0"/>
      <w:sz w:val="24"/>
      <w14:ligatures w14:val="none"/>
    </w:rPr>
  </w:style>
  <w:style w:type="character" w:customStyle="1" w:styleId="cf01">
    <w:name w:val="cf01"/>
    <w:basedOn w:val="DefaultParagraphFont"/>
    <w:rsid w:val="00455068"/>
    <w:rPr>
      <w:rFonts w:ascii="Segoe UI" w:hAnsi="Segoe UI" w:cs="Segoe UI" w:hint="default"/>
      <w:sz w:val="18"/>
      <w:szCs w:val="18"/>
    </w:rPr>
  </w:style>
  <w:style w:type="table" w:customStyle="1" w:styleId="TableGrid1">
    <w:name w:val="Table Grid1"/>
    <w:basedOn w:val="TableNormal"/>
    <w:next w:val="TableGrid"/>
    <w:uiPriority w:val="39"/>
    <w:rsid w:val="002E48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631B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EndnoteText">
    <w:name w:val="endnote text"/>
    <w:basedOn w:val="Normal"/>
    <w:link w:val="EndnoteTextChar"/>
    <w:uiPriority w:val="99"/>
    <w:semiHidden/>
    <w:unhideWhenUsed/>
    <w:rsid w:val="00084697"/>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84697"/>
    <w:rPr>
      <w:sz w:val="20"/>
      <w:szCs w:val="20"/>
    </w:rPr>
  </w:style>
  <w:style w:type="character" w:styleId="EndnoteReference">
    <w:name w:val="endnote reference"/>
    <w:basedOn w:val="DefaultParagraphFont"/>
    <w:uiPriority w:val="99"/>
    <w:semiHidden/>
    <w:unhideWhenUsed/>
    <w:rsid w:val="00084697"/>
    <w:rPr>
      <w:vertAlign w:val="superscript"/>
    </w:rPr>
  </w:style>
  <w:style w:type="paragraph" w:customStyle="1" w:styleId="pf0">
    <w:name w:val="pf0"/>
    <w:basedOn w:val="Normal"/>
    <w:rsid w:val="008F0CD7"/>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customStyle="1" w:styleId="1B">
    <w:name w:val="1B"/>
    <w:basedOn w:val="Heading1"/>
    <w:next w:val="Normal"/>
    <w:uiPriority w:val="7"/>
    <w:qFormat/>
    <w:rsid w:val="00EC264C"/>
    <w:pPr>
      <w:pageBreakBefore/>
      <w:widowControl w:val="0"/>
      <w:numPr>
        <w:numId w:val="43"/>
      </w:numPr>
      <w:spacing w:before="0" w:after="240" w:line="360" w:lineRule="auto"/>
      <w:jc w:val="both"/>
    </w:pPr>
    <w:rPr>
      <w:b/>
      <w:caps/>
      <w:color w:val="BF4E14" w:themeColor="accent2" w:themeShade="BF"/>
      <w:spacing w:val="10"/>
      <w:kern w:val="0"/>
      <w:sz w:val="24"/>
      <w:szCs w:val="32"/>
      <w14:ligatures w14:val="none"/>
    </w:rPr>
  </w:style>
  <w:style w:type="paragraph" w:customStyle="1" w:styleId="2B">
    <w:name w:val="2B"/>
    <w:basedOn w:val="Heading2"/>
    <w:next w:val="Normal"/>
    <w:uiPriority w:val="8"/>
    <w:qFormat/>
    <w:rsid w:val="008D07D9"/>
    <w:pPr>
      <w:widowControl w:val="0"/>
      <w:numPr>
        <w:ilvl w:val="1"/>
        <w:numId w:val="43"/>
      </w:numPr>
      <w:tabs>
        <w:tab w:val="num" w:pos="1422"/>
      </w:tabs>
      <w:spacing w:before="0" w:after="240" w:line="360" w:lineRule="auto"/>
      <w:jc w:val="both"/>
    </w:pPr>
    <w:rPr>
      <w:i/>
      <w:caps/>
      <w:color w:val="BF4E14" w:themeColor="accent2" w:themeShade="BF"/>
      <w:kern w:val="0"/>
      <w:sz w:val="24"/>
      <w:szCs w:val="26"/>
      <w14:ligatures w14:val="none"/>
    </w:rPr>
  </w:style>
  <w:style w:type="table" w:styleId="GridTable4-Accent1">
    <w:name w:val="Grid Table 4 Accent 1"/>
    <w:basedOn w:val="TableNormal"/>
    <w:uiPriority w:val="49"/>
    <w:rsid w:val="00490D00"/>
    <w:pPr>
      <w:spacing w:after="0" w:line="240" w:lineRule="auto"/>
    </w:p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paragraph" w:styleId="BodyText">
    <w:name w:val="Body Text"/>
    <w:basedOn w:val="Normal"/>
    <w:link w:val="BodyTextChar"/>
    <w:uiPriority w:val="99"/>
    <w:rsid w:val="0070702E"/>
    <w:pPr>
      <w:spacing w:after="120" w:line="360" w:lineRule="auto"/>
      <w:jc w:val="both"/>
    </w:pPr>
    <w:rPr>
      <w:rFonts w:ascii="Calibri" w:eastAsia="Times New Roman" w:hAnsi="Calibri" w:cs="Times New Roman"/>
      <w:kern w:val="0"/>
      <w14:ligatures w14:val="none"/>
    </w:rPr>
  </w:style>
  <w:style w:type="character" w:customStyle="1" w:styleId="BodyTextChar">
    <w:name w:val="Body Text Char"/>
    <w:basedOn w:val="DefaultParagraphFont"/>
    <w:link w:val="BodyText"/>
    <w:uiPriority w:val="99"/>
    <w:rsid w:val="0070702E"/>
    <w:rPr>
      <w:rFonts w:ascii="Calibri" w:eastAsia="Times New Roman" w:hAnsi="Calibri"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173408">
      <w:bodyDiv w:val="1"/>
      <w:marLeft w:val="0"/>
      <w:marRight w:val="0"/>
      <w:marTop w:val="0"/>
      <w:marBottom w:val="0"/>
      <w:divBdr>
        <w:top w:val="none" w:sz="0" w:space="0" w:color="auto"/>
        <w:left w:val="none" w:sz="0" w:space="0" w:color="auto"/>
        <w:bottom w:val="none" w:sz="0" w:space="0" w:color="auto"/>
        <w:right w:val="none" w:sz="0" w:space="0" w:color="auto"/>
      </w:divBdr>
      <w:divsChild>
        <w:div w:id="215166130">
          <w:marLeft w:val="0"/>
          <w:marRight w:val="0"/>
          <w:marTop w:val="0"/>
          <w:marBottom w:val="0"/>
          <w:divBdr>
            <w:top w:val="none" w:sz="0" w:space="0" w:color="auto"/>
            <w:left w:val="none" w:sz="0" w:space="0" w:color="auto"/>
            <w:bottom w:val="none" w:sz="0" w:space="0" w:color="auto"/>
            <w:right w:val="none" w:sz="0" w:space="0" w:color="auto"/>
          </w:divBdr>
        </w:div>
        <w:div w:id="733164778">
          <w:marLeft w:val="0"/>
          <w:marRight w:val="0"/>
          <w:marTop w:val="0"/>
          <w:marBottom w:val="0"/>
          <w:divBdr>
            <w:top w:val="none" w:sz="0" w:space="0" w:color="auto"/>
            <w:left w:val="none" w:sz="0" w:space="0" w:color="auto"/>
            <w:bottom w:val="none" w:sz="0" w:space="0" w:color="auto"/>
            <w:right w:val="none" w:sz="0" w:space="0" w:color="auto"/>
          </w:divBdr>
        </w:div>
        <w:div w:id="738526694">
          <w:marLeft w:val="0"/>
          <w:marRight w:val="0"/>
          <w:marTop w:val="0"/>
          <w:marBottom w:val="0"/>
          <w:divBdr>
            <w:top w:val="none" w:sz="0" w:space="0" w:color="auto"/>
            <w:left w:val="none" w:sz="0" w:space="0" w:color="auto"/>
            <w:bottom w:val="none" w:sz="0" w:space="0" w:color="auto"/>
            <w:right w:val="none" w:sz="0" w:space="0" w:color="auto"/>
          </w:divBdr>
          <w:divsChild>
            <w:div w:id="901914844">
              <w:marLeft w:val="-75"/>
              <w:marRight w:val="0"/>
              <w:marTop w:val="30"/>
              <w:marBottom w:val="30"/>
              <w:divBdr>
                <w:top w:val="none" w:sz="0" w:space="0" w:color="auto"/>
                <w:left w:val="none" w:sz="0" w:space="0" w:color="auto"/>
                <w:bottom w:val="none" w:sz="0" w:space="0" w:color="auto"/>
                <w:right w:val="none" w:sz="0" w:space="0" w:color="auto"/>
              </w:divBdr>
              <w:divsChild>
                <w:div w:id="22944182">
                  <w:marLeft w:val="0"/>
                  <w:marRight w:val="0"/>
                  <w:marTop w:val="0"/>
                  <w:marBottom w:val="0"/>
                  <w:divBdr>
                    <w:top w:val="none" w:sz="0" w:space="0" w:color="auto"/>
                    <w:left w:val="none" w:sz="0" w:space="0" w:color="auto"/>
                    <w:bottom w:val="none" w:sz="0" w:space="0" w:color="auto"/>
                    <w:right w:val="none" w:sz="0" w:space="0" w:color="auto"/>
                  </w:divBdr>
                  <w:divsChild>
                    <w:div w:id="600449987">
                      <w:marLeft w:val="0"/>
                      <w:marRight w:val="0"/>
                      <w:marTop w:val="0"/>
                      <w:marBottom w:val="0"/>
                      <w:divBdr>
                        <w:top w:val="none" w:sz="0" w:space="0" w:color="auto"/>
                        <w:left w:val="none" w:sz="0" w:space="0" w:color="auto"/>
                        <w:bottom w:val="none" w:sz="0" w:space="0" w:color="auto"/>
                        <w:right w:val="none" w:sz="0" w:space="0" w:color="auto"/>
                      </w:divBdr>
                    </w:div>
                  </w:divsChild>
                </w:div>
                <w:div w:id="42296013">
                  <w:marLeft w:val="0"/>
                  <w:marRight w:val="0"/>
                  <w:marTop w:val="0"/>
                  <w:marBottom w:val="0"/>
                  <w:divBdr>
                    <w:top w:val="none" w:sz="0" w:space="0" w:color="auto"/>
                    <w:left w:val="none" w:sz="0" w:space="0" w:color="auto"/>
                    <w:bottom w:val="none" w:sz="0" w:space="0" w:color="auto"/>
                    <w:right w:val="none" w:sz="0" w:space="0" w:color="auto"/>
                  </w:divBdr>
                  <w:divsChild>
                    <w:div w:id="2107534580">
                      <w:marLeft w:val="0"/>
                      <w:marRight w:val="0"/>
                      <w:marTop w:val="0"/>
                      <w:marBottom w:val="0"/>
                      <w:divBdr>
                        <w:top w:val="none" w:sz="0" w:space="0" w:color="auto"/>
                        <w:left w:val="none" w:sz="0" w:space="0" w:color="auto"/>
                        <w:bottom w:val="none" w:sz="0" w:space="0" w:color="auto"/>
                        <w:right w:val="none" w:sz="0" w:space="0" w:color="auto"/>
                      </w:divBdr>
                    </w:div>
                  </w:divsChild>
                </w:div>
                <w:div w:id="45374104">
                  <w:marLeft w:val="0"/>
                  <w:marRight w:val="0"/>
                  <w:marTop w:val="0"/>
                  <w:marBottom w:val="0"/>
                  <w:divBdr>
                    <w:top w:val="none" w:sz="0" w:space="0" w:color="auto"/>
                    <w:left w:val="none" w:sz="0" w:space="0" w:color="auto"/>
                    <w:bottom w:val="none" w:sz="0" w:space="0" w:color="auto"/>
                    <w:right w:val="none" w:sz="0" w:space="0" w:color="auto"/>
                  </w:divBdr>
                  <w:divsChild>
                    <w:div w:id="1043024401">
                      <w:marLeft w:val="0"/>
                      <w:marRight w:val="0"/>
                      <w:marTop w:val="0"/>
                      <w:marBottom w:val="0"/>
                      <w:divBdr>
                        <w:top w:val="none" w:sz="0" w:space="0" w:color="auto"/>
                        <w:left w:val="none" w:sz="0" w:space="0" w:color="auto"/>
                        <w:bottom w:val="none" w:sz="0" w:space="0" w:color="auto"/>
                        <w:right w:val="none" w:sz="0" w:space="0" w:color="auto"/>
                      </w:divBdr>
                    </w:div>
                  </w:divsChild>
                </w:div>
                <w:div w:id="83192901">
                  <w:marLeft w:val="0"/>
                  <w:marRight w:val="0"/>
                  <w:marTop w:val="0"/>
                  <w:marBottom w:val="0"/>
                  <w:divBdr>
                    <w:top w:val="none" w:sz="0" w:space="0" w:color="auto"/>
                    <w:left w:val="none" w:sz="0" w:space="0" w:color="auto"/>
                    <w:bottom w:val="none" w:sz="0" w:space="0" w:color="auto"/>
                    <w:right w:val="none" w:sz="0" w:space="0" w:color="auto"/>
                  </w:divBdr>
                  <w:divsChild>
                    <w:div w:id="2108957799">
                      <w:marLeft w:val="0"/>
                      <w:marRight w:val="0"/>
                      <w:marTop w:val="0"/>
                      <w:marBottom w:val="0"/>
                      <w:divBdr>
                        <w:top w:val="none" w:sz="0" w:space="0" w:color="auto"/>
                        <w:left w:val="none" w:sz="0" w:space="0" w:color="auto"/>
                        <w:bottom w:val="none" w:sz="0" w:space="0" w:color="auto"/>
                        <w:right w:val="none" w:sz="0" w:space="0" w:color="auto"/>
                      </w:divBdr>
                    </w:div>
                  </w:divsChild>
                </w:div>
                <w:div w:id="154810839">
                  <w:marLeft w:val="0"/>
                  <w:marRight w:val="0"/>
                  <w:marTop w:val="0"/>
                  <w:marBottom w:val="0"/>
                  <w:divBdr>
                    <w:top w:val="none" w:sz="0" w:space="0" w:color="auto"/>
                    <w:left w:val="none" w:sz="0" w:space="0" w:color="auto"/>
                    <w:bottom w:val="none" w:sz="0" w:space="0" w:color="auto"/>
                    <w:right w:val="none" w:sz="0" w:space="0" w:color="auto"/>
                  </w:divBdr>
                  <w:divsChild>
                    <w:div w:id="1606693848">
                      <w:marLeft w:val="0"/>
                      <w:marRight w:val="0"/>
                      <w:marTop w:val="0"/>
                      <w:marBottom w:val="0"/>
                      <w:divBdr>
                        <w:top w:val="none" w:sz="0" w:space="0" w:color="auto"/>
                        <w:left w:val="none" w:sz="0" w:space="0" w:color="auto"/>
                        <w:bottom w:val="none" w:sz="0" w:space="0" w:color="auto"/>
                        <w:right w:val="none" w:sz="0" w:space="0" w:color="auto"/>
                      </w:divBdr>
                    </w:div>
                  </w:divsChild>
                </w:div>
                <w:div w:id="186872845">
                  <w:marLeft w:val="0"/>
                  <w:marRight w:val="0"/>
                  <w:marTop w:val="0"/>
                  <w:marBottom w:val="0"/>
                  <w:divBdr>
                    <w:top w:val="none" w:sz="0" w:space="0" w:color="auto"/>
                    <w:left w:val="none" w:sz="0" w:space="0" w:color="auto"/>
                    <w:bottom w:val="none" w:sz="0" w:space="0" w:color="auto"/>
                    <w:right w:val="none" w:sz="0" w:space="0" w:color="auto"/>
                  </w:divBdr>
                  <w:divsChild>
                    <w:div w:id="495459800">
                      <w:marLeft w:val="0"/>
                      <w:marRight w:val="0"/>
                      <w:marTop w:val="0"/>
                      <w:marBottom w:val="0"/>
                      <w:divBdr>
                        <w:top w:val="none" w:sz="0" w:space="0" w:color="auto"/>
                        <w:left w:val="none" w:sz="0" w:space="0" w:color="auto"/>
                        <w:bottom w:val="none" w:sz="0" w:space="0" w:color="auto"/>
                        <w:right w:val="none" w:sz="0" w:space="0" w:color="auto"/>
                      </w:divBdr>
                    </w:div>
                  </w:divsChild>
                </w:div>
                <w:div w:id="210652477">
                  <w:marLeft w:val="0"/>
                  <w:marRight w:val="0"/>
                  <w:marTop w:val="0"/>
                  <w:marBottom w:val="0"/>
                  <w:divBdr>
                    <w:top w:val="none" w:sz="0" w:space="0" w:color="auto"/>
                    <w:left w:val="none" w:sz="0" w:space="0" w:color="auto"/>
                    <w:bottom w:val="none" w:sz="0" w:space="0" w:color="auto"/>
                    <w:right w:val="none" w:sz="0" w:space="0" w:color="auto"/>
                  </w:divBdr>
                  <w:divsChild>
                    <w:div w:id="714158961">
                      <w:marLeft w:val="0"/>
                      <w:marRight w:val="0"/>
                      <w:marTop w:val="0"/>
                      <w:marBottom w:val="0"/>
                      <w:divBdr>
                        <w:top w:val="none" w:sz="0" w:space="0" w:color="auto"/>
                        <w:left w:val="none" w:sz="0" w:space="0" w:color="auto"/>
                        <w:bottom w:val="none" w:sz="0" w:space="0" w:color="auto"/>
                        <w:right w:val="none" w:sz="0" w:space="0" w:color="auto"/>
                      </w:divBdr>
                    </w:div>
                  </w:divsChild>
                </w:div>
                <w:div w:id="233315701">
                  <w:marLeft w:val="0"/>
                  <w:marRight w:val="0"/>
                  <w:marTop w:val="0"/>
                  <w:marBottom w:val="0"/>
                  <w:divBdr>
                    <w:top w:val="none" w:sz="0" w:space="0" w:color="auto"/>
                    <w:left w:val="none" w:sz="0" w:space="0" w:color="auto"/>
                    <w:bottom w:val="none" w:sz="0" w:space="0" w:color="auto"/>
                    <w:right w:val="none" w:sz="0" w:space="0" w:color="auto"/>
                  </w:divBdr>
                  <w:divsChild>
                    <w:div w:id="337511892">
                      <w:marLeft w:val="0"/>
                      <w:marRight w:val="0"/>
                      <w:marTop w:val="0"/>
                      <w:marBottom w:val="0"/>
                      <w:divBdr>
                        <w:top w:val="none" w:sz="0" w:space="0" w:color="auto"/>
                        <w:left w:val="none" w:sz="0" w:space="0" w:color="auto"/>
                        <w:bottom w:val="none" w:sz="0" w:space="0" w:color="auto"/>
                        <w:right w:val="none" w:sz="0" w:space="0" w:color="auto"/>
                      </w:divBdr>
                    </w:div>
                  </w:divsChild>
                </w:div>
                <w:div w:id="262877933">
                  <w:marLeft w:val="0"/>
                  <w:marRight w:val="0"/>
                  <w:marTop w:val="0"/>
                  <w:marBottom w:val="0"/>
                  <w:divBdr>
                    <w:top w:val="none" w:sz="0" w:space="0" w:color="auto"/>
                    <w:left w:val="none" w:sz="0" w:space="0" w:color="auto"/>
                    <w:bottom w:val="none" w:sz="0" w:space="0" w:color="auto"/>
                    <w:right w:val="none" w:sz="0" w:space="0" w:color="auto"/>
                  </w:divBdr>
                  <w:divsChild>
                    <w:div w:id="1865168186">
                      <w:marLeft w:val="0"/>
                      <w:marRight w:val="0"/>
                      <w:marTop w:val="0"/>
                      <w:marBottom w:val="0"/>
                      <w:divBdr>
                        <w:top w:val="none" w:sz="0" w:space="0" w:color="auto"/>
                        <w:left w:val="none" w:sz="0" w:space="0" w:color="auto"/>
                        <w:bottom w:val="none" w:sz="0" w:space="0" w:color="auto"/>
                        <w:right w:val="none" w:sz="0" w:space="0" w:color="auto"/>
                      </w:divBdr>
                    </w:div>
                  </w:divsChild>
                </w:div>
                <w:div w:id="272791140">
                  <w:marLeft w:val="0"/>
                  <w:marRight w:val="0"/>
                  <w:marTop w:val="0"/>
                  <w:marBottom w:val="0"/>
                  <w:divBdr>
                    <w:top w:val="none" w:sz="0" w:space="0" w:color="auto"/>
                    <w:left w:val="none" w:sz="0" w:space="0" w:color="auto"/>
                    <w:bottom w:val="none" w:sz="0" w:space="0" w:color="auto"/>
                    <w:right w:val="none" w:sz="0" w:space="0" w:color="auto"/>
                  </w:divBdr>
                  <w:divsChild>
                    <w:div w:id="950281249">
                      <w:marLeft w:val="0"/>
                      <w:marRight w:val="0"/>
                      <w:marTop w:val="0"/>
                      <w:marBottom w:val="0"/>
                      <w:divBdr>
                        <w:top w:val="none" w:sz="0" w:space="0" w:color="auto"/>
                        <w:left w:val="none" w:sz="0" w:space="0" w:color="auto"/>
                        <w:bottom w:val="none" w:sz="0" w:space="0" w:color="auto"/>
                        <w:right w:val="none" w:sz="0" w:space="0" w:color="auto"/>
                      </w:divBdr>
                    </w:div>
                  </w:divsChild>
                </w:div>
                <w:div w:id="279799469">
                  <w:marLeft w:val="0"/>
                  <w:marRight w:val="0"/>
                  <w:marTop w:val="0"/>
                  <w:marBottom w:val="0"/>
                  <w:divBdr>
                    <w:top w:val="none" w:sz="0" w:space="0" w:color="auto"/>
                    <w:left w:val="none" w:sz="0" w:space="0" w:color="auto"/>
                    <w:bottom w:val="none" w:sz="0" w:space="0" w:color="auto"/>
                    <w:right w:val="none" w:sz="0" w:space="0" w:color="auto"/>
                  </w:divBdr>
                  <w:divsChild>
                    <w:div w:id="563955727">
                      <w:marLeft w:val="0"/>
                      <w:marRight w:val="0"/>
                      <w:marTop w:val="0"/>
                      <w:marBottom w:val="0"/>
                      <w:divBdr>
                        <w:top w:val="none" w:sz="0" w:space="0" w:color="auto"/>
                        <w:left w:val="none" w:sz="0" w:space="0" w:color="auto"/>
                        <w:bottom w:val="none" w:sz="0" w:space="0" w:color="auto"/>
                        <w:right w:val="none" w:sz="0" w:space="0" w:color="auto"/>
                      </w:divBdr>
                    </w:div>
                  </w:divsChild>
                </w:div>
                <w:div w:id="282158201">
                  <w:marLeft w:val="0"/>
                  <w:marRight w:val="0"/>
                  <w:marTop w:val="0"/>
                  <w:marBottom w:val="0"/>
                  <w:divBdr>
                    <w:top w:val="none" w:sz="0" w:space="0" w:color="auto"/>
                    <w:left w:val="none" w:sz="0" w:space="0" w:color="auto"/>
                    <w:bottom w:val="none" w:sz="0" w:space="0" w:color="auto"/>
                    <w:right w:val="none" w:sz="0" w:space="0" w:color="auto"/>
                  </w:divBdr>
                  <w:divsChild>
                    <w:div w:id="376396897">
                      <w:marLeft w:val="0"/>
                      <w:marRight w:val="0"/>
                      <w:marTop w:val="0"/>
                      <w:marBottom w:val="0"/>
                      <w:divBdr>
                        <w:top w:val="none" w:sz="0" w:space="0" w:color="auto"/>
                        <w:left w:val="none" w:sz="0" w:space="0" w:color="auto"/>
                        <w:bottom w:val="none" w:sz="0" w:space="0" w:color="auto"/>
                        <w:right w:val="none" w:sz="0" w:space="0" w:color="auto"/>
                      </w:divBdr>
                    </w:div>
                  </w:divsChild>
                </w:div>
                <w:div w:id="304090365">
                  <w:marLeft w:val="0"/>
                  <w:marRight w:val="0"/>
                  <w:marTop w:val="0"/>
                  <w:marBottom w:val="0"/>
                  <w:divBdr>
                    <w:top w:val="none" w:sz="0" w:space="0" w:color="auto"/>
                    <w:left w:val="none" w:sz="0" w:space="0" w:color="auto"/>
                    <w:bottom w:val="none" w:sz="0" w:space="0" w:color="auto"/>
                    <w:right w:val="none" w:sz="0" w:space="0" w:color="auto"/>
                  </w:divBdr>
                  <w:divsChild>
                    <w:div w:id="454912728">
                      <w:marLeft w:val="0"/>
                      <w:marRight w:val="0"/>
                      <w:marTop w:val="0"/>
                      <w:marBottom w:val="0"/>
                      <w:divBdr>
                        <w:top w:val="none" w:sz="0" w:space="0" w:color="auto"/>
                        <w:left w:val="none" w:sz="0" w:space="0" w:color="auto"/>
                        <w:bottom w:val="none" w:sz="0" w:space="0" w:color="auto"/>
                        <w:right w:val="none" w:sz="0" w:space="0" w:color="auto"/>
                      </w:divBdr>
                    </w:div>
                  </w:divsChild>
                </w:div>
                <w:div w:id="323050859">
                  <w:marLeft w:val="0"/>
                  <w:marRight w:val="0"/>
                  <w:marTop w:val="0"/>
                  <w:marBottom w:val="0"/>
                  <w:divBdr>
                    <w:top w:val="none" w:sz="0" w:space="0" w:color="auto"/>
                    <w:left w:val="none" w:sz="0" w:space="0" w:color="auto"/>
                    <w:bottom w:val="none" w:sz="0" w:space="0" w:color="auto"/>
                    <w:right w:val="none" w:sz="0" w:space="0" w:color="auto"/>
                  </w:divBdr>
                  <w:divsChild>
                    <w:div w:id="2124572129">
                      <w:marLeft w:val="0"/>
                      <w:marRight w:val="0"/>
                      <w:marTop w:val="0"/>
                      <w:marBottom w:val="0"/>
                      <w:divBdr>
                        <w:top w:val="none" w:sz="0" w:space="0" w:color="auto"/>
                        <w:left w:val="none" w:sz="0" w:space="0" w:color="auto"/>
                        <w:bottom w:val="none" w:sz="0" w:space="0" w:color="auto"/>
                        <w:right w:val="none" w:sz="0" w:space="0" w:color="auto"/>
                      </w:divBdr>
                    </w:div>
                  </w:divsChild>
                </w:div>
                <w:div w:id="328992897">
                  <w:marLeft w:val="0"/>
                  <w:marRight w:val="0"/>
                  <w:marTop w:val="0"/>
                  <w:marBottom w:val="0"/>
                  <w:divBdr>
                    <w:top w:val="none" w:sz="0" w:space="0" w:color="auto"/>
                    <w:left w:val="none" w:sz="0" w:space="0" w:color="auto"/>
                    <w:bottom w:val="none" w:sz="0" w:space="0" w:color="auto"/>
                    <w:right w:val="none" w:sz="0" w:space="0" w:color="auto"/>
                  </w:divBdr>
                  <w:divsChild>
                    <w:div w:id="1240361728">
                      <w:marLeft w:val="0"/>
                      <w:marRight w:val="0"/>
                      <w:marTop w:val="0"/>
                      <w:marBottom w:val="0"/>
                      <w:divBdr>
                        <w:top w:val="none" w:sz="0" w:space="0" w:color="auto"/>
                        <w:left w:val="none" w:sz="0" w:space="0" w:color="auto"/>
                        <w:bottom w:val="none" w:sz="0" w:space="0" w:color="auto"/>
                        <w:right w:val="none" w:sz="0" w:space="0" w:color="auto"/>
                      </w:divBdr>
                    </w:div>
                  </w:divsChild>
                </w:div>
                <w:div w:id="404036514">
                  <w:marLeft w:val="0"/>
                  <w:marRight w:val="0"/>
                  <w:marTop w:val="0"/>
                  <w:marBottom w:val="0"/>
                  <w:divBdr>
                    <w:top w:val="none" w:sz="0" w:space="0" w:color="auto"/>
                    <w:left w:val="none" w:sz="0" w:space="0" w:color="auto"/>
                    <w:bottom w:val="none" w:sz="0" w:space="0" w:color="auto"/>
                    <w:right w:val="none" w:sz="0" w:space="0" w:color="auto"/>
                  </w:divBdr>
                  <w:divsChild>
                    <w:div w:id="1974407747">
                      <w:marLeft w:val="0"/>
                      <w:marRight w:val="0"/>
                      <w:marTop w:val="0"/>
                      <w:marBottom w:val="0"/>
                      <w:divBdr>
                        <w:top w:val="none" w:sz="0" w:space="0" w:color="auto"/>
                        <w:left w:val="none" w:sz="0" w:space="0" w:color="auto"/>
                        <w:bottom w:val="none" w:sz="0" w:space="0" w:color="auto"/>
                        <w:right w:val="none" w:sz="0" w:space="0" w:color="auto"/>
                      </w:divBdr>
                    </w:div>
                  </w:divsChild>
                </w:div>
                <w:div w:id="405567448">
                  <w:marLeft w:val="0"/>
                  <w:marRight w:val="0"/>
                  <w:marTop w:val="0"/>
                  <w:marBottom w:val="0"/>
                  <w:divBdr>
                    <w:top w:val="none" w:sz="0" w:space="0" w:color="auto"/>
                    <w:left w:val="none" w:sz="0" w:space="0" w:color="auto"/>
                    <w:bottom w:val="none" w:sz="0" w:space="0" w:color="auto"/>
                    <w:right w:val="none" w:sz="0" w:space="0" w:color="auto"/>
                  </w:divBdr>
                  <w:divsChild>
                    <w:div w:id="120659947">
                      <w:marLeft w:val="0"/>
                      <w:marRight w:val="0"/>
                      <w:marTop w:val="0"/>
                      <w:marBottom w:val="0"/>
                      <w:divBdr>
                        <w:top w:val="none" w:sz="0" w:space="0" w:color="auto"/>
                        <w:left w:val="none" w:sz="0" w:space="0" w:color="auto"/>
                        <w:bottom w:val="none" w:sz="0" w:space="0" w:color="auto"/>
                        <w:right w:val="none" w:sz="0" w:space="0" w:color="auto"/>
                      </w:divBdr>
                    </w:div>
                  </w:divsChild>
                </w:div>
                <w:div w:id="412626235">
                  <w:marLeft w:val="0"/>
                  <w:marRight w:val="0"/>
                  <w:marTop w:val="0"/>
                  <w:marBottom w:val="0"/>
                  <w:divBdr>
                    <w:top w:val="none" w:sz="0" w:space="0" w:color="auto"/>
                    <w:left w:val="none" w:sz="0" w:space="0" w:color="auto"/>
                    <w:bottom w:val="none" w:sz="0" w:space="0" w:color="auto"/>
                    <w:right w:val="none" w:sz="0" w:space="0" w:color="auto"/>
                  </w:divBdr>
                  <w:divsChild>
                    <w:div w:id="699473129">
                      <w:marLeft w:val="0"/>
                      <w:marRight w:val="0"/>
                      <w:marTop w:val="0"/>
                      <w:marBottom w:val="0"/>
                      <w:divBdr>
                        <w:top w:val="none" w:sz="0" w:space="0" w:color="auto"/>
                        <w:left w:val="none" w:sz="0" w:space="0" w:color="auto"/>
                        <w:bottom w:val="none" w:sz="0" w:space="0" w:color="auto"/>
                        <w:right w:val="none" w:sz="0" w:space="0" w:color="auto"/>
                      </w:divBdr>
                    </w:div>
                  </w:divsChild>
                </w:div>
                <w:div w:id="462624741">
                  <w:marLeft w:val="0"/>
                  <w:marRight w:val="0"/>
                  <w:marTop w:val="0"/>
                  <w:marBottom w:val="0"/>
                  <w:divBdr>
                    <w:top w:val="none" w:sz="0" w:space="0" w:color="auto"/>
                    <w:left w:val="none" w:sz="0" w:space="0" w:color="auto"/>
                    <w:bottom w:val="none" w:sz="0" w:space="0" w:color="auto"/>
                    <w:right w:val="none" w:sz="0" w:space="0" w:color="auto"/>
                  </w:divBdr>
                  <w:divsChild>
                    <w:div w:id="321739750">
                      <w:marLeft w:val="0"/>
                      <w:marRight w:val="0"/>
                      <w:marTop w:val="0"/>
                      <w:marBottom w:val="0"/>
                      <w:divBdr>
                        <w:top w:val="none" w:sz="0" w:space="0" w:color="auto"/>
                        <w:left w:val="none" w:sz="0" w:space="0" w:color="auto"/>
                        <w:bottom w:val="none" w:sz="0" w:space="0" w:color="auto"/>
                        <w:right w:val="none" w:sz="0" w:space="0" w:color="auto"/>
                      </w:divBdr>
                    </w:div>
                  </w:divsChild>
                </w:div>
                <w:div w:id="467939608">
                  <w:marLeft w:val="0"/>
                  <w:marRight w:val="0"/>
                  <w:marTop w:val="0"/>
                  <w:marBottom w:val="0"/>
                  <w:divBdr>
                    <w:top w:val="none" w:sz="0" w:space="0" w:color="auto"/>
                    <w:left w:val="none" w:sz="0" w:space="0" w:color="auto"/>
                    <w:bottom w:val="none" w:sz="0" w:space="0" w:color="auto"/>
                    <w:right w:val="none" w:sz="0" w:space="0" w:color="auto"/>
                  </w:divBdr>
                  <w:divsChild>
                    <w:div w:id="1402941364">
                      <w:marLeft w:val="0"/>
                      <w:marRight w:val="0"/>
                      <w:marTop w:val="0"/>
                      <w:marBottom w:val="0"/>
                      <w:divBdr>
                        <w:top w:val="none" w:sz="0" w:space="0" w:color="auto"/>
                        <w:left w:val="none" w:sz="0" w:space="0" w:color="auto"/>
                        <w:bottom w:val="none" w:sz="0" w:space="0" w:color="auto"/>
                        <w:right w:val="none" w:sz="0" w:space="0" w:color="auto"/>
                      </w:divBdr>
                    </w:div>
                  </w:divsChild>
                </w:div>
                <w:div w:id="540435177">
                  <w:marLeft w:val="0"/>
                  <w:marRight w:val="0"/>
                  <w:marTop w:val="0"/>
                  <w:marBottom w:val="0"/>
                  <w:divBdr>
                    <w:top w:val="none" w:sz="0" w:space="0" w:color="auto"/>
                    <w:left w:val="none" w:sz="0" w:space="0" w:color="auto"/>
                    <w:bottom w:val="none" w:sz="0" w:space="0" w:color="auto"/>
                    <w:right w:val="none" w:sz="0" w:space="0" w:color="auto"/>
                  </w:divBdr>
                  <w:divsChild>
                    <w:div w:id="835875278">
                      <w:marLeft w:val="0"/>
                      <w:marRight w:val="0"/>
                      <w:marTop w:val="0"/>
                      <w:marBottom w:val="0"/>
                      <w:divBdr>
                        <w:top w:val="none" w:sz="0" w:space="0" w:color="auto"/>
                        <w:left w:val="none" w:sz="0" w:space="0" w:color="auto"/>
                        <w:bottom w:val="none" w:sz="0" w:space="0" w:color="auto"/>
                        <w:right w:val="none" w:sz="0" w:space="0" w:color="auto"/>
                      </w:divBdr>
                    </w:div>
                  </w:divsChild>
                </w:div>
                <w:div w:id="577980795">
                  <w:marLeft w:val="0"/>
                  <w:marRight w:val="0"/>
                  <w:marTop w:val="0"/>
                  <w:marBottom w:val="0"/>
                  <w:divBdr>
                    <w:top w:val="none" w:sz="0" w:space="0" w:color="auto"/>
                    <w:left w:val="none" w:sz="0" w:space="0" w:color="auto"/>
                    <w:bottom w:val="none" w:sz="0" w:space="0" w:color="auto"/>
                    <w:right w:val="none" w:sz="0" w:space="0" w:color="auto"/>
                  </w:divBdr>
                  <w:divsChild>
                    <w:div w:id="760880664">
                      <w:marLeft w:val="0"/>
                      <w:marRight w:val="0"/>
                      <w:marTop w:val="0"/>
                      <w:marBottom w:val="0"/>
                      <w:divBdr>
                        <w:top w:val="none" w:sz="0" w:space="0" w:color="auto"/>
                        <w:left w:val="none" w:sz="0" w:space="0" w:color="auto"/>
                        <w:bottom w:val="none" w:sz="0" w:space="0" w:color="auto"/>
                        <w:right w:val="none" w:sz="0" w:space="0" w:color="auto"/>
                      </w:divBdr>
                    </w:div>
                  </w:divsChild>
                </w:div>
                <w:div w:id="636227443">
                  <w:marLeft w:val="0"/>
                  <w:marRight w:val="0"/>
                  <w:marTop w:val="0"/>
                  <w:marBottom w:val="0"/>
                  <w:divBdr>
                    <w:top w:val="none" w:sz="0" w:space="0" w:color="auto"/>
                    <w:left w:val="none" w:sz="0" w:space="0" w:color="auto"/>
                    <w:bottom w:val="none" w:sz="0" w:space="0" w:color="auto"/>
                    <w:right w:val="none" w:sz="0" w:space="0" w:color="auto"/>
                  </w:divBdr>
                  <w:divsChild>
                    <w:div w:id="2028173875">
                      <w:marLeft w:val="0"/>
                      <w:marRight w:val="0"/>
                      <w:marTop w:val="0"/>
                      <w:marBottom w:val="0"/>
                      <w:divBdr>
                        <w:top w:val="none" w:sz="0" w:space="0" w:color="auto"/>
                        <w:left w:val="none" w:sz="0" w:space="0" w:color="auto"/>
                        <w:bottom w:val="none" w:sz="0" w:space="0" w:color="auto"/>
                        <w:right w:val="none" w:sz="0" w:space="0" w:color="auto"/>
                      </w:divBdr>
                    </w:div>
                  </w:divsChild>
                </w:div>
                <w:div w:id="640308269">
                  <w:marLeft w:val="0"/>
                  <w:marRight w:val="0"/>
                  <w:marTop w:val="0"/>
                  <w:marBottom w:val="0"/>
                  <w:divBdr>
                    <w:top w:val="none" w:sz="0" w:space="0" w:color="auto"/>
                    <w:left w:val="none" w:sz="0" w:space="0" w:color="auto"/>
                    <w:bottom w:val="none" w:sz="0" w:space="0" w:color="auto"/>
                    <w:right w:val="none" w:sz="0" w:space="0" w:color="auto"/>
                  </w:divBdr>
                  <w:divsChild>
                    <w:div w:id="1375345196">
                      <w:marLeft w:val="0"/>
                      <w:marRight w:val="0"/>
                      <w:marTop w:val="0"/>
                      <w:marBottom w:val="0"/>
                      <w:divBdr>
                        <w:top w:val="none" w:sz="0" w:space="0" w:color="auto"/>
                        <w:left w:val="none" w:sz="0" w:space="0" w:color="auto"/>
                        <w:bottom w:val="none" w:sz="0" w:space="0" w:color="auto"/>
                        <w:right w:val="none" w:sz="0" w:space="0" w:color="auto"/>
                      </w:divBdr>
                    </w:div>
                  </w:divsChild>
                </w:div>
                <w:div w:id="694112762">
                  <w:marLeft w:val="0"/>
                  <w:marRight w:val="0"/>
                  <w:marTop w:val="0"/>
                  <w:marBottom w:val="0"/>
                  <w:divBdr>
                    <w:top w:val="none" w:sz="0" w:space="0" w:color="auto"/>
                    <w:left w:val="none" w:sz="0" w:space="0" w:color="auto"/>
                    <w:bottom w:val="none" w:sz="0" w:space="0" w:color="auto"/>
                    <w:right w:val="none" w:sz="0" w:space="0" w:color="auto"/>
                  </w:divBdr>
                  <w:divsChild>
                    <w:div w:id="1878077154">
                      <w:marLeft w:val="0"/>
                      <w:marRight w:val="0"/>
                      <w:marTop w:val="0"/>
                      <w:marBottom w:val="0"/>
                      <w:divBdr>
                        <w:top w:val="none" w:sz="0" w:space="0" w:color="auto"/>
                        <w:left w:val="none" w:sz="0" w:space="0" w:color="auto"/>
                        <w:bottom w:val="none" w:sz="0" w:space="0" w:color="auto"/>
                        <w:right w:val="none" w:sz="0" w:space="0" w:color="auto"/>
                      </w:divBdr>
                    </w:div>
                  </w:divsChild>
                </w:div>
                <w:div w:id="695544404">
                  <w:marLeft w:val="0"/>
                  <w:marRight w:val="0"/>
                  <w:marTop w:val="0"/>
                  <w:marBottom w:val="0"/>
                  <w:divBdr>
                    <w:top w:val="none" w:sz="0" w:space="0" w:color="auto"/>
                    <w:left w:val="none" w:sz="0" w:space="0" w:color="auto"/>
                    <w:bottom w:val="none" w:sz="0" w:space="0" w:color="auto"/>
                    <w:right w:val="none" w:sz="0" w:space="0" w:color="auto"/>
                  </w:divBdr>
                  <w:divsChild>
                    <w:div w:id="629168439">
                      <w:marLeft w:val="0"/>
                      <w:marRight w:val="0"/>
                      <w:marTop w:val="0"/>
                      <w:marBottom w:val="0"/>
                      <w:divBdr>
                        <w:top w:val="none" w:sz="0" w:space="0" w:color="auto"/>
                        <w:left w:val="none" w:sz="0" w:space="0" w:color="auto"/>
                        <w:bottom w:val="none" w:sz="0" w:space="0" w:color="auto"/>
                        <w:right w:val="none" w:sz="0" w:space="0" w:color="auto"/>
                      </w:divBdr>
                    </w:div>
                  </w:divsChild>
                </w:div>
                <w:div w:id="729352917">
                  <w:marLeft w:val="0"/>
                  <w:marRight w:val="0"/>
                  <w:marTop w:val="0"/>
                  <w:marBottom w:val="0"/>
                  <w:divBdr>
                    <w:top w:val="none" w:sz="0" w:space="0" w:color="auto"/>
                    <w:left w:val="none" w:sz="0" w:space="0" w:color="auto"/>
                    <w:bottom w:val="none" w:sz="0" w:space="0" w:color="auto"/>
                    <w:right w:val="none" w:sz="0" w:space="0" w:color="auto"/>
                  </w:divBdr>
                  <w:divsChild>
                    <w:div w:id="1850485070">
                      <w:marLeft w:val="0"/>
                      <w:marRight w:val="0"/>
                      <w:marTop w:val="0"/>
                      <w:marBottom w:val="0"/>
                      <w:divBdr>
                        <w:top w:val="none" w:sz="0" w:space="0" w:color="auto"/>
                        <w:left w:val="none" w:sz="0" w:space="0" w:color="auto"/>
                        <w:bottom w:val="none" w:sz="0" w:space="0" w:color="auto"/>
                        <w:right w:val="none" w:sz="0" w:space="0" w:color="auto"/>
                      </w:divBdr>
                    </w:div>
                  </w:divsChild>
                </w:div>
                <w:div w:id="756025819">
                  <w:marLeft w:val="0"/>
                  <w:marRight w:val="0"/>
                  <w:marTop w:val="0"/>
                  <w:marBottom w:val="0"/>
                  <w:divBdr>
                    <w:top w:val="none" w:sz="0" w:space="0" w:color="auto"/>
                    <w:left w:val="none" w:sz="0" w:space="0" w:color="auto"/>
                    <w:bottom w:val="none" w:sz="0" w:space="0" w:color="auto"/>
                    <w:right w:val="none" w:sz="0" w:space="0" w:color="auto"/>
                  </w:divBdr>
                  <w:divsChild>
                    <w:div w:id="1901985806">
                      <w:marLeft w:val="0"/>
                      <w:marRight w:val="0"/>
                      <w:marTop w:val="0"/>
                      <w:marBottom w:val="0"/>
                      <w:divBdr>
                        <w:top w:val="none" w:sz="0" w:space="0" w:color="auto"/>
                        <w:left w:val="none" w:sz="0" w:space="0" w:color="auto"/>
                        <w:bottom w:val="none" w:sz="0" w:space="0" w:color="auto"/>
                        <w:right w:val="none" w:sz="0" w:space="0" w:color="auto"/>
                      </w:divBdr>
                    </w:div>
                  </w:divsChild>
                </w:div>
                <w:div w:id="757139222">
                  <w:marLeft w:val="0"/>
                  <w:marRight w:val="0"/>
                  <w:marTop w:val="0"/>
                  <w:marBottom w:val="0"/>
                  <w:divBdr>
                    <w:top w:val="none" w:sz="0" w:space="0" w:color="auto"/>
                    <w:left w:val="none" w:sz="0" w:space="0" w:color="auto"/>
                    <w:bottom w:val="none" w:sz="0" w:space="0" w:color="auto"/>
                    <w:right w:val="none" w:sz="0" w:space="0" w:color="auto"/>
                  </w:divBdr>
                  <w:divsChild>
                    <w:div w:id="589391176">
                      <w:marLeft w:val="0"/>
                      <w:marRight w:val="0"/>
                      <w:marTop w:val="0"/>
                      <w:marBottom w:val="0"/>
                      <w:divBdr>
                        <w:top w:val="none" w:sz="0" w:space="0" w:color="auto"/>
                        <w:left w:val="none" w:sz="0" w:space="0" w:color="auto"/>
                        <w:bottom w:val="none" w:sz="0" w:space="0" w:color="auto"/>
                        <w:right w:val="none" w:sz="0" w:space="0" w:color="auto"/>
                      </w:divBdr>
                    </w:div>
                  </w:divsChild>
                </w:div>
                <w:div w:id="758137570">
                  <w:marLeft w:val="0"/>
                  <w:marRight w:val="0"/>
                  <w:marTop w:val="0"/>
                  <w:marBottom w:val="0"/>
                  <w:divBdr>
                    <w:top w:val="none" w:sz="0" w:space="0" w:color="auto"/>
                    <w:left w:val="none" w:sz="0" w:space="0" w:color="auto"/>
                    <w:bottom w:val="none" w:sz="0" w:space="0" w:color="auto"/>
                    <w:right w:val="none" w:sz="0" w:space="0" w:color="auto"/>
                  </w:divBdr>
                  <w:divsChild>
                    <w:div w:id="886573862">
                      <w:marLeft w:val="0"/>
                      <w:marRight w:val="0"/>
                      <w:marTop w:val="0"/>
                      <w:marBottom w:val="0"/>
                      <w:divBdr>
                        <w:top w:val="none" w:sz="0" w:space="0" w:color="auto"/>
                        <w:left w:val="none" w:sz="0" w:space="0" w:color="auto"/>
                        <w:bottom w:val="none" w:sz="0" w:space="0" w:color="auto"/>
                        <w:right w:val="none" w:sz="0" w:space="0" w:color="auto"/>
                      </w:divBdr>
                    </w:div>
                  </w:divsChild>
                </w:div>
                <w:div w:id="807362260">
                  <w:marLeft w:val="0"/>
                  <w:marRight w:val="0"/>
                  <w:marTop w:val="0"/>
                  <w:marBottom w:val="0"/>
                  <w:divBdr>
                    <w:top w:val="none" w:sz="0" w:space="0" w:color="auto"/>
                    <w:left w:val="none" w:sz="0" w:space="0" w:color="auto"/>
                    <w:bottom w:val="none" w:sz="0" w:space="0" w:color="auto"/>
                    <w:right w:val="none" w:sz="0" w:space="0" w:color="auto"/>
                  </w:divBdr>
                  <w:divsChild>
                    <w:div w:id="826164744">
                      <w:marLeft w:val="0"/>
                      <w:marRight w:val="0"/>
                      <w:marTop w:val="0"/>
                      <w:marBottom w:val="0"/>
                      <w:divBdr>
                        <w:top w:val="none" w:sz="0" w:space="0" w:color="auto"/>
                        <w:left w:val="none" w:sz="0" w:space="0" w:color="auto"/>
                        <w:bottom w:val="none" w:sz="0" w:space="0" w:color="auto"/>
                        <w:right w:val="none" w:sz="0" w:space="0" w:color="auto"/>
                      </w:divBdr>
                    </w:div>
                  </w:divsChild>
                </w:div>
                <w:div w:id="814225684">
                  <w:marLeft w:val="0"/>
                  <w:marRight w:val="0"/>
                  <w:marTop w:val="0"/>
                  <w:marBottom w:val="0"/>
                  <w:divBdr>
                    <w:top w:val="none" w:sz="0" w:space="0" w:color="auto"/>
                    <w:left w:val="none" w:sz="0" w:space="0" w:color="auto"/>
                    <w:bottom w:val="none" w:sz="0" w:space="0" w:color="auto"/>
                    <w:right w:val="none" w:sz="0" w:space="0" w:color="auto"/>
                  </w:divBdr>
                  <w:divsChild>
                    <w:div w:id="1032802988">
                      <w:marLeft w:val="0"/>
                      <w:marRight w:val="0"/>
                      <w:marTop w:val="0"/>
                      <w:marBottom w:val="0"/>
                      <w:divBdr>
                        <w:top w:val="none" w:sz="0" w:space="0" w:color="auto"/>
                        <w:left w:val="none" w:sz="0" w:space="0" w:color="auto"/>
                        <w:bottom w:val="none" w:sz="0" w:space="0" w:color="auto"/>
                        <w:right w:val="none" w:sz="0" w:space="0" w:color="auto"/>
                      </w:divBdr>
                    </w:div>
                  </w:divsChild>
                </w:div>
                <w:div w:id="827332457">
                  <w:marLeft w:val="0"/>
                  <w:marRight w:val="0"/>
                  <w:marTop w:val="0"/>
                  <w:marBottom w:val="0"/>
                  <w:divBdr>
                    <w:top w:val="none" w:sz="0" w:space="0" w:color="auto"/>
                    <w:left w:val="none" w:sz="0" w:space="0" w:color="auto"/>
                    <w:bottom w:val="none" w:sz="0" w:space="0" w:color="auto"/>
                    <w:right w:val="none" w:sz="0" w:space="0" w:color="auto"/>
                  </w:divBdr>
                  <w:divsChild>
                    <w:div w:id="1263807102">
                      <w:marLeft w:val="0"/>
                      <w:marRight w:val="0"/>
                      <w:marTop w:val="0"/>
                      <w:marBottom w:val="0"/>
                      <w:divBdr>
                        <w:top w:val="none" w:sz="0" w:space="0" w:color="auto"/>
                        <w:left w:val="none" w:sz="0" w:space="0" w:color="auto"/>
                        <w:bottom w:val="none" w:sz="0" w:space="0" w:color="auto"/>
                        <w:right w:val="none" w:sz="0" w:space="0" w:color="auto"/>
                      </w:divBdr>
                    </w:div>
                  </w:divsChild>
                </w:div>
                <w:div w:id="828180640">
                  <w:marLeft w:val="0"/>
                  <w:marRight w:val="0"/>
                  <w:marTop w:val="0"/>
                  <w:marBottom w:val="0"/>
                  <w:divBdr>
                    <w:top w:val="none" w:sz="0" w:space="0" w:color="auto"/>
                    <w:left w:val="none" w:sz="0" w:space="0" w:color="auto"/>
                    <w:bottom w:val="none" w:sz="0" w:space="0" w:color="auto"/>
                    <w:right w:val="none" w:sz="0" w:space="0" w:color="auto"/>
                  </w:divBdr>
                  <w:divsChild>
                    <w:div w:id="1340892278">
                      <w:marLeft w:val="0"/>
                      <w:marRight w:val="0"/>
                      <w:marTop w:val="0"/>
                      <w:marBottom w:val="0"/>
                      <w:divBdr>
                        <w:top w:val="none" w:sz="0" w:space="0" w:color="auto"/>
                        <w:left w:val="none" w:sz="0" w:space="0" w:color="auto"/>
                        <w:bottom w:val="none" w:sz="0" w:space="0" w:color="auto"/>
                        <w:right w:val="none" w:sz="0" w:space="0" w:color="auto"/>
                      </w:divBdr>
                    </w:div>
                  </w:divsChild>
                </w:div>
                <w:div w:id="829056291">
                  <w:marLeft w:val="0"/>
                  <w:marRight w:val="0"/>
                  <w:marTop w:val="0"/>
                  <w:marBottom w:val="0"/>
                  <w:divBdr>
                    <w:top w:val="none" w:sz="0" w:space="0" w:color="auto"/>
                    <w:left w:val="none" w:sz="0" w:space="0" w:color="auto"/>
                    <w:bottom w:val="none" w:sz="0" w:space="0" w:color="auto"/>
                    <w:right w:val="none" w:sz="0" w:space="0" w:color="auto"/>
                  </w:divBdr>
                  <w:divsChild>
                    <w:div w:id="572207439">
                      <w:marLeft w:val="0"/>
                      <w:marRight w:val="0"/>
                      <w:marTop w:val="0"/>
                      <w:marBottom w:val="0"/>
                      <w:divBdr>
                        <w:top w:val="none" w:sz="0" w:space="0" w:color="auto"/>
                        <w:left w:val="none" w:sz="0" w:space="0" w:color="auto"/>
                        <w:bottom w:val="none" w:sz="0" w:space="0" w:color="auto"/>
                        <w:right w:val="none" w:sz="0" w:space="0" w:color="auto"/>
                      </w:divBdr>
                    </w:div>
                  </w:divsChild>
                </w:div>
                <w:div w:id="833032979">
                  <w:marLeft w:val="0"/>
                  <w:marRight w:val="0"/>
                  <w:marTop w:val="0"/>
                  <w:marBottom w:val="0"/>
                  <w:divBdr>
                    <w:top w:val="none" w:sz="0" w:space="0" w:color="auto"/>
                    <w:left w:val="none" w:sz="0" w:space="0" w:color="auto"/>
                    <w:bottom w:val="none" w:sz="0" w:space="0" w:color="auto"/>
                    <w:right w:val="none" w:sz="0" w:space="0" w:color="auto"/>
                  </w:divBdr>
                  <w:divsChild>
                    <w:div w:id="547835197">
                      <w:marLeft w:val="0"/>
                      <w:marRight w:val="0"/>
                      <w:marTop w:val="0"/>
                      <w:marBottom w:val="0"/>
                      <w:divBdr>
                        <w:top w:val="none" w:sz="0" w:space="0" w:color="auto"/>
                        <w:left w:val="none" w:sz="0" w:space="0" w:color="auto"/>
                        <w:bottom w:val="none" w:sz="0" w:space="0" w:color="auto"/>
                        <w:right w:val="none" w:sz="0" w:space="0" w:color="auto"/>
                      </w:divBdr>
                    </w:div>
                  </w:divsChild>
                </w:div>
                <w:div w:id="841549821">
                  <w:marLeft w:val="0"/>
                  <w:marRight w:val="0"/>
                  <w:marTop w:val="0"/>
                  <w:marBottom w:val="0"/>
                  <w:divBdr>
                    <w:top w:val="none" w:sz="0" w:space="0" w:color="auto"/>
                    <w:left w:val="none" w:sz="0" w:space="0" w:color="auto"/>
                    <w:bottom w:val="none" w:sz="0" w:space="0" w:color="auto"/>
                    <w:right w:val="none" w:sz="0" w:space="0" w:color="auto"/>
                  </w:divBdr>
                  <w:divsChild>
                    <w:div w:id="2109349234">
                      <w:marLeft w:val="0"/>
                      <w:marRight w:val="0"/>
                      <w:marTop w:val="0"/>
                      <w:marBottom w:val="0"/>
                      <w:divBdr>
                        <w:top w:val="none" w:sz="0" w:space="0" w:color="auto"/>
                        <w:left w:val="none" w:sz="0" w:space="0" w:color="auto"/>
                        <w:bottom w:val="none" w:sz="0" w:space="0" w:color="auto"/>
                        <w:right w:val="none" w:sz="0" w:space="0" w:color="auto"/>
                      </w:divBdr>
                    </w:div>
                  </w:divsChild>
                </w:div>
                <w:div w:id="928659227">
                  <w:marLeft w:val="0"/>
                  <w:marRight w:val="0"/>
                  <w:marTop w:val="0"/>
                  <w:marBottom w:val="0"/>
                  <w:divBdr>
                    <w:top w:val="none" w:sz="0" w:space="0" w:color="auto"/>
                    <w:left w:val="none" w:sz="0" w:space="0" w:color="auto"/>
                    <w:bottom w:val="none" w:sz="0" w:space="0" w:color="auto"/>
                    <w:right w:val="none" w:sz="0" w:space="0" w:color="auto"/>
                  </w:divBdr>
                  <w:divsChild>
                    <w:div w:id="1068385526">
                      <w:marLeft w:val="0"/>
                      <w:marRight w:val="0"/>
                      <w:marTop w:val="0"/>
                      <w:marBottom w:val="0"/>
                      <w:divBdr>
                        <w:top w:val="none" w:sz="0" w:space="0" w:color="auto"/>
                        <w:left w:val="none" w:sz="0" w:space="0" w:color="auto"/>
                        <w:bottom w:val="none" w:sz="0" w:space="0" w:color="auto"/>
                        <w:right w:val="none" w:sz="0" w:space="0" w:color="auto"/>
                      </w:divBdr>
                    </w:div>
                  </w:divsChild>
                </w:div>
                <w:div w:id="940333374">
                  <w:marLeft w:val="0"/>
                  <w:marRight w:val="0"/>
                  <w:marTop w:val="0"/>
                  <w:marBottom w:val="0"/>
                  <w:divBdr>
                    <w:top w:val="none" w:sz="0" w:space="0" w:color="auto"/>
                    <w:left w:val="none" w:sz="0" w:space="0" w:color="auto"/>
                    <w:bottom w:val="none" w:sz="0" w:space="0" w:color="auto"/>
                    <w:right w:val="none" w:sz="0" w:space="0" w:color="auto"/>
                  </w:divBdr>
                  <w:divsChild>
                    <w:div w:id="515340778">
                      <w:marLeft w:val="0"/>
                      <w:marRight w:val="0"/>
                      <w:marTop w:val="0"/>
                      <w:marBottom w:val="0"/>
                      <w:divBdr>
                        <w:top w:val="none" w:sz="0" w:space="0" w:color="auto"/>
                        <w:left w:val="none" w:sz="0" w:space="0" w:color="auto"/>
                        <w:bottom w:val="none" w:sz="0" w:space="0" w:color="auto"/>
                        <w:right w:val="none" w:sz="0" w:space="0" w:color="auto"/>
                      </w:divBdr>
                    </w:div>
                  </w:divsChild>
                </w:div>
                <w:div w:id="940912584">
                  <w:marLeft w:val="0"/>
                  <w:marRight w:val="0"/>
                  <w:marTop w:val="0"/>
                  <w:marBottom w:val="0"/>
                  <w:divBdr>
                    <w:top w:val="none" w:sz="0" w:space="0" w:color="auto"/>
                    <w:left w:val="none" w:sz="0" w:space="0" w:color="auto"/>
                    <w:bottom w:val="none" w:sz="0" w:space="0" w:color="auto"/>
                    <w:right w:val="none" w:sz="0" w:space="0" w:color="auto"/>
                  </w:divBdr>
                  <w:divsChild>
                    <w:div w:id="1137721777">
                      <w:marLeft w:val="0"/>
                      <w:marRight w:val="0"/>
                      <w:marTop w:val="0"/>
                      <w:marBottom w:val="0"/>
                      <w:divBdr>
                        <w:top w:val="none" w:sz="0" w:space="0" w:color="auto"/>
                        <w:left w:val="none" w:sz="0" w:space="0" w:color="auto"/>
                        <w:bottom w:val="none" w:sz="0" w:space="0" w:color="auto"/>
                        <w:right w:val="none" w:sz="0" w:space="0" w:color="auto"/>
                      </w:divBdr>
                    </w:div>
                  </w:divsChild>
                </w:div>
                <w:div w:id="953558244">
                  <w:marLeft w:val="0"/>
                  <w:marRight w:val="0"/>
                  <w:marTop w:val="0"/>
                  <w:marBottom w:val="0"/>
                  <w:divBdr>
                    <w:top w:val="none" w:sz="0" w:space="0" w:color="auto"/>
                    <w:left w:val="none" w:sz="0" w:space="0" w:color="auto"/>
                    <w:bottom w:val="none" w:sz="0" w:space="0" w:color="auto"/>
                    <w:right w:val="none" w:sz="0" w:space="0" w:color="auto"/>
                  </w:divBdr>
                  <w:divsChild>
                    <w:div w:id="1011107166">
                      <w:marLeft w:val="0"/>
                      <w:marRight w:val="0"/>
                      <w:marTop w:val="0"/>
                      <w:marBottom w:val="0"/>
                      <w:divBdr>
                        <w:top w:val="none" w:sz="0" w:space="0" w:color="auto"/>
                        <w:left w:val="none" w:sz="0" w:space="0" w:color="auto"/>
                        <w:bottom w:val="none" w:sz="0" w:space="0" w:color="auto"/>
                        <w:right w:val="none" w:sz="0" w:space="0" w:color="auto"/>
                      </w:divBdr>
                    </w:div>
                  </w:divsChild>
                </w:div>
                <w:div w:id="1033731945">
                  <w:marLeft w:val="0"/>
                  <w:marRight w:val="0"/>
                  <w:marTop w:val="0"/>
                  <w:marBottom w:val="0"/>
                  <w:divBdr>
                    <w:top w:val="none" w:sz="0" w:space="0" w:color="auto"/>
                    <w:left w:val="none" w:sz="0" w:space="0" w:color="auto"/>
                    <w:bottom w:val="none" w:sz="0" w:space="0" w:color="auto"/>
                    <w:right w:val="none" w:sz="0" w:space="0" w:color="auto"/>
                  </w:divBdr>
                  <w:divsChild>
                    <w:div w:id="626201076">
                      <w:marLeft w:val="0"/>
                      <w:marRight w:val="0"/>
                      <w:marTop w:val="0"/>
                      <w:marBottom w:val="0"/>
                      <w:divBdr>
                        <w:top w:val="none" w:sz="0" w:space="0" w:color="auto"/>
                        <w:left w:val="none" w:sz="0" w:space="0" w:color="auto"/>
                        <w:bottom w:val="none" w:sz="0" w:space="0" w:color="auto"/>
                        <w:right w:val="none" w:sz="0" w:space="0" w:color="auto"/>
                      </w:divBdr>
                    </w:div>
                  </w:divsChild>
                </w:div>
                <w:div w:id="1036393776">
                  <w:marLeft w:val="0"/>
                  <w:marRight w:val="0"/>
                  <w:marTop w:val="0"/>
                  <w:marBottom w:val="0"/>
                  <w:divBdr>
                    <w:top w:val="none" w:sz="0" w:space="0" w:color="auto"/>
                    <w:left w:val="none" w:sz="0" w:space="0" w:color="auto"/>
                    <w:bottom w:val="none" w:sz="0" w:space="0" w:color="auto"/>
                    <w:right w:val="none" w:sz="0" w:space="0" w:color="auto"/>
                  </w:divBdr>
                  <w:divsChild>
                    <w:div w:id="46228989">
                      <w:marLeft w:val="0"/>
                      <w:marRight w:val="0"/>
                      <w:marTop w:val="0"/>
                      <w:marBottom w:val="0"/>
                      <w:divBdr>
                        <w:top w:val="none" w:sz="0" w:space="0" w:color="auto"/>
                        <w:left w:val="none" w:sz="0" w:space="0" w:color="auto"/>
                        <w:bottom w:val="none" w:sz="0" w:space="0" w:color="auto"/>
                        <w:right w:val="none" w:sz="0" w:space="0" w:color="auto"/>
                      </w:divBdr>
                    </w:div>
                  </w:divsChild>
                </w:div>
                <w:div w:id="1049722806">
                  <w:marLeft w:val="0"/>
                  <w:marRight w:val="0"/>
                  <w:marTop w:val="0"/>
                  <w:marBottom w:val="0"/>
                  <w:divBdr>
                    <w:top w:val="none" w:sz="0" w:space="0" w:color="auto"/>
                    <w:left w:val="none" w:sz="0" w:space="0" w:color="auto"/>
                    <w:bottom w:val="none" w:sz="0" w:space="0" w:color="auto"/>
                    <w:right w:val="none" w:sz="0" w:space="0" w:color="auto"/>
                  </w:divBdr>
                  <w:divsChild>
                    <w:div w:id="364867336">
                      <w:marLeft w:val="0"/>
                      <w:marRight w:val="0"/>
                      <w:marTop w:val="0"/>
                      <w:marBottom w:val="0"/>
                      <w:divBdr>
                        <w:top w:val="none" w:sz="0" w:space="0" w:color="auto"/>
                        <w:left w:val="none" w:sz="0" w:space="0" w:color="auto"/>
                        <w:bottom w:val="none" w:sz="0" w:space="0" w:color="auto"/>
                        <w:right w:val="none" w:sz="0" w:space="0" w:color="auto"/>
                      </w:divBdr>
                    </w:div>
                  </w:divsChild>
                </w:div>
                <w:div w:id="1055355162">
                  <w:marLeft w:val="0"/>
                  <w:marRight w:val="0"/>
                  <w:marTop w:val="0"/>
                  <w:marBottom w:val="0"/>
                  <w:divBdr>
                    <w:top w:val="none" w:sz="0" w:space="0" w:color="auto"/>
                    <w:left w:val="none" w:sz="0" w:space="0" w:color="auto"/>
                    <w:bottom w:val="none" w:sz="0" w:space="0" w:color="auto"/>
                    <w:right w:val="none" w:sz="0" w:space="0" w:color="auto"/>
                  </w:divBdr>
                  <w:divsChild>
                    <w:div w:id="1235242034">
                      <w:marLeft w:val="0"/>
                      <w:marRight w:val="0"/>
                      <w:marTop w:val="0"/>
                      <w:marBottom w:val="0"/>
                      <w:divBdr>
                        <w:top w:val="none" w:sz="0" w:space="0" w:color="auto"/>
                        <w:left w:val="none" w:sz="0" w:space="0" w:color="auto"/>
                        <w:bottom w:val="none" w:sz="0" w:space="0" w:color="auto"/>
                        <w:right w:val="none" w:sz="0" w:space="0" w:color="auto"/>
                      </w:divBdr>
                    </w:div>
                  </w:divsChild>
                </w:div>
                <w:div w:id="1086457833">
                  <w:marLeft w:val="0"/>
                  <w:marRight w:val="0"/>
                  <w:marTop w:val="0"/>
                  <w:marBottom w:val="0"/>
                  <w:divBdr>
                    <w:top w:val="none" w:sz="0" w:space="0" w:color="auto"/>
                    <w:left w:val="none" w:sz="0" w:space="0" w:color="auto"/>
                    <w:bottom w:val="none" w:sz="0" w:space="0" w:color="auto"/>
                    <w:right w:val="none" w:sz="0" w:space="0" w:color="auto"/>
                  </w:divBdr>
                  <w:divsChild>
                    <w:div w:id="59905971">
                      <w:marLeft w:val="0"/>
                      <w:marRight w:val="0"/>
                      <w:marTop w:val="0"/>
                      <w:marBottom w:val="0"/>
                      <w:divBdr>
                        <w:top w:val="none" w:sz="0" w:space="0" w:color="auto"/>
                        <w:left w:val="none" w:sz="0" w:space="0" w:color="auto"/>
                        <w:bottom w:val="none" w:sz="0" w:space="0" w:color="auto"/>
                        <w:right w:val="none" w:sz="0" w:space="0" w:color="auto"/>
                      </w:divBdr>
                    </w:div>
                  </w:divsChild>
                </w:div>
                <w:div w:id="1101797752">
                  <w:marLeft w:val="0"/>
                  <w:marRight w:val="0"/>
                  <w:marTop w:val="0"/>
                  <w:marBottom w:val="0"/>
                  <w:divBdr>
                    <w:top w:val="none" w:sz="0" w:space="0" w:color="auto"/>
                    <w:left w:val="none" w:sz="0" w:space="0" w:color="auto"/>
                    <w:bottom w:val="none" w:sz="0" w:space="0" w:color="auto"/>
                    <w:right w:val="none" w:sz="0" w:space="0" w:color="auto"/>
                  </w:divBdr>
                  <w:divsChild>
                    <w:div w:id="937639945">
                      <w:marLeft w:val="0"/>
                      <w:marRight w:val="0"/>
                      <w:marTop w:val="0"/>
                      <w:marBottom w:val="0"/>
                      <w:divBdr>
                        <w:top w:val="none" w:sz="0" w:space="0" w:color="auto"/>
                        <w:left w:val="none" w:sz="0" w:space="0" w:color="auto"/>
                        <w:bottom w:val="none" w:sz="0" w:space="0" w:color="auto"/>
                        <w:right w:val="none" w:sz="0" w:space="0" w:color="auto"/>
                      </w:divBdr>
                    </w:div>
                  </w:divsChild>
                </w:div>
                <w:div w:id="1127823134">
                  <w:marLeft w:val="0"/>
                  <w:marRight w:val="0"/>
                  <w:marTop w:val="0"/>
                  <w:marBottom w:val="0"/>
                  <w:divBdr>
                    <w:top w:val="none" w:sz="0" w:space="0" w:color="auto"/>
                    <w:left w:val="none" w:sz="0" w:space="0" w:color="auto"/>
                    <w:bottom w:val="none" w:sz="0" w:space="0" w:color="auto"/>
                    <w:right w:val="none" w:sz="0" w:space="0" w:color="auto"/>
                  </w:divBdr>
                  <w:divsChild>
                    <w:div w:id="1227111857">
                      <w:marLeft w:val="0"/>
                      <w:marRight w:val="0"/>
                      <w:marTop w:val="0"/>
                      <w:marBottom w:val="0"/>
                      <w:divBdr>
                        <w:top w:val="none" w:sz="0" w:space="0" w:color="auto"/>
                        <w:left w:val="none" w:sz="0" w:space="0" w:color="auto"/>
                        <w:bottom w:val="none" w:sz="0" w:space="0" w:color="auto"/>
                        <w:right w:val="none" w:sz="0" w:space="0" w:color="auto"/>
                      </w:divBdr>
                    </w:div>
                  </w:divsChild>
                </w:div>
                <w:div w:id="1140804665">
                  <w:marLeft w:val="0"/>
                  <w:marRight w:val="0"/>
                  <w:marTop w:val="0"/>
                  <w:marBottom w:val="0"/>
                  <w:divBdr>
                    <w:top w:val="none" w:sz="0" w:space="0" w:color="auto"/>
                    <w:left w:val="none" w:sz="0" w:space="0" w:color="auto"/>
                    <w:bottom w:val="none" w:sz="0" w:space="0" w:color="auto"/>
                    <w:right w:val="none" w:sz="0" w:space="0" w:color="auto"/>
                  </w:divBdr>
                  <w:divsChild>
                    <w:div w:id="655382846">
                      <w:marLeft w:val="0"/>
                      <w:marRight w:val="0"/>
                      <w:marTop w:val="0"/>
                      <w:marBottom w:val="0"/>
                      <w:divBdr>
                        <w:top w:val="none" w:sz="0" w:space="0" w:color="auto"/>
                        <w:left w:val="none" w:sz="0" w:space="0" w:color="auto"/>
                        <w:bottom w:val="none" w:sz="0" w:space="0" w:color="auto"/>
                        <w:right w:val="none" w:sz="0" w:space="0" w:color="auto"/>
                      </w:divBdr>
                    </w:div>
                  </w:divsChild>
                </w:div>
                <w:div w:id="1174876937">
                  <w:marLeft w:val="0"/>
                  <w:marRight w:val="0"/>
                  <w:marTop w:val="0"/>
                  <w:marBottom w:val="0"/>
                  <w:divBdr>
                    <w:top w:val="none" w:sz="0" w:space="0" w:color="auto"/>
                    <w:left w:val="none" w:sz="0" w:space="0" w:color="auto"/>
                    <w:bottom w:val="none" w:sz="0" w:space="0" w:color="auto"/>
                    <w:right w:val="none" w:sz="0" w:space="0" w:color="auto"/>
                  </w:divBdr>
                  <w:divsChild>
                    <w:div w:id="2143963303">
                      <w:marLeft w:val="0"/>
                      <w:marRight w:val="0"/>
                      <w:marTop w:val="0"/>
                      <w:marBottom w:val="0"/>
                      <w:divBdr>
                        <w:top w:val="none" w:sz="0" w:space="0" w:color="auto"/>
                        <w:left w:val="none" w:sz="0" w:space="0" w:color="auto"/>
                        <w:bottom w:val="none" w:sz="0" w:space="0" w:color="auto"/>
                        <w:right w:val="none" w:sz="0" w:space="0" w:color="auto"/>
                      </w:divBdr>
                    </w:div>
                  </w:divsChild>
                </w:div>
                <w:div w:id="1186287492">
                  <w:marLeft w:val="0"/>
                  <w:marRight w:val="0"/>
                  <w:marTop w:val="0"/>
                  <w:marBottom w:val="0"/>
                  <w:divBdr>
                    <w:top w:val="none" w:sz="0" w:space="0" w:color="auto"/>
                    <w:left w:val="none" w:sz="0" w:space="0" w:color="auto"/>
                    <w:bottom w:val="none" w:sz="0" w:space="0" w:color="auto"/>
                    <w:right w:val="none" w:sz="0" w:space="0" w:color="auto"/>
                  </w:divBdr>
                  <w:divsChild>
                    <w:div w:id="205333051">
                      <w:marLeft w:val="0"/>
                      <w:marRight w:val="0"/>
                      <w:marTop w:val="0"/>
                      <w:marBottom w:val="0"/>
                      <w:divBdr>
                        <w:top w:val="none" w:sz="0" w:space="0" w:color="auto"/>
                        <w:left w:val="none" w:sz="0" w:space="0" w:color="auto"/>
                        <w:bottom w:val="none" w:sz="0" w:space="0" w:color="auto"/>
                        <w:right w:val="none" w:sz="0" w:space="0" w:color="auto"/>
                      </w:divBdr>
                    </w:div>
                  </w:divsChild>
                </w:div>
                <w:div w:id="1209411430">
                  <w:marLeft w:val="0"/>
                  <w:marRight w:val="0"/>
                  <w:marTop w:val="0"/>
                  <w:marBottom w:val="0"/>
                  <w:divBdr>
                    <w:top w:val="none" w:sz="0" w:space="0" w:color="auto"/>
                    <w:left w:val="none" w:sz="0" w:space="0" w:color="auto"/>
                    <w:bottom w:val="none" w:sz="0" w:space="0" w:color="auto"/>
                    <w:right w:val="none" w:sz="0" w:space="0" w:color="auto"/>
                  </w:divBdr>
                  <w:divsChild>
                    <w:div w:id="1548949037">
                      <w:marLeft w:val="0"/>
                      <w:marRight w:val="0"/>
                      <w:marTop w:val="0"/>
                      <w:marBottom w:val="0"/>
                      <w:divBdr>
                        <w:top w:val="none" w:sz="0" w:space="0" w:color="auto"/>
                        <w:left w:val="none" w:sz="0" w:space="0" w:color="auto"/>
                        <w:bottom w:val="none" w:sz="0" w:space="0" w:color="auto"/>
                        <w:right w:val="none" w:sz="0" w:space="0" w:color="auto"/>
                      </w:divBdr>
                    </w:div>
                  </w:divsChild>
                </w:div>
                <w:div w:id="1228301055">
                  <w:marLeft w:val="0"/>
                  <w:marRight w:val="0"/>
                  <w:marTop w:val="0"/>
                  <w:marBottom w:val="0"/>
                  <w:divBdr>
                    <w:top w:val="none" w:sz="0" w:space="0" w:color="auto"/>
                    <w:left w:val="none" w:sz="0" w:space="0" w:color="auto"/>
                    <w:bottom w:val="none" w:sz="0" w:space="0" w:color="auto"/>
                    <w:right w:val="none" w:sz="0" w:space="0" w:color="auto"/>
                  </w:divBdr>
                  <w:divsChild>
                    <w:div w:id="696199977">
                      <w:marLeft w:val="0"/>
                      <w:marRight w:val="0"/>
                      <w:marTop w:val="0"/>
                      <w:marBottom w:val="0"/>
                      <w:divBdr>
                        <w:top w:val="none" w:sz="0" w:space="0" w:color="auto"/>
                        <w:left w:val="none" w:sz="0" w:space="0" w:color="auto"/>
                        <w:bottom w:val="none" w:sz="0" w:space="0" w:color="auto"/>
                        <w:right w:val="none" w:sz="0" w:space="0" w:color="auto"/>
                      </w:divBdr>
                    </w:div>
                  </w:divsChild>
                </w:div>
                <w:div w:id="1275088771">
                  <w:marLeft w:val="0"/>
                  <w:marRight w:val="0"/>
                  <w:marTop w:val="0"/>
                  <w:marBottom w:val="0"/>
                  <w:divBdr>
                    <w:top w:val="none" w:sz="0" w:space="0" w:color="auto"/>
                    <w:left w:val="none" w:sz="0" w:space="0" w:color="auto"/>
                    <w:bottom w:val="none" w:sz="0" w:space="0" w:color="auto"/>
                    <w:right w:val="none" w:sz="0" w:space="0" w:color="auto"/>
                  </w:divBdr>
                  <w:divsChild>
                    <w:div w:id="358891987">
                      <w:marLeft w:val="0"/>
                      <w:marRight w:val="0"/>
                      <w:marTop w:val="0"/>
                      <w:marBottom w:val="0"/>
                      <w:divBdr>
                        <w:top w:val="none" w:sz="0" w:space="0" w:color="auto"/>
                        <w:left w:val="none" w:sz="0" w:space="0" w:color="auto"/>
                        <w:bottom w:val="none" w:sz="0" w:space="0" w:color="auto"/>
                        <w:right w:val="none" w:sz="0" w:space="0" w:color="auto"/>
                      </w:divBdr>
                    </w:div>
                  </w:divsChild>
                </w:div>
                <w:div w:id="1328435004">
                  <w:marLeft w:val="0"/>
                  <w:marRight w:val="0"/>
                  <w:marTop w:val="0"/>
                  <w:marBottom w:val="0"/>
                  <w:divBdr>
                    <w:top w:val="none" w:sz="0" w:space="0" w:color="auto"/>
                    <w:left w:val="none" w:sz="0" w:space="0" w:color="auto"/>
                    <w:bottom w:val="none" w:sz="0" w:space="0" w:color="auto"/>
                    <w:right w:val="none" w:sz="0" w:space="0" w:color="auto"/>
                  </w:divBdr>
                  <w:divsChild>
                    <w:div w:id="1399590108">
                      <w:marLeft w:val="0"/>
                      <w:marRight w:val="0"/>
                      <w:marTop w:val="0"/>
                      <w:marBottom w:val="0"/>
                      <w:divBdr>
                        <w:top w:val="none" w:sz="0" w:space="0" w:color="auto"/>
                        <w:left w:val="none" w:sz="0" w:space="0" w:color="auto"/>
                        <w:bottom w:val="none" w:sz="0" w:space="0" w:color="auto"/>
                        <w:right w:val="none" w:sz="0" w:space="0" w:color="auto"/>
                      </w:divBdr>
                    </w:div>
                  </w:divsChild>
                </w:div>
                <w:div w:id="1345596012">
                  <w:marLeft w:val="0"/>
                  <w:marRight w:val="0"/>
                  <w:marTop w:val="0"/>
                  <w:marBottom w:val="0"/>
                  <w:divBdr>
                    <w:top w:val="none" w:sz="0" w:space="0" w:color="auto"/>
                    <w:left w:val="none" w:sz="0" w:space="0" w:color="auto"/>
                    <w:bottom w:val="none" w:sz="0" w:space="0" w:color="auto"/>
                    <w:right w:val="none" w:sz="0" w:space="0" w:color="auto"/>
                  </w:divBdr>
                  <w:divsChild>
                    <w:div w:id="544293167">
                      <w:marLeft w:val="0"/>
                      <w:marRight w:val="0"/>
                      <w:marTop w:val="0"/>
                      <w:marBottom w:val="0"/>
                      <w:divBdr>
                        <w:top w:val="none" w:sz="0" w:space="0" w:color="auto"/>
                        <w:left w:val="none" w:sz="0" w:space="0" w:color="auto"/>
                        <w:bottom w:val="none" w:sz="0" w:space="0" w:color="auto"/>
                        <w:right w:val="none" w:sz="0" w:space="0" w:color="auto"/>
                      </w:divBdr>
                    </w:div>
                  </w:divsChild>
                </w:div>
                <w:div w:id="1367290109">
                  <w:marLeft w:val="0"/>
                  <w:marRight w:val="0"/>
                  <w:marTop w:val="0"/>
                  <w:marBottom w:val="0"/>
                  <w:divBdr>
                    <w:top w:val="none" w:sz="0" w:space="0" w:color="auto"/>
                    <w:left w:val="none" w:sz="0" w:space="0" w:color="auto"/>
                    <w:bottom w:val="none" w:sz="0" w:space="0" w:color="auto"/>
                    <w:right w:val="none" w:sz="0" w:space="0" w:color="auto"/>
                  </w:divBdr>
                  <w:divsChild>
                    <w:div w:id="1984850276">
                      <w:marLeft w:val="0"/>
                      <w:marRight w:val="0"/>
                      <w:marTop w:val="0"/>
                      <w:marBottom w:val="0"/>
                      <w:divBdr>
                        <w:top w:val="none" w:sz="0" w:space="0" w:color="auto"/>
                        <w:left w:val="none" w:sz="0" w:space="0" w:color="auto"/>
                        <w:bottom w:val="none" w:sz="0" w:space="0" w:color="auto"/>
                        <w:right w:val="none" w:sz="0" w:space="0" w:color="auto"/>
                      </w:divBdr>
                    </w:div>
                  </w:divsChild>
                </w:div>
                <w:div w:id="1373965363">
                  <w:marLeft w:val="0"/>
                  <w:marRight w:val="0"/>
                  <w:marTop w:val="0"/>
                  <w:marBottom w:val="0"/>
                  <w:divBdr>
                    <w:top w:val="none" w:sz="0" w:space="0" w:color="auto"/>
                    <w:left w:val="none" w:sz="0" w:space="0" w:color="auto"/>
                    <w:bottom w:val="none" w:sz="0" w:space="0" w:color="auto"/>
                    <w:right w:val="none" w:sz="0" w:space="0" w:color="auto"/>
                  </w:divBdr>
                  <w:divsChild>
                    <w:div w:id="1974865613">
                      <w:marLeft w:val="0"/>
                      <w:marRight w:val="0"/>
                      <w:marTop w:val="0"/>
                      <w:marBottom w:val="0"/>
                      <w:divBdr>
                        <w:top w:val="none" w:sz="0" w:space="0" w:color="auto"/>
                        <w:left w:val="none" w:sz="0" w:space="0" w:color="auto"/>
                        <w:bottom w:val="none" w:sz="0" w:space="0" w:color="auto"/>
                        <w:right w:val="none" w:sz="0" w:space="0" w:color="auto"/>
                      </w:divBdr>
                    </w:div>
                  </w:divsChild>
                </w:div>
                <w:div w:id="1390617471">
                  <w:marLeft w:val="0"/>
                  <w:marRight w:val="0"/>
                  <w:marTop w:val="0"/>
                  <w:marBottom w:val="0"/>
                  <w:divBdr>
                    <w:top w:val="none" w:sz="0" w:space="0" w:color="auto"/>
                    <w:left w:val="none" w:sz="0" w:space="0" w:color="auto"/>
                    <w:bottom w:val="none" w:sz="0" w:space="0" w:color="auto"/>
                    <w:right w:val="none" w:sz="0" w:space="0" w:color="auto"/>
                  </w:divBdr>
                  <w:divsChild>
                    <w:div w:id="557323438">
                      <w:marLeft w:val="0"/>
                      <w:marRight w:val="0"/>
                      <w:marTop w:val="0"/>
                      <w:marBottom w:val="0"/>
                      <w:divBdr>
                        <w:top w:val="none" w:sz="0" w:space="0" w:color="auto"/>
                        <w:left w:val="none" w:sz="0" w:space="0" w:color="auto"/>
                        <w:bottom w:val="none" w:sz="0" w:space="0" w:color="auto"/>
                        <w:right w:val="none" w:sz="0" w:space="0" w:color="auto"/>
                      </w:divBdr>
                    </w:div>
                  </w:divsChild>
                </w:div>
                <w:div w:id="1395353592">
                  <w:marLeft w:val="0"/>
                  <w:marRight w:val="0"/>
                  <w:marTop w:val="0"/>
                  <w:marBottom w:val="0"/>
                  <w:divBdr>
                    <w:top w:val="none" w:sz="0" w:space="0" w:color="auto"/>
                    <w:left w:val="none" w:sz="0" w:space="0" w:color="auto"/>
                    <w:bottom w:val="none" w:sz="0" w:space="0" w:color="auto"/>
                    <w:right w:val="none" w:sz="0" w:space="0" w:color="auto"/>
                  </w:divBdr>
                  <w:divsChild>
                    <w:div w:id="245770568">
                      <w:marLeft w:val="0"/>
                      <w:marRight w:val="0"/>
                      <w:marTop w:val="0"/>
                      <w:marBottom w:val="0"/>
                      <w:divBdr>
                        <w:top w:val="none" w:sz="0" w:space="0" w:color="auto"/>
                        <w:left w:val="none" w:sz="0" w:space="0" w:color="auto"/>
                        <w:bottom w:val="none" w:sz="0" w:space="0" w:color="auto"/>
                        <w:right w:val="none" w:sz="0" w:space="0" w:color="auto"/>
                      </w:divBdr>
                    </w:div>
                  </w:divsChild>
                </w:div>
                <w:div w:id="1414820546">
                  <w:marLeft w:val="0"/>
                  <w:marRight w:val="0"/>
                  <w:marTop w:val="0"/>
                  <w:marBottom w:val="0"/>
                  <w:divBdr>
                    <w:top w:val="none" w:sz="0" w:space="0" w:color="auto"/>
                    <w:left w:val="none" w:sz="0" w:space="0" w:color="auto"/>
                    <w:bottom w:val="none" w:sz="0" w:space="0" w:color="auto"/>
                    <w:right w:val="none" w:sz="0" w:space="0" w:color="auto"/>
                  </w:divBdr>
                  <w:divsChild>
                    <w:div w:id="1266231634">
                      <w:marLeft w:val="0"/>
                      <w:marRight w:val="0"/>
                      <w:marTop w:val="0"/>
                      <w:marBottom w:val="0"/>
                      <w:divBdr>
                        <w:top w:val="none" w:sz="0" w:space="0" w:color="auto"/>
                        <w:left w:val="none" w:sz="0" w:space="0" w:color="auto"/>
                        <w:bottom w:val="none" w:sz="0" w:space="0" w:color="auto"/>
                        <w:right w:val="none" w:sz="0" w:space="0" w:color="auto"/>
                      </w:divBdr>
                    </w:div>
                  </w:divsChild>
                </w:div>
                <w:div w:id="1425495334">
                  <w:marLeft w:val="0"/>
                  <w:marRight w:val="0"/>
                  <w:marTop w:val="0"/>
                  <w:marBottom w:val="0"/>
                  <w:divBdr>
                    <w:top w:val="none" w:sz="0" w:space="0" w:color="auto"/>
                    <w:left w:val="none" w:sz="0" w:space="0" w:color="auto"/>
                    <w:bottom w:val="none" w:sz="0" w:space="0" w:color="auto"/>
                    <w:right w:val="none" w:sz="0" w:space="0" w:color="auto"/>
                  </w:divBdr>
                  <w:divsChild>
                    <w:div w:id="948313886">
                      <w:marLeft w:val="0"/>
                      <w:marRight w:val="0"/>
                      <w:marTop w:val="0"/>
                      <w:marBottom w:val="0"/>
                      <w:divBdr>
                        <w:top w:val="none" w:sz="0" w:space="0" w:color="auto"/>
                        <w:left w:val="none" w:sz="0" w:space="0" w:color="auto"/>
                        <w:bottom w:val="none" w:sz="0" w:space="0" w:color="auto"/>
                        <w:right w:val="none" w:sz="0" w:space="0" w:color="auto"/>
                      </w:divBdr>
                    </w:div>
                  </w:divsChild>
                </w:div>
                <w:div w:id="1477330710">
                  <w:marLeft w:val="0"/>
                  <w:marRight w:val="0"/>
                  <w:marTop w:val="0"/>
                  <w:marBottom w:val="0"/>
                  <w:divBdr>
                    <w:top w:val="none" w:sz="0" w:space="0" w:color="auto"/>
                    <w:left w:val="none" w:sz="0" w:space="0" w:color="auto"/>
                    <w:bottom w:val="none" w:sz="0" w:space="0" w:color="auto"/>
                    <w:right w:val="none" w:sz="0" w:space="0" w:color="auto"/>
                  </w:divBdr>
                  <w:divsChild>
                    <w:div w:id="1722290339">
                      <w:marLeft w:val="0"/>
                      <w:marRight w:val="0"/>
                      <w:marTop w:val="0"/>
                      <w:marBottom w:val="0"/>
                      <w:divBdr>
                        <w:top w:val="none" w:sz="0" w:space="0" w:color="auto"/>
                        <w:left w:val="none" w:sz="0" w:space="0" w:color="auto"/>
                        <w:bottom w:val="none" w:sz="0" w:space="0" w:color="auto"/>
                        <w:right w:val="none" w:sz="0" w:space="0" w:color="auto"/>
                      </w:divBdr>
                    </w:div>
                  </w:divsChild>
                </w:div>
                <w:div w:id="1481649229">
                  <w:marLeft w:val="0"/>
                  <w:marRight w:val="0"/>
                  <w:marTop w:val="0"/>
                  <w:marBottom w:val="0"/>
                  <w:divBdr>
                    <w:top w:val="none" w:sz="0" w:space="0" w:color="auto"/>
                    <w:left w:val="none" w:sz="0" w:space="0" w:color="auto"/>
                    <w:bottom w:val="none" w:sz="0" w:space="0" w:color="auto"/>
                    <w:right w:val="none" w:sz="0" w:space="0" w:color="auto"/>
                  </w:divBdr>
                  <w:divsChild>
                    <w:div w:id="1289360941">
                      <w:marLeft w:val="0"/>
                      <w:marRight w:val="0"/>
                      <w:marTop w:val="0"/>
                      <w:marBottom w:val="0"/>
                      <w:divBdr>
                        <w:top w:val="none" w:sz="0" w:space="0" w:color="auto"/>
                        <w:left w:val="none" w:sz="0" w:space="0" w:color="auto"/>
                        <w:bottom w:val="none" w:sz="0" w:space="0" w:color="auto"/>
                        <w:right w:val="none" w:sz="0" w:space="0" w:color="auto"/>
                      </w:divBdr>
                    </w:div>
                  </w:divsChild>
                </w:div>
                <w:div w:id="1488015932">
                  <w:marLeft w:val="0"/>
                  <w:marRight w:val="0"/>
                  <w:marTop w:val="0"/>
                  <w:marBottom w:val="0"/>
                  <w:divBdr>
                    <w:top w:val="none" w:sz="0" w:space="0" w:color="auto"/>
                    <w:left w:val="none" w:sz="0" w:space="0" w:color="auto"/>
                    <w:bottom w:val="none" w:sz="0" w:space="0" w:color="auto"/>
                    <w:right w:val="none" w:sz="0" w:space="0" w:color="auto"/>
                  </w:divBdr>
                  <w:divsChild>
                    <w:div w:id="1485245079">
                      <w:marLeft w:val="0"/>
                      <w:marRight w:val="0"/>
                      <w:marTop w:val="0"/>
                      <w:marBottom w:val="0"/>
                      <w:divBdr>
                        <w:top w:val="none" w:sz="0" w:space="0" w:color="auto"/>
                        <w:left w:val="none" w:sz="0" w:space="0" w:color="auto"/>
                        <w:bottom w:val="none" w:sz="0" w:space="0" w:color="auto"/>
                        <w:right w:val="none" w:sz="0" w:space="0" w:color="auto"/>
                      </w:divBdr>
                    </w:div>
                  </w:divsChild>
                </w:div>
                <w:div w:id="1492677064">
                  <w:marLeft w:val="0"/>
                  <w:marRight w:val="0"/>
                  <w:marTop w:val="0"/>
                  <w:marBottom w:val="0"/>
                  <w:divBdr>
                    <w:top w:val="none" w:sz="0" w:space="0" w:color="auto"/>
                    <w:left w:val="none" w:sz="0" w:space="0" w:color="auto"/>
                    <w:bottom w:val="none" w:sz="0" w:space="0" w:color="auto"/>
                    <w:right w:val="none" w:sz="0" w:space="0" w:color="auto"/>
                  </w:divBdr>
                  <w:divsChild>
                    <w:div w:id="235434975">
                      <w:marLeft w:val="0"/>
                      <w:marRight w:val="0"/>
                      <w:marTop w:val="0"/>
                      <w:marBottom w:val="0"/>
                      <w:divBdr>
                        <w:top w:val="none" w:sz="0" w:space="0" w:color="auto"/>
                        <w:left w:val="none" w:sz="0" w:space="0" w:color="auto"/>
                        <w:bottom w:val="none" w:sz="0" w:space="0" w:color="auto"/>
                        <w:right w:val="none" w:sz="0" w:space="0" w:color="auto"/>
                      </w:divBdr>
                    </w:div>
                  </w:divsChild>
                </w:div>
                <w:div w:id="1497840471">
                  <w:marLeft w:val="0"/>
                  <w:marRight w:val="0"/>
                  <w:marTop w:val="0"/>
                  <w:marBottom w:val="0"/>
                  <w:divBdr>
                    <w:top w:val="none" w:sz="0" w:space="0" w:color="auto"/>
                    <w:left w:val="none" w:sz="0" w:space="0" w:color="auto"/>
                    <w:bottom w:val="none" w:sz="0" w:space="0" w:color="auto"/>
                    <w:right w:val="none" w:sz="0" w:space="0" w:color="auto"/>
                  </w:divBdr>
                  <w:divsChild>
                    <w:div w:id="276763358">
                      <w:marLeft w:val="0"/>
                      <w:marRight w:val="0"/>
                      <w:marTop w:val="0"/>
                      <w:marBottom w:val="0"/>
                      <w:divBdr>
                        <w:top w:val="none" w:sz="0" w:space="0" w:color="auto"/>
                        <w:left w:val="none" w:sz="0" w:space="0" w:color="auto"/>
                        <w:bottom w:val="none" w:sz="0" w:space="0" w:color="auto"/>
                        <w:right w:val="none" w:sz="0" w:space="0" w:color="auto"/>
                      </w:divBdr>
                    </w:div>
                  </w:divsChild>
                </w:div>
                <w:div w:id="1515800041">
                  <w:marLeft w:val="0"/>
                  <w:marRight w:val="0"/>
                  <w:marTop w:val="0"/>
                  <w:marBottom w:val="0"/>
                  <w:divBdr>
                    <w:top w:val="none" w:sz="0" w:space="0" w:color="auto"/>
                    <w:left w:val="none" w:sz="0" w:space="0" w:color="auto"/>
                    <w:bottom w:val="none" w:sz="0" w:space="0" w:color="auto"/>
                    <w:right w:val="none" w:sz="0" w:space="0" w:color="auto"/>
                  </w:divBdr>
                  <w:divsChild>
                    <w:div w:id="1671642966">
                      <w:marLeft w:val="0"/>
                      <w:marRight w:val="0"/>
                      <w:marTop w:val="0"/>
                      <w:marBottom w:val="0"/>
                      <w:divBdr>
                        <w:top w:val="none" w:sz="0" w:space="0" w:color="auto"/>
                        <w:left w:val="none" w:sz="0" w:space="0" w:color="auto"/>
                        <w:bottom w:val="none" w:sz="0" w:space="0" w:color="auto"/>
                        <w:right w:val="none" w:sz="0" w:space="0" w:color="auto"/>
                      </w:divBdr>
                    </w:div>
                  </w:divsChild>
                </w:div>
                <w:div w:id="1540705884">
                  <w:marLeft w:val="0"/>
                  <w:marRight w:val="0"/>
                  <w:marTop w:val="0"/>
                  <w:marBottom w:val="0"/>
                  <w:divBdr>
                    <w:top w:val="none" w:sz="0" w:space="0" w:color="auto"/>
                    <w:left w:val="none" w:sz="0" w:space="0" w:color="auto"/>
                    <w:bottom w:val="none" w:sz="0" w:space="0" w:color="auto"/>
                    <w:right w:val="none" w:sz="0" w:space="0" w:color="auto"/>
                  </w:divBdr>
                  <w:divsChild>
                    <w:div w:id="245654300">
                      <w:marLeft w:val="0"/>
                      <w:marRight w:val="0"/>
                      <w:marTop w:val="0"/>
                      <w:marBottom w:val="0"/>
                      <w:divBdr>
                        <w:top w:val="none" w:sz="0" w:space="0" w:color="auto"/>
                        <w:left w:val="none" w:sz="0" w:space="0" w:color="auto"/>
                        <w:bottom w:val="none" w:sz="0" w:space="0" w:color="auto"/>
                        <w:right w:val="none" w:sz="0" w:space="0" w:color="auto"/>
                      </w:divBdr>
                    </w:div>
                  </w:divsChild>
                </w:div>
                <w:div w:id="1568104429">
                  <w:marLeft w:val="0"/>
                  <w:marRight w:val="0"/>
                  <w:marTop w:val="0"/>
                  <w:marBottom w:val="0"/>
                  <w:divBdr>
                    <w:top w:val="none" w:sz="0" w:space="0" w:color="auto"/>
                    <w:left w:val="none" w:sz="0" w:space="0" w:color="auto"/>
                    <w:bottom w:val="none" w:sz="0" w:space="0" w:color="auto"/>
                    <w:right w:val="none" w:sz="0" w:space="0" w:color="auto"/>
                  </w:divBdr>
                  <w:divsChild>
                    <w:div w:id="64230487">
                      <w:marLeft w:val="0"/>
                      <w:marRight w:val="0"/>
                      <w:marTop w:val="0"/>
                      <w:marBottom w:val="0"/>
                      <w:divBdr>
                        <w:top w:val="none" w:sz="0" w:space="0" w:color="auto"/>
                        <w:left w:val="none" w:sz="0" w:space="0" w:color="auto"/>
                        <w:bottom w:val="none" w:sz="0" w:space="0" w:color="auto"/>
                        <w:right w:val="none" w:sz="0" w:space="0" w:color="auto"/>
                      </w:divBdr>
                    </w:div>
                  </w:divsChild>
                </w:div>
                <w:div w:id="1661930096">
                  <w:marLeft w:val="0"/>
                  <w:marRight w:val="0"/>
                  <w:marTop w:val="0"/>
                  <w:marBottom w:val="0"/>
                  <w:divBdr>
                    <w:top w:val="none" w:sz="0" w:space="0" w:color="auto"/>
                    <w:left w:val="none" w:sz="0" w:space="0" w:color="auto"/>
                    <w:bottom w:val="none" w:sz="0" w:space="0" w:color="auto"/>
                    <w:right w:val="none" w:sz="0" w:space="0" w:color="auto"/>
                  </w:divBdr>
                  <w:divsChild>
                    <w:div w:id="855387285">
                      <w:marLeft w:val="0"/>
                      <w:marRight w:val="0"/>
                      <w:marTop w:val="0"/>
                      <w:marBottom w:val="0"/>
                      <w:divBdr>
                        <w:top w:val="none" w:sz="0" w:space="0" w:color="auto"/>
                        <w:left w:val="none" w:sz="0" w:space="0" w:color="auto"/>
                        <w:bottom w:val="none" w:sz="0" w:space="0" w:color="auto"/>
                        <w:right w:val="none" w:sz="0" w:space="0" w:color="auto"/>
                      </w:divBdr>
                    </w:div>
                  </w:divsChild>
                </w:div>
                <w:div w:id="1742678287">
                  <w:marLeft w:val="0"/>
                  <w:marRight w:val="0"/>
                  <w:marTop w:val="0"/>
                  <w:marBottom w:val="0"/>
                  <w:divBdr>
                    <w:top w:val="none" w:sz="0" w:space="0" w:color="auto"/>
                    <w:left w:val="none" w:sz="0" w:space="0" w:color="auto"/>
                    <w:bottom w:val="none" w:sz="0" w:space="0" w:color="auto"/>
                    <w:right w:val="none" w:sz="0" w:space="0" w:color="auto"/>
                  </w:divBdr>
                  <w:divsChild>
                    <w:div w:id="28997303">
                      <w:marLeft w:val="0"/>
                      <w:marRight w:val="0"/>
                      <w:marTop w:val="0"/>
                      <w:marBottom w:val="0"/>
                      <w:divBdr>
                        <w:top w:val="none" w:sz="0" w:space="0" w:color="auto"/>
                        <w:left w:val="none" w:sz="0" w:space="0" w:color="auto"/>
                        <w:bottom w:val="none" w:sz="0" w:space="0" w:color="auto"/>
                        <w:right w:val="none" w:sz="0" w:space="0" w:color="auto"/>
                      </w:divBdr>
                    </w:div>
                  </w:divsChild>
                </w:div>
                <w:div w:id="1748959627">
                  <w:marLeft w:val="0"/>
                  <w:marRight w:val="0"/>
                  <w:marTop w:val="0"/>
                  <w:marBottom w:val="0"/>
                  <w:divBdr>
                    <w:top w:val="none" w:sz="0" w:space="0" w:color="auto"/>
                    <w:left w:val="none" w:sz="0" w:space="0" w:color="auto"/>
                    <w:bottom w:val="none" w:sz="0" w:space="0" w:color="auto"/>
                    <w:right w:val="none" w:sz="0" w:space="0" w:color="auto"/>
                  </w:divBdr>
                  <w:divsChild>
                    <w:div w:id="1486554942">
                      <w:marLeft w:val="0"/>
                      <w:marRight w:val="0"/>
                      <w:marTop w:val="0"/>
                      <w:marBottom w:val="0"/>
                      <w:divBdr>
                        <w:top w:val="none" w:sz="0" w:space="0" w:color="auto"/>
                        <w:left w:val="none" w:sz="0" w:space="0" w:color="auto"/>
                        <w:bottom w:val="none" w:sz="0" w:space="0" w:color="auto"/>
                        <w:right w:val="none" w:sz="0" w:space="0" w:color="auto"/>
                      </w:divBdr>
                    </w:div>
                  </w:divsChild>
                </w:div>
                <w:div w:id="1828205547">
                  <w:marLeft w:val="0"/>
                  <w:marRight w:val="0"/>
                  <w:marTop w:val="0"/>
                  <w:marBottom w:val="0"/>
                  <w:divBdr>
                    <w:top w:val="none" w:sz="0" w:space="0" w:color="auto"/>
                    <w:left w:val="none" w:sz="0" w:space="0" w:color="auto"/>
                    <w:bottom w:val="none" w:sz="0" w:space="0" w:color="auto"/>
                    <w:right w:val="none" w:sz="0" w:space="0" w:color="auto"/>
                  </w:divBdr>
                  <w:divsChild>
                    <w:div w:id="165172523">
                      <w:marLeft w:val="0"/>
                      <w:marRight w:val="0"/>
                      <w:marTop w:val="0"/>
                      <w:marBottom w:val="0"/>
                      <w:divBdr>
                        <w:top w:val="none" w:sz="0" w:space="0" w:color="auto"/>
                        <w:left w:val="none" w:sz="0" w:space="0" w:color="auto"/>
                        <w:bottom w:val="none" w:sz="0" w:space="0" w:color="auto"/>
                        <w:right w:val="none" w:sz="0" w:space="0" w:color="auto"/>
                      </w:divBdr>
                    </w:div>
                  </w:divsChild>
                </w:div>
                <w:div w:id="1839075420">
                  <w:marLeft w:val="0"/>
                  <w:marRight w:val="0"/>
                  <w:marTop w:val="0"/>
                  <w:marBottom w:val="0"/>
                  <w:divBdr>
                    <w:top w:val="none" w:sz="0" w:space="0" w:color="auto"/>
                    <w:left w:val="none" w:sz="0" w:space="0" w:color="auto"/>
                    <w:bottom w:val="none" w:sz="0" w:space="0" w:color="auto"/>
                    <w:right w:val="none" w:sz="0" w:space="0" w:color="auto"/>
                  </w:divBdr>
                  <w:divsChild>
                    <w:div w:id="15154496">
                      <w:marLeft w:val="0"/>
                      <w:marRight w:val="0"/>
                      <w:marTop w:val="0"/>
                      <w:marBottom w:val="0"/>
                      <w:divBdr>
                        <w:top w:val="none" w:sz="0" w:space="0" w:color="auto"/>
                        <w:left w:val="none" w:sz="0" w:space="0" w:color="auto"/>
                        <w:bottom w:val="none" w:sz="0" w:space="0" w:color="auto"/>
                        <w:right w:val="none" w:sz="0" w:space="0" w:color="auto"/>
                      </w:divBdr>
                    </w:div>
                  </w:divsChild>
                </w:div>
                <w:div w:id="1871793244">
                  <w:marLeft w:val="0"/>
                  <w:marRight w:val="0"/>
                  <w:marTop w:val="0"/>
                  <w:marBottom w:val="0"/>
                  <w:divBdr>
                    <w:top w:val="none" w:sz="0" w:space="0" w:color="auto"/>
                    <w:left w:val="none" w:sz="0" w:space="0" w:color="auto"/>
                    <w:bottom w:val="none" w:sz="0" w:space="0" w:color="auto"/>
                    <w:right w:val="none" w:sz="0" w:space="0" w:color="auto"/>
                  </w:divBdr>
                  <w:divsChild>
                    <w:div w:id="695696142">
                      <w:marLeft w:val="0"/>
                      <w:marRight w:val="0"/>
                      <w:marTop w:val="0"/>
                      <w:marBottom w:val="0"/>
                      <w:divBdr>
                        <w:top w:val="none" w:sz="0" w:space="0" w:color="auto"/>
                        <w:left w:val="none" w:sz="0" w:space="0" w:color="auto"/>
                        <w:bottom w:val="none" w:sz="0" w:space="0" w:color="auto"/>
                        <w:right w:val="none" w:sz="0" w:space="0" w:color="auto"/>
                      </w:divBdr>
                    </w:div>
                  </w:divsChild>
                </w:div>
                <w:div w:id="1923446410">
                  <w:marLeft w:val="0"/>
                  <w:marRight w:val="0"/>
                  <w:marTop w:val="0"/>
                  <w:marBottom w:val="0"/>
                  <w:divBdr>
                    <w:top w:val="none" w:sz="0" w:space="0" w:color="auto"/>
                    <w:left w:val="none" w:sz="0" w:space="0" w:color="auto"/>
                    <w:bottom w:val="none" w:sz="0" w:space="0" w:color="auto"/>
                    <w:right w:val="none" w:sz="0" w:space="0" w:color="auto"/>
                  </w:divBdr>
                  <w:divsChild>
                    <w:div w:id="239296895">
                      <w:marLeft w:val="0"/>
                      <w:marRight w:val="0"/>
                      <w:marTop w:val="0"/>
                      <w:marBottom w:val="0"/>
                      <w:divBdr>
                        <w:top w:val="none" w:sz="0" w:space="0" w:color="auto"/>
                        <w:left w:val="none" w:sz="0" w:space="0" w:color="auto"/>
                        <w:bottom w:val="none" w:sz="0" w:space="0" w:color="auto"/>
                        <w:right w:val="none" w:sz="0" w:space="0" w:color="auto"/>
                      </w:divBdr>
                    </w:div>
                  </w:divsChild>
                </w:div>
                <w:div w:id="1952011510">
                  <w:marLeft w:val="0"/>
                  <w:marRight w:val="0"/>
                  <w:marTop w:val="0"/>
                  <w:marBottom w:val="0"/>
                  <w:divBdr>
                    <w:top w:val="none" w:sz="0" w:space="0" w:color="auto"/>
                    <w:left w:val="none" w:sz="0" w:space="0" w:color="auto"/>
                    <w:bottom w:val="none" w:sz="0" w:space="0" w:color="auto"/>
                    <w:right w:val="none" w:sz="0" w:space="0" w:color="auto"/>
                  </w:divBdr>
                  <w:divsChild>
                    <w:div w:id="560364262">
                      <w:marLeft w:val="0"/>
                      <w:marRight w:val="0"/>
                      <w:marTop w:val="0"/>
                      <w:marBottom w:val="0"/>
                      <w:divBdr>
                        <w:top w:val="none" w:sz="0" w:space="0" w:color="auto"/>
                        <w:left w:val="none" w:sz="0" w:space="0" w:color="auto"/>
                        <w:bottom w:val="none" w:sz="0" w:space="0" w:color="auto"/>
                        <w:right w:val="none" w:sz="0" w:space="0" w:color="auto"/>
                      </w:divBdr>
                    </w:div>
                  </w:divsChild>
                </w:div>
                <w:div w:id="2109616316">
                  <w:marLeft w:val="0"/>
                  <w:marRight w:val="0"/>
                  <w:marTop w:val="0"/>
                  <w:marBottom w:val="0"/>
                  <w:divBdr>
                    <w:top w:val="none" w:sz="0" w:space="0" w:color="auto"/>
                    <w:left w:val="none" w:sz="0" w:space="0" w:color="auto"/>
                    <w:bottom w:val="none" w:sz="0" w:space="0" w:color="auto"/>
                    <w:right w:val="none" w:sz="0" w:space="0" w:color="auto"/>
                  </w:divBdr>
                  <w:divsChild>
                    <w:div w:id="207687434">
                      <w:marLeft w:val="0"/>
                      <w:marRight w:val="0"/>
                      <w:marTop w:val="0"/>
                      <w:marBottom w:val="0"/>
                      <w:divBdr>
                        <w:top w:val="none" w:sz="0" w:space="0" w:color="auto"/>
                        <w:left w:val="none" w:sz="0" w:space="0" w:color="auto"/>
                        <w:bottom w:val="none" w:sz="0" w:space="0" w:color="auto"/>
                        <w:right w:val="none" w:sz="0" w:space="0" w:color="auto"/>
                      </w:divBdr>
                    </w:div>
                  </w:divsChild>
                </w:div>
                <w:div w:id="2118331300">
                  <w:marLeft w:val="0"/>
                  <w:marRight w:val="0"/>
                  <w:marTop w:val="0"/>
                  <w:marBottom w:val="0"/>
                  <w:divBdr>
                    <w:top w:val="none" w:sz="0" w:space="0" w:color="auto"/>
                    <w:left w:val="none" w:sz="0" w:space="0" w:color="auto"/>
                    <w:bottom w:val="none" w:sz="0" w:space="0" w:color="auto"/>
                    <w:right w:val="none" w:sz="0" w:space="0" w:color="auto"/>
                  </w:divBdr>
                  <w:divsChild>
                    <w:div w:id="233200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3802554">
          <w:marLeft w:val="0"/>
          <w:marRight w:val="0"/>
          <w:marTop w:val="0"/>
          <w:marBottom w:val="0"/>
          <w:divBdr>
            <w:top w:val="none" w:sz="0" w:space="0" w:color="auto"/>
            <w:left w:val="none" w:sz="0" w:space="0" w:color="auto"/>
            <w:bottom w:val="none" w:sz="0" w:space="0" w:color="auto"/>
            <w:right w:val="none" w:sz="0" w:space="0" w:color="auto"/>
          </w:divBdr>
        </w:div>
        <w:div w:id="1060447070">
          <w:marLeft w:val="0"/>
          <w:marRight w:val="0"/>
          <w:marTop w:val="0"/>
          <w:marBottom w:val="0"/>
          <w:divBdr>
            <w:top w:val="none" w:sz="0" w:space="0" w:color="auto"/>
            <w:left w:val="none" w:sz="0" w:space="0" w:color="auto"/>
            <w:bottom w:val="none" w:sz="0" w:space="0" w:color="auto"/>
            <w:right w:val="none" w:sz="0" w:space="0" w:color="auto"/>
          </w:divBdr>
        </w:div>
        <w:div w:id="1119950966">
          <w:marLeft w:val="0"/>
          <w:marRight w:val="0"/>
          <w:marTop w:val="0"/>
          <w:marBottom w:val="0"/>
          <w:divBdr>
            <w:top w:val="none" w:sz="0" w:space="0" w:color="auto"/>
            <w:left w:val="none" w:sz="0" w:space="0" w:color="auto"/>
            <w:bottom w:val="none" w:sz="0" w:space="0" w:color="auto"/>
            <w:right w:val="none" w:sz="0" w:space="0" w:color="auto"/>
          </w:divBdr>
        </w:div>
        <w:div w:id="1390419210">
          <w:marLeft w:val="0"/>
          <w:marRight w:val="0"/>
          <w:marTop w:val="0"/>
          <w:marBottom w:val="0"/>
          <w:divBdr>
            <w:top w:val="none" w:sz="0" w:space="0" w:color="auto"/>
            <w:left w:val="none" w:sz="0" w:space="0" w:color="auto"/>
            <w:bottom w:val="none" w:sz="0" w:space="0" w:color="auto"/>
            <w:right w:val="none" w:sz="0" w:space="0" w:color="auto"/>
          </w:divBdr>
        </w:div>
        <w:div w:id="1735811994">
          <w:marLeft w:val="0"/>
          <w:marRight w:val="0"/>
          <w:marTop w:val="0"/>
          <w:marBottom w:val="0"/>
          <w:divBdr>
            <w:top w:val="none" w:sz="0" w:space="0" w:color="auto"/>
            <w:left w:val="none" w:sz="0" w:space="0" w:color="auto"/>
            <w:bottom w:val="none" w:sz="0" w:space="0" w:color="auto"/>
            <w:right w:val="none" w:sz="0" w:space="0" w:color="auto"/>
          </w:divBdr>
        </w:div>
        <w:div w:id="2024475205">
          <w:marLeft w:val="0"/>
          <w:marRight w:val="0"/>
          <w:marTop w:val="0"/>
          <w:marBottom w:val="0"/>
          <w:divBdr>
            <w:top w:val="none" w:sz="0" w:space="0" w:color="auto"/>
            <w:left w:val="none" w:sz="0" w:space="0" w:color="auto"/>
            <w:bottom w:val="none" w:sz="0" w:space="0" w:color="auto"/>
            <w:right w:val="none" w:sz="0" w:space="0" w:color="auto"/>
          </w:divBdr>
        </w:div>
      </w:divsChild>
    </w:div>
    <w:div w:id="70154424">
      <w:bodyDiv w:val="1"/>
      <w:marLeft w:val="0"/>
      <w:marRight w:val="0"/>
      <w:marTop w:val="0"/>
      <w:marBottom w:val="0"/>
      <w:divBdr>
        <w:top w:val="none" w:sz="0" w:space="0" w:color="auto"/>
        <w:left w:val="none" w:sz="0" w:space="0" w:color="auto"/>
        <w:bottom w:val="none" w:sz="0" w:space="0" w:color="auto"/>
        <w:right w:val="none" w:sz="0" w:space="0" w:color="auto"/>
      </w:divBdr>
    </w:div>
    <w:div w:id="81535699">
      <w:bodyDiv w:val="1"/>
      <w:marLeft w:val="0"/>
      <w:marRight w:val="0"/>
      <w:marTop w:val="0"/>
      <w:marBottom w:val="0"/>
      <w:divBdr>
        <w:top w:val="none" w:sz="0" w:space="0" w:color="auto"/>
        <w:left w:val="none" w:sz="0" w:space="0" w:color="auto"/>
        <w:bottom w:val="none" w:sz="0" w:space="0" w:color="auto"/>
        <w:right w:val="none" w:sz="0" w:space="0" w:color="auto"/>
      </w:divBdr>
    </w:div>
    <w:div w:id="85000449">
      <w:bodyDiv w:val="1"/>
      <w:marLeft w:val="0"/>
      <w:marRight w:val="0"/>
      <w:marTop w:val="0"/>
      <w:marBottom w:val="0"/>
      <w:divBdr>
        <w:top w:val="none" w:sz="0" w:space="0" w:color="auto"/>
        <w:left w:val="none" w:sz="0" w:space="0" w:color="auto"/>
        <w:bottom w:val="none" w:sz="0" w:space="0" w:color="auto"/>
        <w:right w:val="none" w:sz="0" w:space="0" w:color="auto"/>
      </w:divBdr>
    </w:div>
    <w:div w:id="126317921">
      <w:bodyDiv w:val="1"/>
      <w:marLeft w:val="0"/>
      <w:marRight w:val="0"/>
      <w:marTop w:val="0"/>
      <w:marBottom w:val="0"/>
      <w:divBdr>
        <w:top w:val="none" w:sz="0" w:space="0" w:color="auto"/>
        <w:left w:val="none" w:sz="0" w:space="0" w:color="auto"/>
        <w:bottom w:val="none" w:sz="0" w:space="0" w:color="auto"/>
        <w:right w:val="none" w:sz="0" w:space="0" w:color="auto"/>
      </w:divBdr>
    </w:div>
    <w:div w:id="144048877">
      <w:bodyDiv w:val="1"/>
      <w:marLeft w:val="0"/>
      <w:marRight w:val="0"/>
      <w:marTop w:val="0"/>
      <w:marBottom w:val="0"/>
      <w:divBdr>
        <w:top w:val="none" w:sz="0" w:space="0" w:color="auto"/>
        <w:left w:val="none" w:sz="0" w:space="0" w:color="auto"/>
        <w:bottom w:val="none" w:sz="0" w:space="0" w:color="auto"/>
        <w:right w:val="none" w:sz="0" w:space="0" w:color="auto"/>
      </w:divBdr>
    </w:div>
    <w:div w:id="155078288">
      <w:bodyDiv w:val="1"/>
      <w:marLeft w:val="0"/>
      <w:marRight w:val="0"/>
      <w:marTop w:val="0"/>
      <w:marBottom w:val="0"/>
      <w:divBdr>
        <w:top w:val="none" w:sz="0" w:space="0" w:color="auto"/>
        <w:left w:val="none" w:sz="0" w:space="0" w:color="auto"/>
        <w:bottom w:val="none" w:sz="0" w:space="0" w:color="auto"/>
        <w:right w:val="none" w:sz="0" w:space="0" w:color="auto"/>
      </w:divBdr>
    </w:div>
    <w:div w:id="230312796">
      <w:bodyDiv w:val="1"/>
      <w:marLeft w:val="0"/>
      <w:marRight w:val="0"/>
      <w:marTop w:val="0"/>
      <w:marBottom w:val="0"/>
      <w:divBdr>
        <w:top w:val="none" w:sz="0" w:space="0" w:color="auto"/>
        <w:left w:val="none" w:sz="0" w:space="0" w:color="auto"/>
        <w:bottom w:val="none" w:sz="0" w:space="0" w:color="auto"/>
        <w:right w:val="none" w:sz="0" w:space="0" w:color="auto"/>
      </w:divBdr>
    </w:div>
    <w:div w:id="255939634">
      <w:bodyDiv w:val="1"/>
      <w:marLeft w:val="0"/>
      <w:marRight w:val="0"/>
      <w:marTop w:val="0"/>
      <w:marBottom w:val="0"/>
      <w:divBdr>
        <w:top w:val="none" w:sz="0" w:space="0" w:color="auto"/>
        <w:left w:val="none" w:sz="0" w:space="0" w:color="auto"/>
        <w:bottom w:val="none" w:sz="0" w:space="0" w:color="auto"/>
        <w:right w:val="none" w:sz="0" w:space="0" w:color="auto"/>
      </w:divBdr>
    </w:div>
    <w:div w:id="286471267">
      <w:bodyDiv w:val="1"/>
      <w:marLeft w:val="0"/>
      <w:marRight w:val="0"/>
      <w:marTop w:val="0"/>
      <w:marBottom w:val="0"/>
      <w:divBdr>
        <w:top w:val="none" w:sz="0" w:space="0" w:color="auto"/>
        <w:left w:val="none" w:sz="0" w:space="0" w:color="auto"/>
        <w:bottom w:val="none" w:sz="0" w:space="0" w:color="auto"/>
        <w:right w:val="none" w:sz="0" w:space="0" w:color="auto"/>
      </w:divBdr>
    </w:div>
    <w:div w:id="323362500">
      <w:bodyDiv w:val="1"/>
      <w:marLeft w:val="0"/>
      <w:marRight w:val="0"/>
      <w:marTop w:val="0"/>
      <w:marBottom w:val="0"/>
      <w:divBdr>
        <w:top w:val="none" w:sz="0" w:space="0" w:color="auto"/>
        <w:left w:val="none" w:sz="0" w:space="0" w:color="auto"/>
        <w:bottom w:val="none" w:sz="0" w:space="0" w:color="auto"/>
        <w:right w:val="none" w:sz="0" w:space="0" w:color="auto"/>
      </w:divBdr>
      <w:divsChild>
        <w:div w:id="28576813">
          <w:marLeft w:val="0"/>
          <w:marRight w:val="0"/>
          <w:marTop w:val="0"/>
          <w:marBottom w:val="0"/>
          <w:divBdr>
            <w:top w:val="none" w:sz="0" w:space="0" w:color="auto"/>
            <w:left w:val="none" w:sz="0" w:space="0" w:color="auto"/>
            <w:bottom w:val="none" w:sz="0" w:space="0" w:color="auto"/>
            <w:right w:val="none" w:sz="0" w:space="0" w:color="auto"/>
          </w:divBdr>
          <w:divsChild>
            <w:div w:id="1043408291">
              <w:marLeft w:val="0"/>
              <w:marRight w:val="0"/>
              <w:marTop w:val="0"/>
              <w:marBottom w:val="0"/>
              <w:divBdr>
                <w:top w:val="none" w:sz="0" w:space="0" w:color="auto"/>
                <w:left w:val="none" w:sz="0" w:space="0" w:color="auto"/>
                <w:bottom w:val="none" w:sz="0" w:space="0" w:color="auto"/>
                <w:right w:val="none" w:sz="0" w:space="0" w:color="auto"/>
              </w:divBdr>
            </w:div>
          </w:divsChild>
        </w:div>
        <w:div w:id="162938132">
          <w:marLeft w:val="0"/>
          <w:marRight w:val="0"/>
          <w:marTop w:val="0"/>
          <w:marBottom w:val="0"/>
          <w:divBdr>
            <w:top w:val="none" w:sz="0" w:space="0" w:color="auto"/>
            <w:left w:val="none" w:sz="0" w:space="0" w:color="auto"/>
            <w:bottom w:val="none" w:sz="0" w:space="0" w:color="auto"/>
            <w:right w:val="none" w:sz="0" w:space="0" w:color="auto"/>
          </w:divBdr>
          <w:divsChild>
            <w:div w:id="1160534913">
              <w:marLeft w:val="0"/>
              <w:marRight w:val="0"/>
              <w:marTop w:val="0"/>
              <w:marBottom w:val="0"/>
              <w:divBdr>
                <w:top w:val="none" w:sz="0" w:space="0" w:color="auto"/>
                <w:left w:val="none" w:sz="0" w:space="0" w:color="auto"/>
                <w:bottom w:val="none" w:sz="0" w:space="0" w:color="auto"/>
                <w:right w:val="none" w:sz="0" w:space="0" w:color="auto"/>
              </w:divBdr>
            </w:div>
          </w:divsChild>
        </w:div>
        <w:div w:id="399526913">
          <w:marLeft w:val="0"/>
          <w:marRight w:val="0"/>
          <w:marTop w:val="0"/>
          <w:marBottom w:val="0"/>
          <w:divBdr>
            <w:top w:val="none" w:sz="0" w:space="0" w:color="auto"/>
            <w:left w:val="none" w:sz="0" w:space="0" w:color="auto"/>
            <w:bottom w:val="none" w:sz="0" w:space="0" w:color="auto"/>
            <w:right w:val="none" w:sz="0" w:space="0" w:color="auto"/>
          </w:divBdr>
          <w:divsChild>
            <w:div w:id="113595642">
              <w:marLeft w:val="0"/>
              <w:marRight w:val="0"/>
              <w:marTop w:val="0"/>
              <w:marBottom w:val="0"/>
              <w:divBdr>
                <w:top w:val="none" w:sz="0" w:space="0" w:color="auto"/>
                <w:left w:val="none" w:sz="0" w:space="0" w:color="auto"/>
                <w:bottom w:val="none" w:sz="0" w:space="0" w:color="auto"/>
                <w:right w:val="none" w:sz="0" w:space="0" w:color="auto"/>
              </w:divBdr>
            </w:div>
          </w:divsChild>
        </w:div>
        <w:div w:id="434129862">
          <w:marLeft w:val="0"/>
          <w:marRight w:val="0"/>
          <w:marTop w:val="0"/>
          <w:marBottom w:val="0"/>
          <w:divBdr>
            <w:top w:val="none" w:sz="0" w:space="0" w:color="auto"/>
            <w:left w:val="none" w:sz="0" w:space="0" w:color="auto"/>
            <w:bottom w:val="none" w:sz="0" w:space="0" w:color="auto"/>
            <w:right w:val="none" w:sz="0" w:space="0" w:color="auto"/>
          </w:divBdr>
          <w:divsChild>
            <w:div w:id="1766221321">
              <w:marLeft w:val="0"/>
              <w:marRight w:val="0"/>
              <w:marTop w:val="0"/>
              <w:marBottom w:val="0"/>
              <w:divBdr>
                <w:top w:val="none" w:sz="0" w:space="0" w:color="auto"/>
                <w:left w:val="none" w:sz="0" w:space="0" w:color="auto"/>
                <w:bottom w:val="none" w:sz="0" w:space="0" w:color="auto"/>
                <w:right w:val="none" w:sz="0" w:space="0" w:color="auto"/>
              </w:divBdr>
            </w:div>
          </w:divsChild>
        </w:div>
        <w:div w:id="468128381">
          <w:marLeft w:val="0"/>
          <w:marRight w:val="0"/>
          <w:marTop w:val="0"/>
          <w:marBottom w:val="0"/>
          <w:divBdr>
            <w:top w:val="none" w:sz="0" w:space="0" w:color="auto"/>
            <w:left w:val="none" w:sz="0" w:space="0" w:color="auto"/>
            <w:bottom w:val="none" w:sz="0" w:space="0" w:color="auto"/>
            <w:right w:val="none" w:sz="0" w:space="0" w:color="auto"/>
          </w:divBdr>
          <w:divsChild>
            <w:div w:id="776872262">
              <w:marLeft w:val="0"/>
              <w:marRight w:val="0"/>
              <w:marTop w:val="0"/>
              <w:marBottom w:val="0"/>
              <w:divBdr>
                <w:top w:val="none" w:sz="0" w:space="0" w:color="auto"/>
                <w:left w:val="none" w:sz="0" w:space="0" w:color="auto"/>
                <w:bottom w:val="none" w:sz="0" w:space="0" w:color="auto"/>
                <w:right w:val="none" w:sz="0" w:space="0" w:color="auto"/>
              </w:divBdr>
            </w:div>
          </w:divsChild>
        </w:div>
        <w:div w:id="602763098">
          <w:marLeft w:val="0"/>
          <w:marRight w:val="0"/>
          <w:marTop w:val="0"/>
          <w:marBottom w:val="0"/>
          <w:divBdr>
            <w:top w:val="none" w:sz="0" w:space="0" w:color="auto"/>
            <w:left w:val="none" w:sz="0" w:space="0" w:color="auto"/>
            <w:bottom w:val="none" w:sz="0" w:space="0" w:color="auto"/>
            <w:right w:val="none" w:sz="0" w:space="0" w:color="auto"/>
          </w:divBdr>
          <w:divsChild>
            <w:div w:id="1385133515">
              <w:marLeft w:val="0"/>
              <w:marRight w:val="0"/>
              <w:marTop w:val="0"/>
              <w:marBottom w:val="0"/>
              <w:divBdr>
                <w:top w:val="none" w:sz="0" w:space="0" w:color="auto"/>
                <w:left w:val="none" w:sz="0" w:space="0" w:color="auto"/>
                <w:bottom w:val="none" w:sz="0" w:space="0" w:color="auto"/>
                <w:right w:val="none" w:sz="0" w:space="0" w:color="auto"/>
              </w:divBdr>
            </w:div>
          </w:divsChild>
        </w:div>
        <w:div w:id="611210123">
          <w:marLeft w:val="0"/>
          <w:marRight w:val="0"/>
          <w:marTop w:val="0"/>
          <w:marBottom w:val="0"/>
          <w:divBdr>
            <w:top w:val="none" w:sz="0" w:space="0" w:color="auto"/>
            <w:left w:val="none" w:sz="0" w:space="0" w:color="auto"/>
            <w:bottom w:val="none" w:sz="0" w:space="0" w:color="auto"/>
            <w:right w:val="none" w:sz="0" w:space="0" w:color="auto"/>
          </w:divBdr>
          <w:divsChild>
            <w:div w:id="615603054">
              <w:marLeft w:val="0"/>
              <w:marRight w:val="0"/>
              <w:marTop w:val="0"/>
              <w:marBottom w:val="0"/>
              <w:divBdr>
                <w:top w:val="none" w:sz="0" w:space="0" w:color="auto"/>
                <w:left w:val="none" w:sz="0" w:space="0" w:color="auto"/>
                <w:bottom w:val="none" w:sz="0" w:space="0" w:color="auto"/>
                <w:right w:val="none" w:sz="0" w:space="0" w:color="auto"/>
              </w:divBdr>
            </w:div>
          </w:divsChild>
        </w:div>
        <w:div w:id="637341940">
          <w:marLeft w:val="0"/>
          <w:marRight w:val="0"/>
          <w:marTop w:val="0"/>
          <w:marBottom w:val="0"/>
          <w:divBdr>
            <w:top w:val="none" w:sz="0" w:space="0" w:color="auto"/>
            <w:left w:val="none" w:sz="0" w:space="0" w:color="auto"/>
            <w:bottom w:val="none" w:sz="0" w:space="0" w:color="auto"/>
            <w:right w:val="none" w:sz="0" w:space="0" w:color="auto"/>
          </w:divBdr>
          <w:divsChild>
            <w:div w:id="1205019087">
              <w:marLeft w:val="0"/>
              <w:marRight w:val="0"/>
              <w:marTop w:val="0"/>
              <w:marBottom w:val="0"/>
              <w:divBdr>
                <w:top w:val="none" w:sz="0" w:space="0" w:color="auto"/>
                <w:left w:val="none" w:sz="0" w:space="0" w:color="auto"/>
                <w:bottom w:val="none" w:sz="0" w:space="0" w:color="auto"/>
                <w:right w:val="none" w:sz="0" w:space="0" w:color="auto"/>
              </w:divBdr>
            </w:div>
          </w:divsChild>
        </w:div>
        <w:div w:id="724066438">
          <w:marLeft w:val="0"/>
          <w:marRight w:val="0"/>
          <w:marTop w:val="0"/>
          <w:marBottom w:val="0"/>
          <w:divBdr>
            <w:top w:val="none" w:sz="0" w:space="0" w:color="auto"/>
            <w:left w:val="none" w:sz="0" w:space="0" w:color="auto"/>
            <w:bottom w:val="none" w:sz="0" w:space="0" w:color="auto"/>
            <w:right w:val="none" w:sz="0" w:space="0" w:color="auto"/>
          </w:divBdr>
          <w:divsChild>
            <w:div w:id="1788155733">
              <w:marLeft w:val="0"/>
              <w:marRight w:val="0"/>
              <w:marTop w:val="0"/>
              <w:marBottom w:val="0"/>
              <w:divBdr>
                <w:top w:val="none" w:sz="0" w:space="0" w:color="auto"/>
                <w:left w:val="none" w:sz="0" w:space="0" w:color="auto"/>
                <w:bottom w:val="none" w:sz="0" w:space="0" w:color="auto"/>
                <w:right w:val="none" w:sz="0" w:space="0" w:color="auto"/>
              </w:divBdr>
            </w:div>
          </w:divsChild>
        </w:div>
        <w:div w:id="871771985">
          <w:marLeft w:val="0"/>
          <w:marRight w:val="0"/>
          <w:marTop w:val="0"/>
          <w:marBottom w:val="0"/>
          <w:divBdr>
            <w:top w:val="none" w:sz="0" w:space="0" w:color="auto"/>
            <w:left w:val="none" w:sz="0" w:space="0" w:color="auto"/>
            <w:bottom w:val="none" w:sz="0" w:space="0" w:color="auto"/>
            <w:right w:val="none" w:sz="0" w:space="0" w:color="auto"/>
          </w:divBdr>
          <w:divsChild>
            <w:div w:id="663120731">
              <w:marLeft w:val="0"/>
              <w:marRight w:val="0"/>
              <w:marTop w:val="0"/>
              <w:marBottom w:val="0"/>
              <w:divBdr>
                <w:top w:val="none" w:sz="0" w:space="0" w:color="auto"/>
                <w:left w:val="none" w:sz="0" w:space="0" w:color="auto"/>
                <w:bottom w:val="none" w:sz="0" w:space="0" w:color="auto"/>
                <w:right w:val="none" w:sz="0" w:space="0" w:color="auto"/>
              </w:divBdr>
            </w:div>
          </w:divsChild>
        </w:div>
        <w:div w:id="893005382">
          <w:marLeft w:val="0"/>
          <w:marRight w:val="0"/>
          <w:marTop w:val="0"/>
          <w:marBottom w:val="0"/>
          <w:divBdr>
            <w:top w:val="none" w:sz="0" w:space="0" w:color="auto"/>
            <w:left w:val="none" w:sz="0" w:space="0" w:color="auto"/>
            <w:bottom w:val="none" w:sz="0" w:space="0" w:color="auto"/>
            <w:right w:val="none" w:sz="0" w:space="0" w:color="auto"/>
          </w:divBdr>
          <w:divsChild>
            <w:div w:id="537813445">
              <w:marLeft w:val="0"/>
              <w:marRight w:val="0"/>
              <w:marTop w:val="0"/>
              <w:marBottom w:val="0"/>
              <w:divBdr>
                <w:top w:val="none" w:sz="0" w:space="0" w:color="auto"/>
                <w:left w:val="none" w:sz="0" w:space="0" w:color="auto"/>
                <w:bottom w:val="none" w:sz="0" w:space="0" w:color="auto"/>
                <w:right w:val="none" w:sz="0" w:space="0" w:color="auto"/>
              </w:divBdr>
            </w:div>
            <w:div w:id="1722512290">
              <w:marLeft w:val="0"/>
              <w:marRight w:val="0"/>
              <w:marTop w:val="0"/>
              <w:marBottom w:val="0"/>
              <w:divBdr>
                <w:top w:val="none" w:sz="0" w:space="0" w:color="auto"/>
                <w:left w:val="none" w:sz="0" w:space="0" w:color="auto"/>
                <w:bottom w:val="none" w:sz="0" w:space="0" w:color="auto"/>
                <w:right w:val="none" w:sz="0" w:space="0" w:color="auto"/>
              </w:divBdr>
            </w:div>
            <w:div w:id="1975209947">
              <w:marLeft w:val="0"/>
              <w:marRight w:val="0"/>
              <w:marTop w:val="0"/>
              <w:marBottom w:val="0"/>
              <w:divBdr>
                <w:top w:val="none" w:sz="0" w:space="0" w:color="auto"/>
                <w:left w:val="none" w:sz="0" w:space="0" w:color="auto"/>
                <w:bottom w:val="none" w:sz="0" w:space="0" w:color="auto"/>
                <w:right w:val="none" w:sz="0" w:space="0" w:color="auto"/>
              </w:divBdr>
            </w:div>
          </w:divsChild>
        </w:div>
        <w:div w:id="964579752">
          <w:marLeft w:val="0"/>
          <w:marRight w:val="0"/>
          <w:marTop w:val="0"/>
          <w:marBottom w:val="0"/>
          <w:divBdr>
            <w:top w:val="none" w:sz="0" w:space="0" w:color="auto"/>
            <w:left w:val="none" w:sz="0" w:space="0" w:color="auto"/>
            <w:bottom w:val="none" w:sz="0" w:space="0" w:color="auto"/>
            <w:right w:val="none" w:sz="0" w:space="0" w:color="auto"/>
          </w:divBdr>
          <w:divsChild>
            <w:div w:id="1598908198">
              <w:marLeft w:val="0"/>
              <w:marRight w:val="0"/>
              <w:marTop w:val="0"/>
              <w:marBottom w:val="0"/>
              <w:divBdr>
                <w:top w:val="none" w:sz="0" w:space="0" w:color="auto"/>
                <w:left w:val="none" w:sz="0" w:space="0" w:color="auto"/>
                <w:bottom w:val="none" w:sz="0" w:space="0" w:color="auto"/>
                <w:right w:val="none" w:sz="0" w:space="0" w:color="auto"/>
              </w:divBdr>
            </w:div>
          </w:divsChild>
        </w:div>
        <w:div w:id="1003239406">
          <w:marLeft w:val="0"/>
          <w:marRight w:val="0"/>
          <w:marTop w:val="0"/>
          <w:marBottom w:val="0"/>
          <w:divBdr>
            <w:top w:val="none" w:sz="0" w:space="0" w:color="auto"/>
            <w:left w:val="none" w:sz="0" w:space="0" w:color="auto"/>
            <w:bottom w:val="none" w:sz="0" w:space="0" w:color="auto"/>
            <w:right w:val="none" w:sz="0" w:space="0" w:color="auto"/>
          </w:divBdr>
          <w:divsChild>
            <w:div w:id="1052121378">
              <w:marLeft w:val="0"/>
              <w:marRight w:val="0"/>
              <w:marTop w:val="0"/>
              <w:marBottom w:val="0"/>
              <w:divBdr>
                <w:top w:val="none" w:sz="0" w:space="0" w:color="auto"/>
                <w:left w:val="none" w:sz="0" w:space="0" w:color="auto"/>
                <w:bottom w:val="none" w:sz="0" w:space="0" w:color="auto"/>
                <w:right w:val="none" w:sz="0" w:space="0" w:color="auto"/>
              </w:divBdr>
            </w:div>
          </w:divsChild>
        </w:div>
        <w:div w:id="1074619280">
          <w:marLeft w:val="0"/>
          <w:marRight w:val="0"/>
          <w:marTop w:val="0"/>
          <w:marBottom w:val="0"/>
          <w:divBdr>
            <w:top w:val="none" w:sz="0" w:space="0" w:color="auto"/>
            <w:left w:val="none" w:sz="0" w:space="0" w:color="auto"/>
            <w:bottom w:val="none" w:sz="0" w:space="0" w:color="auto"/>
            <w:right w:val="none" w:sz="0" w:space="0" w:color="auto"/>
          </w:divBdr>
          <w:divsChild>
            <w:div w:id="1452745759">
              <w:marLeft w:val="0"/>
              <w:marRight w:val="0"/>
              <w:marTop w:val="0"/>
              <w:marBottom w:val="0"/>
              <w:divBdr>
                <w:top w:val="none" w:sz="0" w:space="0" w:color="auto"/>
                <w:left w:val="none" w:sz="0" w:space="0" w:color="auto"/>
                <w:bottom w:val="none" w:sz="0" w:space="0" w:color="auto"/>
                <w:right w:val="none" w:sz="0" w:space="0" w:color="auto"/>
              </w:divBdr>
            </w:div>
          </w:divsChild>
        </w:div>
        <w:div w:id="1114404527">
          <w:marLeft w:val="0"/>
          <w:marRight w:val="0"/>
          <w:marTop w:val="0"/>
          <w:marBottom w:val="0"/>
          <w:divBdr>
            <w:top w:val="none" w:sz="0" w:space="0" w:color="auto"/>
            <w:left w:val="none" w:sz="0" w:space="0" w:color="auto"/>
            <w:bottom w:val="none" w:sz="0" w:space="0" w:color="auto"/>
            <w:right w:val="none" w:sz="0" w:space="0" w:color="auto"/>
          </w:divBdr>
          <w:divsChild>
            <w:div w:id="582498390">
              <w:marLeft w:val="0"/>
              <w:marRight w:val="0"/>
              <w:marTop w:val="0"/>
              <w:marBottom w:val="0"/>
              <w:divBdr>
                <w:top w:val="none" w:sz="0" w:space="0" w:color="auto"/>
                <w:left w:val="none" w:sz="0" w:space="0" w:color="auto"/>
                <w:bottom w:val="none" w:sz="0" w:space="0" w:color="auto"/>
                <w:right w:val="none" w:sz="0" w:space="0" w:color="auto"/>
              </w:divBdr>
            </w:div>
          </w:divsChild>
        </w:div>
        <w:div w:id="1235160231">
          <w:marLeft w:val="0"/>
          <w:marRight w:val="0"/>
          <w:marTop w:val="0"/>
          <w:marBottom w:val="0"/>
          <w:divBdr>
            <w:top w:val="none" w:sz="0" w:space="0" w:color="auto"/>
            <w:left w:val="none" w:sz="0" w:space="0" w:color="auto"/>
            <w:bottom w:val="none" w:sz="0" w:space="0" w:color="auto"/>
            <w:right w:val="none" w:sz="0" w:space="0" w:color="auto"/>
          </w:divBdr>
          <w:divsChild>
            <w:div w:id="881867165">
              <w:marLeft w:val="0"/>
              <w:marRight w:val="0"/>
              <w:marTop w:val="0"/>
              <w:marBottom w:val="0"/>
              <w:divBdr>
                <w:top w:val="none" w:sz="0" w:space="0" w:color="auto"/>
                <w:left w:val="none" w:sz="0" w:space="0" w:color="auto"/>
                <w:bottom w:val="none" w:sz="0" w:space="0" w:color="auto"/>
                <w:right w:val="none" w:sz="0" w:space="0" w:color="auto"/>
              </w:divBdr>
            </w:div>
          </w:divsChild>
        </w:div>
        <w:div w:id="1389064499">
          <w:marLeft w:val="0"/>
          <w:marRight w:val="0"/>
          <w:marTop w:val="0"/>
          <w:marBottom w:val="0"/>
          <w:divBdr>
            <w:top w:val="none" w:sz="0" w:space="0" w:color="auto"/>
            <w:left w:val="none" w:sz="0" w:space="0" w:color="auto"/>
            <w:bottom w:val="none" w:sz="0" w:space="0" w:color="auto"/>
            <w:right w:val="none" w:sz="0" w:space="0" w:color="auto"/>
          </w:divBdr>
          <w:divsChild>
            <w:div w:id="1938173093">
              <w:marLeft w:val="0"/>
              <w:marRight w:val="0"/>
              <w:marTop w:val="0"/>
              <w:marBottom w:val="0"/>
              <w:divBdr>
                <w:top w:val="none" w:sz="0" w:space="0" w:color="auto"/>
                <w:left w:val="none" w:sz="0" w:space="0" w:color="auto"/>
                <w:bottom w:val="none" w:sz="0" w:space="0" w:color="auto"/>
                <w:right w:val="none" w:sz="0" w:space="0" w:color="auto"/>
              </w:divBdr>
            </w:div>
          </w:divsChild>
        </w:div>
        <w:div w:id="1401368284">
          <w:marLeft w:val="0"/>
          <w:marRight w:val="0"/>
          <w:marTop w:val="0"/>
          <w:marBottom w:val="0"/>
          <w:divBdr>
            <w:top w:val="none" w:sz="0" w:space="0" w:color="auto"/>
            <w:left w:val="none" w:sz="0" w:space="0" w:color="auto"/>
            <w:bottom w:val="none" w:sz="0" w:space="0" w:color="auto"/>
            <w:right w:val="none" w:sz="0" w:space="0" w:color="auto"/>
          </w:divBdr>
          <w:divsChild>
            <w:div w:id="1292595337">
              <w:marLeft w:val="0"/>
              <w:marRight w:val="0"/>
              <w:marTop w:val="0"/>
              <w:marBottom w:val="0"/>
              <w:divBdr>
                <w:top w:val="none" w:sz="0" w:space="0" w:color="auto"/>
                <w:left w:val="none" w:sz="0" w:space="0" w:color="auto"/>
                <w:bottom w:val="none" w:sz="0" w:space="0" w:color="auto"/>
                <w:right w:val="none" w:sz="0" w:space="0" w:color="auto"/>
              </w:divBdr>
            </w:div>
          </w:divsChild>
        </w:div>
        <w:div w:id="1439445728">
          <w:marLeft w:val="0"/>
          <w:marRight w:val="0"/>
          <w:marTop w:val="0"/>
          <w:marBottom w:val="0"/>
          <w:divBdr>
            <w:top w:val="none" w:sz="0" w:space="0" w:color="auto"/>
            <w:left w:val="none" w:sz="0" w:space="0" w:color="auto"/>
            <w:bottom w:val="none" w:sz="0" w:space="0" w:color="auto"/>
            <w:right w:val="none" w:sz="0" w:space="0" w:color="auto"/>
          </w:divBdr>
          <w:divsChild>
            <w:div w:id="1654875369">
              <w:marLeft w:val="0"/>
              <w:marRight w:val="0"/>
              <w:marTop w:val="0"/>
              <w:marBottom w:val="0"/>
              <w:divBdr>
                <w:top w:val="none" w:sz="0" w:space="0" w:color="auto"/>
                <w:left w:val="none" w:sz="0" w:space="0" w:color="auto"/>
                <w:bottom w:val="none" w:sz="0" w:space="0" w:color="auto"/>
                <w:right w:val="none" w:sz="0" w:space="0" w:color="auto"/>
              </w:divBdr>
            </w:div>
          </w:divsChild>
        </w:div>
        <w:div w:id="1593733072">
          <w:marLeft w:val="0"/>
          <w:marRight w:val="0"/>
          <w:marTop w:val="0"/>
          <w:marBottom w:val="0"/>
          <w:divBdr>
            <w:top w:val="none" w:sz="0" w:space="0" w:color="auto"/>
            <w:left w:val="none" w:sz="0" w:space="0" w:color="auto"/>
            <w:bottom w:val="none" w:sz="0" w:space="0" w:color="auto"/>
            <w:right w:val="none" w:sz="0" w:space="0" w:color="auto"/>
          </w:divBdr>
          <w:divsChild>
            <w:div w:id="1574241009">
              <w:marLeft w:val="0"/>
              <w:marRight w:val="0"/>
              <w:marTop w:val="0"/>
              <w:marBottom w:val="0"/>
              <w:divBdr>
                <w:top w:val="none" w:sz="0" w:space="0" w:color="auto"/>
                <w:left w:val="none" w:sz="0" w:space="0" w:color="auto"/>
                <w:bottom w:val="none" w:sz="0" w:space="0" w:color="auto"/>
                <w:right w:val="none" w:sz="0" w:space="0" w:color="auto"/>
              </w:divBdr>
            </w:div>
          </w:divsChild>
        </w:div>
        <w:div w:id="1696299084">
          <w:marLeft w:val="0"/>
          <w:marRight w:val="0"/>
          <w:marTop w:val="0"/>
          <w:marBottom w:val="0"/>
          <w:divBdr>
            <w:top w:val="none" w:sz="0" w:space="0" w:color="auto"/>
            <w:left w:val="none" w:sz="0" w:space="0" w:color="auto"/>
            <w:bottom w:val="none" w:sz="0" w:space="0" w:color="auto"/>
            <w:right w:val="none" w:sz="0" w:space="0" w:color="auto"/>
          </w:divBdr>
          <w:divsChild>
            <w:div w:id="1004552503">
              <w:marLeft w:val="0"/>
              <w:marRight w:val="0"/>
              <w:marTop w:val="0"/>
              <w:marBottom w:val="0"/>
              <w:divBdr>
                <w:top w:val="none" w:sz="0" w:space="0" w:color="auto"/>
                <w:left w:val="none" w:sz="0" w:space="0" w:color="auto"/>
                <w:bottom w:val="none" w:sz="0" w:space="0" w:color="auto"/>
                <w:right w:val="none" w:sz="0" w:space="0" w:color="auto"/>
              </w:divBdr>
            </w:div>
          </w:divsChild>
        </w:div>
        <w:div w:id="1873029933">
          <w:marLeft w:val="0"/>
          <w:marRight w:val="0"/>
          <w:marTop w:val="0"/>
          <w:marBottom w:val="0"/>
          <w:divBdr>
            <w:top w:val="none" w:sz="0" w:space="0" w:color="auto"/>
            <w:left w:val="none" w:sz="0" w:space="0" w:color="auto"/>
            <w:bottom w:val="none" w:sz="0" w:space="0" w:color="auto"/>
            <w:right w:val="none" w:sz="0" w:space="0" w:color="auto"/>
          </w:divBdr>
          <w:divsChild>
            <w:div w:id="1282540153">
              <w:marLeft w:val="0"/>
              <w:marRight w:val="0"/>
              <w:marTop w:val="0"/>
              <w:marBottom w:val="0"/>
              <w:divBdr>
                <w:top w:val="none" w:sz="0" w:space="0" w:color="auto"/>
                <w:left w:val="none" w:sz="0" w:space="0" w:color="auto"/>
                <w:bottom w:val="none" w:sz="0" w:space="0" w:color="auto"/>
                <w:right w:val="none" w:sz="0" w:space="0" w:color="auto"/>
              </w:divBdr>
            </w:div>
          </w:divsChild>
        </w:div>
        <w:div w:id="1875071316">
          <w:marLeft w:val="0"/>
          <w:marRight w:val="0"/>
          <w:marTop w:val="0"/>
          <w:marBottom w:val="0"/>
          <w:divBdr>
            <w:top w:val="none" w:sz="0" w:space="0" w:color="auto"/>
            <w:left w:val="none" w:sz="0" w:space="0" w:color="auto"/>
            <w:bottom w:val="none" w:sz="0" w:space="0" w:color="auto"/>
            <w:right w:val="none" w:sz="0" w:space="0" w:color="auto"/>
          </w:divBdr>
          <w:divsChild>
            <w:div w:id="821967846">
              <w:marLeft w:val="0"/>
              <w:marRight w:val="0"/>
              <w:marTop w:val="0"/>
              <w:marBottom w:val="0"/>
              <w:divBdr>
                <w:top w:val="none" w:sz="0" w:space="0" w:color="auto"/>
                <w:left w:val="none" w:sz="0" w:space="0" w:color="auto"/>
                <w:bottom w:val="none" w:sz="0" w:space="0" w:color="auto"/>
                <w:right w:val="none" w:sz="0" w:space="0" w:color="auto"/>
              </w:divBdr>
            </w:div>
          </w:divsChild>
        </w:div>
        <w:div w:id="1884949234">
          <w:marLeft w:val="0"/>
          <w:marRight w:val="0"/>
          <w:marTop w:val="0"/>
          <w:marBottom w:val="0"/>
          <w:divBdr>
            <w:top w:val="none" w:sz="0" w:space="0" w:color="auto"/>
            <w:left w:val="none" w:sz="0" w:space="0" w:color="auto"/>
            <w:bottom w:val="none" w:sz="0" w:space="0" w:color="auto"/>
            <w:right w:val="none" w:sz="0" w:space="0" w:color="auto"/>
          </w:divBdr>
          <w:divsChild>
            <w:div w:id="303433124">
              <w:marLeft w:val="0"/>
              <w:marRight w:val="0"/>
              <w:marTop w:val="0"/>
              <w:marBottom w:val="0"/>
              <w:divBdr>
                <w:top w:val="none" w:sz="0" w:space="0" w:color="auto"/>
                <w:left w:val="none" w:sz="0" w:space="0" w:color="auto"/>
                <w:bottom w:val="none" w:sz="0" w:space="0" w:color="auto"/>
                <w:right w:val="none" w:sz="0" w:space="0" w:color="auto"/>
              </w:divBdr>
            </w:div>
          </w:divsChild>
        </w:div>
        <w:div w:id="1976522261">
          <w:marLeft w:val="0"/>
          <w:marRight w:val="0"/>
          <w:marTop w:val="0"/>
          <w:marBottom w:val="0"/>
          <w:divBdr>
            <w:top w:val="none" w:sz="0" w:space="0" w:color="auto"/>
            <w:left w:val="none" w:sz="0" w:space="0" w:color="auto"/>
            <w:bottom w:val="none" w:sz="0" w:space="0" w:color="auto"/>
            <w:right w:val="none" w:sz="0" w:space="0" w:color="auto"/>
          </w:divBdr>
          <w:divsChild>
            <w:div w:id="1587958523">
              <w:marLeft w:val="0"/>
              <w:marRight w:val="0"/>
              <w:marTop w:val="0"/>
              <w:marBottom w:val="0"/>
              <w:divBdr>
                <w:top w:val="none" w:sz="0" w:space="0" w:color="auto"/>
                <w:left w:val="none" w:sz="0" w:space="0" w:color="auto"/>
                <w:bottom w:val="none" w:sz="0" w:space="0" w:color="auto"/>
                <w:right w:val="none" w:sz="0" w:space="0" w:color="auto"/>
              </w:divBdr>
            </w:div>
          </w:divsChild>
        </w:div>
        <w:div w:id="2036885959">
          <w:marLeft w:val="0"/>
          <w:marRight w:val="0"/>
          <w:marTop w:val="0"/>
          <w:marBottom w:val="0"/>
          <w:divBdr>
            <w:top w:val="none" w:sz="0" w:space="0" w:color="auto"/>
            <w:left w:val="none" w:sz="0" w:space="0" w:color="auto"/>
            <w:bottom w:val="none" w:sz="0" w:space="0" w:color="auto"/>
            <w:right w:val="none" w:sz="0" w:space="0" w:color="auto"/>
          </w:divBdr>
          <w:divsChild>
            <w:div w:id="665668226">
              <w:marLeft w:val="0"/>
              <w:marRight w:val="0"/>
              <w:marTop w:val="0"/>
              <w:marBottom w:val="0"/>
              <w:divBdr>
                <w:top w:val="none" w:sz="0" w:space="0" w:color="auto"/>
                <w:left w:val="none" w:sz="0" w:space="0" w:color="auto"/>
                <w:bottom w:val="none" w:sz="0" w:space="0" w:color="auto"/>
                <w:right w:val="none" w:sz="0" w:space="0" w:color="auto"/>
              </w:divBdr>
            </w:div>
          </w:divsChild>
        </w:div>
        <w:div w:id="2120442892">
          <w:marLeft w:val="0"/>
          <w:marRight w:val="0"/>
          <w:marTop w:val="0"/>
          <w:marBottom w:val="0"/>
          <w:divBdr>
            <w:top w:val="none" w:sz="0" w:space="0" w:color="auto"/>
            <w:left w:val="none" w:sz="0" w:space="0" w:color="auto"/>
            <w:bottom w:val="none" w:sz="0" w:space="0" w:color="auto"/>
            <w:right w:val="none" w:sz="0" w:space="0" w:color="auto"/>
          </w:divBdr>
          <w:divsChild>
            <w:div w:id="300888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4981339">
      <w:bodyDiv w:val="1"/>
      <w:marLeft w:val="0"/>
      <w:marRight w:val="0"/>
      <w:marTop w:val="0"/>
      <w:marBottom w:val="0"/>
      <w:divBdr>
        <w:top w:val="none" w:sz="0" w:space="0" w:color="auto"/>
        <w:left w:val="none" w:sz="0" w:space="0" w:color="auto"/>
        <w:bottom w:val="none" w:sz="0" w:space="0" w:color="auto"/>
        <w:right w:val="none" w:sz="0" w:space="0" w:color="auto"/>
      </w:divBdr>
    </w:div>
    <w:div w:id="431895335">
      <w:bodyDiv w:val="1"/>
      <w:marLeft w:val="0"/>
      <w:marRight w:val="0"/>
      <w:marTop w:val="0"/>
      <w:marBottom w:val="0"/>
      <w:divBdr>
        <w:top w:val="none" w:sz="0" w:space="0" w:color="auto"/>
        <w:left w:val="none" w:sz="0" w:space="0" w:color="auto"/>
        <w:bottom w:val="none" w:sz="0" w:space="0" w:color="auto"/>
        <w:right w:val="none" w:sz="0" w:space="0" w:color="auto"/>
      </w:divBdr>
      <w:divsChild>
        <w:div w:id="475338069">
          <w:marLeft w:val="0"/>
          <w:marRight w:val="0"/>
          <w:marTop w:val="0"/>
          <w:marBottom w:val="0"/>
          <w:divBdr>
            <w:top w:val="none" w:sz="0" w:space="0" w:color="auto"/>
            <w:left w:val="none" w:sz="0" w:space="0" w:color="auto"/>
            <w:bottom w:val="none" w:sz="0" w:space="0" w:color="auto"/>
            <w:right w:val="none" w:sz="0" w:space="0" w:color="auto"/>
          </w:divBdr>
        </w:div>
        <w:div w:id="658340999">
          <w:marLeft w:val="0"/>
          <w:marRight w:val="0"/>
          <w:marTop w:val="0"/>
          <w:marBottom w:val="0"/>
          <w:divBdr>
            <w:top w:val="none" w:sz="0" w:space="0" w:color="auto"/>
            <w:left w:val="none" w:sz="0" w:space="0" w:color="auto"/>
            <w:bottom w:val="none" w:sz="0" w:space="0" w:color="auto"/>
            <w:right w:val="none" w:sz="0" w:space="0" w:color="auto"/>
          </w:divBdr>
        </w:div>
        <w:div w:id="674915904">
          <w:marLeft w:val="0"/>
          <w:marRight w:val="0"/>
          <w:marTop w:val="0"/>
          <w:marBottom w:val="0"/>
          <w:divBdr>
            <w:top w:val="none" w:sz="0" w:space="0" w:color="auto"/>
            <w:left w:val="none" w:sz="0" w:space="0" w:color="auto"/>
            <w:bottom w:val="none" w:sz="0" w:space="0" w:color="auto"/>
            <w:right w:val="none" w:sz="0" w:space="0" w:color="auto"/>
          </w:divBdr>
          <w:divsChild>
            <w:div w:id="414591564">
              <w:marLeft w:val="-75"/>
              <w:marRight w:val="0"/>
              <w:marTop w:val="30"/>
              <w:marBottom w:val="30"/>
              <w:divBdr>
                <w:top w:val="none" w:sz="0" w:space="0" w:color="auto"/>
                <w:left w:val="none" w:sz="0" w:space="0" w:color="auto"/>
                <w:bottom w:val="none" w:sz="0" w:space="0" w:color="auto"/>
                <w:right w:val="none" w:sz="0" w:space="0" w:color="auto"/>
              </w:divBdr>
              <w:divsChild>
                <w:div w:id="17583190">
                  <w:marLeft w:val="0"/>
                  <w:marRight w:val="0"/>
                  <w:marTop w:val="0"/>
                  <w:marBottom w:val="0"/>
                  <w:divBdr>
                    <w:top w:val="none" w:sz="0" w:space="0" w:color="auto"/>
                    <w:left w:val="none" w:sz="0" w:space="0" w:color="auto"/>
                    <w:bottom w:val="none" w:sz="0" w:space="0" w:color="auto"/>
                    <w:right w:val="none" w:sz="0" w:space="0" w:color="auto"/>
                  </w:divBdr>
                  <w:divsChild>
                    <w:div w:id="1850486694">
                      <w:marLeft w:val="0"/>
                      <w:marRight w:val="0"/>
                      <w:marTop w:val="0"/>
                      <w:marBottom w:val="0"/>
                      <w:divBdr>
                        <w:top w:val="none" w:sz="0" w:space="0" w:color="auto"/>
                        <w:left w:val="none" w:sz="0" w:space="0" w:color="auto"/>
                        <w:bottom w:val="none" w:sz="0" w:space="0" w:color="auto"/>
                        <w:right w:val="none" w:sz="0" w:space="0" w:color="auto"/>
                      </w:divBdr>
                    </w:div>
                  </w:divsChild>
                </w:div>
                <w:div w:id="67119494">
                  <w:marLeft w:val="0"/>
                  <w:marRight w:val="0"/>
                  <w:marTop w:val="0"/>
                  <w:marBottom w:val="0"/>
                  <w:divBdr>
                    <w:top w:val="none" w:sz="0" w:space="0" w:color="auto"/>
                    <w:left w:val="none" w:sz="0" w:space="0" w:color="auto"/>
                    <w:bottom w:val="none" w:sz="0" w:space="0" w:color="auto"/>
                    <w:right w:val="none" w:sz="0" w:space="0" w:color="auto"/>
                  </w:divBdr>
                  <w:divsChild>
                    <w:div w:id="1087650213">
                      <w:marLeft w:val="0"/>
                      <w:marRight w:val="0"/>
                      <w:marTop w:val="0"/>
                      <w:marBottom w:val="0"/>
                      <w:divBdr>
                        <w:top w:val="none" w:sz="0" w:space="0" w:color="auto"/>
                        <w:left w:val="none" w:sz="0" w:space="0" w:color="auto"/>
                        <w:bottom w:val="none" w:sz="0" w:space="0" w:color="auto"/>
                        <w:right w:val="none" w:sz="0" w:space="0" w:color="auto"/>
                      </w:divBdr>
                    </w:div>
                  </w:divsChild>
                </w:div>
                <w:div w:id="96102418">
                  <w:marLeft w:val="0"/>
                  <w:marRight w:val="0"/>
                  <w:marTop w:val="0"/>
                  <w:marBottom w:val="0"/>
                  <w:divBdr>
                    <w:top w:val="none" w:sz="0" w:space="0" w:color="auto"/>
                    <w:left w:val="none" w:sz="0" w:space="0" w:color="auto"/>
                    <w:bottom w:val="none" w:sz="0" w:space="0" w:color="auto"/>
                    <w:right w:val="none" w:sz="0" w:space="0" w:color="auto"/>
                  </w:divBdr>
                  <w:divsChild>
                    <w:div w:id="1153444270">
                      <w:marLeft w:val="0"/>
                      <w:marRight w:val="0"/>
                      <w:marTop w:val="0"/>
                      <w:marBottom w:val="0"/>
                      <w:divBdr>
                        <w:top w:val="none" w:sz="0" w:space="0" w:color="auto"/>
                        <w:left w:val="none" w:sz="0" w:space="0" w:color="auto"/>
                        <w:bottom w:val="none" w:sz="0" w:space="0" w:color="auto"/>
                        <w:right w:val="none" w:sz="0" w:space="0" w:color="auto"/>
                      </w:divBdr>
                    </w:div>
                  </w:divsChild>
                </w:div>
                <w:div w:id="98111995">
                  <w:marLeft w:val="0"/>
                  <w:marRight w:val="0"/>
                  <w:marTop w:val="0"/>
                  <w:marBottom w:val="0"/>
                  <w:divBdr>
                    <w:top w:val="none" w:sz="0" w:space="0" w:color="auto"/>
                    <w:left w:val="none" w:sz="0" w:space="0" w:color="auto"/>
                    <w:bottom w:val="none" w:sz="0" w:space="0" w:color="auto"/>
                    <w:right w:val="none" w:sz="0" w:space="0" w:color="auto"/>
                  </w:divBdr>
                  <w:divsChild>
                    <w:div w:id="1800756454">
                      <w:marLeft w:val="0"/>
                      <w:marRight w:val="0"/>
                      <w:marTop w:val="0"/>
                      <w:marBottom w:val="0"/>
                      <w:divBdr>
                        <w:top w:val="none" w:sz="0" w:space="0" w:color="auto"/>
                        <w:left w:val="none" w:sz="0" w:space="0" w:color="auto"/>
                        <w:bottom w:val="none" w:sz="0" w:space="0" w:color="auto"/>
                        <w:right w:val="none" w:sz="0" w:space="0" w:color="auto"/>
                      </w:divBdr>
                    </w:div>
                  </w:divsChild>
                </w:div>
                <w:div w:id="139612537">
                  <w:marLeft w:val="0"/>
                  <w:marRight w:val="0"/>
                  <w:marTop w:val="0"/>
                  <w:marBottom w:val="0"/>
                  <w:divBdr>
                    <w:top w:val="none" w:sz="0" w:space="0" w:color="auto"/>
                    <w:left w:val="none" w:sz="0" w:space="0" w:color="auto"/>
                    <w:bottom w:val="none" w:sz="0" w:space="0" w:color="auto"/>
                    <w:right w:val="none" w:sz="0" w:space="0" w:color="auto"/>
                  </w:divBdr>
                  <w:divsChild>
                    <w:div w:id="877007653">
                      <w:marLeft w:val="0"/>
                      <w:marRight w:val="0"/>
                      <w:marTop w:val="0"/>
                      <w:marBottom w:val="0"/>
                      <w:divBdr>
                        <w:top w:val="none" w:sz="0" w:space="0" w:color="auto"/>
                        <w:left w:val="none" w:sz="0" w:space="0" w:color="auto"/>
                        <w:bottom w:val="none" w:sz="0" w:space="0" w:color="auto"/>
                        <w:right w:val="none" w:sz="0" w:space="0" w:color="auto"/>
                      </w:divBdr>
                    </w:div>
                  </w:divsChild>
                </w:div>
                <w:div w:id="153105789">
                  <w:marLeft w:val="0"/>
                  <w:marRight w:val="0"/>
                  <w:marTop w:val="0"/>
                  <w:marBottom w:val="0"/>
                  <w:divBdr>
                    <w:top w:val="none" w:sz="0" w:space="0" w:color="auto"/>
                    <w:left w:val="none" w:sz="0" w:space="0" w:color="auto"/>
                    <w:bottom w:val="none" w:sz="0" w:space="0" w:color="auto"/>
                    <w:right w:val="none" w:sz="0" w:space="0" w:color="auto"/>
                  </w:divBdr>
                  <w:divsChild>
                    <w:div w:id="745035806">
                      <w:marLeft w:val="0"/>
                      <w:marRight w:val="0"/>
                      <w:marTop w:val="0"/>
                      <w:marBottom w:val="0"/>
                      <w:divBdr>
                        <w:top w:val="none" w:sz="0" w:space="0" w:color="auto"/>
                        <w:left w:val="none" w:sz="0" w:space="0" w:color="auto"/>
                        <w:bottom w:val="none" w:sz="0" w:space="0" w:color="auto"/>
                        <w:right w:val="none" w:sz="0" w:space="0" w:color="auto"/>
                      </w:divBdr>
                    </w:div>
                  </w:divsChild>
                </w:div>
                <w:div w:id="162280528">
                  <w:marLeft w:val="0"/>
                  <w:marRight w:val="0"/>
                  <w:marTop w:val="0"/>
                  <w:marBottom w:val="0"/>
                  <w:divBdr>
                    <w:top w:val="none" w:sz="0" w:space="0" w:color="auto"/>
                    <w:left w:val="none" w:sz="0" w:space="0" w:color="auto"/>
                    <w:bottom w:val="none" w:sz="0" w:space="0" w:color="auto"/>
                    <w:right w:val="none" w:sz="0" w:space="0" w:color="auto"/>
                  </w:divBdr>
                  <w:divsChild>
                    <w:div w:id="1207520442">
                      <w:marLeft w:val="0"/>
                      <w:marRight w:val="0"/>
                      <w:marTop w:val="0"/>
                      <w:marBottom w:val="0"/>
                      <w:divBdr>
                        <w:top w:val="none" w:sz="0" w:space="0" w:color="auto"/>
                        <w:left w:val="none" w:sz="0" w:space="0" w:color="auto"/>
                        <w:bottom w:val="none" w:sz="0" w:space="0" w:color="auto"/>
                        <w:right w:val="none" w:sz="0" w:space="0" w:color="auto"/>
                      </w:divBdr>
                    </w:div>
                  </w:divsChild>
                </w:div>
                <w:div w:id="208152560">
                  <w:marLeft w:val="0"/>
                  <w:marRight w:val="0"/>
                  <w:marTop w:val="0"/>
                  <w:marBottom w:val="0"/>
                  <w:divBdr>
                    <w:top w:val="none" w:sz="0" w:space="0" w:color="auto"/>
                    <w:left w:val="none" w:sz="0" w:space="0" w:color="auto"/>
                    <w:bottom w:val="none" w:sz="0" w:space="0" w:color="auto"/>
                    <w:right w:val="none" w:sz="0" w:space="0" w:color="auto"/>
                  </w:divBdr>
                  <w:divsChild>
                    <w:div w:id="872578734">
                      <w:marLeft w:val="0"/>
                      <w:marRight w:val="0"/>
                      <w:marTop w:val="0"/>
                      <w:marBottom w:val="0"/>
                      <w:divBdr>
                        <w:top w:val="none" w:sz="0" w:space="0" w:color="auto"/>
                        <w:left w:val="none" w:sz="0" w:space="0" w:color="auto"/>
                        <w:bottom w:val="none" w:sz="0" w:space="0" w:color="auto"/>
                        <w:right w:val="none" w:sz="0" w:space="0" w:color="auto"/>
                      </w:divBdr>
                    </w:div>
                  </w:divsChild>
                </w:div>
                <w:div w:id="220479981">
                  <w:marLeft w:val="0"/>
                  <w:marRight w:val="0"/>
                  <w:marTop w:val="0"/>
                  <w:marBottom w:val="0"/>
                  <w:divBdr>
                    <w:top w:val="none" w:sz="0" w:space="0" w:color="auto"/>
                    <w:left w:val="none" w:sz="0" w:space="0" w:color="auto"/>
                    <w:bottom w:val="none" w:sz="0" w:space="0" w:color="auto"/>
                    <w:right w:val="none" w:sz="0" w:space="0" w:color="auto"/>
                  </w:divBdr>
                  <w:divsChild>
                    <w:div w:id="363361599">
                      <w:marLeft w:val="0"/>
                      <w:marRight w:val="0"/>
                      <w:marTop w:val="0"/>
                      <w:marBottom w:val="0"/>
                      <w:divBdr>
                        <w:top w:val="none" w:sz="0" w:space="0" w:color="auto"/>
                        <w:left w:val="none" w:sz="0" w:space="0" w:color="auto"/>
                        <w:bottom w:val="none" w:sz="0" w:space="0" w:color="auto"/>
                        <w:right w:val="none" w:sz="0" w:space="0" w:color="auto"/>
                      </w:divBdr>
                    </w:div>
                  </w:divsChild>
                </w:div>
                <w:div w:id="228811428">
                  <w:marLeft w:val="0"/>
                  <w:marRight w:val="0"/>
                  <w:marTop w:val="0"/>
                  <w:marBottom w:val="0"/>
                  <w:divBdr>
                    <w:top w:val="none" w:sz="0" w:space="0" w:color="auto"/>
                    <w:left w:val="none" w:sz="0" w:space="0" w:color="auto"/>
                    <w:bottom w:val="none" w:sz="0" w:space="0" w:color="auto"/>
                    <w:right w:val="none" w:sz="0" w:space="0" w:color="auto"/>
                  </w:divBdr>
                  <w:divsChild>
                    <w:div w:id="1512380701">
                      <w:marLeft w:val="0"/>
                      <w:marRight w:val="0"/>
                      <w:marTop w:val="0"/>
                      <w:marBottom w:val="0"/>
                      <w:divBdr>
                        <w:top w:val="none" w:sz="0" w:space="0" w:color="auto"/>
                        <w:left w:val="none" w:sz="0" w:space="0" w:color="auto"/>
                        <w:bottom w:val="none" w:sz="0" w:space="0" w:color="auto"/>
                        <w:right w:val="none" w:sz="0" w:space="0" w:color="auto"/>
                      </w:divBdr>
                    </w:div>
                  </w:divsChild>
                </w:div>
                <w:div w:id="306401349">
                  <w:marLeft w:val="0"/>
                  <w:marRight w:val="0"/>
                  <w:marTop w:val="0"/>
                  <w:marBottom w:val="0"/>
                  <w:divBdr>
                    <w:top w:val="none" w:sz="0" w:space="0" w:color="auto"/>
                    <w:left w:val="none" w:sz="0" w:space="0" w:color="auto"/>
                    <w:bottom w:val="none" w:sz="0" w:space="0" w:color="auto"/>
                    <w:right w:val="none" w:sz="0" w:space="0" w:color="auto"/>
                  </w:divBdr>
                  <w:divsChild>
                    <w:div w:id="1789426100">
                      <w:marLeft w:val="0"/>
                      <w:marRight w:val="0"/>
                      <w:marTop w:val="0"/>
                      <w:marBottom w:val="0"/>
                      <w:divBdr>
                        <w:top w:val="none" w:sz="0" w:space="0" w:color="auto"/>
                        <w:left w:val="none" w:sz="0" w:space="0" w:color="auto"/>
                        <w:bottom w:val="none" w:sz="0" w:space="0" w:color="auto"/>
                        <w:right w:val="none" w:sz="0" w:space="0" w:color="auto"/>
                      </w:divBdr>
                    </w:div>
                  </w:divsChild>
                </w:div>
                <w:div w:id="307706801">
                  <w:marLeft w:val="0"/>
                  <w:marRight w:val="0"/>
                  <w:marTop w:val="0"/>
                  <w:marBottom w:val="0"/>
                  <w:divBdr>
                    <w:top w:val="none" w:sz="0" w:space="0" w:color="auto"/>
                    <w:left w:val="none" w:sz="0" w:space="0" w:color="auto"/>
                    <w:bottom w:val="none" w:sz="0" w:space="0" w:color="auto"/>
                    <w:right w:val="none" w:sz="0" w:space="0" w:color="auto"/>
                  </w:divBdr>
                  <w:divsChild>
                    <w:div w:id="1703556313">
                      <w:marLeft w:val="0"/>
                      <w:marRight w:val="0"/>
                      <w:marTop w:val="0"/>
                      <w:marBottom w:val="0"/>
                      <w:divBdr>
                        <w:top w:val="none" w:sz="0" w:space="0" w:color="auto"/>
                        <w:left w:val="none" w:sz="0" w:space="0" w:color="auto"/>
                        <w:bottom w:val="none" w:sz="0" w:space="0" w:color="auto"/>
                        <w:right w:val="none" w:sz="0" w:space="0" w:color="auto"/>
                      </w:divBdr>
                    </w:div>
                  </w:divsChild>
                </w:div>
                <w:div w:id="311637871">
                  <w:marLeft w:val="0"/>
                  <w:marRight w:val="0"/>
                  <w:marTop w:val="0"/>
                  <w:marBottom w:val="0"/>
                  <w:divBdr>
                    <w:top w:val="none" w:sz="0" w:space="0" w:color="auto"/>
                    <w:left w:val="none" w:sz="0" w:space="0" w:color="auto"/>
                    <w:bottom w:val="none" w:sz="0" w:space="0" w:color="auto"/>
                    <w:right w:val="none" w:sz="0" w:space="0" w:color="auto"/>
                  </w:divBdr>
                  <w:divsChild>
                    <w:div w:id="979845802">
                      <w:marLeft w:val="0"/>
                      <w:marRight w:val="0"/>
                      <w:marTop w:val="0"/>
                      <w:marBottom w:val="0"/>
                      <w:divBdr>
                        <w:top w:val="none" w:sz="0" w:space="0" w:color="auto"/>
                        <w:left w:val="none" w:sz="0" w:space="0" w:color="auto"/>
                        <w:bottom w:val="none" w:sz="0" w:space="0" w:color="auto"/>
                        <w:right w:val="none" w:sz="0" w:space="0" w:color="auto"/>
                      </w:divBdr>
                    </w:div>
                  </w:divsChild>
                </w:div>
                <w:div w:id="394738778">
                  <w:marLeft w:val="0"/>
                  <w:marRight w:val="0"/>
                  <w:marTop w:val="0"/>
                  <w:marBottom w:val="0"/>
                  <w:divBdr>
                    <w:top w:val="none" w:sz="0" w:space="0" w:color="auto"/>
                    <w:left w:val="none" w:sz="0" w:space="0" w:color="auto"/>
                    <w:bottom w:val="none" w:sz="0" w:space="0" w:color="auto"/>
                    <w:right w:val="none" w:sz="0" w:space="0" w:color="auto"/>
                  </w:divBdr>
                  <w:divsChild>
                    <w:div w:id="874587766">
                      <w:marLeft w:val="0"/>
                      <w:marRight w:val="0"/>
                      <w:marTop w:val="0"/>
                      <w:marBottom w:val="0"/>
                      <w:divBdr>
                        <w:top w:val="none" w:sz="0" w:space="0" w:color="auto"/>
                        <w:left w:val="none" w:sz="0" w:space="0" w:color="auto"/>
                        <w:bottom w:val="none" w:sz="0" w:space="0" w:color="auto"/>
                        <w:right w:val="none" w:sz="0" w:space="0" w:color="auto"/>
                      </w:divBdr>
                    </w:div>
                  </w:divsChild>
                </w:div>
                <w:div w:id="410081849">
                  <w:marLeft w:val="0"/>
                  <w:marRight w:val="0"/>
                  <w:marTop w:val="0"/>
                  <w:marBottom w:val="0"/>
                  <w:divBdr>
                    <w:top w:val="none" w:sz="0" w:space="0" w:color="auto"/>
                    <w:left w:val="none" w:sz="0" w:space="0" w:color="auto"/>
                    <w:bottom w:val="none" w:sz="0" w:space="0" w:color="auto"/>
                    <w:right w:val="none" w:sz="0" w:space="0" w:color="auto"/>
                  </w:divBdr>
                  <w:divsChild>
                    <w:div w:id="1565290317">
                      <w:marLeft w:val="0"/>
                      <w:marRight w:val="0"/>
                      <w:marTop w:val="0"/>
                      <w:marBottom w:val="0"/>
                      <w:divBdr>
                        <w:top w:val="none" w:sz="0" w:space="0" w:color="auto"/>
                        <w:left w:val="none" w:sz="0" w:space="0" w:color="auto"/>
                        <w:bottom w:val="none" w:sz="0" w:space="0" w:color="auto"/>
                        <w:right w:val="none" w:sz="0" w:space="0" w:color="auto"/>
                      </w:divBdr>
                    </w:div>
                  </w:divsChild>
                </w:div>
                <w:div w:id="426461482">
                  <w:marLeft w:val="0"/>
                  <w:marRight w:val="0"/>
                  <w:marTop w:val="0"/>
                  <w:marBottom w:val="0"/>
                  <w:divBdr>
                    <w:top w:val="none" w:sz="0" w:space="0" w:color="auto"/>
                    <w:left w:val="none" w:sz="0" w:space="0" w:color="auto"/>
                    <w:bottom w:val="none" w:sz="0" w:space="0" w:color="auto"/>
                    <w:right w:val="none" w:sz="0" w:space="0" w:color="auto"/>
                  </w:divBdr>
                  <w:divsChild>
                    <w:div w:id="472218860">
                      <w:marLeft w:val="0"/>
                      <w:marRight w:val="0"/>
                      <w:marTop w:val="0"/>
                      <w:marBottom w:val="0"/>
                      <w:divBdr>
                        <w:top w:val="none" w:sz="0" w:space="0" w:color="auto"/>
                        <w:left w:val="none" w:sz="0" w:space="0" w:color="auto"/>
                        <w:bottom w:val="none" w:sz="0" w:space="0" w:color="auto"/>
                        <w:right w:val="none" w:sz="0" w:space="0" w:color="auto"/>
                      </w:divBdr>
                    </w:div>
                  </w:divsChild>
                </w:div>
                <w:div w:id="427965465">
                  <w:marLeft w:val="0"/>
                  <w:marRight w:val="0"/>
                  <w:marTop w:val="0"/>
                  <w:marBottom w:val="0"/>
                  <w:divBdr>
                    <w:top w:val="none" w:sz="0" w:space="0" w:color="auto"/>
                    <w:left w:val="none" w:sz="0" w:space="0" w:color="auto"/>
                    <w:bottom w:val="none" w:sz="0" w:space="0" w:color="auto"/>
                    <w:right w:val="none" w:sz="0" w:space="0" w:color="auto"/>
                  </w:divBdr>
                  <w:divsChild>
                    <w:div w:id="887954314">
                      <w:marLeft w:val="0"/>
                      <w:marRight w:val="0"/>
                      <w:marTop w:val="0"/>
                      <w:marBottom w:val="0"/>
                      <w:divBdr>
                        <w:top w:val="none" w:sz="0" w:space="0" w:color="auto"/>
                        <w:left w:val="none" w:sz="0" w:space="0" w:color="auto"/>
                        <w:bottom w:val="none" w:sz="0" w:space="0" w:color="auto"/>
                        <w:right w:val="none" w:sz="0" w:space="0" w:color="auto"/>
                      </w:divBdr>
                    </w:div>
                  </w:divsChild>
                </w:div>
                <w:div w:id="429468938">
                  <w:marLeft w:val="0"/>
                  <w:marRight w:val="0"/>
                  <w:marTop w:val="0"/>
                  <w:marBottom w:val="0"/>
                  <w:divBdr>
                    <w:top w:val="none" w:sz="0" w:space="0" w:color="auto"/>
                    <w:left w:val="none" w:sz="0" w:space="0" w:color="auto"/>
                    <w:bottom w:val="none" w:sz="0" w:space="0" w:color="auto"/>
                    <w:right w:val="none" w:sz="0" w:space="0" w:color="auto"/>
                  </w:divBdr>
                  <w:divsChild>
                    <w:div w:id="1707368769">
                      <w:marLeft w:val="0"/>
                      <w:marRight w:val="0"/>
                      <w:marTop w:val="0"/>
                      <w:marBottom w:val="0"/>
                      <w:divBdr>
                        <w:top w:val="none" w:sz="0" w:space="0" w:color="auto"/>
                        <w:left w:val="none" w:sz="0" w:space="0" w:color="auto"/>
                        <w:bottom w:val="none" w:sz="0" w:space="0" w:color="auto"/>
                        <w:right w:val="none" w:sz="0" w:space="0" w:color="auto"/>
                      </w:divBdr>
                    </w:div>
                  </w:divsChild>
                </w:div>
                <w:div w:id="466358426">
                  <w:marLeft w:val="0"/>
                  <w:marRight w:val="0"/>
                  <w:marTop w:val="0"/>
                  <w:marBottom w:val="0"/>
                  <w:divBdr>
                    <w:top w:val="none" w:sz="0" w:space="0" w:color="auto"/>
                    <w:left w:val="none" w:sz="0" w:space="0" w:color="auto"/>
                    <w:bottom w:val="none" w:sz="0" w:space="0" w:color="auto"/>
                    <w:right w:val="none" w:sz="0" w:space="0" w:color="auto"/>
                  </w:divBdr>
                  <w:divsChild>
                    <w:div w:id="542130795">
                      <w:marLeft w:val="0"/>
                      <w:marRight w:val="0"/>
                      <w:marTop w:val="0"/>
                      <w:marBottom w:val="0"/>
                      <w:divBdr>
                        <w:top w:val="none" w:sz="0" w:space="0" w:color="auto"/>
                        <w:left w:val="none" w:sz="0" w:space="0" w:color="auto"/>
                        <w:bottom w:val="none" w:sz="0" w:space="0" w:color="auto"/>
                        <w:right w:val="none" w:sz="0" w:space="0" w:color="auto"/>
                      </w:divBdr>
                    </w:div>
                  </w:divsChild>
                </w:div>
                <w:div w:id="471024269">
                  <w:marLeft w:val="0"/>
                  <w:marRight w:val="0"/>
                  <w:marTop w:val="0"/>
                  <w:marBottom w:val="0"/>
                  <w:divBdr>
                    <w:top w:val="none" w:sz="0" w:space="0" w:color="auto"/>
                    <w:left w:val="none" w:sz="0" w:space="0" w:color="auto"/>
                    <w:bottom w:val="none" w:sz="0" w:space="0" w:color="auto"/>
                    <w:right w:val="none" w:sz="0" w:space="0" w:color="auto"/>
                  </w:divBdr>
                  <w:divsChild>
                    <w:div w:id="28341454">
                      <w:marLeft w:val="0"/>
                      <w:marRight w:val="0"/>
                      <w:marTop w:val="0"/>
                      <w:marBottom w:val="0"/>
                      <w:divBdr>
                        <w:top w:val="none" w:sz="0" w:space="0" w:color="auto"/>
                        <w:left w:val="none" w:sz="0" w:space="0" w:color="auto"/>
                        <w:bottom w:val="none" w:sz="0" w:space="0" w:color="auto"/>
                        <w:right w:val="none" w:sz="0" w:space="0" w:color="auto"/>
                      </w:divBdr>
                    </w:div>
                  </w:divsChild>
                </w:div>
                <w:div w:id="503281418">
                  <w:marLeft w:val="0"/>
                  <w:marRight w:val="0"/>
                  <w:marTop w:val="0"/>
                  <w:marBottom w:val="0"/>
                  <w:divBdr>
                    <w:top w:val="none" w:sz="0" w:space="0" w:color="auto"/>
                    <w:left w:val="none" w:sz="0" w:space="0" w:color="auto"/>
                    <w:bottom w:val="none" w:sz="0" w:space="0" w:color="auto"/>
                    <w:right w:val="none" w:sz="0" w:space="0" w:color="auto"/>
                  </w:divBdr>
                  <w:divsChild>
                    <w:div w:id="1212307533">
                      <w:marLeft w:val="0"/>
                      <w:marRight w:val="0"/>
                      <w:marTop w:val="0"/>
                      <w:marBottom w:val="0"/>
                      <w:divBdr>
                        <w:top w:val="none" w:sz="0" w:space="0" w:color="auto"/>
                        <w:left w:val="none" w:sz="0" w:space="0" w:color="auto"/>
                        <w:bottom w:val="none" w:sz="0" w:space="0" w:color="auto"/>
                        <w:right w:val="none" w:sz="0" w:space="0" w:color="auto"/>
                      </w:divBdr>
                    </w:div>
                  </w:divsChild>
                </w:div>
                <w:div w:id="514150550">
                  <w:marLeft w:val="0"/>
                  <w:marRight w:val="0"/>
                  <w:marTop w:val="0"/>
                  <w:marBottom w:val="0"/>
                  <w:divBdr>
                    <w:top w:val="none" w:sz="0" w:space="0" w:color="auto"/>
                    <w:left w:val="none" w:sz="0" w:space="0" w:color="auto"/>
                    <w:bottom w:val="none" w:sz="0" w:space="0" w:color="auto"/>
                    <w:right w:val="none" w:sz="0" w:space="0" w:color="auto"/>
                  </w:divBdr>
                  <w:divsChild>
                    <w:div w:id="1915234321">
                      <w:marLeft w:val="0"/>
                      <w:marRight w:val="0"/>
                      <w:marTop w:val="0"/>
                      <w:marBottom w:val="0"/>
                      <w:divBdr>
                        <w:top w:val="none" w:sz="0" w:space="0" w:color="auto"/>
                        <w:left w:val="none" w:sz="0" w:space="0" w:color="auto"/>
                        <w:bottom w:val="none" w:sz="0" w:space="0" w:color="auto"/>
                        <w:right w:val="none" w:sz="0" w:space="0" w:color="auto"/>
                      </w:divBdr>
                    </w:div>
                  </w:divsChild>
                </w:div>
                <w:div w:id="555043410">
                  <w:marLeft w:val="0"/>
                  <w:marRight w:val="0"/>
                  <w:marTop w:val="0"/>
                  <w:marBottom w:val="0"/>
                  <w:divBdr>
                    <w:top w:val="none" w:sz="0" w:space="0" w:color="auto"/>
                    <w:left w:val="none" w:sz="0" w:space="0" w:color="auto"/>
                    <w:bottom w:val="none" w:sz="0" w:space="0" w:color="auto"/>
                    <w:right w:val="none" w:sz="0" w:space="0" w:color="auto"/>
                  </w:divBdr>
                  <w:divsChild>
                    <w:div w:id="414909181">
                      <w:marLeft w:val="0"/>
                      <w:marRight w:val="0"/>
                      <w:marTop w:val="0"/>
                      <w:marBottom w:val="0"/>
                      <w:divBdr>
                        <w:top w:val="none" w:sz="0" w:space="0" w:color="auto"/>
                        <w:left w:val="none" w:sz="0" w:space="0" w:color="auto"/>
                        <w:bottom w:val="none" w:sz="0" w:space="0" w:color="auto"/>
                        <w:right w:val="none" w:sz="0" w:space="0" w:color="auto"/>
                      </w:divBdr>
                    </w:div>
                  </w:divsChild>
                </w:div>
                <w:div w:id="583296728">
                  <w:marLeft w:val="0"/>
                  <w:marRight w:val="0"/>
                  <w:marTop w:val="0"/>
                  <w:marBottom w:val="0"/>
                  <w:divBdr>
                    <w:top w:val="none" w:sz="0" w:space="0" w:color="auto"/>
                    <w:left w:val="none" w:sz="0" w:space="0" w:color="auto"/>
                    <w:bottom w:val="none" w:sz="0" w:space="0" w:color="auto"/>
                    <w:right w:val="none" w:sz="0" w:space="0" w:color="auto"/>
                  </w:divBdr>
                  <w:divsChild>
                    <w:div w:id="1933052940">
                      <w:marLeft w:val="0"/>
                      <w:marRight w:val="0"/>
                      <w:marTop w:val="0"/>
                      <w:marBottom w:val="0"/>
                      <w:divBdr>
                        <w:top w:val="none" w:sz="0" w:space="0" w:color="auto"/>
                        <w:left w:val="none" w:sz="0" w:space="0" w:color="auto"/>
                        <w:bottom w:val="none" w:sz="0" w:space="0" w:color="auto"/>
                        <w:right w:val="none" w:sz="0" w:space="0" w:color="auto"/>
                      </w:divBdr>
                    </w:div>
                  </w:divsChild>
                </w:div>
                <w:div w:id="610940306">
                  <w:marLeft w:val="0"/>
                  <w:marRight w:val="0"/>
                  <w:marTop w:val="0"/>
                  <w:marBottom w:val="0"/>
                  <w:divBdr>
                    <w:top w:val="none" w:sz="0" w:space="0" w:color="auto"/>
                    <w:left w:val="none" w:sz="0" w:space="0" w:color="auto"/>
                    <w:bottom w:val="none" w:sz="0" w:space="0" w:color="auto"/>
                    <w:right w:val="none" w:sz="0" w:space="0" w:color="auto"/>
                  </w:divBdr>
                  <w:divsChild>
                    <w:div w:id="2000301464">
                      <w:marLeft w:val="0"/>
                      <w:marRight w:val="0"/>
                      <w:marTop w:val="0"/>
                      <w:marBottom w:val="0"/>
                      <w:divBdr>
                        <w:top w:val="none" w:sz="0" w:space="0" w:color="auto"/>
                        <w:left w:val="none" w:sz="0" w:space="0" w:color="auto"/>
                        <w:bottom w:val="none" w:sz="0" w:space="0" w:color="auto"/>
                        <w:right w:val="none" w:sz="0" w:space="0" w:color="auto"/>
                      </w:divBdr>
                    </w:div>
                  </w:divsChild>
                </w:div>
                <w:div w:id="632710714">
                  <w:marLeft w:val="0"/>
                  <w:marRight w:val="0"/>
                  <w:marTop w:val="0"/>
                  <w:marBottom w:val="0"/>
                  <w:divBdr>
                    <w:top w:val="none" w:sz="0" w:space="0" w:color="auto"/>
                    <w:left w:val="none" w:sz="0" w:space="0" w:color="auto"/>
                    <w:bottom w:val="none" w:sz="0" w:space="0" w:color="auto"/>
                    <w:right w:val="none" w:sz="0" w:space="0" w:color="auto"/>
                  </w:divBdr>
                  <w:divsChild>
                    <w:div w:id="250428418">
                      <w:marLeft w:val="0"/>
                      <w:marRight w:val="0"/>
                      <w:marTop w:val="0"/>
                      <w:marBottom w:val="0"/>
                      <w:divBdr>
                        <w:top w:val="none" w:sz="0" w:space="0" w:color="auto"/>
                        <w:left w:val="none" w:sz="0" w:space="0" w:color="auto"/>
                        <w:bottom w:val="none" w:sz="0" w:space="0" w:color="auto"/>
                        <w:right w:val="none" w:sz="0" w:space="0" w:color="auto"/>
                      </w:divBdr>
                    </w:div>
                  </w:divsChild>
                </w:div>
                <w:div w:id="653223502">
                  <w:marLeft w:val="0"/>
                  <w:marRight w:val="0"/>
                  <w:marTop w:val="0"/>
                  <w:marBottom w:val="0"/>
                  <w:divBdr>
                    <w:top w:val="none" w:sz="0" w:space="0" w:color="auto"/>
                    <w:left w:val="none" w:sz="0" w:space="0" w:color="auto"/>
                    <w:bottom w:val="none" w:sz="0" w:space="0" w:color="auto"/>
                    <w:right w:val="none" w:sz="0" w:space="0" w:color="auto"/>
                  </w:divBdr>
                  <w:divsChild>
                    <w:div w:id="1997104476">
                      <w:marLeft w:val="0"/>
                      <w:marRight w:val="0"/>
                      <w:marTop w:val="0"/>
                      <w:marBottom w:val="0"/>
                      <w:divBdr>
                        <w:top w:val="none" w:sz="0" w:space="0" w:color="auto"/>
                        <w:left w:val="none" w:sz="0" w:space="0" w:color="auto"/>
                        <w:bottom w:val="none" w:sz="0" w:space="0" w:color="auto"/>
                        <w:right w:val="none" w:sz="0" w:space="0" w:color="auto"/>
                      </w:divBdr>
                    </w:div>
                  </w:divsChild>
                </w:div>
                <w:div w:id="700590137">
                  <w:marLeft w:val="0"/>
                  <w:marRight w:val="0"/>
                  <w:marTop w:val="0"/>
                  <w:marBottom w:val="0"/>
                  <w:divBdr>
                    <w:top w:val="none" w:sz="0" w:space="0" w:color="auto"/>
                    <w:left w:val="none" w:sz="0" w:space="0" w:color="auto"/>
                    <w:bottom w:val="none" w:sz="0" w:space="0" w:color="auto"/>
                    <w:right w:val="none" w:sz="0" w:space="0" w:color="auto"/>
                  </w:divBdr>
                  <w:divsChild>
                    <w:div w:id="624384848">
                      <w:marLeft w:val="0"/>
                      <w:marRight w:val="0"/>
                      <w:marTop w:val="0"/>
                      <w:marBottom w:val="0"/>
                      <w:divBdr>
                        <w:top w:val="none" w:sz="0" w:space="0" w:color="auto"/>
                        <w:left w:val="none" w:sz="0" w:space="0" w:color="auto"/>
                        <w:bottom w:val="none" w:sz="0" w:space="0" w:color="auto"/>
                        <w:right w:val="none" w:sz="0" w:space="0" w:color="auto"/>
                      </w:divBdr>
                    </w:div>
                  </w:divsChild>
                </w:div>
                <w:div w:id="718943981">
                  <w:marLeft w:val="0"/>
                  <w:marRight w:val="0"/>
                  <w:marTop w:val="0"/>
                  <w:marBottom w:val="0"/>
                  <w:divBdr>
                    <w:top w:val="none" w:sz="0" w:space="0" w:color="auto"/>
                    <w:left w:val="none" w:sz="0" w:space="0" w:color="auto"/>
                    <w:bottom w:val="none" w:sz="0" w:space="0" w:color="auto"/>
                    <w:right w:val="none" w:sz="0" w:space="0" w:color="auto"/>
                  </w:divBdr>
                  <w:divsChild>
                    <w:div w:id="1620212809">
                      <w:marLeft w:val="0"/>
                      <w:marRight w:val="0"/>
                      <w:marTop w:val="0"/>
                      <w:marBottom w:val="0"/>
                      <w:divBdr>
                        <w:top w:val="none" w:sz="0" w:space="0" w:color="auto"/>
                        <w:left w:val="none" w:sz="0" w:space="0" w:color="auto"/>
                        <w:bottom w:val="none" w:sz="0" w:space="0" w:color="auto"/>
                        <w:right w:val="none" w:sz="0" w:space="0" w:color="auto"/>
                      </w:divBdr>
                    </w:div>
                  </w:divsChild>
                </w:div>
                <w:div w:id="727921699">
                  <w:marLeft w:val="0"/>
                  <w:marRight w:val="0"/>
                  <w:marTop w:val="0"/>
                  <w:marBottom w:val="0"/>
                  <w:divBdr>
                    <w:top w:val="none" w:sz="0" w:space="0" w:color="auto"/>
                    <w:left w:val="none" w:sz="0" w:space="0" w:color="auto"/>
                    <w:bottom w:val="none" w:sz="0" w:space="0" w:color="auto"/>
                    <w:right w:val="none" w:sz="0" w:space="0" w:color="auto"/>
                  </w:divBdr>
                  <w:divsChild>
                    <w:div w:id="1989817435">
                      <w:marLeft w:val="0"/>
                      <w:marRight w:val="0"/>
                      <w:marTop w:val="0"/>
                      <w:marBottom w:val="0"/>
                      <w:divBdr>
                        <w:top w:val="none" w:sz="0" w:space="0" w:color="auto"/>
                        <w:left w:val="none" w:sz="0" w:space="0" w:color="auto"/>
                        <w:bottom w:val="none" w:sz="0" w:space="0" w:color="auto"/>
                        <w:right w:val="none" w:sz="0" w:space="0" w:color="auto"/>
                      </w:divBdr>
                    </w:div>
                  </w:divsChild>
                </w:div>
                <w:div w:id="788278797">
                  <w:marLeft w:val="0"/>
                  <w:marRight w:val="0"/>
                  <w:marTop w:val="0"/>
                  <w:marBottom w:val="0"/>
                  <w:divBdr>
                    <w:top w:val="none" w:sz="0" w:space="0" w:color="auto"/>
                    <w:left w:val="none" w:sz="0" w:space="0" w:color="auto"/>
                    <w:bottom w:val="none" w:sz="0" w:space="0" w:color="auto"/>
                    <w:right w:val="none" w:sz="0" w:space="0" w:color="auto"/>
                  </w:divBdr>
                  <w:divsChild>
                    <w:div w:id="1072655115">
                      <w:marLeft w:val="0"/>
                      <w:marRight w:val="0"/>
                      <w:marTop w:val="0"/>
                      <w:marBottom w:val="0"/>
                      <w:divBdr>
                        <w:top w:val="none" w:sz="0" w:space="0" w:color="auto"/>
                        <w:left w:val="none" w:sz="0" w:space="0" w:color="auto"/>
                        <w:bottom w:val="none" w:sz="0" w:space="0" w:color="auto"/>
                        <w:right w:val="none" w:sz="0" w:space="0" w:color="auto"/>
                      </w:divBdr>
                    </w:div>
                  </w:divsChild>
                </w:div>
                <w:div w:id="811337780">
                  <w:marLeft w:val="0"/>
                  <w:marRight w:val="0"/>
                  <w:marTop w:val="0"/>
                  <w:marBottom w:val="0"/>
                  <w:divBdr>
                    <w:top w:val="none" w:sz="0" w:space="0" w:color="auto"/>
                    <w:left w:val="none" w:sz="0" w:space="0" w:color="auto"/>
                    <w:bottom w:val="none" w:sz="0" w:space="0" w:color="auto"/>
                    <w:right w:val="none" w:sz="0" w:space="0" w:color="auto"/>
                  </w:divBdr>
                  <w:divsChild>
                    <w:div w:id="1936358984">
                      <w:marLeft w:val="0"/>
                      <w:marRight w:val="0"/>
                      <w:marTop w:val="0"/>
                      <w:marBottom w:val="0"/>
                      <w:divBdr>
                        <w:top w:val="none" w:sz="0" w:space="0" w:color="auto"/>
                        <w:left w:val="none" w:sz="0" w:space="0" w:color="auto"/>
                        <w:bottom w:val="none" w:sz="0" w:space="0" w:color="auto"/>
                        <w:right w:val="none" w:sz="0" w:space="0" w:color="auto"/>
                      </w:divBdr>
                    </w:div>
                  </w:divsChild>
                </w:div>
                <w:div w:id="818693888">
                  <w:marLeft w:val="0"/>
                  <w:marRight w:val="0"/>
                  <w:marTop w:val="0"/>
                  <w:marBottom w:val="0"/>
                  <w:divBdr>
                    <w:top w:val="none" w:sz="0" w:space="0" w:color="auto"/>
                    <w:left w:val="none" w:sz="0" w:space="0" w:color="auto"/>
                    <w:bottom w:val="none" w:sz="0" w:space="0" w:color="auto"/>
                    <w:right w:val="none" w:sz="0" w:space="0" w:color="auto"/>
                  </w:divBdr>
                  <w:divsChild>
                    <w:div w:id="1568800866">
                      <w:marLeft w:val="0"/>
                      <w:marRight w:val="0"/>
                      <w:marTop w:val="0"/>
                      <w:marBottom w:val="0"/>
                      <w:divBdr>
                        <w:top w:val="none" w:sz="0" w:space="0" w:color="auto"/>
                        <w:left w:val="none" w:sz="0" w:space="0" w:color="auto"/>
                        <w:bottom w:val="none" w:sz="0" w:space="0" w:color="auto"/>
                        <w:right w:val="none" w:sz="0" w:space="0" w:color="auto"/>
                      </w:divBdr>
                    </w:div>
                  </w:divsChild>
                </w:div>
                <w:div w:id="825249260">
                  <w:marLeft w:val="0"/>
                  <w:marRight w:val="0"/>
                  <w:marTop w:val="0"/>
                  <w:marBottom w:val="0"/>
                  <w:divBdr>
                    <w:top w:val="none" w:sz="0" w:space="0" w:color="auto"/>
                    <w:left w:val="none" w:sz="0" w:space="0" w:color="auto"/>
                    <w:bottom w:val="none" w:sz="0" w:space="0" w:color="auto"/>
                    <w:right w:val="none" w:sz="0" w:space="0" w:color="auto"/>
                  </w:divBdr>
                  <w:divsChild>
                    <w:div w:id="71002698">
                      <w:marLeft w:val="0"/>
                      <w:marRight w:val="0"/>
                      <w:marTop w:val="0"/>
                      <w:marBottom w:val="0"/>
                      <w:divBdr>
                        <w:top w:val="none" w:sz="0" w:space="0" w:color="auto"/>
                        <w:left w:val="none" w:sz="0" w:space="0" w:color="auto"/>
                        <w:bottom w:val="none" w:sz="0" w:space="0" w:color="auto"/>
                        <w:right w:val="none" w:sz="0" w:space="0" w:color="auto"/>
                      </w:divBdr>
                    </w:div>
                  </w:divsChild>
                </w:div>
                <w:div w:id="835144636">
                  <w:marLeft w:val="0"/>
                  <w:marRight w:val="0"/>
                  <w:marTop w:val="0"/>
                  <w:marBottom w:val="0"/>
                  <w:divBdr>
                    <w:top w:val="none" w:sz="0" w:space="0" w:color="auto"/>
                    <w:left w:val="none" w:sz="0" w:space="0" w:color="auto"/>
                    <w:bottom w:val="none" w:sz="0" w:space="0" w:color="auto"/>
                    <w:right w:val="none" w:sz="0" w:space="0" w:color="auto"/>
                  </w:divBdr>
                  <w:divsChild>
                    <w:div w:id="822694906">
                      <w:marLeft w:val="0"/>
                      <w:marRight w:val="0"/>
                      <w:marTop w:val="0"/>
                      <w:marBottom w:val="0"/>
                      <w:divBdr>
                        <w:top w:val="none" w:sz="0" w:space="0" w:color="auto"/>
                        <w:left w:val="none" w:sz="0" w:space="0" w:color="auto"/>
                        <w:bottom w:val="none" w:sz="0" w:space="0" w:color="auto"/>
                        <w:right w:val="none" w:sz="0" w:space="0" w:color="auto"/>
                      </w:divBdr>
                    </w:div>
                  </w:divsChild>
                </w:div>
                <w:div w:id="872812468">
                  <w:marLeft w:val="0"/>
                  <w:marRight w:val="0"/>
                  <w:marTop w:val="0"/>
                  <w:marBottom w:val="0"/>
                  <w:divBdr>
                    <w:top w:val="none" w:sz="0" w:space="0" w:color="auto"/>
                    <w:left w:val="none" w:sz="0" w:space="0" w:color="auto"/>
                    <w:bottom w:val="none" w:sz="0" w:space="0" w:color="auto"/>
                    <w:right w:val="none" w:sz="0" w:space="0" w:color="auto"/>
                  </w:divBdr>
                  <w:divsChild>
                    <w:div w:id="1927424738">
                      <w:marLeft w:val="0"/>
                      <w:marRight w:val="0"/>
                      <w:marTop w:val="0"/>
                      <w:marBottom w:val="0"/>
                      <w:divBdr>
                        <w:top w:val="none" w:sz="0" w:space="0" w:color="auto"/>
                        <w:left w:val="none" w:sz="0" w:space="0" w:color="auto"/>
                        <w:bottom w:val="none" w:sz="0" w:space="0" w:color="auto"/>
                        <w:right w:val="none" w:sz="0" w:space="0" w:color="auto"/>
                      </w:divBdr>
                    </w:div>
                  </w:divsChild>
                </w:div>
                <w:div w:id="946692686">
                  <w:marLeft w:val="0"/>
                  <w:marRight w:val="0"/>
                  <w:marTop w:val="0"/>
                  <w:marBottom w:val="0"/>
                  <w:divBdr>
                    <w:top w:val="none" w:sz="0" w:space="0" w:color="auto"/>
                    <w:left w:val="none" w:sz="0" w:space="0" w:color="auto"/>
                    <w:bottom w:val="none" w:sz="0" w:space="0" w:color="auto"/>
                    <w:right w:val="none" w:sz="0" w:space="0" w:color="auto"/>
                  </w:divBdr>
                  <w:divsChild>
                    <w:div w:id="1783960872">
                      <w:marLeft w:val="0"/>
                      <w:marRight w:val="0"/>
                      <w:marTop w:val="0"/>
                      <w:marBottom w:val="0"/>
                      <w:divBdr>
                        <w:top w:val="none" w:sz="0" w:space="0" w:color="auto"/>
                        <w:left w:val="none" w:sz="0" w:space="0" w:color="auto"/>
                        <w:bottom w:val="none" w:sz="0" w:space="0" w:color="auto"/>
                        <w:right w:val="none" w:sz="0" w:space="0" w:color="auto"/>
                      </w:divBdr>
                    </w:div>
                  </w:divsChild>
                </w:div>
                <w:div w:id="946930933">
                  <w:marLeft w:val="0"/>
                  <w:marRight w:val="0"/>
                  <w:marTop w:val="0"/>
                  <w:marBottom w:val="0"/>
                  <w:divBdr>
                    <w:top w:val="none" w:sz="0" w:space="0" w:color="auto"/>
                    <w:left w:val="none" w:sz="0" w:space="0" w:color="auto"/>
                    <w:bottom w:val="none" w:sz="0" w:space="0" w:color="auto"/>
                    <w:right w:val="none" w:sz="0" w:space="0" w:color="auto"/>
                  </w:divBdr>
                  <w:divsChild>
                    <w:div w:id="604965860">
                      <w:marLeft w:val="0"/>
                      <w:marRight w:val="0"/>
                      <w:marTop w:val="0"/>
                      <w:marBottom w:val="0"/>
                      <w:divBdr>
                        <w:top w:val="none" w:sz="0" w:space="0" w:color="auto"/>
                        <w:left w:val="none" w:sz="0" w:space="0" w:color="auto"/>
                        <w:bottom w:val="none" w:sz="0" w:space="0" w:color="auto"/>
                        <w:right w:val="none" w:sz="0" w:space="0" w:color="auto"/>
                      </w:divBdr>
                    </w:div>
                  </w:divsChild>
                </w:div>
                <w:div w:id="962033778">
                  <w:marLeft w:val="0"/>
                  <w:marRight w:val="0"/>
                  <w:marTop w:val="0"/>
                  <w:marBottom w:val="0"/>
                  <w:divBdr>
                    <w:top w:val="none" w:sz="0" w:space="0" w:color="auto"/>
                    <w:left w:val="none" w:sz="0" w:space="0" w:color="auto"/>
                    <w:bottom w:val="none" w:sz="0" w:space="0" w:color="auto"/>
                    <w:right w:val="none" w:sz="0" w:space="0" w:color="auto"/>
                  </w:divBdr>
                  <w:divsChild>
                    <w:div w:id="1993634815">
                      <w:marLeft w:val="0"/>
                      <w:marRight w:val="0"/>
                      <w:marTop w:val="0"/>
                      <w:marBottom w:val="0"/>
                      <w:divBdr>
                        <w:top w:val="none" w:sz="0" w:space="0" w:color="auto"/>
                        <w:left w:val="none" w:sz="0" w:space="0" w:color="auto"/>
                        <w:bottom w:val="none" w:sz="0" w:space="0" w:color="auto"/>
                        <w:right w:val="none" w:sz="0" w:space="0" w:color="auto"/>
                      </w:divBdr>
                    </w:div>
                  </w:divsChild>
                </w:div>
                <w:div w:id="982808151">
                  <w:marLeft w:val="0"/>
                  <w:marRight w:val="0"/>
                  <w:marTop w:val="0"/>
                  <w:marBottom w:val="0"/>
                  <w:divBdr>
                    <w:top w:val="none" w:sz="0" w:space="0" w:color="auto"/>
                    <w:left w:val="none" w:sz="0" w:space="0" w:color="auto"/>
                    <w:bottom w:val="none" w:sz="0" w:space="0" w:color="auto"/>
                    <w:right w:val="none" w:sz="0" w:space="0" w:color="auto"/>
                  </w:divBdr>
                  <w:divsChild>
                    <w:div w:id="117183828">
                      <w:marLeft w:val="0"/>
                      <w:marRight w:val="0"/>
                      <w:marTop w:val="0"/>
                      <w:marBottom w:val="0"/>
                      <w:divBdr>
                        <w:top w:val="none" w:sz="0" w:space="0" w:color="auto"/>
                        <w:left w:val="none" w:sz="0" w:space="0" w:color="auto"/>
                        <w:bottom w:val="none" w:sz="0" w:space="0" w:color="auto"/>
                        <w:right w:val="none" w:sz="0" w:space="0" w:color="auto"/>
                      </w:divBdr>
                    </w:div>
                  </w:divsChild>
                </w:div>
                <w:div w:id="1027439538">
                  <w:marLeft w:val="0"/>
                  <w:marRight w:val="0"/>
                  <w:marTop w:val="0"/>
                  <w:marBottom w:val="0"/>
                  <w:divBdr>
                    <w:top w:val="none" w:sz="0" w:space="0" w:color="auto"/>
                    <w:left w:val="none" w:sz="0" w:space="0" w:color="auto"/>
                    <w:bottom w:val="none" w:sz="0" w:space="0" w:color="auto"/>
                    <w:right w:val="none" w:sz="0" w:space="0" w:color="auto"/>
                  </w:divBdr>
                  <w:divsChild>
                    <w:div w:id="341710070">
                      <w:marLeft w:val="0"/>
                      <w:marRight w:val="0"/>
                      <w:marTop w:val="0"/>
                      <w:marBottom w:val="0"/>
                      <w:divBdr>
                        <w:top w:val="none" w:sz="0" w:space="0" w:color="auto"/>
                        <w:left w:val="none" w:sz="0" w:space="0" w:color="auto"/>
                        <w:bottom w:val="none" w:sz="0" w:space="0" w:color="auto"/>
                        <w:right w:val="none" w:sz="0" w:space="0" w:color="auto"/>
                      </w:divBdr>
                    </w:div>
                  </w:divsChild>
                </w:div>
                <w:div w:id="1193420340">
                  <w:marLeft w:val="0"/>
                  <w:marRight w:val="0"/>
                  <w:marTop w:val="0"/>
                  <w:marBottom w:val="0"/>
                  <w:divBdr>
                    <w:top w:val="none" w:sz="0" w:space="0" w:color="auto"/>
                    <w:left w:val="none" w:sz="0" w:space="0" w:color="auto"/>
                    <w:bottom w:val="none" w:sz="0" w:space="0" w:color="auto"/>
                    <w:right w:val="none" w:sz="0" w:space="0" w:color="auto"/>
                  </w:divBdr>
                  <w:divsChild>
                    <w:div w:id="915669504">
                      <w:marLeft w:val="0"/>
                      <w:marRight w:val="0"/>
                      <w:marTop w:val="0"/>
                      <w:marBottom w:val="0"/>
                      <w:divBdr>
                        <w:top w:val="none" w:sz="0" w:space="0" w:color="auto"/>
                        <w:left w:val="none" w:sz="0" w:space="0" w:color="auto"/>
                        <w:bottom w:val="none" w:sz="0" w:space="0" w:color="auto"/>
                        <w:right w:val="none" w:sz="0" w:space="0" w:color="auto"/>
                      </w:divBdr>
                    </w:div>
                  </w:divsChild>
                </w:div>
                <w:div w:id="1223325328">
                  <w:marLeft w:val="0"/>
                  <w:marRight w:val="0"/>
                  <w:marTop w:val="0"/>
                  <w:marBottom w:val="0"/>
                  <w:divBdr>
                    <w:top w:val="none" w:sz="0" w:space="0" w:color="auto"/>
                    <w:left w:val="none" w:sz="0" w:space="0" w:color="auto"/>
                    <w:bottom w:val="none" w:sz="0" w:space="0" w:color="auto"/>
                    <w:right w:val="none" w:sz="0" w:space="0" w:color="auto"/>
                  </w:divBdr>
                  <w:divsChild>
                    <w:div w:id="348917529">
                      <w:marLeft w:val="0"/>
                      <w:marRight w:val="0"/>
                      <w:marTop w:val="0"/>
                      <w:marBottom w:val="0"/>
                      <w:divBdr>
                        <w:top w:val="none" w:sz="0" w:space="0" w:color="auto"/>
                        <w:left w:val="none" w:sz="0" w:space="0" w:color="auto"/>
                        <w:bottom w:val="none" w:sz="0" w:space="0" w:color="auto"/>
                        <w:right w:val="none" w:sz="0" w:space="0" w:color="auto"/>
                      </w:divBdr>
                    </w:div>
                  </w:divsChild>
                </w:div>
                <w:div w:id="1227961380">
                  <w:marLeft w:val="0"/>
                  <w:marRight w:val="0"/>
                  <w:marTop w:val="0"/>
                  <w:marBottom w:val="0"/>
                  <w:divBdr>
                    <w:top w:val="none" w:sz="0" w:space="0" w:color="auto"/>
                    <w:left w:val="none" w:sz="0" w:space="0" w:color="auto"/>
                    <w:bottom w:val="none" w:sz="0" w:space="0" w:color="auto"/>
                    <w:right w:val="none" w:sz="0" w:space="0" w:color="auto"/>
                  </w:divBdr>
                  <w:divsChild>
                    <w:div w:id="856428016">
                      <w:marLeft w:val="0"/>
                      <w:marRight w:val="0"/>
                      <w:marTop w:val="0"/>
                      <w:marBottom w:val="0"/>
                      <w:divBdr>
                        <w:top w:val="none" w:sz="0" w:space="0" w:color="auto"/>
                        <w:left w:val="none" w:sz="0" w:space="0" w:color="auto"/>
                        <w:bottom w:val="none" w:sz="0" w:space="0" w:color="auto"/>
                        <w:right w:val="none" w:sz="0" w:space="0" w:color="auto"/>
                      </w:divBdr>
                    </w:div>
                  </w:divsChild>
                </w:div>
                <w:div w:id="1279020743">
                  <w:marLeft w:val="0"/>
                  <w:marRight w:val="0"/>
                  <w:marTop w:val="0"/>
                  <w:marBottom w:val="0"/>
                  <w:divBdr>
                    <w:top w:val="none" w:sz="0" w:space="0" w:color="auto"/>
                    <w:left w:val="none" w:sz="0" w:space="0" w:color="auto"/>
                    <w:bottom w:val="none" w:sz="0" w:space="0" w:color="auto"/>
                    <w:right w:val="none" w:sz="0" w:space="0" w:color="auto"/>
                  </w:divBdr>
                  <w:divsChild>
                    <w:div w:id="259607222">
                      <w:marLeft w:val="0"/>
                      <w:marRight w:val="0"/>
                      <w:marTop w:val="0"/>
                      <w:marBottom w:val="0"/>
                      <w:divBdr>
                        <w:top w:val="none" w:sz="0" w:space="0" w:color="auto"/>
                        <w:left w:val="none" w:sz="0" w:space="0" w:color="auto"/>
                        <w:bottom w:val="none" w:sz="0" w:space="0" w:color="auto"/>
                        <w:right w:val="none" w:sz="0" w:space="0" w:color="auto"/>
                      </w:divBdr>
                    </w:div>
                  </w:divsChild>
                </w:div>
                <w:div w:id="1288514682">
                  <w:marLeft w:val="0"/>
                  <w:marRight w:val="0"/>
                  <w:marTop w:val="0"/>
                  <w:marBottom w:val="0"/>
                  <w:divBdr>
                    <w:top w:val="none" w:sz="0" w:space="0" w:color="auto"/>
                    <w:left w:val="none" w:sz="0" w:space="0" w:color="auto"/>
                    <w:bottom w:val="none" w:sz="0" w:space="0" w:color="auto"/>
                    <w:right w:val="none" w:sz="0" w:space="0" w:color="auto"/>
                  </w:divBdr>
                  <w:divsChild>
                    <w:div w:id="1721054600">
                      <w:marLeft w:val="0"/>
                      <w:marRight w:val="0"/>
                      <w:marTop w:val="0"/>
                      <w:marBottom w:val="0"/>
                      <w:divBdr>
                        <w:top w:val="none" w:sz="0" w:space="0" w:color="auto"/>
                        <w:left w:val="none" w:sz="0" w:space="0" w:color="auto"/>
                        <w:bottom w:val="none" w:sz="0" w:space="0" w:color="auto"/>
                        <w:right w:val="none" w:sz="0" w:space="0" w:color="auto"/>
                      </w:divBdr>
                    </w:div>
                  </w:divsChild>
                </w:div>
                <w:div w:id="1312521302">
                  <w:marLeft w:val="0"/>
                  <w:marRight w:val="0"/>
                  <w:marTop w:val="0"/>
                  <w:marBottom w:val="0"/>
                  <w:divBdr>
                    <w:top w:val="none" w:sz="0" w:space="0" w:color="auto"/>
                    <w:left w:val="none" w:sz="0" w:space="0" w:color="auto"/>
                    <w:bottom w:val="none" w:sz="0" w:space="0" w:color="auto"/>
                    <w:right w:val="none" w:sz="0" w:space="0" w:color="auto"/>
                  </w:divBdr>
                  <w:divsChild>
                    <w:div w:id="1459178753">
                      <w:marLeft w:val="0"/>
                      <w:marRight w:val="0"/>
                      <w:marTop w:val="0"/>
                      <w:marBottom w:val="0"/>
                      <w:divBdr>
                        <w:top w:val="none" w:sz="0" w:space="0" w:color="auto"/>
                        <w:left w:val="none" w:sz="0" w:space="0" w:color="auto"/>
                        <w:bottom w:val="none" w:sz="0" w:space="0" w:color="auto"/>
                        <w:right w:val="none" w:sz="0" w:space="0" w:color="auto"/>
                      </w:divBdr>
                    </w:div>
                  </w:divsChild>
                </w:div>
                <w:div w:id="1338145518">
                  <w:marLeft w:val="0"/>
                  <w:marRight w:val="0"/>
                  <w:marTop w:val="0"/>
                  <w:marBottom w:val="0"/>
                  <w:divBdr>
                    <w:top w:val="none" w:sz="0" w:space="0" w:color="auto"/>
                    <w:left w:val="none" w:sz="0" w:space="0" w:color="auto"/>
                    <w:bottom w:val="none" w:sz="0" w:space="0" w:color="auto"/>
                    <w:right w:val="none" w:sz="0" w:space="0" w:color="auto"/>
                  </w:divBdr>
                  <w:divsChild>
                    <w:div w:id="1080908682">
                      <w:marLeft w:val="0"/>
                      <w:marRight w:val="0"/>
                      <w:marTop w:val="0"/>
                      <w:marBottom w:val="0"/>
                      <w:divBdr>
                        <w:top w:val="none" w:sz="0" w:space="0" w:color="auto"/>
                        <w:left w:val="none" w:sz="0" w:space="0" w:color="auto"/>
                        <w:bottom w:val="none" w:sz="0" w:space="0" w:color="auto"/>
                        <w:right w:val="none" w:sz="0" w:space="0" w:color="auto"/>
                      </w:divBdr>
                    </w:div>
                  </w:divsChild>
                </w:div>
                <w:div w:id="1392654318">
                  <w:marLeft w:val="0"/>
                  <w:marRight w:val="0"/>
                  <w:marTop w:val="0"/>
                  <w:marBottom w:val="0"/>
                  <w:divBdr>
                    <w:top w:val="none" w:sz="0" w:space="0" w:color="auto"/>
                    <w:left w:val="none" w:sz="0" w:space="0" w:color="auto"/>
                    <w:bottom w:val="none" w:sz="0" w:space="0" w:color="auto"/>
                    <w:right w:val="none" w:sz="0" w:space="0" w:color="auto"/>
                  </w:divBdr>
                  <w:divsChild>
                    <w:div w:id="323164447">
                      <w:marLeft w:val="0"/>
                      <w:marRight w:val="0"/>
                      <w:marTop w:val="0"/>
                      <w:marBottom w:val="0"/>
                      <w:divBdr>
                        <w:top w:val="none" w:sz="0" w:space="0" w:color="auto"/>
                        <w:left w:val="none" w:sz="0" w:space="0" w:color="auto"/>
                        <w:bottom w:val="none" w:sz="0" w:space="0" w:color="auto"/>
                        <w:right w:val="none" w:sz="0" w:space="0" w:color="auto"/>
                      </w:divBdr>
                    </w:div>
                  </w:divsChild>
                </w:div>
                <w:div w:id="1438404649">
                  <w:marLeft w:val="0"/>
                  <w:marRight w:val="0"/>
                  <w:marTop w:val="0"/>
                  <w:marBottom w:val="0"/>
                  <w:divBdr>
                    <w:top w:val="none" w:sz="0" w:space="0" w:color="auto"/>
                    <w:left w:val="none" w:sz="0" w:space="0" w:color="auto"/>
                    <w:bottom w:val="none" w:sz="0" w:space="0" w:color="auto"/>
                    <w:right w:val="none" w:sz="0" w:space="0" w:color="auto"/>
                  </w:divBdr>
                  <w:divsChild>
                    <w:div w:id="1356535865">
                      <w:marLeft w:val="0"/>
                      <w:marRight w:val="0"/>
                      <w:marTop w:val="0"/>
                      <w:marBottom w:val="0"/>
                      <w:divBdr>
                        <w:top w:val="none" w:sz="0" w:space="0" w:color="auto"/>
                        <w:left w:val="none" w:sz="0" w:space="0" w:color="auto"/>
                        <w:bottom w:val="none" w:sz="0" w:space="0" w:color="auto"/>
                        <w:right w:val="none" w:sz="0" w:space="0" w:color="auto"/>
                      </w:divBdr>
                    </w:div>
                  </w:divsChild>
                </w:div>
                <w:div w:id="1449933714">
                  <w:marLeft w:val="0"/>
                  <w:marRight w:val="0"/>
                  <w:marTop w:val="0"/>
                  <w:marBottom w:val="0"/>
                  <w:divBdr>
                    <w:top w:val="none" w:sz="0" w:space="0" w:color="auto"/>
                    <w:left w:val="none" w:sz="0" w:space="0" w:color="auto"/>
                    <w:bottom w:val="none" w:sz="0" w:space="0" w:color="auto"/>
                    <w:right w:val="none" w:sz="0" w:space="0" w:color="auto"/>
                  </w:divBdr>
                  <w:divsChild>
                    <w:div w:id="882407061">
                      <w:marLeft w:val="0"/>
                      <w:marRight w:val="0"/>
                      <w:marTop w:val="0"/>
                      <w:marBottom w:val="0"/>
                      <w:divBdr>
                        <w:top w:val="none" w:sz="0" w:space="0" w:color="auto"/>
                        <w:left w:val="none" w:sz="0" w:space="0" w:color="auto"/>
                        <w:bottom w:val="none" w:sz="0" w:space="0" w:color="auto"/>
                        <w:right w:val="none" w:sz="0" w:space="0" w:color="auto"/>
                      </w:divBdr>
                    </w:div>
                  </w:divsChild>
                </w:div>
                <w:div w:id="1454330365">
                  <w:marLeft w:val="0"/>
                  <w:marRight w:val="0"/>
                  <w:marTop w:val="0"/>
                  <w:marBottom w:val="0"/>
                  <w:divBdr>
                    <w:top w:val="none" w:sz="0" w:space="0" w:color="auto"/>
                    <w:left w:val="none" w:sz="0" w:space="0" w:color="auto"/>
                    <w:bottom w:val="none" w:sz="0" w:space="0" w:color="auto"/>
                    <w:right w:val="none" w:sz="0" w:space="0" w:color="auto"/>
                  </w:divBdr>
                  <w:divsChild>
                    <w:div w:id="424808091">
                      <w:marLeft w:val="0"/>
                      <w:marRight w:val="0"/>
                      <w:marTop w:val="0"/>
                      <w:marBottom w:val="0"/>
                      <w:divBdr>
                        <w:top w:val="none" w:sz="0" w:space="0" w:color="auto"/>
                        <w:left w:val="none" w:sz="0" w:space="0" w:color="auto"/>
                        <w:bottom w:val="none" w:sz="0" w:space="0" w:color="auto"/>
                        <w:right w:val="none" w:sz="0" w:space="0" w:color="auto"/>
                      </w:divBdr>
                    </w:div>
                  </w:divsChild>
                </w:div>
                <w:div w:id="1469320054">
                  <w:marLeft w:val="0"/>
                  <w:marRight w:val="0"/>
                  <w:marTop w:val="0"/>
                  <w:marBottom w:val="0"/>
                  <w:divBdr>
                    <w:top w:val="none" w:sz="0" w:space="0" w:color="auto"/>
                    <w:left w:val="none" w:sz="0" w:space="0" w:color="auto"/>
                    <w:bottom w:val="none" w:sz="0" w:space="0" w:color="auto"/>
                    <w:right w:val="none" w:sz="0" w:space="0" w:color="auto"/>
                  </w:divBdr>
                  <w:divsChild>
                    <w:div w:id="1186794776">
                      <w:marLeft w:val="0"/>
                      <w:marRight w:val="0"/>
                      <w:marTop w:val="0"/>
                      <w:marBottom w:val="0"/>
                      <w:divBdr>
                        <w:top w:val="none" w:sz="0" w:space="0" w:color="auto"/>
                        <w:left w:val="none" w:sz="0" w:space="0" w:color="auto"/>
                        <w:bottom w:val="none" w:sz="0" w:space="0" w:color="auto"/>
                        <w:right w:val="none" w:sz="0" w:space="0" w:color="auto"/>
                      </w:divBdr>
                    </w:div>
                  </w:divsChild>
                </w:div>
                <w:div w:id="1472022853">
                  <w:marLeft w:val="0"/>
                  <w:marRight w:val="0"/>
                  <w:marTop w:val="0"/>
                  <w:marBottom w:val="0"/>
                  <w:divBdr>
                    <w:top w:val="none" w:sz="0" w:space="0" w:color="auto"/>
                    <w:left w:val="none" w:sz="0" w:space="0" w:color="auto"/>
                    <w:bottom w:val="none" w:sz="0" w:space="0" w:color="auto"/>
                    <w:right w:val="none" w:sz="0" w:space="0" w:color="auto"/>
                  </w:divBdr>
                  <w:divsChild>
                    <w:div w:id="558325742">
                      <w:marLeft w:val="0"/>
                      <w:marRight w:val="0"/>
                      <w:marTop w:val="0"/>
                      <w:marBottom w:val="0"/>
                      <w:divBdr>
                        <w:top w:val="none" w:sz="0" w:space="0" w:color="auto"/>
                        <w:left w:val="none" w:sz="0" w:space="0" w:color="auto"/>
                        <w:bottom w:val="none" w:sz="0" w:space="0" w:color="auto"/>
                        <w:right w:val="none" w:sz="0" w:space="0" w:color="auto"/>
                      </w:divBdr>
                    </w:div>
                  </w:divsChild>
                </w:div>
                <w:div w:id="1521234254">
                  <w:marLeft w:val="0"/>
                  <w:marRight w:val="0"/>
                  <w:marTop w:val="0"/>
                  <w:marBottom w:val="0"/>
                  <w:divBdr>
                    <w:top w:val="none" w:sz="0" w:space="0" w:color="auto"/>
                    <w:left w:val="none" w:sz="0" w:space="0" w:color="auto"/>
                    <w:bottom w:val="none" w:sz="0" w:space="0" w:color="auto"/>
                    <w:right w:val="none" w:sz="0" w:space="0" w:color="auto"/>
                  </w:divBdr>
                  <w:divsChild>
                    <w:div w:id="1895043552">
                      <w:marLeft w:val="0"/>
                      <w:marRight w:val="0"/>
                      <w:marTop w:val="0"/>
                      <w:marBottom w:val="0"/>
                      <w:divBdr>
                        <w:top w:val="none" w:sz="0" w:space="0" w:color="auto"/>
                        <w:left w:val="none" w:sz="0" w:space="0" w:color="auto"/>
                        <w:bottom w:val="none" w:sz="0" w:space="0" w:color="auto"/>
                        <w:right w:val="none" w:sz="0" w:space="0" w:color="auto"/>
                      </w:divBdr>
                    </w:div>
                  </w:divsChild>
                </w:div>
                <w:div w:id="1523471896">
                  <w:marLeft w:val="0"/>
                  <w:marRight w:val="0"/>
                  <w:marTop w:val="0"/>
                  <w:marBottom w:val="0"/>
                  <w:divBdr>
                    <w:top w:val="none" w:sz="0" w:space="0" w:color="auto"/>
                    <w:left w:val="none" w:sz="0" w:space="0" w:color="auto"/>
                    <w:bottom w:val="none" w:sz="0" w:space="0" w:color="auto"/>
                    <w:right w:val="none" w:sz="0" w:space="0" w:color="auto"/>
                  </w:divBdr>
                  <w:divsChild>
                    <w:div w:id="137919038">
                      <w:marLeft w:val="0"/>
                      <w:marRight w:val="0"/>
                      <w:marTop w:val="0"/>
                      <w:marBottom w:val="0"/>
                      <w:divBdr>
                        <w:top w:val="none" w:sz="0" w:space="0" w:color="auto"/>
                        <w:left w:val="none" w:sz="0" w:space="0" w:color="auto"/>
                        <w:bottom w:val="none" w:sz="0" w:space="0" w:color="auto"/>
                        <w:right w:val="none" w:sz="0" w:space="0" w:color="auto"/>
                      </w:divBdr>
                    </w:div>
                  </w:divsChild>
                </w:div>
                <w:div w:id="1525173370">
                  <w:marLeft w:val="0"/>
                  <w:marRight w:val="0"/>
                  <w:marTop w:val="0"/>
                  <w:marBottom w:val="0"/>
                  <w:divBdr>
                    <w:top w:val="none" w:sz="0" w:space="0" w:color="auto"/>
                    <w:left w:val="none" w:sz="0" w:space="0" w:color="auto"/>
                    <w:bottom w:val="none" w:sz="0" w:space="0" w:color="auto"/>
                    <w:right w:val="none" w:sz="0" w:space="0" w:color="auto"/>
                  </w:divBdr>
                  <w:divsChild>
                    <w:div w:id="139467700">
                      <w:marLeft w:val="0"/>
                      <w:marRight w:val="0"/>
                      <w:marTop w:val="0"/>
                      <w:marBottom w:val="0"/>
                      <w:divBdr>
                        <w:top w:val="none" w:sz="0" w:space="0" w:color="auto"/>
                        <w:left w:val="none" w:sz="0" w:space="0" w:color="auto"/>
                        <w:bottom w:val="none" w:sz="0" w:space="0" w:color="auto"/>
                        <w:right w:val="none" w:sz="0" w:space="0" w:color="auto"/>
                      </w:divBdr>
                    </w:div>
                  </w:divsChild>
                </w:div>
                <w:div w:id="1548375207">
                  <w:marLeft w:val="0"/>
                  <w:marRight w:val="0"/>
                  <w:marTop w:val="0"/>
                  <w:marBottom w:val="0"/>
                  <w:divBdr>
                    <w:top w:val="none" w:sz="0" w:space="0" w:color="auto"/>
                    <w:left w:val="none" w:sz="0" w:space="0" w:color="auto"/>
                    <w:bottom w:val="none" w:sz="0" w:space="0" w:color="auto"/>
                    <w:right w:val="none" w:sz="0" w:space="0" w:color="auto"/>
                  </w:divBdr>
                  <w:divsChild>
                    <w:div w:id="203837024">
                      <w:marLeft w:val="0"/>
                      <w:marRight w:val="0"/>
                      <w:marTop w:val="0"/>
                      <w:marBottom w:val="0"/>
                      <w:divBdr>
                        <w:top w:val="none" w:sz="0" w:space="0" w:color="auto"/>
                        <w:left w:val="none" w:sz="0" w:space="0" w:color="auto"/>
                        <w:bottom w:val="none" w:sz="0" w:space="0" w:color="auto"/>
                        <w:right w:val="none" w:sz="0" w:space="0" w:color="auto"/>
                      </w:divBdr>
                    </w:div>
                  </w:divsChild>
                </w:div>
                <w:div w:id="1548688605">
                  <w:marLeft w:val="0"/>
                  <w:marRight w:val="0"/>
                  <w:marTop w:val="0"/>
                  <w:marBottom w:val="0"/>
                  <w:divBdr>
                    <w:top w:val="none" w:sz="0" w:space="0" w:color="auto"/>
                    <w:left w:val="none" w:sz="0" w:space="0" w:color="auto"/>
                    <w:bottom w:val="none" w:sz="0" w:space="0" w:color="auto"/>
                    <w:right w:val="none" w:sz="0" w:space="0" w:color="auto"/>
                  </w:divBdr>
                  <w:divsChild>
                    <w:div w:id="824011169">
                      <w:marLeft w:val="0"/>
                      <w:marRight w:val="0"/>
                      <w:marTop w:val="0"/>
                      <w:marBottom w:val="0"/>
                      <w:divBdr>
                        <w:top w:val="none" w:sz="0" w:space="0" w:color="auto"/>
                        <w:left w:val="none" w:sz="0" w:space="0" w:color="auto"/>
                        <w:bottom w:val="none" w:sz="0" w:space="0" w:color="auto"/>
                        <w:right w:val="none" w:sz="0" w:space="0" w:color="auto"/>
                      </w:divBdr>
                    </w:div>
                  </w:divsChild>
                </w:div>
                <w:div w:id="1581284746">
                  <w:marLeft w:val="0"/>
                  <w:marRight w:val="0"/>
                  <w:marTop w:val="0"/>
                  <w:marBottom w:val="0"/>
                  <w:divBdr>
                    <w:top w:val="none" w:sz="0" w:space="0" w:color="auto"/>
                    <w:left w:val="none" w:sz="0" w:space="0" w:color="auto"/>
                    <w:bottom w:val="none" w:sz="0" w:space="0" w:color="auto"/>
                    <w:right w:val="none" w:sz="0" w:space="0" w:color="auto"/>
                  </w:divBdr>
                  <w:divsChild>
                    <w:div w:id="1717003263">
                      <w:marLeft w:val="0"/>
                      <w:marRight w:val="0"/>
                      <w:marTop w:val="0"/>
                      <w:marBottom w:val="0"/>
                      <w:divBdr>
                        <w:top w:val="none" w:sz="0" w:space="0" w:color="auto"/>
                        <w:left w:val="none" w:sz="0" w:space="0" w:color="auto"/>
                        <w:bottom w:val="none" w:sz="0" w:space="0" w:color="auto"/>
                        <w:right w:val="none" w:sz="0" w:space="0" w:color="auto"/>
                      </w:divBdr>
                    </w:div>
                  </w:divsChild>
                </w:div>
                <w:div w:id="1589728152">
                  <w:marLeft w:val="0"/>
                  <w:marRight w:val="0"/>
                  <w:marTop w:val="0"/>
                  <w:marBottom w:val="0"/>
                  <w:divBdr>
                    <w:top w:val="none" w:sz="0" w:space="0" w:color="auto"/>
                    <w:left w:val="none" w:sz="0" w:space="0" w:color="auto"/>
                    <w:bottom w:val="none" w:sz="0" w:space="0" w:color="auto"/>
                    <w:right w:val="none" w:sz="0" w:space="0" w:color="auto"/>
                  </w:divBdr>
                  <w:divsChild>
                    <w:div w:id="610748353">
                      <w:marLeft w:val="0"/>
                      <w:marRight w:val="0"/>
                      <w:marTop w:val="0"/>
                      <w:marBottom w:val="0"/>
                      <w:divBdr>
                        <w:top w:val="none" w:sz="0" w:space="0" w:color="auto"/>
                        <w:left w:val="none" w:sz="0" w:space="0" w:color="auto"/>
                        <w:bottom w:val="none" w:sz="0" w:space="0" w:color="auto"/>
                        <w:right w:val="none" w:sz="0" w:space="0" w:color="auto"/>
                      </w:divBdr>
                    </w:div>
                  </w:divsChild>
                </w:div>
                <w:div w:id="1594314082">
                  <w:marLeft w:val="0"/>
                  <w:marRight w:val="0"/>
                  <w:marTop w:val="0"/>
                  <w:marBottom w:val="0"/>
                  <w:divBdr>
                    <w:top w:val="none" w:sz="0" w:space="0" w:color="auto"/>
                    <w:left w:val="none" w:sz="0" w:space="0" w:color="auto"/>
                    <w:bottom w:val="none" w:sz="0" w:space="0" w:color="auto"/>
                    <w:right w:val="none" w:sz="0" w:space="0" w:color="auto"/>
                  </w:divBdr>
                  <w:divsChild>
                    <w:div w:id="951789306">
                      <w:marLeft w:val="0"/>
                      <w:marRight w:val="0"/>
                      <w:marTop w:val="0"/>
                      <w:marBottom w:val="0"/>
                      <w:divBdr>
                        <w:top w:val="none" w:sz="0" w:space="0" w:color="auto"/>
                        <w:left w:val="none" w:sz="0" w:space="0" w:color="auto"/>
                        <w:bottom w:val="none" w:sz="0" w:space="0" w:color="auto"/>
                        <w:right w:val="none" w:sz="0" w:space="0" w:color="auto"/>
                      </w:divBdr>
                    </w:div>
                  </w:divsChild>
                </w:div>
                <w:div w:id="1631402359">
                  <w:marLeft w:val="0"/>
                  <w:marRight w:val="0"/>
                  <w:marTop w:val="0"/>
                  <w:marBottom w:val="0"/>
                  <w:divBdr>
                    <w:top w:val="none" w:sz="0" w:space="0" w:color="auto"/>
                    <w:left w:val="none" w:sz="0" w:space="0" w:color="auto"/>
                    <w:bottom w:val="none" w:sz="0" w:space="0" w:color="auto"/>
                    <w:right w:val="none" w:sz="0" w:space="0" w:color="auto"/>
                  </w:divBdr>
                  <w:divsChild>
                    <w:div w:id="810682718">
                      <w:marLeft w:val="0"/>
                      <w:marRight w:val="0"/>
                      <w:marTop w:val="0"/>
                      <w:marBottom w:val="0"/>
                      <w:divBdr>
                        <w:top w:val="none" w:sz="0" w:space="0" w:color="auto"/>
                        <w:left w:val="none" w:sz="0" w:space="0" w:color="auto"/>
                        <w:bottom w:val="none" w:sz="0" w:space="0" w:color="auto"/>
                        <w:right w:val="none" w:sz="0" w:space="0" w:color="auto"/>
                      </w:divBdr>
                    </w:div>
                  </w:divsChild>
                </w:div>
                <w:div w:id="1651980484">
                  <w:marLeft w:val="0"/>
                  <w:marRight w:val="0"/>
                  <w:marTop w:val="0"/>
                  <w:marBottom w:val="0"/>
                  <w:divBdr>
                    <w:top w:val="none" w:sz="0" w:space="0" w:color="auto"/>
                    <w:left w:val="none" w:sz="0" w:space="0" w:color="auto"/>
                    <w:bottom w:val="none" w:sz="0" w:space="0" w:color="auto"/>
                    <w:right w:val="none" w:sz="0" w:space="0" w:color="auto"/>
                  </w:divBdr>
                  <w:divsChild>
                    <w:div w:id="1654142485">
                      <w:marLeft w:val="0"/>
                      <w:marRight w:val="0"/>
                      <w:marTop w:val="0"/>
                      <w:marBottom w:val="0"/>
                      <w:divBdr>
                        <w:top w:val="none" w:sz="0" w:space="0" w:color="auto"/>
                        <w:left w:val="none" w:sz="0" w:space="0" w:color="auto"/>
                        <w:bottom w:val="none" w:sz="0" w:space="0" w:color="auto"/>
                        <w:right w:val="none" w:sz="0" w:space="0" w:color="auto"/>
                      </w:divBdr>
                    </w:div>
                  </w:divsChild>
                </w:div>
                <w:div w:id="1675182414">
                  <w:marLeft w:val="0"/>
                  <w:marRight w:val="0"/>
                  <w:marTop w:val="0"/>
                  <w:marBottom w:val="0"/>
                  <w:divBdr>
                    <w:top w:val="none" w:sz="0" w:space="0" w:color="auto"/>
                    <w:left w:val="none" w:sz="0" w:space="0" w:color="auto"/>
                    <w:bottom w:val="none" w:sz="0" w:space="0" w:color="auto"/>
                    <w:right w:val="none" w:sz="0" w:space="0" w:color="auto"/>
                  </w:divBdr>
                  <w:divsChild>
                    <w:div w:id="1448965821">
                      <w:marLeft w:val="0"/>
                      <w:marRight w:val="0"/>
                      <w:marTop w:val="0"/>
                      <w:marBottom w:val="0"/>
                      <w:divBdr>
                        <w:top w:val="none" w:sz="0" w:space="0" w:color="auto"/>
                        <w:left w:val="none" w:sz="0" w:space="0" w:color="auto"/>
                        <w:bottom w:val="none" w:sz="0" w:space="0" w:color="auto"/>
                        <w:right w:val="none" w:sz="0" w:space="0" w:color="auto"/>
                      </w:divBdr>
                    </w:div>
                  </w:divsChild>
                </w:div>
                <w:div w:id="1761870632">
                  <w:marLeft w:val="0"/>
                  <w:marRight w:val="0"/>
                  <w:marTop w:val="0"/>
                  <w:marBottom w:val="0"/>
                  <w:divBdr>
                    <w:top w:val="none" w:sz="0" w:space="0" w:color="auto"/>
                    <w:left w:val="none" w:sz="0" w:space="0" w:color="auto"/>
                    <w:bottom w:val="none" w:sz="0" w:space="0" w:color="auto"/>
                    <w:right w:val="none" w:sz="0" w:space="0" w:color="auto"/>
                  </w:divBdr>
                  <w:divsChild>
                    <w:div w:id="1314599885">
                      <w:marLeft w:val="0"/>
                      <w:marRight w:val="0"/>
                      <w:marTop w:val="0"/>
                      <w:marBottom w:val="0"/>
                      <w:divBdr>
                        <w:top w:val="none" w:sz="0" w:space="0" w:color="auto"/>
                        <w:left w:val="none" w:sz="0" w:space="0" w:color="auto"/>
                        <w:bottom w:val="none" w:sz="0" w:space="0" w:color="auto"/>
                        <w:right w:val="none" w:sz="0" w:space="0" w:color="auto"/>
                      </w:divBdr>
                    </w:div>
                  </w:divsChild>
                </w:div>
                <w:div w:id="1815684229">
                  <w:marLeft w:val="0"/>
                  <w:marRight w:val="0"/>
                  <w:marTop w:val="0"/>
                  <w:marBottom w:val="0"/>
                  <w:divBdr>
                    <w:top w:val="none" w:sz="0" w:space="0" w:color="auto"/>
                    <w:left w:val="none" w:sz="0" w:space="0" w:color="auto"/>
                    <w:bottom w:val="none" w:sz="0" w:space="0" w:color="auto"/>
                    <w:right w:val="none" w:sz="0" w:space="0" w:color="auto"/>
                  </w:divBdr>
                  <w:divsChild>
                    <w:div w:id="704332907">
                      <w:marLeft w:val="0"/>
                      <w:marRight w:val="0"/>
                      <w:marTop w:val="0"/>
                      <w:marBottom w:val="0"/>
                      <w:divBdr>
                        <w:top w:val="none" w:sz="0" w:space="0" w:color="auto"/>
                        <w:left w:val="none" w:sz="0" w:space="0" w:color="auto"/>
                        <w:bottom w:val="none" w:sz="0" w:space="0" w:color="auto"/>
                        <w:right w:val="none" w:sz="0" w:space="0" w:color="auto"/>
                      </w:divBdr>
                    </w:div>
                  </w:divsChild>
                </w:div>
                <w:div w:id="1816946233">
                  <w:marLeft w:val="0"/>
                  <w:marRight w:val="0"/>
                  <w:marTop w:val="0"/>
                  <w:marBottom w:val="0"/>
                  <w:divBdr>
                    <w:top w:val="none" w:sz="0" w:space="0" w:color="auto"/>
                    <w:left w:val="none" w:sz="0" w:space="0" w:color="auto"/>
                    <w:bottom w:val="none" w:sz="0" w:space="0" w:color="auto"/>
                    <w:right w:val="none" w:sz="0" w:space="0" w:color="auto"/>
                  </w:divBdr>
                  <w:divsChild>
                    <w:div w:id="1911228553">
                      <w:marLeft w:val="0"/>
                      <w:marRight w:val="0"/>
                      <w:marTop w:val="0"/>
                      <w:marBottom w:val="0"/>
                      <w:divBdr>
                        <w:top w:val="none" w:sz="0" w:space="0" w:color="auto"/>
                        <w:left w:val="none" w:sz="0" w:space="0" w:color="auto"/>
                        <w:bottom w:val="none" w:sz="0" w:space="0" w:color="auto"/>
                        <w:right w:val="none" w:sz="0" w:space="0" w:color="auto"/>
                      </w:divBdr>
                    </w:div>
                  </w:divsChild>
                </w:div>
                <w:div w:id="1824734697">
                  <w:marLeft w:val="0"/>
                  <w:marRight w:val="0"/>
                  <w:marTop w:val="0"/>
                  <w:marBottom w:val="0"/>
                  <w:divBdr>
                    <w:top w:val="none" w:sz="0" w:space="0" w:color="auto"/>
                    <w:left w:val="none" w:sz="0" w:space="0" w:color="auto"/>
                    <w:bottom w:val="none" w:sz="0" w:space="0" w:color="auto"/>
                    <w:right w:val="none" w:sz="0" w:space="0" w:color="auto"/>
                  </w:divBdr>
                  <w:divsChild>
                    <w:div w:id="1805923955">
                      <w:marLeft w:val="0"/>
                      <w:marRight w:val="0"/>
                      <w:marTop w:val="0"/>
                      <w:marBottom w:val="0"/>
                      <w:divBdr>
                        <w:top w:val="none" w:sz="0" w:space="0" w:color="auto"/>
                        <w:left w:val="none" w:sz="0" w:space="0" w:color="auto"/>
                        <w:bottom w:val="none" w:sz="0" w:space="0" w:color="auto"/>
                        <w:right w:val="none" w:sz="0" w:space="0" w:color="auto"/>
                      </w:divBdr>
                    </w:div>
                  </w:divsChild>
                </w:div>
                <w:div w:id="1852526791">
                  <w:marLeft w:val="0"/>
                  <w:marRight w:val="0"/>
                  <w:marTop w:val="0"/>
                  <w:marBottom w:val="0"/>
                  <w:divBdr>
                    <w:top w:val="none" w:sz="0" w:space="0" w:color="auto"/>
                    <w:left w:val="none" w:sz="0" w:space="0" w:color="auto"/>
                    <w:bottom w:val="none" w:sz="0" w:space="0" w:color="auto"/>
                    <w:right w:val="none" w:sz="0" w:space="0" w:color="auto"/>
                  </w:divBdr>
                  <w:divsChild>
                    <w:div w:id="1685397332">
                      <w:marLeft w:val="0"/>
                      <w:marRight w:val="0"/>
                      <w:marTop w:val="0"/>
                      <w:marBottom w:val="0"/>
                      <w:divBdr>
                        <w:top w:val="none" w:sz="0" w:space="0" w:color="auto"/>
                        <w:left w:val="none" w:sz="0" w:space="0" w:color="auto"/>
                        <w:bottom w:val="none" w:sz="0" w:space="0" w:color="auto"/>
                        <w:right w:val="none" w:sz="0" w:space="0" w:color="auto"/>
                      </w:divBdr>
                    </w:div>
                  </w:divsChild>
                </w:div>
                <w:div w:id="1926449936">
                  <w:marLeft w:val="0"/>
                  <w:marRight w:val="0"/>
                  <w:marTop w:val="0"/>
                  <w:marBottom w:val="0"/>
                  <w:divBdr>
                    <w:top w:val="none" w:sz="0" w:space="0" w:color="auto"/>
                    <w:left w:val="none" w:sz="0" w:space="0" w:color="auto"/>
                    <w:bottom w:val="none" w:sz="0" w:space="0" w:color="auto"/>
                    <w:right w:val="none" w:sz="0" w:space="0" w:color="auto"/>
                  </w:divBdr>
                  <w:divsChild>
                    <w:div w:id="1305546556">
                      <w:marLeft w:val="0"/>
                      <w:marRight w:val="0"/>
                      <w:marTop w:val="0"/>
                      <w:marBottom w:val="0"/>
                      <w:divBdr>
                        <w:top w:val="none" w:sz="0" w:space="0" w:color="auto"/>
                        <w:left w:val="none" w:sz="0" w:space="0" w:color="auto"/>
                        <w:bottom w:val="none" w:sz="0" w:space="0" w:color="auto"/>
                        <w:right w:val="none" w:sz="0" w:space="0" w:color="auto"/>
                      </w:divBdr>
                    </w:div>
                  </w:divsChild>
                </w:div>
                <w:div w:id="1948731621">
                  <w:marLeft w:val="0"/>
                  <w:marRight w:val="0"/>
                  <w:marTop w:val="0"/>
                  <w:marBottom w:val="0"/>
                  <w:divBdr>
                    <w:top w:val="none" w:sz="0" w:space="0" w:color="auto"/>
                    <w:left w:val="none" w:sz="0" w:space="0" w:color="auto"/>
                    <w:bottom w:val="none" w:sz="0" w:space="0" w:color="auto"/>
                    <w:right w:val="none" w:sz="0" w:space="0" w:color="auto"/>
                  </w:divBdr>
                  <w:divsChild>
                    <w:div w:id="1486892148">
                      <w:marLeft w:val="0"/>
                      <w:marRight w:val="0"/>
                      <w:marTop w:val="0"/>
                      <w:marBottom w:val="0"/>
                      <w:divBdr>
                        <w:top w:val="none" w:sz="0" w:space="0" w:color="auto"/>
                        <w:left w:val="none" w:sz="0" w:space="0" w:color="auto"/>
                        <w:bottom w:val="none" w:sz="0" w:space="0" w:color="auto"/>
                        <w:right w:val="none" w:sz="0" w:space="0" w:color="auto"/>
                      </w:divBdr>
                    </w:div>
                  </w:divsChild>
                </w:div>
                <w:div w:id="1955404321">
                  <w:marLeft w:val="0"/>
                  <w:marRight w:val="0"/>
                  <w:marTop w:val="0"/>
                  <w:marBottom w:val="0"/>
                  <w:divBdr>
                    <w:top w:val="none" w:sz="0" w:space="0" w:color="auto"/>
                    <w:left w:val="none" w:sz="0" w:space="0" w:color="auto"/>
                    <w:bottom w:val="none" w:sz="0" w:space="0" w:color="auto"/>
                    <w:right w:val="none" w:sz="0" w:space="0" w:color="auto"/>
                  </w:divBdr>
                  <w:divsChild>
                    <w:div w:id="877200891">
                      <w:marLeft w:val="0"/>
                      <w:marRight w:val="0"/>
                      <w:marTop w:val="0"/>
                      <w:marBottom w:val="0"/>
                      <w:divBdr>
                        <w:top w:val="none" w:sz="0" w:space="0" w:color="auto"/>
                        <w:left w:val="none" w:sz="0" w:space="0" w:color="auto"/>
                        <w:bottom w:val="none" w:sz="0" w:space="0" w:color="auto"/>
                        <w:right w:val="none" w:sz="0" w:space="0" w:color="auto"/>
                      </w:divBdr>
                    </w:div>
                  </w:divsChild>
                </w:div>
                <w:div w:id="1966932351">
                  <w:marLeft w:val="0"/>
                  <w:marRight w:val="0"/>
                  <w:marTop w:val="0"/>
                  <w:marBottom w:val="0"/>
                  <w:divBdr>
                    <w:top w:val="none" w:sz="0" w:space="0" w:color="auto"/>
                    <w:left w:val="none" w:sz="0" w:space="0" w:color="auto"/>
                    <w:bottom w:val="none" w:sz="0" w:space="0" w:color="auto"/>
                    <w:right w:val="none" w:sz="0" w:space="0" w:color="auto"/>
                  </w:divBdr>
                  <w:divsChild>
                    <w:div w:id="395980916">
                      <w:marLeft w:val="0"/>
                      <w:marRight w:val="0"/>
                      <w:marTop w:val="0"/>
                      <w:marBottom w:val="0"/>
                      <w:divBdr>
                        <w:top w:val="none" w:sz="0" w:space="0" w:color="auto"/>
                        <w:left w:val="none" w:sz="0" w:space="0" w:color="auto"/>
                        <w:bottom w:val="none" w:sz="0" w:space="0" w:color="auto"/>
                        <w:right w:val="none" w:sz="0" w:space="0" w:color="auto"/>
                      </w:divBdr>
                    </w:div>
                  </w:divsChild>
                </w:div>
                <w:div w:id="2024042750">
                  <w:marLeft w:val="0"/>
                  <w:marRight w:val="0"/>
                  <w:marTop w:val="0"/>
                  <w:marBottom w:val="0"/>
                  <w:divBdr>
                    <w:top w:val="none" w:sz="0" w:space="0" w:color="auto"/>
                    <w:left w:val="none" w:sz="0" w:space="0" w:color="auto"/>
                    <w:bottom w:val="none" w:sz="0" w:space="0" w:color="auto"/>
                    <w:right w:val="none" w:sz="0" w:space="0" w:color="auto"/>
                  </w:divBdr>
                  <w:divsChild>
                    <w:div w:id="523059738">
                      <w:marLeft w:val="0"/>
                      <w:marRight w:val="0"/>
                      <w:marTop w:val="0"/>
                      <w:marBottom w:val="0"/>
                      <w:divBdr>
                        <w:top w:val="none" w:sz="0" w:space="0" w:color="auto"/>
                        <w:left w:val="none" w:sz="0" w:space="0" w:color="auto"/>
                        <w:bottom w:val="none" w:sz="0" w:space="0" w:color="auto"/>
                        <w:right w:val="none" w:sz="0" w:space="0" w:color="auto"/>
                      </w:divBdr>
                    </w:div>
                  </w:divsChild>
                </w:div>
                <w:div w:id="2059207135">
                  <w:marLeft w:val="0"/>
                  <w:marRight w:val="0"/>
                  <w:marTop w:val="0"/>
                  <w:marBottom w:val="0"/>
                  <w:divBdr>
                    <w:top w:val="none" w:sz="0" w:space="0" w:color="auto"/>
                    <w:left w:val="none" w:sz="0" w:space="0" w:color="auto"/>
                    <w:bottom w:val="none" w:sz="0" w:space="0" w:color="auto"/>
                    <w:right w:val="none" w:sz="0" w:space="0" w:color="auto"/>
                  </w:divBdr>
                  <w:divsChild>
                    <w:div w:id="1480999000">
                      <w:marLeft w:val="0"/>
                      <w:marRight w:val="0"/>
                      <w:marTop w:val="0"/>
                      <w:marBottom w:val="0"/>
                      <w:divBdr>
                        <w:top w:val="none" w:sz="0" w:space="0" w:color="auto"/>
                        <w:left w:val="none" w:sz="0" w:space="0" w:color="auto"/>
                        <w:bottom w:val="none" w:sz="0" w:space="0" w:color="auto"/>
                        <w:right w:val="none" w:sz="0" w:space="0" w:color="auto"/>
                      </w:divBdr>
                    </w:div>
                  </w:divsChild>
                </w:div>
                <w:div w:id="2074809443">
                  <w:marLeft w:val="0"/>
                  <w:marRight w:val="0"/>
                  <w:marTop w:val="0"/>
                  <w:marBottom w:val="0"/>
                  <w:divBdr>
                    <w:top w:val="none" w:sz="0" w:space="0" w:color="auto"/>
                    <w:left w:val="none" w:sz="0" w:space="0" w:color="auto"/>
                    <w:bottom w:val="none" w:sz="0" w:space="0" w:color="auto"/>
                    <w:right w:val="none" w:sz="0" w:space="0" w:color="auto"/>
                  </w:divBdr>
                  <w:divsChild>
                    <w:div w:id="791479550">
                      <w:marLeft w:val="0"/>
                      <w:marRight w:val="0"/>
                      <w:marTop w:val="0"/>
                      <w:marBottom w:val="0"/>
                      <w:divBdr>
                        <w:top w:val="none" w:sz="0" w:space="0" w:color="auto"/>
                        <w:left w:val="none" w:sz="0" w:space="0" w:color="auto"/>
                        <w:bottom w:val="none" w:sz="0" w:space="0" w:color="auto"/>
                        <w:right w:val="none" w:sz="0" w:space="0" w:color="auto"/>
                      </w:divBdr>
                    </w:div>
                  </w:divsChild>
                </w:div>
                <w:div w:id="2093156085">
                  <w:marLeft w:val="0"/>
                  <w:marRight w:val="0"/>
                  <w:marTop w:val="0"/>
                  <w:marBottom w:val="0"/>
                  <w:divBdr>
                    <w:top w:val="none" w:sz="0" w:space="0" w:color="auto"/>
                    <w:left w:val="none" w:sz="0" w:space="0" w:color="auto"/>
                    <w:bottom w:val="none" w:sz="0" w:space="0" w:color="auto"/>
                    <w:right w:val="none" w:sz="0" w:space="0" w:color="auto"/>
                  </w:divBdr>
                  <w:divsChild>
                    <w:div w:id="1064455076">
                      <w:marLeft w:val="0"/>
                      <w:marRight w:val="0"/>
                      <w:marTop w:val="0"/>
                      <w:marBottom w:val="0"/>
                      <w:divBdr>
                        <w:top w:val="none" w:sz="0" w:space="0" w:color="auto"/>
                        <w:left w:val="none" w:sz="0" w:space="0" w:color="auto"/>
                        <w:bottom w:val="none" w:sz="0" w:space="0" w:color="auto"/>
                        <w:right w:val="none" w:sz="0" w:space="0" w:color="auto"/>
                      </w:divBdr>
                    </w:div>
                  </w:divsChild>
                </w:div>
                <w:div w:id="2114930336">
                  <w:marLeft w:val="0"/>
                  <w:marRight w:val="0"/>
                  <w:marTop w:val="0"/>
                  <w:marBottom w:val="0"/>
                  <w:divBdr>
                    <w:top w:val="none" w:sz="0" w:space="0" w:color="auto"/>
                    <w:left w:val="none" w:sz="0" w:space="0" w:color="auto"/>
                    <w:bottom w:val="none" w:sz="0" w:space="0" w:color="auto"/>
                    <w:right w:val="none" w:sz="0" w:space="0" w:color="auto"/>
                  </w:divBdr>
                  <w:divsChild>
                    <w:div w:id="986975770">
                      <w:marLeft w:val="0"/>
                      <w:marRight w:val="0"/>
                      <w:marTop w:val="0"/>
                      <w:marBottom w:val="0"/>
                      <w:divBdr>
                        <w:top w:val="none" w:sz="0" w:space="0" w:color="auto"/>
                        <w:left w:val="none" w:sz="0" w:space="0" w:color="auto"/>
                        <w:bottom w:val="none" w:sz="0" w:space="0" w:color="auto"/>
                        <w:right w:val="none" w:sz="0" w:space="0" w:color="auto"/>
                      </w:divBdr>
                    </w:div>
                  </w:divsChild>
                </w:div>
                <w:div w:id="2130275270">
                  <w:marLeft w:val="0"/>
                  <w:marRight w:val="0"/>
                  <w:marTop w:val="0"/>
                  <w:marBottom w:val="0"/>
                  <w:divBdr>
                    <w:top w:val="none" w:sz="0" w:space="0" w:color="auto"/>
                    <w:left w:val="none" w:sz="0" w:space="0" w:color="auto"/>
                    <w:bottom w:val="none" w:sz="0" w:space="0" w:color="auto"/>
                    <w:right w:val="none" w:sz="0" w:space="0" w:color="auto"/>
                  </w:divBdr>
                  <w:divsChild>
                    <w:div w:id="1587688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9471482">
          <w:marLeft w:val="0"/>
          <w:marRight w:val="0"/>
          <w:marTop w:val="0"/>
          <w:marBottom w:val="0"/>
          <w:divBdr>
            <w:top w:val="none" w:sz="0" w:space="0" w:color="auto"/>
            <w:left w:val="none" w:sz="0" w:space="0" w:color="auto"/>
            <w:bottom w:val="none" w:sz="0" w:space="0" w:color="auto"/>
            <w:right w:val="none" w:sz="0" w:space="0" w:color="auto"/>
          </w:divBdr>
        </w:div>
        <w:div w:id="1451390601">
          <w:marLeft w:val="0"/>
          <w:marRight w:val="0"/>
          <w:marTop w:val="0"/>
          <w:marBottom w:val="0"/>
          <w:divBdr>
            <w:top w:val="none" w:sz="0" w:space="0" w:color="auto"/>
            <w:left w:val="none" w:sz="0" w:space="0" w:color="auto"/>
            <w:bottom w:val="none" w:sz="0" w:space="0" w:color="auto"/>
            <w:right w:val="none" w:sz="0" w:space="0" w:color="auto"/>
          </w:divBdr>
        </w:div>
        <w:div w:id="1551067185">
          <w:marLeft w:val="0"/>
          <w:marRight w:val="0"/>
          <w:marTop w:val="0"/>
          <w:marBottom w:val="0"/>
          <w:divBdr>
            <w:top w:val="none" w:sz="0" w:space="0" w:color="auto"/>
            <w:left w:val="none" w:sz="0" w:space="0" w:color="auto"/>
            <w:bottom w:val="none" w:sz="0" w:space="0" w:color="auto"/>
            <w:right w:val="none" w:sz="0" w:space="0" w:color="auto"/>
          </w:divBdr>
        </w:div>
        <w:div w:id="1576160211">
          <w:marLeft w:val="0"/>
          <w:marRight w:val="0"/>
          <w:marTop w:val="0"/>
          <w:marBottom w:val="0"/>
          <w:divBdr>
            <w:top w:val="none" w:sz="0" w:space="0" w:color="auto"/>
            <w:left w:val="none" w:sz="0" w:space="0" w:color="auto"/>
            <w:bottom w:val="none" w:sz="0" w:space="0" w:color="auto"/>
            <w:right w:val="none" w:sz="0" w:space="0" w:color="auto"/>
          </w:divBdr>
        </w:div>
        <w:div w:id="1888637746">
          <w:marLeft w:val="0"/>
          <w:marRight w:val="0"/>
          <w:marTop w:val="0"/>
          <w:marBottom w:val="0"/>
          <w:divBdr>
            <w:top w:val="none" w:sz="0" w:space="0" w:color="auto"/>
            <w:left w:val="none" w:sz="0" w:space="0" w:color="auto"/>
            <w:bottom w:val="none" w:sz="0" w:space="0" w:color="auto"/>
            <w:right w:val="none" w:sz="0" w:space="0" w:color="auto"/>
          </w:divBdr>
        </w:div>
        <w:div w:id="2054619505">
          <w:marLeft w:val="0"/>
          <w:marRight w:val="0"/>
          <w:marTop w:val="0"/>
          <w:marBottom w:val="0"/>
          <w:divBdr>
            <w:top w:val="none" w:sz="0" w:space="0" w:color="auto"/>
            <w:left w:val="none" w:sz="0" w:space="0" w:color="auto"/>
            <w:bottom w:val="none" w:sz="0" w:space="0" w:color="auto"/>
            <w:right w:val="none" w:sz="0" w:space="0" w:color="auto"/>
          </w:divBdr>
        </w:div>
      </w:divsChild>
    </w:div>
    <w:div w:id="587890636">
      <w:bodyDiv w:val="1"/>
      <w:marLeft w:val="0"/>
      <w:marRight w:val="0"/>
      <w:marTop w:val="0"/>
      <w:marBottom w:val="0"/>
      <w:divBdr>
        <w:top w:val="none" w:sz="0" w:space="0" w:color="auto"/>
        <w:left w:val="none" w:sz="0" w:space="0" w:color="auto"/>
        <w:bottom w:val="none" w:sz="0" w:space="0" w:color="auto"/>
        <w:right w:val="none" w:sz="0" w:space="0" w:color="auto"/>
      </w:divBdr>
      <w:divsChild>
        <w:div w:id="47799253">
          <w:marLeft w:val="0"/>
          <w:marRight w:val="0"/>
          <w:marTop w:val="0"/>
          <w:marBottom w:val="0"/>
          <w:divBdr>
            <w:top w:val="none" w:sz="0" w:space="0" w:color="auto"/>
            <w:left w:val="none" w:sz="0" w:space="0" w:color="auto"/>
            <w:bottom w:val="none" w:sz="0" w:space="0" w:color="auto"/>
            <w:right w:val="none" w:sz="0" w:space="0" w:color="auto"/>
          </w:divBdr>
          <w:divsChild>
            <w:div w:id="1941721774">
              <w:marLeft w:val="0"/>
              <w:marRight w:val="0"/>
              <w:marTop w:val="0"/>
              <w:marBottom w:val="0"/>
              <w:divBdr>
                <w:top w:val="none" w:sz="0" w:space="0" w:color="auto"/>
                <w:left w:val="none" w:sz="0" w:space="0" w:color="auto"/>
                <w:bottom w:val="none" w:sz="0" w:space="0" w:color="auto"/>
                <w:right w:val="none" w:sz="0" w:space="0" w:color="auto"/>
              </w:divBdr>
            </w:div>
          </w:divsChild>
        </w:div>
        <w:div w:id="58286979">
          <w:marLeft w:val="0"/>
          <w:marRight w:val="0"/>
          <w:marTop w:val="0"/>
          <w:marBottom w:val="0"/>
          <w:divBdr>
            <w:top w:val="none" w:sz="0" w:space="0" w:color="auto"/>
            <w:left w:val="none" w:sz="0" w:space="0" w:color="auto"/>
            <w:bottom w:val="none" w:sz="0" w:space="0" w:color="auto"/>
            <w:right w:val="none" w:sz="0" w:space="0" w:color="auto"/>
          </w:divBdr>
          <w:divsChild>
            <w:div w:id="1592471585">
              <w:marLeft w:val="0"/>
              <w:marRight w:val="0"/>
              <w:marTop w:val="0"/>
              <w:marBottom w:val="0"/>
              <w:divBdr>
                <w:top w:val="none" w:sz="0" w:space="0" w:color="auto"/>
                <w:left w:val="none" w:sz="0" w:space="0" w:color="auto"/>
                <w:bottom w:val="none" w:sz="0" w:space="0" w:color="auto"/>
                <w:right w:val="none" w:sz="0" w:space="0" w:color="auto"/>
              </w:divBdr>
            </w:div>
          </w:divsChild>
        </w:div>
        <w:div w:id="75372676">
          <w:marLeft w:val="0"/>
          <w:marRight w:val="0"/>
          <w:marTop w:val="0"/>
          <w:marBottom w:val="0"/>
          <w:divBdr>
            <w:top w:val="none" w:sz="0" w:space="0" w:color="auto"/>
            <w:left w:val="none" w:sz="0" w:space="0" w:color="auto"/>
            <w:bottom w:val="none" w:sz="0" w:space="0" w:color="auto"/>
            <w:right w:val="none" w:sz="0" w:space="0" w:color="auto"/>
          </w:divBdr>
          <w:divsChild>
            <w:div w:id="378553215">
              <w:marLeft w:val="0"/>
              <w:marRight w:val="0"/>
              <w:marTop w:val="0"/>
              <w:marBottom w:val="0"/>
              <w:divBdr>
                <w:top w:val="none" w:sz="0" w:space="0" w:color="auto"/>
                <w:left w:val="none" w:sz="0" w:space="0" w:color="auto"/>
                <w:bottom w:val="none" w:sz="0" w:space="0" w:color="auto"/>
                <w:right w:val="none" w:sz="0" w:space="0" w:color="auto"/>
              </w:divBdr>
            </w:div>
          </w:divsChild>
        </w:div>
        <w:div w:id="98960862">
          <w:marLeft w:val="0"/>
          <w:marRight w:val="0"/>
          <w:marTop w:val="0"/>
          <w:marBottom w:val="0"/>
          <w:divBdr>
            <w:top w:val="none" w:sz="0" w:space="0" w:color="auto"/>
            <w:left w:val="none" w:sz="0" w:space="0" w:color="auto"/>
            <w:bottom w:val="none" w:sz="0" w:space="0" w:color="auto"/>
            <w:right w:val="none" w:sz="0" w:space="0" w:color="auto"/>
          </w:divBdr>
          <w:divsChild>
            <w:div w:id="570504286">
              <w:marLeft w:val="0"/>
              <w:marRight w:val="0"/>
              <w:marTop w:val="0"/>
              <w:marBottom w:val="0"/>
              <w:divBdr>
                <w:top w:val="none" w:sz="0" w:space="0" w:color="auto"/>
                <w:left w:val="none" w:sz="0" w:space="0" w:color="auto"/>
                <w:bottom w:val="none" w:sz="0" w:space="0" w:color="auto"/>
                <w:right w:val="none" w:sz="0" w:space="0" w:color="auto"/>
              </w:divBdr>
            </w:div>
          </w:divsChild>
        </w:div>
        <w:div w:id="135147877">
          <w:marLeft w:val="0"/>
          <w:marRight w:val="0"/>
          <w:marTop w:val="0"/>
          <w:marBottom w:val="0"/>
          <w:divBdr>
            <w:top w:val="none" w:sz="0" w:space="0" w:color="auto"/>
            <w:left w:val="none" w:sz="0" w:space="0" w:color="auto"/>
            <w:bottom w:val="none" w:sz="0" w:space="0" w:color="auto"/>
            <w:right w:val="none" w:sz="0" w:space="0" w:color="auto"/>
          </w:divBdr>
          <w:divsChild>
            <w:div w:id="600114220">
              <w:marLeft w:val="0"/>
              <w:marRight w:val="0"/>
              <w:marTop w:val="0"/>
              <w:marBottom w:val="0"/>
              <w:divBdr>
                <w:top w:val="none" w:sz="0" w:space="0" w:color="auto"/>
                <w:left w:val="none" w:sz="0" w:space="0" w:color="auto"/>
                <w:bottom w:val="none" w:sz="0" w:space="0" w:color="auto"/>
                <w:right w:val="none" w:sz="0" w:space="0" w:color="auto"/>
              </w:divBdr>
            </w:div>
          </w:divsChild>
        </w:div>
        <w:div w:id="180632842">
          <w:marLeft w:val="0"/>
          <w:marRight w:val="0"/>
          <w:marTop w:val="0"/>
          <w:marBottom w:val="0"/>
          <w:divBdr>
            <w:top w:val="none" w:sz="0" w:space="0" w:color="auto"/>
            <w:left w:val="none" w:sz="0" w:space="0" w:color="auto"/>
            <w:bottom w:val="none" w:sz="0" w:space="0" w:color="auto"/>
            <w:right w:val="none" w:sz="0" w:space="0" w:color="auto"/>
          </w:divBdr>
          <w:divsChild>
            <w:div w:id="1718822868">
              <w:marLeft w:val="0"/>
              <w:marRight w:val="0"/>
              <w:marTop w:val="0"/>
              <w:marBottom w:val="0"/>
              <w:divBdr>
                <w:top w:val="none" w:sz="0" w:space="0" w:color="auto"/>
                <w:left w:val="none" w:sz="0" w:space="0" w:color="auto"/>
                <w:bottom w:val="none" w:sz="0" w:space="0" w:color="auto"/>
                <w:right w:val="none" w:sz="0" w:space="0" w:color="auto"/>
              </w:divBdr>
            </w:div>
          </w:divsChild>
        </w:div>
        <w:div w:id="195314450">
          <w:marLeft w:val="0"/>
          <w:marRight w:val="0"/>
          <w:marTop w:val="0"/>
          <w:marBottom w:val="0"/>
          <w:divBdr>
            <w:top w:val="none" w:sz="0" w:space="0" w:color="auto"/>
            <w:left w:val="none" w:sz="0" w:space="0" w:color="auto"/>
            <w:bottom w:val="none" w:sz="0" w:space="0" w:color="auto"/>
            <w:right w:val="none" w:sz="0" w:space="0" w:color="auto"/>
          </w:divBdr>
          <w:divsChild>
            <w:div w:id="738290866">
              <w:marLeft w:val="0"/>
              <w:marRight w:val="0"/>
              <w:marTop w:val="0"/>
              <w:marBottom w:val="0"/>
              <w:divBdr>
                <w:top w:val="none" w:sz="0" w:space="0" w:color="auto"/>
                <w:left w:val="none" w:sz="0" w:space="0" w:color="auto"/>
                <w:bottom w:val="none" w:sz="0" w:space="0" w:color="auto"/>
                <w:right w:val="none" w:sz="0" w:space="0" w:color="auto"/>
              </w:divBdr>
            </w:div>
          </w:divsChild>
        </w:div>
        <w:div w:id="291375446">
          <w:marLeft w:val="0"/>
          <w:marRight w:val="0"/>
          <w:marTop w:val="0"/>
          <w:marBottom w:val="0"/>
          <w:divBdr>
            <w:top w:val="none" w:sz="0" w:space="0" w:color="auto"/>
            <w:left w:val="none" w:sz="0" w:space="0" w:color="auto"/>
            <w:bottom w:val="none" w:sz="0" w:space="0" w:color="auto"/>
            <w:right w:val="none" w:sz="0" w:space="0" w:color="auto"/>
          </w:divBdr>
          <w:divsChild>
            <w:div w:id="762266486">
              <w:marLeft w:val="0"/>
              <w:marRight w:val="0"/>
              <w:marTop w:val="0"/>
              <w:marBottom w:val="0"/>
              <w:divBdr>
                <w:top w:val="none" w:sz="0" w:space="0" w:color="auto"/>
                <w:left w:val="none" w:sz="0" w:space="0" w:color="auto"/>
                <w:bottom w:val="none" w:sz="0" w:space="0" w:color="auto"/>
                <w:right w:val="none" w:sz="0" w:space="0" w:color="auto"/>
              </w:divBdr>
            </w:div>
          </w:divsChild>
        </w:div>
        <w:div w:id="381634950">
          <w:marLeft w:val="0"/>
          <w:marRight w:val="0"/>
          <w:marTop w:val="0"/>
          <w:marBottom w:val="0"/>
          <w:divBdr>
            <w:top w:val="none" w:sz="0" w:space="0" w:color="auto"/>
            <w:left w:val="none" w:sz="0" w:space="0" w:color="auto"/>
            <w:bottom w:val="none" w:sz="0" w:space="0" w:color="auto"/>
            <w:right w:val="none" w:sz="0" w:space="0" w:color="auto"/>
          </w:divBdr>
          <w:divsChild>
            <w:div w:id="1466585288">
              <w:marLeft w:val="0"/>
              <w:marRight w:val="0"/>
              <w:marTop w:val="0"/>
              <w:marBottom w:val="0"/>
              <w:divBdr>
                <w:top w:val="none" w:sz="0" w:space="0" w:color="auto"/>
                <w:left w:val="none" w:sz="0" w:space="0" w:color="auto"/>
                <w:bottom w:val="none" w:sz="0" w:space="0" w:color="auto"/>
                <w:right w:val="none" w:sz="0" w:space="0" w:color="auto"/>
              </w:divBdr>
            </w:div>
          </w:divsChild>
        </w:div>
        <w:div w:id="577598054">
          <w:marLeft w:val="0"/>
          <w:marRight w:val="0"/>
          <w:marTop w:val="0"/>
          <w:marBottom w:val="0"/>
          <w:divBdr>
            <w:top w:val="none" w:sz="0" w:space="0" w:color="auto"/>
            <w:left w:val="none" w:sz="0" w:space="0" w:color="auto"/>
            <w:bottom w:val="none" w:sz="0" w:space="0" w:color="auto"/>
            <w:right w:val="none" w:sz="0" w:space="0" w:color="auto"/>
          </w:divBdr>
          <w:divsChild>
            <w:div w:id="2145350511">
              <w:marLeft w:val="0"/>
              <w:marRight w:val="0"/>
              <w:marTop w:val="0"/>
              <w:marBottom w:val="0"/>
              <w:divBdr>
                <w:top w:val="none" w:sz="0" w:space="0" w:color="auto"/>
                <w:left w:val="none" w:sz="0" w:space="0" w:color="auto"/>
                <w:bottom w:val="none" w:sz="0" w:space="0" w:color="auto"/>
                <w:right w:val="none" w:sz="0" w:space="0" w:color="auto"/>
              </w:divBdr>
            </w:div>
          </w:divsChild>
        </w:div>
        <w:div w:id="851915562">
          <w:marLeft w:val="0"/>
          <w:marRight w:val="0"/>
          <w:marTop w:val="0"/>
          <w:marBottom w:val="0"/>
          <w:divBdr>
            <w:top w:val="none" w:sz="0" w:space="0" w:color="auto"/>
            <w:left w:val="none" w:sz="0" w:space="0" w:color="auto"/>
            <w:bottom w:val="none" w:sz="0" w:space="0" w:color="auto"/>
            <w:right w:val="none" w:sz="0" w:space="0" w:color="auto"/>
          </w:divBdr>
          <w:divsChild>
            <w:div w:id="100734171">
              <w:marLeft w:val="0"/>
              <w:marRight w:val="0"/>
              <w:marTop w:val="0"/>
              <w:marBottom w:val="0"/>
              <w:divBdr>
                <w:top w:val="none" w:sz="0" w:space="0" w:color="auto"/>
                <w:left w:val="none" w:sz="0" w:space="0" w:color="auto"/>
                <w:bottom w:val="none" w:sz="0" w:space="0" w:color="auto"/>
                <w:right w:val="none" w:sz="0" w:space="0" w:color="auto"/>
              </w:divBdr>
            </w:div>
          </w:divsChild>
        </w:div>
        <w:div w:id="945041829">
          <w:marLeft w:val="0"/>
          <w:marRight w:val="0"/>
          <w:marTop w:val="0"/>
          <w:marBottom w:val="0"/>
          <w:divBdr>
            <w:top w:val="none" w:sz="0" w:space="0" w:color="auto"/>
            <w:left w:val="none" w:sz="0" w:space="0" w:color="auto"/>
            <w:bottom w:val="none" w:sz="0" w:space="0" w:color="auto"/>
            <w:right w:val="none" w:sz="0" w:space="0" w:color="auto"/>
          </w:divBdr>
          <w:divsChild>
            <w:div w:id="550534935">
              <w:marLeft w:val="0"/>
              <w:marRight w:val="0"/>
              <w:marTop w:val="0"/>
              <w:marBottom w:val="0"/>
              <w:divBdr>
                <w:top w:val="none" w:sz="0" w:space="0" w:color="auto"/>
                <w:left w:val="none" w:sz="0" w:space="0" w:color="auto"/>
                <w:bottom w:val="none" w:sz="0" w:space="0" w:color="auto"/>
                <w:right w:val="none" w:sz="0" w:space="0" w:color="auto"/>
              </w:divBdr>
            </w:div>
          </w:divsChild>
        </w:div>
        <w:div w:id="1089809929">
          <w:marLeft w:val="0"/>
          <w:marRight w:val="0"/>
          <w:marTop w:val="0"/>
          <w:marBottom w:val="0"/>
          <w:divBdr>
            <w:top w:val="none" w:sz="0" w:space="0" w:color="auto"/>
            <w:left w:val="none" w:sz="0" w:space="0" w:color="auto"/>
            <w:bottom w:val="none" w:sz="0" w:space="0" w:color="auto"/>
            <w:right w:val="none" w:sz="0" w:space="0" w:color="auto"/>
          </w:divBdr>
          <w:divsChild>
            <w:div w:id="243103524">
              <w:marLeft w:val="0"/>
              <w:marRight w:val="0"/>
              <w:marTop w:val="0"/>
              <w:marBottom w:val="0"/>
              <w:divBdr>
                <w:top w:val="none" w:sz="0" w:space="0" w:color="auto"/>
                <w:left w:val="none" w:sz="0" w:space="0" w:color="auto"/>
                <w:bottom w:val="none" w:sz="0" w:space="0" w:color="auto"/>
                <w:right w:val="none" w:sz="0" w:space="0" w:color="auto"/>
              </w:divBdr>
            </w:div>
          </w:divsChild>
        </w:div>
        <w:div w:id="1100904807">
          <w:marLeft w:val="0"/>
          <w:marRight w:val="0"/>
          <w:marTop w:val="0"/>
          <w:marBottom w:val="0"/>
          <w:divBdr>
            <w:top w:val="none" w:sz="0" w:space="0" w:color="auto"/>
            <w:left w:val="none" w:sz="0" w:space="0" w:color="auto"/>
            <w:bottom w:val="none" w:sz="0" w:space="0" w:color="auto"/>
            <w:right w:val="none" w:sz="0" w:space="0" w:color="auto"/>
          </w:divBdr>
          <w:divsChild>
            <w:div w:id="604727131">
              <w:marLeft w:val="0"/>
              <w:marRight w:val="0"/>
              <w:marTop w:val="0"/>
              <w:marBottom w:val="0"/>
              <w:divBdr>
                <w:top w:val="none" w:sz="0" w:space="0" w:color="auto"/>
                <w:left w:val="none" w:sz="0" w:space="0" w:color="auto"/>
                <w:bottom w:val="none" w:sz="0" w:space="0" w:color="auto"/>
                <w:right w:val="none" w:sz="0" w:space="0" w:color="auto"/>
              </w:divBdr>
            </w:div>
          </w:divsChild>
        </w:div>
        <w:div w:id="1155103729">
          <w:marLeft w:val="0"/>
          <w:marRight w:val="0"/>
          <w:marTop w:val="0"/>
          <w:marBottom w:val="0"/>
          <w:divBdr>
            <w:top w:val="none" w:sz="0" w:space="0" w:color="auto"/>
            <w:left w:val="none" w:sz="0" w:space="0" w:color="auto"/>
            <w:bottom w:val="none" w:sz="0" w:space="0" w:color="auto"/>
            <w:right w:val="none" w:sz="0" w:space="0" w:color="auto"/>
          </w:divBdr>
          <w:divsChild>
            <w:div w:id="958103186">
              <w:marLeft w:val="0"/>
              <w:marRight w:val="0"/>
              <w:marTop w:val="0"/>
              <w:marBottom w:val="0"/>
              <w:divBdr>
                <w:top w:val="none" w:sz="0" w:space="0" w:color="auto"/>
                <w:left w:val="none" w:sz="0" w:space="0" w:color="auto"/>
                <w:bottom w:val="none" w:sz="0" w:space="0" w:color="auto"/>
                <w:right w:val="none" w:sz="0" w:space="0" w:color="auto"/>
              </w:divBdr>
            </w:div>
          </w:divsChild>
        </w:div>
        <w:div w:id="1405226355">
          <w:marLeft w:val="0"/>
          <w:marRight w:val="0"/>
          <w:marTop w:val="0"/>
          <w:marBottom w:val="0"/>
          <w:divBdr>
            <w:top w:val="none" w:sz="0" w:space="0" w:color="auto"/>
            <w:left w:val="none" w:sz="0" w:space="0" w:color="auto"/>
            <w:bottom w:val="none" w:sz="0" w:space="0" w:color="auto"/>
            <w:right w:val="none" w:sz="0" w:space="0" w:color="auto"/>
          </w:divBdr>
          <w:divsChild>
            <w:div w:id="801194775">
              <w:marLeft w:val="0"/>
              <w:marRight w:val="0"/>
              <w:marTop w:val="0"/>
              <w:marBottom w:val="0"/>
              <w:divBdr>
                <w:top w:val="none" w:sz="0" w:space="0" w:color="auto"/>
                <w:left w:val="none" w:sz="0" w:space="0" w:color="auto"/>
                <w:bottom w:val="none" w:sz="0" w:space="0" w:color="auto"/>
                <w:right w:val="none" w:sz="0" w:space="0" w:color="auto"/>
              </w:divBdr>
            </w:div>
          </w:divsChild>
        </w:div>
        <w:div w:id="1406489600">
          <w:marLeft w:val="0"/>
          <w:marRight w:val="0"/>
          <w:marTop w:val="0"/>
          <w:marBottom w:val="0"/>
          <w:divBdr>
            <w:top w:val="none" w:sz="0" w:space="0" w:color="auto"/>
            <w:left w:val="none" w:sz="0" w:space="0" w:color="auto"/>
            <w:bottom w:val="none" w:sz="0" w:space="0" w:color="auto"/>
            <w:right w:val="none" w:sz="0" w:space="0" w:color="auto"/>
          </w:divBdr>
          <w:divsChild>
            <w:div w:id="13963864">
              <w:marLeft w:val="0"/>
              <w:marRight w:val="0"/>
              <w:marTop w:val="0"/>
              <w:marBottom w:val="0"/>
              <w:divBdr>
                <w:top w:val="none" w:sz="0" w:space="0" w:color="auto"/>
                <w:left w:val="none" w:sz="0" w:space="0" w:color="auto"/>
                <w:bottom w:val="none" w:sz="0" w:space="0" w:color="auto"/>
                <w:right w:val="none" w:sz="0" w:space="0" w:color="auto"/>
              </w:divBdr>
            </w:div>
          </w:divsChild>
        </w:div>
        <w:div w:id="1424835015">
          <w:marLeft w:val="0"/>
          <w:marRight w:val="0"/>
          <w:marTop w:val="0"/>
          <w:marBottom w:val="0"/>
          <w:divBdr>
            <w:top w:val="none" w:sz="0" w:space="0" w:color="auto"/>
            <w:left w:val="none" w:sz="0" w:space="0" w:color="auto"/>
            <w:bottom w:val="none" w:sz="0" w:space="0" w:color="auto"/>
            <w:right w:val="none" w:sz="0" w:space="0" w:color="auto"/>
          </w:divBdr>
          <w:divsChild>
            <w:div w:id="1945916481">
              <w:marLeft w:val="0"/>
              <w:marRight w:val="0"/>
              <w:marTop w:val="0"/>
              <w:marBottom w:val="0"/>
              <w:divBdr>
                <w:top w:val="none" w:sz="0" w:space="0" w:color="auto"/>
                <w:left w:val="none" w:sz="0" w:space="0" w:color="auto"/>
                <w:bottom w:val="none" w:sz="0" w:space="0" w:color="auto"/>
                <w:right w:val="none" w:sz="0" w:space="0" w:color="auto"/>
              </w:divBdr>
            </w:div>
          </w:divsChild>
        </w:div>
        <w:div w:id="1453092887">
          <w:marLeft w:val="0"/>
          <w:marRight w:val="0"/>
          <w:marTop w:val="0"/>
          <w:marBottom w:val="0"/>
          <w:divBdr>
            <w:top w:val="none" w:sz="0" w:space="0" w:color="auto"/>
            <w:left w:val="none" w:sz="0" w:space="0" w:color="auto"/>
            <w:bottom w:val="none" w:sz="0" w:space="0" w:color="auto"/>
            <w:right w:val="none" w:sz="0" w:space="0" w:color="auto"/>
          </w:divBdr>
          <w:divsChild>
            <w:div w:id="608779317">
              <w:marLeft w:val="0"/>
              <w:marRight w:val="0"/>
              <w:marTop w:val="0"/>
              <w:marBottom w:val="0"/>
              <w:divBdr>
                <w:top w:val="none" w:sz="0" w:space="0" w:color="auto"/>
                <w:left w:val="none" w:sz="0" w:space="0" w:color="auto"/>
                <w:bottom w:val="none" w:sz="0" w:space="0" w:color="auto"/>
                <w:right w:val="none" w:sz="0" w:space="0" w:color="auto"/>
              </w:divBdr>
            </w:div>
          </w:divsChild>
        </w:div>
        <w:div w:id="1500078080">
          <w:marLeft w:val="0"/>
          <w:marRight w:val="0"/>
          <w:marTop w:val="0"/>
          <w:marBottom w:val="0"/>
          <w:divBdr>
            <w:top w:val="none" w:sz="0" w:space="0" w:color="auto"/>
            <w:left w:val="none" w:sz="0" w:space="0" w:color="auto"/>
            <w:bottom w:val="none" w:sz="0" w:space="0" w:color="auto"/>
            <w:right w:val="none" w:sz="0" w:space="0" w:color="auto"/>
          </w:divBdr>
          <w:divsChild>
            <w:div w:id="116916777">
              <w:marLeft w:val="0"/>
              <w:marRight w:val="0"/>
              <w:marTop w:val="0"/>
              <w:marBottom w:val="0"/>
              <w:divBdr>
                <w:top w:val="none" w:sz="0" w:space="0" w:color="auto"/>
                <w:left w:val="none" w:sz="0" w:space="0" w:color="auto"/>
                <w:bottom w:val="none" w:sz="0" w:space="0" w:color="auto"/>
                <w:right w:val="none" w:sz="0" w:space="0" w:color="auto"/>
              </w:divBdr>
            </w:div>
          </w:divsChild>
        </w:div>
        <w:div w:id="1577200289">
          <w:marLeft w:val="0"/>
          <w:marRight w:val="0"/>
          <w:marTop w:val="0"/>
          <w:marBottom w:val="0"/>
          <w:divBdr>
            <w:top w:val="none" w:sz="0" w:space="0" w:color="auto"/>
            <w:left w:val="none" w:sz="0" w:space="0" w:color="auto"/>
            <w:bottom w:val="none" w:sz="0" w:space="0" w:color="auto"/>
            <w:right w:val="none" w:sz="0" w:space="0" w:color="auto"/>
          </w:divBdr>
          <w:divsChild>
            <w:div w:id="381640953">
              <w:marLeft w:val="0"/>
              <w:marRight w:val="0"/>
              <w:marTop w:val="0"/>
              <w:marBottom w:val="0"/>
              <w:divBdr>
                <w:top w:val="none" w:sz="0" w:space="0" w:color="auto"/>
                <w:left w:val="none" w:sz="0" w:space="0" w:color="auto"/>
                <w:bottom w:val="none" w:sz="0" w:space="0" w:color="auto"/>
                <w:right w:val="none" w:sz="0" w:space="0" w:color="auto"/>
              </w:divBdr>
            </w:div>
          </w:divsChild>
        </w:div>
        <w:div w:id="1643581901">
          <w:marLeft w:val="0"/>
          <w:marRight w:val="0"/>
          <w:marTop w:val="0"/>
          <w:marBottom w:val="0"/>
          <w:divBdr>
            <w:top w:val="none" w:sz="0" w:space="0" w:color="auto"/>
            <w:left w:val="none" w:sz="0" w:space="0" w:color="auto"/>
            <w:bottom w:val="none" w:sz="0" w:space="0" w:color="auto"/>
            <w:right w:val="none" w:sz="0" w:space="0" w:color="auto"/>
          </w:divBdr>
          <w:divsChild>
            <w:div w:id="769856029">
              <w:marLeft w:val="0"/>
              <w:marRight w:val="0"/>
              <w:marTop w:val="0"/>
              <w:marBottom w:val="0"/>
              <w:divBdr>
                <w:top w:val="none" w:sz="0" w:space="0" w:color="auto"/>
                <w:left w:val="none" w:sz="0" w:space="0" w:color="auto"/>
                <w:bottom w:val="none" w:sz="0" w:space="0" w:color="auto"/>
                <w:right w:val="none" w:sz="0" w:space="0" w:color="auto"/>
              </w:divBdr>
            </w:div>
          </w:divsChild>
        </w:div>
        <w:div w:id="1732734558">
          <w:marLeft w:val="0"/>
          <w:marRight w:val="0"/>
          <w:marTop w:val="0"/>
          <w:marBottom w:val="0"/>
          <w:divBdr>
            <w:top w:val="none" w:sz="0" w:space="0" w:color="auto"/>
            <w:left w:val="none" w:sz="0" w:space="0" w:color="auto"/>
            <w:bottom w:val="none" w:sz="0" w:space="0" w:color="auto"/>
            <w:right w:val="none" w:sz="0" w:space="0" w:color="auto"/>
          </w:divBdr>
          <w:divsChild>
            <w:div w:id="1076168227">
              <w:marLeft w:val="0"/>
              <w:marRight w:val="0"/>
              <w:marTop w:val="0"/>
              <w:marBottom w:val="0"/>
              <w:divBdr>
                <w:top w:val="none" w:sz="0" w:space="0" w:color="auto"/>
                <w:left w:val="none" w:sz="0" w:space="0" w:color="auto"/>
                <w:bottom w:val="none" w:sz="0" w:space="0" w:color="auto"/>
                <w:right w:val="none" w:sz="0" w:space="0" w:color="auto"/>
              </w:divBdr>
            </w:div>
          </w:divsChild>
        </w:div>
        <w:div w:id="1809740842">
          <w:marLeft w:val="0"/>
          <w:marRight w:val="0"/>
          <w:marTop w:val="0"/>
          <w:marBottom w:val="0"/>
          <w:divBdr>
            <w:top w:val="none" w:sz="0" w:space="0" w:color="auto"/>
            <w:left w:val="none" w:sz="0" w:space="0" w:color="auto"/>
            <w:bottom w:val="none" w:sz="0" w:space="0" w:color="auto"/>
            <w:right w:val="none" w:sz="0" w:space="0" w:color="auto"/>
          </w:divBdr>
          <w:divsChild>
            <w:div w:id="1469477081">
              <w:marLeft w:val="0"/>
              <w:marRight w:val="0"/>
              <w:marTop w:val="0"/>
              <w:marBottom w:val="0"/>
              <w:divBdr>
                <w:top w:val="none" w:sz="0" w:space="0" w:color="auto"/>
                <w:left w:val="none" w:sz="0" w:space="0" w:color="auto"/>
                <w:bottom w:val="none" w:sz="0" w:space="0" w:color="auto"/>
                <w:right w:val="none" w:sz="0" w:space="0" w:color="auto"/>
              </w:divBdr>
            </w:div>
          </w:divsChild>
        </w:div>
        <w:div w:id="2048791851">
          <w:marLeft w:val="0"/>
          <w:marRight w:val="0"/>
          <w:marTop w:val="0"/>
          <w:marBottom w:val="0"/>
          <w:divBdr>
            <w:top w:val="none" w:sz="0" w:space="0" w:color="auto"/>
            <w:left w:val="none" w:sz="0" w:space="0" w:color="auto"/>
            <w:bottom w:val="none" w:sz="0" w:space="0" w:color="auto"/>
            <w:right w:val="none" w:sz="0" w:space="0" w:color="auto"/>
          </w:divBdr>
          <w:divsChild>
            <w:div w:id="13117988">
              <w:marLeft w:val="0"/>
              <w:marRight w:val="0"/>
              <w:marTop w:val="0"/>
              <w:marBottom w:val="0"/>
              <w:divBdr>
                <w:top w:val="none" w:sz="0" w:space="0" w:color="auto"/>
                <w:left w:val="none" w:sz="0" w:space="0" w:color="auto"/>
                <w:bottom w:val="none" w:sz="0" w:space="0" w:color="auto"/>
                <w:right w:val="none" w:sz="0" w:space="0" w:color="auto"/>
              </w:divBdr>
            </w:div>
            <w:div w:id="532619963">
              <w:marLeft w:val="0"/>
              <w:marRight w:val="0"/>
              <w:marTop w:val="0"/>
              <w:marBottom w:val="0"/>
              <w:divBdr>
                <w:top w:val="none" w:sz="0" w:space="0" w:color="auto"/>
                <w:left w:val="none" w:sz="0" w:space="0" w:color="auto"/>
                <w:bottom w:val="none" w:sz="0" w:space="0" w:color="auto"/>
                <w:right w:val="none" w:sz="0" w:space="0" w:color="auto"/>
              </w:divBdr>
            </w:div>
            <w:div w:id="682131392">
              <w:marLeft w:val="0"/>
              <w:marRight w:val="0"/>
              <w:marTop w:val="0"/>
              <w:marBottom w:val="0"/>
              <w:divBdr>
                <w:top w:val="none" w:sz="0" w:space="0" w:color="auto"/>
                <w:left w:val="none" w:sz="0" w:space="0" w:color="auto"/>
                <w:bottom w:val="none" w:sz="0" w:space="0" w:color="auto"/>
                <w:right w:val="none" w:sz="0" w:space="0" w:color="auto"/>
              </w:divBdr>
            </w:div>
          </w:divsChild>
        </w:div>
        <w:div w:id="2066953239">
          <w:marLeft w:val="0"/>
          <w:marRight w:val="0"/>
          <w:marTop w:val="0"/>
          <w:marBottom w:val="0"/>
          <w:divBdr>
            <w:top w:val="none" w:sz="0" w:space="0" w:color="auto"/>
            <w:left w:val="none" w:sz="0" w:space="0" w:color="auto"/>
            <w:bottom w:val="none" w:sz="0" w:space="0" w:color="auto"/>
            <w:right w:val="none" w:sz="0" w:space="0" w:color="auto"/>
          </w:divBdr>
          <w:divsChild>
            <w:div w:id="1241332697">
              <w:marLeft w:val="0"/>
              <w:marRight w:val="0"/>
              <w:marTop w:val="0"/>
              <w:marBottom w:val="0"/>
              <w:divBdr>
                <w:top w:val="none" w:sz="0" w:space="0" w:color="auto"/>
                <w:left w:val="none" w:sz="0" w:space="0" w:color="auto"/>
                <w:bottom w:val="none" w:sz="0" w:space="0" w:color="auto"/>
                <w:right w:val="none" w:sz="0" w:space="0" w:color="auto"/>
              </w:divBdr>
            </w:div>
          </w:divsChild>
        </w:div>
        <w:div w:id="2091074999">
          <w:marLeft w:val="0"/>
          <w:marRight w:val="0"/>
          <w:marTop w:val="0"/>
          <w:marBottom w:val="0"/>
          <w:divBdr>
            <w:top w:val="none" w:sz="0" w:space="0" w:color="auto"/>
            <w:left w:val="none" w:sz="0" w:space="0" w:color="auto"/>
            <w:bottom w:val="none" w:sz="0" w:space="0" w:color="auto"/>
            <w:right w:val="none" w:sz="0" w:space="0" w:color="auto"/>
          </w:divBdr>
          <w:divsChild>
            <w:div w:id="823661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3825670">
      <w:bodyDiv w:val="1"/>
      <w:marLeft w:val="0"/>
      <w:marRight w:val="0"/>
      <w:marTop w:val="0"/>
      <w:marBottom w:val="0"/>
      <w:divBdr>
        <w:top w:val="none" w:sz="0" w:space="0" w:color="auto"/>
        <w:left w:val="none" w:sz="0" w:space="0" w:color="auto"/>
        <w:bottom w:val="none" w:sz="0" w:space="0" w:color="auto"/>
        <w:right w:val="none" w:sz="0" w:space="0" w:color="auto"/>
      </w:divBdr>
    </w:div>
    <w:div w:id="613484603">
      <w:bodyDiv w:val="1"/>
      <w:marLeft w:val="0"/>
      <w:marRight w:val="0"/>
      <w:marTop w:val="0"/>
      <w:marBottom w:val="0"/>
      <w:divBdr>
        <w:top w:val="none" w:sz="0" w:space="0" w:color="auto"/>
        <w:left w:val="none" w:sz="0" w:space="0" w:color="auto"/>
        <w:bottom w:val="none" w:sz="0" w:space="0" w:color="auto"/>
        <w:right w:val="none" w:sz="0" w:space="0" w:color="auto"/>
      </w:divBdr>
    </w:div>
    <w:div w:id="634065962">
      <w:bodyDiv w:val="1"/>
      <w:marLeft w:val="0"/>
      <w:marRight w:val="0"/>
      <w:marTop w:val="0"/>
      <w:marBottom w:val="0"/>
      <w:divBdr>
        <w:top w:val="none" w:sz="0" w:space="0" w:color="auto"/>
        <w:left w:val="none" w:sz="0" w:space="0" w:color="auto"/>
        <w:bottom w:val="none" w:sz="0" w:space="0" w:color="auto"/>
        <w:right w:val="none" w:sz="0" w:space="0" w:color="auto"/>
      </w:divBdr>
    </w:div>
    <w:div w:id="661665539">
      <w:bodyDiv w:val="1"/>
      <w:marLeft w:val="0"/>
      <w:marRight w:val="0"/>
      <w:marTop w:val="0"/>
      <w:marBottom w:val="0"/>
      <w:divBdr>
        <w:top w:val="none" w:sz="0" w:space="0" w:color="auto"/>
        <w:left w:val="none" w:sz="0" w:space="0" w:color="auto"/>
        <w:bottom w:val="none" w:sz="0" w:space="0" w:color="auto"/>
        <w:right w:val="none" w:sz="0" w:space="0" w:color="auto"/>
      </w:divBdr>
    </w:div>
    <w:div w:id="719479199">
      <w:bodyDiv w:val="1"/>
      <w:marLeft w:val="0"/>
      <w:marRight w:val="0"/>
      <w:marTop w:val="0"/>
      <w:marBottom w:val="0"/>
      <w:divBdr>
        <w:top w:val="none" w:sz="0" w:space="0" w:color="auto"/>
        <w:left w:val="none" w:sz="0" w:space="0" w:color="auto"/>
        <w:bottom w:val="none" w:sz="0" w:space="0" w:color="auto"/>
        <w:right w:val="none" w:sz="0" w:space="0" w:color="auto"/>
      </w:divBdr>
    </w:div>
    <w:div w:id="722679307">
      <w:bodyDiv w:val="1"/>
      <w:marLeft w:val="0"/>
      <w:marRight w:val="0"/>
      <w:marTop w:val="0"/>
      <w:marBottom w:val="0"/>
      <w:divBdr>
        <w:top w:val="none" w:sz="0" w:space="0" w:color="auto"/>
        <w:left w:val="none" w:sz="0" w:space="0" w:color="auto"/>
        <w:bottom w:val="none" w:sz="0" w:space="0" w:color="auto"/>
        <w:right w:val="none" w:sz="0" w:space="0" w:color="auto"/>
      </w:divBdr>
    </w:div>
    <w:div w:id="746225091">
      <w:bodyDiv w:val="1"/>
      <w:marLeft w:val="0"/>
      <w:marRight w:val="0"/>
      <w:marTop w:val="0"/>
      <w:marBottom w:val="0"/>
      <w:divBdr>
        <w:top w:val="none" w:sz="0" w:space="0" w:color="auto"/>
        <w:left w:val="none" w:sz="0" w:space="0" w:color="auto"/>
        <w:bottom w:val="none" w:sz="0" w:space="0" w:color="auto"/>
        <w:right w:val="none" w:sz="0" w:space="0" w:color="auto"/>
      </w:divBdr>
    </w:div>
    <w:div w:id="757948522">
      <w:bodyDiv w:val="1"/>
      <w:marLeft w:val="0"/>
      <w:marRight w:val="0"/>
      <w:marTop w:val="0"/>
      <w:marBottom w:val="0"/>
      <w:divBdr>
        <w:top w:val="none" w:sz="0" w:space="0" w:color="auto"/>
        <w:left w:val="none" w:sz="0" w:space="0" w:color="auto"/>
        <w:bottom w:val="none" w:sz="0" w:space="0" w:color="auto"/>
        <w:right w:val="none" w:sz="0" w:space="0" w:color="auto"/>
      </w:divBdr>
    </w:div>
    <w:div w:id="818765476">
      <w:bodyDiv w:val="1"/>
      <w:marLeft w:val="0"/>
      <w:marRight w:val="0"/>
      <w:marTop w:val="0"/>
      <w:marBottom w:val="0"/>
      <w:divBdr>
        <w:top w:val="none" w:sz="0" w:space="0" w:color="auto"/>
        <w:left w:val="none" w:sz="0" w:space="0" w:color="auto"/>
        <w:bottom w:val="none" w:sz="0" w:space="0" w:color="auto"/>
        <w:right w:val="none" w:sz="0" w:space="0" w:color="auto"/>
      </w:divBdr>
    </w:div>
    <w:div w:id="823400368">
      <w:bodyDiv w:val="1"/>
      <w:marLeft w:val="0"/>
      <w:marRight w:val="0"/>
      <w:marTop w:val="0"/>
      <w:marBottom w:val="0"/>
      <w:divBdr>
        <w:top w:val="none" w:sz="0" w:space="0" w:color="auto"/>
        <w:left w:val="none" w:sz="0" w:space="0" w:color="auto"/>
        <w:bottom w:val="none" w:sz="0" w:space="0" w:color="auto"/>
        <w:right w:val="none" w:sz="0" w:space="0" w:color="auto"/>
      </w:divBdr>
    </w:div>
    <w:div w:id="824246358">
      <w:bodyDiv w:val="1"/>
      <w:marLeft w:val="0"/>
      <w:marRight w:val="0"/>
      <w:marTop w:val="0"/>
      <w:marBottom w:val="0"/>
      <w:divBdr>
        <w:top w:val="none" w:sz="0" w:space="0" w:color="auto"/>
        <w:left w:val="none" w:sz="0" w:space="0" w:color="auto"/>
        <w:bottom w:val="none" w:sz="0" w:space="0" w:color="auto"/>
        <w:right w:val="none" w:sz="0" w:space="0" w:color="auto"/>
      </w:divBdr>
    </w:div>
    <w:div w:id="839735339">
      <w:bodyDiv w:val="1"/>
      <w:marLeft w:val="0"/>
      <w:marRight w:val="0"/>
      <w:marTop w:val="0"/>
      <w:marBottom w:val="0"/>
      <w:divBdr>
        <w:top w:val="none" w:sz="0" w:space="0" w:color="auto"/>
        <w:left w:val="none" w:sz="0" w:space="0" w:color="auto"/>
        <w:bottom w:val="none" w:sz="0" w:space="0" w:color="auto"/>
        <w:right w:val="none" w:sz="0" w:space="0" w:color="auto"/>
      </w:divBdr>
    </w:div>
    <w:div w:id="869105312">
      <w:bodyDiv w:val="1"/>
      <w:marLeft w:val="0"/>
      <w:marRight w:val="0"/>
      <w:marTop w:val="0"/>
      <w:marBottom w:val="0"/>
      <w:divBdr>
        <w:top w:val="none" w:sz="0" w:space="0" w:color="auto"/>
        <w:left w:val="none" w:sz="0" w:space="0" w:color="auto"/>
        <w:bottom w:val="none" w:sz="0" w:space="0" w:color="auto"/>
        <w:right w:val="none" w:sz="0" w:space="0" w:color="auto"/>
      </w:divBdr>
    </w:div>
    <w:div w:id="880215492">
      <w:bodyDiv w:val="1"/>
      <w:marLeft w:val="0"/>
      <w:marRight w:val="0"/>
      <w:marTop w:val="0"/>
      <w:marBottom w:val="0"/>
      <w:divBdr>
        <w:top w:val="none" w:sz="0" w:space="0" w:color="auto"/>
        <w:left w:val="none" w:sz="0" w:space="0" w:color="auto"/>
        <w:bottom w:val="none" w:sz="0" w:space="0" w:color="auto"/>
        <w:right w:val="none" w:sz="0" w:space="0" w:color="auto"/>
      </w:divBdr>
    </w:div>
    <w:div w:id="993028123">
      <w:bodyDiv w:val="1"/>
      <w:marLeft w:val="0"/>
      <w:marRight w:val="0"/>
      <w:marTop w:val="0"/>
      <w:marBottom w:val="0"/>
      <w:divBdr>
        <w:top w:val="none" w:sz="0" w:space="0" w:color="auto"/>
        <w:left w:val="none" w:sz="0" w:space="0" w:color="auto"/>
        <w:bottom w:val="none" w:sz="0" w:space="0" w:color="auto"/>
        <w:right w:val="none" w:sz="0" w:space="0" w:color="auto"/>
      </w:divBdr>
    </w:div>
    <w:div w:id="1065761675">
      <w:bodyDiv w:val="1"/>
      <w:marLeft w:val="0"/>
      <w:marRight w:val="0"/>
      <w:marTop w:val="0"/>
      <w:marBottom w:val="0"/>
      <w:divBdr>
        <w:top w:val="none" w:sz="0" w:space="0" w:color="auto"/>
        <w:left w:val="none" w:sz="0" w:space="0" w:color="auto"/>
        <w:bottom w:val="none" w:sz="0" w:space="0" w:color="auto"/>
        <w:right w:val="none" w:sz="0" w:space="0" w:color="auto"/>
      </w:divBdr>
    </w:div>
    <w:div w:id="1098911027">
      <w:bodyDiv w:val="1"/>
      <w:marLeft w:val="0"/>
      <w:marRight w:val="0"/>
      <w:marTop w:val="0"/>
      <w:marBottom w:val="0"/>
      <w:divBdr>
        <w:top w:val="none" w:sz="0" w:space="0" w:color="auto"/>
        <w:left w:val="none" w:sz="0" w:space="0" w:color="auto"/>
        <w:bottom w:val="none" w:sz="0" w:space="0" w:color="auto"/>
        <w:right w:val="none" w:sz="0" w:space="0" w:color="auto"/>
      </w:divBdr>
    </w:div>
    <w:div w:id="1128160198">
      <w:bodyDiv w:val="1"/>
      <w:marLeft w:val="0"/>
      <w:marRight w:val="0"/>
      <w:marTop w:val="0"/>
      <w:marBottom w:val="0"/>
      <w:divBdr>
        <w:top w:val="none" w:sz="0" w:space="0" w:color="auto"/>
        <w:left w:val="none" w:sz="0" w:space="0" w:color="auto"/>
        <w:bottom w:val="none" w:sz="0" w:space="0" w:color="auto"/>
        <w:right w:val="none" w:sz="0" w:space="0" w:color="auto"/>
      </w:divBdr>
    </w:div>
    <w:div w:id="1148327421">
      <w:bodyDiv w:val="1"/>
      <w:marLeft w:val="0"/>
      <w:marRight w:val="0"/>
      <w:marTop w:val="0"/>
      <w:marBottom w:val="0"/>
      <w:divBdr>
        <w:top w:val="none" w:sz="0" w:space="0" w:color="auto"/>
        <w:left w:val="none" w:sz="0" w:space="0" w:color="auto"/>
        <w:bottom w:val="none" w:sz="0" w:space="0" w:color="auto"/>
        <w:right w:val="none" w:sz="0" w:space="0" w:color="auto"/>
      </w:divBdr>
    </w:div>
    <w:div w:id="1199197532">
      <w:bodyDiv w:val="1"/>
      <w:marLeft w:val="0"/>
      <w:marRight w:val="0"/>
      <w:marTop w:val="0"/>
      <w:marBottom w:val="0"/>
      <w:divBdr>
        <w:top w:val="none" w:sz="0" w:space="0" w:color="auto"/>
        <w:left w:val="none" w:sz="0" w:space="0" w:color="auto"/>
        <w:bottom w:val="none" w:sz="0" w:space="0" w:color="auto"/>
        <w:right w:val="none" w:sz="0" w:space="0" w:color="auto"/>
      </w:divBdr>
    </w:div>
    <w:div w:id="1206209827">
      <w:bodyDiv w:val="1"/>
      <w:marLeft w:val="0"/>
      <w:marRight w:val="0"/>
      <w:marTop w:val="0"/>
      <w:marBottom w:val="0"/>
      <w:divBdr>
        <w:top w:val="none" w:sz="0" w:space="0" w:color="auto"/>
        <w:left w:val="none" w:sz="0" w:space="0" w:color="auto"/>
        <w:bottom w:val="none" w:sz="0" w:space="0" w:color="auto"/>
        <w:right w:val="none" w:sz="0" w:space="0" w:color="auto"/>
      </w:divBdr>
    </w:div>
    <w:div w:id="1277131668">
      <w:bodyDiv w:val="1"/>
      <w:marLeft w:val="0"/>
      <w:marRight w:val="0"/>
      <w:marTop w:val="0"/>
      <w:marBottom w:val="0"/>
      <w:divBdr>
        <w:top w:val="none" w:sz="0" w:space="0" w:color="auto"/>
        <w:left w:val="none" w:sz="0" w:space="0" w:color="auto"/>
        <w:bottom w:val="none" w:sz="0" w:space="0" w:color="auto"/>
        <w:right w:val="none" w:sz="0" w:space="0" w:color="auto"/>
      </w:divBdr>
    </w:div>
    <w:div w:id="1291402680">
      <w:bodyDiv w:val="1"/>
      <w:marLeft w:val="0"/>
      <w:marRight w:val="0"/>
      <w:marTop w:val="0"/>
      <w:marBottom w:val="0"/>
      <w:divBdr>
        <w:top w:val="none" w:sz="0" w:space="0" w:color="auto"/>
        <w:left w:val="none" w:sz="0" w:space="0" w:color="auto"/>
        <w:bottom w:val="none" w:sz="0" w:space="0" w:color="auto"/>
        <w:right w:val="none" w:sz="0" w:space="0" w:color="auto"/>
      </w:divBdr>
      <w:divsChild>
        <w:div w:id="8719965">
          <w:marLeft w:val="0"/>
          <w:marRight w:val="0"/>
          <w:marTop w:val="0"/>
          <w:marBottom w:val="0"/>
          <w:divBdr>
            <w:top w:val="none" w:sz="0" w:space="0" w:color="auto"/>
            <w:left w:val="none" w:sz="0" w:space="0" w:color="auto"/>
            <w:bottom w:val="none" w:sz="0" w:space="0" w:color="auto"/>
            <w:right w:val="none" w:sz="0" w:space="0" w:color="auto"/>
          </w:divBdr>
        </w:div>
        <w:div w:id="229463569">
          <w:marLeft w:val="0"/>
          <w:marRight w:val="0"/>
          <w:marTop w:val="0"/>
          <w:marBottom w:val="0"/>
          <w:divBdr>
            <w:top w:val="none" w:sz="0" w:space="0" w:color="auto"/>
            <w:left w:val="none" w:sz="0" w:space="0" w:color="auto"/>
            <w:bottom w:val="none" w:sz="0" w:space="0" w:color="auto"/>
            <w:right w:val="none" w:sz="0" w:space="0" w:color="auto"/>
          </w:divBdr>
        </w:div>
        <w:div w:id="528176943">
          <w:marLeft w:val="0"/>
          <w:marRight w:val="0"/>
          <w:marTop w:val="0"/>
          <w:marBottom w:val="0"/>
          <w:divBdr>
            <w:top w:val="none" w:sz="0" w:space="0" w:color="auto"/>
            <w:left w:val="none" w:sz="0" w:space="0" w:color="auto"/>
            <w:bottom w:val="none" w:sz="0" w:space="0" w:color="auto"/>
            <w:right w:val="none" w:sz="0" w:space="0" w:color="auto"/>
          </w:divBdr>
        </w:div>
        <w:div w:id="1069306842">
          <w:marLeft w:val="0"/>
          <w:marRight w:val="0"/>
          <w:marTop w:val="0"/>
          <w:marBottom w:val="0"/>
          <w:divBdr>
            <w:top w:val="none" w:sz="0" w:space="0" w:color="auto"/>
            <w:left w:val="none" w:sz="0" w:space="0" w:color="auto"/>
            <w:bottom w:val="none" w:sz="0" w:space="0" w:color="auto"/>
            <w:right w:val="none" w:sz="0" w:space="0" w:color="auto"/>
          </w:divBdr>
        </w:div>
        <w:div w:id="1231884945">
          <w:marLeft w:val="0"/>
          <w:marRight w:val="0"/>
          <w:marTop w:val="0"/>
          <w:marBottom w:val="0"/>
          <w:divBdr>
            <w:top w:val="none" w:sz="0" w:space="0" w:color="auto"/>
            <w:left w:val="none" w:sz="0" w:space="0" w:color="auto"/>
            <w:bottom w:val="none" w:sz="0" w:space="0" w:color="auto"/>
            <w:right w:val="none" w:sz="0" w:space="0" w:color="auto"/>
          </w:divBdr>
        </w:div>
        <w:div w:id="1278639298">
          <w:marLeft w:val="0"/>
          <w:marRight w:val="0"/>
          <w:marTop w:val="0"/>
          <w:marBottom w:val="0"/>
          <w:divBdr>
            <w:top w:val="none" w:sz="0" w:space="0" w:color="auto"/>
            <w:left w:val="none" w:sz="0" w:space="0" w:color="auto"/>
            <w:bottom w:val="none" w:sz="0" w:space="0" w:color="auto"/>
            <w:right w:val="none" w:sz="0" w:space="0" w:color="auto"/>
          </w:divBdr>
        </w:div>
        <w:div w:id="1318193813">
          <w:marLeft w:val="0"/>
          <w:marRight w:val="0"/>
          <w:marTop w:val="0"/>
          <w:marBottom w:val="0"/>
          <w:divBdr>
            <w:top w:val="none" w:sz="0" w:space="0" w:color="auto"/>
            <w:left w:val="none" w:sz="0" w:space="0" w:color="auto"/>
            <w:bottom w:val="none" w:sz="0" w:space="0" w:color="auto"/>
            <w:right w:val="none" w:sz="0" w:space="0" w:color="auto"/>
          </w:divBdr>
          <w:divsChild>
            <w:div w:id="1250773716">
              <w:marLeft w:val="-75"/>
              <w:marRight w:val="0"/>
              <w:marTop w:val="30"/>
              <w:marBottom w:val="30"/>
              <w:divBdr>
                <w:top w:val="none" w:sz="0" w:space="0" w:color="auto"/>
                <w:left w:val="none" w:sz="0" w:space="0" w:color="auto"/>
                <w:bottom w:val="none" w:sz="0" w:space="0" w:color="auto"/>
                <w:right w:val="none" w:sz="0" w:space="0" w:color="auto"/>
              </w:divBdr>
              <w:divsChild>
                <w:div w:id="31540688">
                  <w:marLeft w:val="0"/>
                  <w:marRight w:val="0"/>
                  <w:marTop w:val="0"/>
                  <w:marBottom w:val="0"/>
                  <w:divBdr>
                    <w:top w:val="none" w:sz="0" w:space="0" w:color="auto"/>
                    <w:left w:val="none" w:sz="0" w:space="0" w:color="auto"/>
                    <w:bottom w:val="none" w:sz="0" w:space="0" w:color="auto"/>
                    <w:right w:val="none" w:sz="0" w:space="0" w:color="auto"/>
                  </w:divBdr>
                  <w:divsChild>
                    <w:div w:id="1775442879">
                      <w:marLeft w:val="0"/>
                      <w:marRight w:val="0"/>
                      <w:marTop w:val="0"/>
                      <w:marBottom w:val="0"/>
                      <w:divBdr>
                        <w:top w:val="none" w:sz="0" w:space="0" w:color="auto"/>
                        <w:left w:val="none" w:sz="0" w:space="0" w:color="auto"/>
                        <w:bottom w:val="none" w:sz="0" w:space="0" w:color="auto"/>
                        <w:right w:val="none" w:sz="0" w:space="0" w:color="auto"/>
                      </w:divBdr>
                    </w:div>
                  </w:divsChild>
                </w:div>
                <w:div w:id="39519777">
                  <w:marLeft w:val="0"/>
                  <w:marRight w:val="0"/>
                  <w:marTop w:val="0"/>
                  <w:marBottom w:val="0"/>
                  <w:divBdr>
                    <w:top w:val="none" w:sz="0" w:space="0" w:color="auto"/>
                    <w:left w:val="none" w:sz="0" w:space="0" w:color="auto"/>
                    <w:bottom w:val="none" w:sz="0" w:space="0" w:color="auto"/>
                    <w:right w:val="none" w:sz="0" w:space="0" w:color="auto"/>
                  </w:divBdr>
                  <w:divsChild>
                    <w:div w:id="1617062676">
                      <w:marLeft w:val="0"/>
                      <w:marRight w:val="0"/>
                      <w:marTop w:val="0"/>
                      <w:marBottom w:val="0"/>
                      <w:divBdr>
                        <w:top w:val="none" w:sz="0" w:space="0" w:color="auto"/>
                        <w:left w:val="none" w:sz="0" w:space="0" w:color="auto"/>
                        <w:bottom w:val="none" w:sz="0" w:space="0" w:color="auto"/>
                        <w:right w:val="none" w:sz="0" w:space="0" w:color="auto"/>
                      </w:divBdr>
                    </w:div>
                  </w:divsChild>
                </w:div>
                <w:div w:id="51933391">
                  <w:marLeft w:val="0"/>
                  <w:marRight w:val="0"/>
                  <w:marTop w:val="0"/>
                  <w:marBottom w:val="0"/>
                  <w:divBdr>
                    <w:top w:val="none" w:sz="0" w:space="0" w:color="auto"/>
                    <w:left w:val="none" w:sz="0" w:space="0" w:color="auto"/>
                    <w:bottom w:val="none" w:sz="0" w:space="0" w:color="auto"/>
                    <w:right w:val="none" w:sz="0" w:space="0" w:color="auto"/>
                  </w:divBdr>
                  <w:divsChild>
                    <w:div w:id="658534344">
                      <w:marLeft w:val="0"/>
                      <w:marRight w:val="0"/>
                      <w:marTop w:val="0"/>
                      <w:marBottom w:val="0"/>
                      <w:divBdr>
                        <w:top w:val="none" w:sz="0" w:space="0" w:color="auto"/>
                        <w:left w:val="none" w:sz="0" w:space="0" w:color="auto"/>
                        <w:bottom w:val="none" w:sz="0" w:space="0" w:color="auto"/>
                        <w:right w:val="none" w:sz="0" w:space="0" w:color="auto"/>
                      </w:divBdr>
                    </w:div>
                  </w:divsChild>
                </w:div>
                <w:div w:id="82264472">
                  <w:marLeft w:val="0"/>
                  <w:marRight w:val="0"/>
                  <w:marTop w:val="0"/>
                  <w:marBottom w:val="0"/>
                  <w:divBdr>
                    <w:top w:val="none" w:sz="0" w:space="0" w:color="auto"/>
                    <w:left w:val="none" w:sz="0" w:space="0" w:color="auto"/>
                    <w:bottom w:val="none" w:sz="0" w:space="0" w:color="auto"/>
                    <w:right w:val="none" w:sz="0" w:space="0" w:color="auto"/>
                  </w:divBdr>
                  <w:divsChild>
                    <w:div w:id="974061815">
                      <w:marLeft w:val="0"/>
                      <w:marRight w:val="0"/>
                      <w:marTop w:val="0"/>
                      <w:marBottom w:val="0"/>
                      <w:divBdr>
                        <w:top w:val="none" w:sz="0" w:space="0" w:color="auto"/>
                        <w:left w:val="none" w:sz="0" w:space="0" w:color="auto"/>
                        <w:bottom w:val="none" w:sz="0" w:space="0" w:color="auto"/>
                        <w:right w:val="none" w:sz="0" w:space="0" w:color="auto"/>
                      </w:divBdr>
                    </w:div>
                  </w:divsChild>
                </w:div>
                <w:div w:id="89666528">
                  <w:marLeft w:val="0"/>
                  <w:marRight w:val="0"/>
                  <w:marTop w:val="0"/>
                  <w:marBottom w:val="0"/>
                  <w:divBdr>
                    <w:top w:val="none" w:sz="0" w:space="0" w:color="auto"/>
                    <w:left w:val="none" w:sz="0" w:space="0" w:color="auto"/>
                    <w:bottom w:val="none" w:sz="0" w:space="0" w:color="auto"/>
                    <w:right w:val="none" w:sz="0" w:space="0" w:color="auto"/>
                  </w:divBdr>
                  <w:divsChild>
                    <w:div w:id="768163257">
                      <w:marLeft w:val="0"/>
                      <w:marRight w:val="0"/>
                      <w:marTop w:val="0"/>
                      <w:marBottom w:val="0"/>
                      <w:divBdr>
                        <w:top w:val="none" w:sz="0" w:space="0" w:color="auto"/>
                        <w:left w:val="none" w:sz="0" w:space="0" w:color="auto"/>
                        <w:bottom w:val="none" w:sz="0" w:space="0" w:color="auto"/>
                        <w:right w:val="none" w:sz="0" w:space="0" w:color="auto"/>
                      </w:divBdr>
                    </w:div>
                  </w:divsChild>
                </w:div>
                <w:div w:id="155463327">
                  <w:marLeft w:val="0"/>
                  <w:marRight w:val="0"/>
                  <w:marTop w:val="0"/>
                  <w:marBottom w:val="0"/>
                  <w:divBdr>
                    <w:top w:val="none" w:sz="0" w:space="0" w:color="auto"/>
                    <w:left w:val="none" w:sz="0" w:space="0" w:color="auto"/>
                    <w:bottom w:val="none" w:sz="0" w:space="0" w:color="auto"/>
                    <w:right w:val="none" w:sz="0" w:space="0" w:color="auto"/>
                  </w:divBdr>
                  <w:divsChild>
                    <w:div w:id="762798290">
                      <w:marLeft w:val="0"/>
                      <w:marRight w:val="0"/>
                      <w:marTop w:val="0"/>
                      <w:marBottom w:val="0"/>
                      <w:divBdr>
                        <w:top w:val="none" w:sz="0" w:space="0" w:color="auto"/>
                        <w:left w:val="none" w:sz="0" w:space="0" w:color="auto"/>
                        <w:bottom w:val="none" w:sz="0" w:space="0" w:color="auto"/>
                        <w:right w:val="none" w:sz="0" w:space="0" w:color="auto"/>
                      </w:divBdr>
                    </w:div>
                  </w:divsChild>
                </w:div>
                <w:div w:id="207305405">
                  <w:marLeft w:val="0"/>
                  <w:marRight w:val="0"/>
                  <w:marTop w:val="0"/>
                  <w:marBottom w:val="0"/>
                  <w:divBdr>
                    <w:top w:val="none" w:sz="0" w:space="0" w:color="auto"/>
                    <w:left w:val="none" w:sz="0" w:space="0" w:color="auto"/>
                    <w:bottom w:val="none" w:sz="0" w:space="0" w:color="auto"/>
                    <w:right w:val="none" w:sz="0" w:space="0" w:color="auto"/>
                  </w:divBdr>
                  <w:divsChild>
                    <w:div w:id="1711564120">
                      <w:marLeft w:val="0"/>
                      <w:marRight w:val="0"/>
                      <w:marTop w:val="0"/>
                      <w:marBottom w:val="0"/>
                      <w:divBdr>
                        <w:top w:val="none" w:sz="0" w:space="0" w:color="auto"/>
                        <w:left w:val="none" w:sz="0" w:space="0" w:color="auto"/>
                        <w:bottom w:val="none" w:sz="0" w:space="0" w:color="auto"/>
                        <w:right w:val="none" w:sz="0" w:space="0" w:color="auto"/>
                      </w:divBdr>
                    </w:div>
                  </w:divsChild>
                </w:div>
                <w:div w:id="213203947">
                  <w:marLeft w:val="0"/>
                  <w:marRight w:val="0"/>
                  <w:marTop w:val="0"/>
                  <w:marBottom w:val="0"/>
                  <w:divBdr>
                    <w:top w:val="none" w:sz="0" w:space="0" w:color="auto"/>
                    <w:left w:val="none" w:sz="0" w:space="0" w:color="auto"/>
                    <w:bottom w:val="none" w:sz="0" w:space="0" w:color="auto"/>
                    <w:right w:val="none" w:sz="0" w:space="0" w:color="auto"/>
                  </w:divBdr>
                  <w:divsChild>
                    <w:div w:id="606696737">
                      <w:marLeft w:val="0"/>
                      <w:marRight w:val="0"/>
                      <w:marTop w:val="0"/>
                      <w:marBottom w:val="0"/>
                      <w:divBdr>
                        <w:top w:val="none" w:sz="0" w:space="0" w:color="auto"/>
                        <w:left w:val="none" w:sz="0" w:space="0" w:color="auto"/>
                        <w:bottom w:val="none" w:sz="0" w:space="0" w:color="auto"/>
                        <w:right w:val="none" w:sz="0" w:space="0" w:color="auto"/>
                      </w:divBdr>
                    </w:div>
                  </w:divsChild>
                </w:div>
                <w:div w:id="219295438">
                  <w:marLeft w:val="0"/>
                  <w:marRight w:val="0"/>
                  <w:marTop w:val="0"/>
                  <w:marBottom w:val="0"/>
                  <w:divBdr>
                    <w:top w:val="none" w:sz="0" w:space="0" w:color="auto"/>
                    <w:left w:val="none" w:sz="0" w:space="0" w:color="auto"/>
                    <w:bottom w:val="none" w:sz="0" w:space="0" w:color="auto"/>
                    <w:right w:val="none" w:sz="0" w:space="0" w:color="auto"/>
                  </w:divBdr>
                  <w:divsChild>
                    <w:div w:id="421874270">
                      <w:marLeft w:val="0"/>
                      <w:marRight w:val="0"/>
                      <w:marTop w:val="0"/>
                      <w:marBottom w:val="0"/>
                      <w:divBdr>
                        <w:top w:val="none" w:sz="0" w:space="0" w:color="auto"/>
                        <w:left w:val="none" w:sz="0" w:space="0" w:color="auto"/>
                        <w:bottom w:val="none" w:sz="0" w:space="0" w:color="auto"/>
                        <w:right w:val="none" w:sz="0" w:space="0" w:color="auto"/>
                      </w:divBdr>
                    </w:div>
                  </w:divsChild>
                </w:div>
                <w:div w:id="219873495">
                  <w:marLeft w:val="0"/>
                  <w:marRight w:val="0"/>
                  <w:marTop w:val="0"/>
                  <w:marBottom w:val="0"/>
                  <w:divBdr>
                    <w:top w:val="none" w:sz="0" w:space="0" w:color="auto"/>
                    <w:left w:val="none" w:sz="0" w:space="0" w:color="auto"/>
                    <w:bottom w:val="none" w:sz="0" w:space="0" w:color="auto"/>
                    <w:right w:val="none" w:sz="0" w:space="0" w:color="auto"/>
                  </w:divBdr>
                  <w:divsChild>
                    <w:div w:id="1942833441">
                      <w:marLeft w:val="0"/>
                      <w:marRight w:val="0"/>
                      <w:marTop w:val="0"/>
                      <w:marBottom w:val="0"/>
                      <w:divBdr>
                        <w:top w:val="none" w:sz="0" w:space="0" w:color="auto"/>
                        <w:left w:val="none" w:sz="0" w:space="0" w:color="auto"/>
                        <w:bottom w:val="none" w:sz="0" w:space="0" w:color="auto"/>
                        <w:right w:val="none" w:sz="0" w:space="0" w:color="auto"/>
                      </w:divBdr>
                    </w:div>
                  </w:divsChild>
                </w:div>
                <w:div w:id="238946296">
                  <w:marLeft w:val="0"/>
                  <w:marRight w:val="0"/>
                  <w:marTop w:val="0"/>
                  <w:marBottom w:val="0"/>
                  <w:divBdr>
                    <w:top w:val="none" w:sz="0" w:space="0" w:color="auto"/>
                    <w:left w:val="none" w:sz="0" w:space="0" w:color="auto"/>
                    <w:bottom w:val="none" w:sz="0" w:space="0" w:color="auto"/>
                    <w:right w:val="none" w:sz="0" w:space="0" w:color="auto"/>
                  </w:divBdr>
                  <w:divsChild>
                    <w:div w:id="176893635">
                      <w:marLeft w:val="0"/>
                      <w:marRight w:val="0"/>
                      <w:marTop w:val="0"/>
                      <w:marBottom w:val="0"/>
                      <w:divBdr>
                        <w:top w:val="none" w:sz="0" w:space="0" w:color="auto"/>
                        <w:left w:val="none" w:sz="0" w:space="0" w:color="auto"/>
                        <w:bottom w:val="none" w:sz="0" w:space="0" w:color="auto"/>
                        <w:right w:val="none" w:sz="0" w:space="0" w:color="auto"/>
                      </w:divBdr>
                    </w:div>
                  </w:divsChild>
                </w:div>
                <w:div w:id="243224423">
                  <w:marLeft w:val="0"/>
                  <w:marRight w:val="0"/>
                  <w:marTop w:val="0"/>
                  <w:marBottom w:val="0"/>
                  <w:divBdr>
                    <w:top w:val="none" w:sz="0" w:space="0" w:color="auto"/>
                    <w:left w:val="none" w:sz="0" w:space="0" w:color="auto"/>
                    <w:bottom w:val="none" w:sz="0" w:space="0" w:color="auto"/>
                    <w:right w:val="none" w:sz="0" w:space="0" w:color="auto"/>
                  </w:divBdr>
                  <w:divsChild>
                    <w:div w:id="1683119771">
                      <w:marLeft w:val="0"/>
                      <w:marRight w:val="0"/>
                      <w:marTop w:val="0"/>
                      <w:marBottom w:val="0"/>
                      <w:divBdr>
                        <w:top w:val="none" w:sz="0" w:space="0" w:color="auto"/>
                        <w:left w:val="none" w:sz="0" w:space="0" w:color="auto"/>
                        <w:bottom w:val="none" w:sz="0" w:space="0" w:color="auto"/>
                        <w:right w:val="none" w:sz="0" w:space="0" w:color="auto"/>
                      </w:divBdr>
                    </w:div>
                  </w:divsChild>
                </w:div>
                <w:div w:id="294918452">
                  <w:marLeft w:val="0"/>
                  <w:marRight w:val="0"/>
                  <w:marTop w:val="0"/>
                  <w:marBottom w:val="0"/>
                  <w:divBdr>
                    <w:top w:val="none" w:sz="0" w:space="0" w:color="auto"/>
                    <w:left w:val="none" w:sz="0" w:space="0" w:color="auto"/>
                    <w:bottom w:val="none" w:sz="0" w:space="0" w:color="auto"/>
                    <w:right w:val="none" w:sz="0" w:space="0" w:color="auto"/>
                  </w:divBdr>
                  <w:divsChild>
                    <w:div w:id="750350084">
                      <w:marLeft w:val="0"/>
                      <w:marRight w:val="0"/>
                      <w:marTop w:val="0"/>
                      <w:marBottom w:val="0"/>
                      <w:divBdr>
                        <w:top w:val="none" w:sz="0" w:space="0" w:color="auto"/>
                        <w:left w:val="none" w:sz="0" w:space="0" w:color="auto"/>
                        <w:bottom w:val="none" w:sz="0" w:space="0" w:color="auto"/>
                        <w:right w:val="none" w:sz="0" w:space="0" w:color="auto"/>
                      </w:divBdr>
                    </w:div>
                  </w:divsChild>
                </w:div>
                <w:div w:id="318459720">
                  <w:marLeft w:val="0"/>
                  <w:marRight w:val="0"/>
                  <w:marTop w:val="0"/>
                  <w:marBottom w:val="0"/>
                  <w:divBdr>
                    <w:top w:val="none" w:sz="0" w:space="0" w:color="auto"/>
                    <w:left w:val="none" w:sz="0" w:space="0" w:color="auto"/>
                    <w:bottom w:val="none" w:sz="0" w:space="0" w:color="auto"/>
                    <w:right w:val="none" w:sz="0" w:space="0" w:color="auto"/>
                  </w:divBdr>
                  <w:divsChild>
                    <w:div w:id="1248342360">
                      <w:marLeft w:val="0"/>
                      <w:marRight w:val="0"/>
                      <w:marTop w:val="0"/>
                      <w:marBottom w:val="0"/>
                      <w:divBdr>
                        <w:top w:val="none" w:sz="0" w:space="0" w:color="auto"/>
                        <w:left w:val="none" w:sz="0" w:space="0" w:color="auto"/>
                        <w:bottom w:val="none" w:sz="0" w:space="0" w:color="auto"/>
                        <w:right w:val="none" w:sz="0" w:space="0" w:color="auto"/>
                      </w:divBdr>
                    </w:div>
                  </w:divsChild>
                </w:div>
                <w:div w:id="320354651">
                  <w:marLeft w:val="0"/>
                  <w:marRight w:val="0"/>
                  <w:marTop w:val="0"/>
                  <w:marBottom w:val="0"/>
                  <w:divBdr>
                    <w:top w:val="none" w:sz="0" w:space="0" w:color="auto"/>
                    <w:left w:val="none" w:sz="0" w:space="0" w:color="auto"/>
                    <w:bottom w:val="none" w:sz="0" w:space="0" w:color="auto"/>
                    <w:right w:val="none" w:sz="0" w:space="0" w:color="auto"/>
                  </w:divBdr>
                  <w:divsChild>
                    <w:div w:id="411659005">
                      <w:marLeft w:val="0"/>
                      <w:marRight w:val="0"/>
                      <w:marTop w:val="0"/>
                      <w:marBottom w:val="0"/>
                      <w:divBdr>
                        <w:top w:val="none" w:sz="0" w:space="0" w:color="auto"/>
                        <w:left w:val="none" w:sz="0" w:space="0" w:color="auto"/>
                        <w:bottom w:val="none" w:sz="0" w:space="0" w:color="auto"/>
                        <w:right w:val="none" w:sz="0" w:space="0" w:color="auto"/>
                      </w:divBdr>
                    </w:div>
                  </w:divsChild>
                </w:div>
                <w:div w:id="335962019">
                  <w:marLeft w:val="0"/>
                  <w:marRight w:val="0"/>
                  <w:marTop w:val="0"/>
                  <w:marBottom w:val="0"/>
                  <w:divBdr>
                    <w:top w:val="none" w:sz="0" w:space="0" w:color="auto"/>
                    <w:left w:val="none" w:sz="0" w:space="0" w:color="auto"/>
                    <w:bottom w:val="none" w:sz="0" w:space="0" w:color="auto"/>
                    <w:right w:val="none" w:sz="0" w:space="0" w:color="auto"/>
                  </w:divBdr>
                  <w:divsChild>
                    <w:div w:id="1055665592">
                      <w:marLeft w:val="0"/>
                      <w:marRight w:val="0"/>
                      <w:marTop w:val="0"/>
                      <w:marBottom w:val="0"/>
                      <w:divBdr>
                        <w:top w:val="none" w:sz="0" w:space="0" w:color="auto"/>
                        <w:left w:val="none" w:sz="0" w:space="0" w:color="auto"/>
                        <w:bottom w:val="none" w:sz="0" w:space="0" w:color="auto"/>
                        <w:right w:val="none" w:sz="0" w:space="0" w:color="auto"/>
                      </w:divBdr>
                    </w:div>
                  </w:divsChild>
                </w:div>
                <w:div w:id="399980333">
                  <w:marLeft w:val="0"/>
                  <w:marRight w:val="0"/>
                  <w:marTop w:val="0"/>
                  <w:marBottom w:val="0"/>
                  <w:divBdr>
                    <w:top w:val="none" w:sz="0" w:space="0" w:color="auto"/>
                    <w:left w:val="none" w:sz="0" w:space="0" w:color="auto"/>
                    <w:bottom w:val="none" w:sz="0" w:space="0" w:color="auto"/>
                    <w:right w:val="none" w:sz="0" w:space="0" w:color="auto"/>
                  </w:divBdr>
                  <w:divsChild>
                    <w:div w:id="1901624903">
                      <w:marLeft w:val="0"/>
                      <w:marRight w:val="0"/>
                      <w:marTop w:val="0"/>
                      <w:marBottom w:val="0"/>
                      <w:divBdr>
                        <w:top w:val="none" w:sz="0" w:space="0" w:color="auto"/>
                        <w:left w:val="none" w:sz="0" w:space="0" w:color="auto"/>
                        <w:bottom w:val="none" w:sz="0" w:space="0" w:color="auto"/>
                        <w:right w:val="none" w:sz="0" w:space="0" w:color="auto"/>
                      </w:divBdr>
                    </w:div>
                  </w:divsChild>
                </w:div>
                <w:div w:id="402220640">
                  <w:marLeft w:val="0"/>
                  <w:marRight w:val="0"/>
                  <w:marTop w:val="0"/>
                  <w:marBottom w:val="0"/>
                  <w:divBdr>
                    <w:top w:val="none" w:sz="0" w:space="0" w:color="auto"/>
                    <w:left w:val="none" w:sz="0" w:space="0" w:color="auto"/>
                    <w:bottom w:val="none" w:sz="0" w:space="0" w:color="auto"/>
                    <w:right w:val="none" w:sz="0" w:space="0" w:color="auto"/>
                  </w:divBdr>
                  <w:divsChild>
                    <w:div w:id="507332420">
                      <w:marLeft w:val="0"/>
                      <w:marRight w:val="0"/>
                      <w:marTop w:val="0"/>
                      <w:marBottom w:val="0"/>
                      <w:divBdr>
                        <w:top w:val="none" w:sz="0" w:space="0" w:color="auto"/>
                        <w:left w:val="none" w:sz="0" w:space="0" w:color="auto"/>
                        <w:bottom w:val="none" w:sz="0" w:space="0" w:color="auto"/>
                        <w:right w:val="none" w:sz="0" w:space="0" w:color="auto"/>
                      </w:divBdr>
                    </w:div>
                  </w:divsChild>
                </w:div>
                <w:div w:id="411590950">
                  <w:marLeft w:val="0"/>
                  <w:marRight w:val="0"/>
                  <w:marTop w:val="0"/>
                  <w:marBottom w:val="0"/>
                  <w:divBdr>
                    <w:top w:val="none" w:sz="0" w:space="0" w:color="auto"/>
                    <w:left w:val="none" w:sz="0" w:space="0" w:color="auto"/>
                    <w:bottom w:val="none" w:sz="0" w:space="0" w:color="auto"/>
                    <w:right w:val="none" w:sz="0" w:space="0" w:color="auto"/>
                  </w:divBdr>
                  <w:divsChild>
                    <w:div w:id="419568085">
                      <w:marLeft w:val="0"/>
                      <w:marRight w:val="0"/>
                      <w:marTop w:val="0"/>
                      <w:marBottom w:val="0"/>
                      <w:divBdr>
                        <w:top w:val="none" w:sz="0" w:space="0" w:color="auto"/>
                        <w:left w:val="none" w:sz="0" w:space="0" w:color="auto"/>
                        <w:bottom w:val="none" w:sz="0" w:space="0" w:color="auto"/>
                        <w:right w:val="none" w:sz="0" w:space="0" w:color="auto"/>
                      </w:divBdr>
                    </w:div>
                  </w:divsChild>
                </w:div>
                <w:div w:id="452018168">
                  <w:marLeft w:val="0"/>
                  <w:marRight w:val="0"/>
                  <w:marTop w:val="0"/>
                  <w:marBottom w:val="0"/>
                  <w:divBdr>
                    <w:top w:val="none" w:sz="0" w:space="0" w:color="auto"/>
                    <w:left w:val="none" w:sz="0" w:space="0" w:color="auto"/>
                    <w:bottom w:val="none" w:sz="0" w:space="0" w:color="auto"/>
                    <w:right w:val="none" w:sz="0" w:space="0" w:color="auto"/>
                  </w:divBdr>
                  <w:divsChild>
                    <w:div w:id="286863210">
                      <w:marLeft w:val="0"/>
                      <w:marRight w:val="0"/>
                      <w:marTop w:val="0"/>
                      <w:marBottom w:val="0"/>
                      <w:divBdr>
                        <w:top w:val="none" w:sz="0" w:space="0" w:color="auto"/>
                        <w:left w:val="none" w:sz="0" w:space="0" w:color="auto"/>
                        <w:bottom w:val="none" w:sz="0" w:space="0" w:color="auto"/>
                        <w:right w:val="none" w:sz="0" w:space="0" w:color="auto"/>
                      </w:divBdr>
                    </w:div>
                  </w:divsChild>
                </w:div>
                <w:div w:id="481506246">
                  <w:marLeft w:val="0"/>
                  <w:marRight w:val="0"/>
                  <w:marTop w:val="0"/>
                  <w:marBottom w:val="0"/>
                  <w:divBdr>
                    <w:top w:val="none" w:sz="0" w:space="0" w:color="auto"/>
                    <w:left w:val="none" w:sz="0" w:space="0" w:color="auto"/>
                    <w:bottom w:val="none" w:sz="0" w:space="0" w:color="auto"/>
                    <w:right w:val="none" w:sz="0" w:space="0" w:color="auto"/>
                  </w:divBdr>
                  <w:divsChild>
                    <w:div w:id="609629312">
                      <w:marLeft w:val="0"/>
                      <w:marRight w:val="0"/>
                      <w:marTop w:val="0"/>
                      <w:marBottom w:val="0"/>
                      <w:divBdr>
                        <w:top w:val="none" w:sz="0" w:space="0" w:color="auto"/>
                        <w:left w:val="none" w:sz="0" w:space="0" w:color="auto"/>
                        <w:bottom w:val="none" w:sz="0" w:space="0" w:color="auto"/>
                        <w:right w:val="none" w:sz="0" w:space="0" w:color="auto"/>
                      </w:divBdr>
                    </w:div>
                  </w:divsChild>
                </w:div>
                <w:div w:id="534124446">
                  <w:marLeft w:val="0"/>
                  <w:marRight w:val="0"/>
                  <w:marTop w:val="0"/>
                  <w:marBottom w:val="0"/>
                  <w:divBdr>
                    <w:top w:val="none" w:sz="0" w:space="0" w:color="auto"/>
                    <w:left w:val="none" w:sz="0" w:space="0" w:color="auto"/>
                    <w:bottom w:val="none" w:sz="0" w:space="0" w:color="auto"/>
                    <w:right w:val="none" w:sz="0" w:space="0" w:color="auto"/>
                  </w:divBdr>
                  <w:divsChild>
                    <w:div w:id="497615673">
                      <w:marLeft w:val="0"/>
                      <w:marRight w:val="0"/>
                      <w:marTop w:val="0"/>
                      <w:marBottom w:val="0"/>
                      <w:divBdr>
                        <w:top w:val="none" w:sz="0" w:space="0" w:color="auto"/>
                        <w:left w:val="none" w:sz="0" w:space="0" w:color="auto"/>
                        <w:bottom w:val="none" w:sz="0" w:space="0" w:color="auto"/>
                        <w:right w:val="none" w:sz="0" w:space="0" w:color="auto"/>
                      </w:divBdr>
                    </w:div>
                  </w:divsChild>
                </w:div>
                <w:div w:id="535505306">
                  <w:marLeft w:val="0"/>
                  <w:marRight w:val="0"/>
                  <w:marTop w:val="0"/>
                  <w:marBottom w:val="0"/>
                  <w:divBdr>
                    <w:top w:val="none" w:sz="0" w:space="0" w:color="auto"/>
                    <w:left w:val="none" w:sz="0" w:space="0" w:color="auto"/>
                    <w:bottom w:val="none" w:sz="0" w:space="0" w:color="auto"/>
                    <w:right w:val="none" w:sz="0" w:space="0" w:color="auto"/>
                  </w:divBdr>
                  <w:divsChild>
                    <w:div w:id="1152991247">
                      <w:marLeft w:val="0"/>
                      <w:marRight w:val="0"/>
                      <w:marTop w:val="0"/>
                      <w:marBottom w:val="0"/>
                      <w:divBdr>
                        <w:top w:val="none" w:sz="0" w:space="0" w:color="auto"/>
                        <w:left w:val="none" w:sz="0" w:space="0" w:color="auto"/>
                        <w:bottom w:val="none" w:sz="0" w:space="0" w:color="auto"/>
                        <w:right w:val="none" w:sz="0" w:space="0" w:color="auto"/>
                      </w:divBdr>
                    </w:div>
                  </w:divsChild>
                </w:div>
                <w:div w:id="537745580">
                  <w:marLeft w:val="0"/>
                  <w:marRight w:val="0"/>
                  <w:marTop w:val="0"/>
                  <w:marBottom w:val="0"/>
                  <w:divBdr>
                    <w:top w:val="none" w:sz="0" w:space="0" w:color="auto"/>
                    <w:left w:val="none" w:sz="0" w:space="0" w:color="auto"/>
                    <w:bottom w:val="none" w:sz="0" w:space="0" w:color="auto"/>
                    <w:right w:val="none" w:sz="0" w:space="0" w:color="auto"/>
                  </w:divBdr>
                  <w:divsChild>
                    <w:div w:id="1130441748">
                      <w:marLeft w:val="0"/>
                      <w:marRight w:val="0"/>
                      <w:marTop w:val="0"/>
                      <w:marBottom w:val="0"/>
                      <w:divBdr>
                        <w:top w:val="none" w:sz="0" w:space="0" w:color="auto"/>
                        <w:left w:val="none" w:sz="0" w:space="0" w:color="auto"/>
                        <w:bottom w:val="none" w:sz="0" w:space="0" w:color="auto"/>
                        <w:right w:val="none" w:sz="0" w:space="0" w:color="auto"/>
                      </w:divBdr>
                    </w:div>
                  </w:divsChild>
                </w:div>
                <w:div w:id="544829916">
                  <w:marLeft w:val="0"/>
                  <w:marRight w:val="0"/>
                  <w:marTop w:val="0"/>
                  <w:marBottom w:val="0"/>
                  <w:divBdr>
                    <w:top w:val="none" w:sz="0" w:space="0" w:color="auto"/>
                    <w:left w:val="none" w:sz="0" w:space="0" w:color="auto"/>
                    <w:bottom w:val="none" w:sz="0" w:space="0" w:color="auto"/>
                    <w:right w:val="none" w:sz="0" w:space="0" w:color="auto"/>
                  </w:divBdr>
                  <w:divsChild>
                    <w:div w:id="685910266">
                      <w:marLeft w:val="0"/>
                      <w:marRight w:val="0"/>
                      <w:marTop w:val="0"/>
                      <w:marBottom w:val="0"/>
                      <w:divBdr>
                        <w:top w:val="none" w:sz="0" w:space="0" w:color="auto"/>
                        <w:left w:val="none" w:sz="0" w:space="0" w:color="auto"/>
                        <w:bottom w:val="none" w:sz="0" w:space="0" w:color="auto"/>
                        <w:right w:val="none" w:sz="0" w:space="0" w:color="auto"/>
                      </w:divBdr>
                    </w:div>
                  </w:divsChild>
                </w:div>
                <w:div w:id="612177225">
                  <w:marLeft w:val="0"/>
                  <w:marRight w:val="0"/>
                  <w:marTop w:val="0"/>
                  <w:marBottom w:val="0"/>
                  <w:divBdr>
                    <w:top w:val="none" w:sz="0" w:space="0" w:color="auto"/>
                    <w:left w:val="none" w:sz="0" w:space="0" w:color="auto"/>
                    <w:bottom w:val="none" w:sz="0" w:space="0" w:color="auto"/>
                    <w:right w:val="none" w:sz="0" w:space="0" w:color="auto"/>
                  </w:divBdr>
                  <w:divsChild>
                    <w:div w:id="226305284">
                      <w:marLeft w:val="0"/>
                      <w:marRight w:val="0"/>
                      <w:marTop w:val="0"/>
                      <w:marBottom w:val="0"/>
                      <w:divBdr>
                        <w:top w:val="none" w:sz="0" w:space="0" w:color="auto"/>
                        <w:left w:val="none" w:sz="0" w:space="0" w:color="auto"/>
                        <w:bottom w:val="none" w:sz="0" w:space="0" w:color="auto"/>
                        <w:right w:val="none" w:sz="0" w:space="0" w:color="auto"/>
                      </w:divBdr>
                    </w:div>
                  </w:divsChild>
                </w:div>
                <w:div w:id="652565067">
                  <w:marLeft w:val="0"/>
                  <w:marRight w:val="0"/>
                  <w:marTop w:val="0"/>
                  <w:marBottom w:val="0"/>
                  <w:divBdr>
                    <w:top w:val="none" w:sz="0" w:space="0" w:color="auto"/>
                    <w:left w:val="none" w:sz="0" w:space="0" w:color="auto"/>
                    <w:bottom w:val="none" w:sz="0" w:space="0" w:color="auto"/>
                    <w:right w:val="none" w:sz="0" w:space="0" w:color="auto"/>
                  </w:divBdr>
                  <w:divsChild>
                    <w:div w:id="1346639394">
                      <w:marLeft w:val="0"/>
                      <w:marRight w:val="0"/>
                      <w:marTop w:val="0"/>
                      <w:marBottom w:val="0"/>
                      <w:divBdr>
                        <w:top w:val="none" w:sz="0" w:space="0" w:color="auto"/>
                        <w:left w:val="none" w:sz="0" w:space="0" w:color="auto"/>
                        <w:bottom w:val="none" w:sz="0" w:space="0" w:color="auto"/>
                        <w:right w:val="none" w:sz="0" w:space="0" w:color="auto"/>
                      </w:divBdr>
                    </w:div>
                  </w:divsChild>
                </w:div>
                <w:div w:id="657732743">
                  <w:marLeft w:val="0"/>
                  <w:marRight w:val="0"/>
                  <w:marTop w:val="0"/>
                  <w:marBottom w:val="0"/>
                  <w:divBdr>
                    <w:top w:val="none" w:sz="0" w:space="0" w:color="auto"/>
                    <w:left w:val="none" w:sz="0" w:space="0" w:color="auto"/>
                    <w:bottom w:val="none" w:sz="0" w:space="0" w:color="auto"/>
                    <w:right w:val="none" w:sz="0" w:space="0" w:color="auto"/>
                  </w:divBdr>
                  <w:divsChild>
                    <w:div w:id="30620814">
                      <w:marLeft w:val="0"/>
                      <w:marRight w:val="0"/>
                      <w:marTop w:val="0"/>
                      <w:marBottom w:val="0"/>
                      <w:divBdr>
                        <w:top w:val="none" w:sz="0" w:space="0" w:color="auto"/>
                        <w:left w:val="none" w:sz="0" w:space="0" w:color="auto"/>
                        <w:bottom w:val="none" w:sz="0" w:space="0" w:color="auto"/>
                        <w:right w:val="none" w:sz="0" w:space="0" w:color="auto"/>
                      </w:divBdr>
                    </w:div>
                  </w:divsChild>
                </w:div>
                <w:div w:id="658310528">
                  <w:marLeft w:val="0"/>
                  <w:marRight w:val="0"/>
                  <w:marTop w:val="0"/>
                  <w:marBottom w:val="0"/>
                  <w:divBdr>
                    <w:top w:val="none" w:sz="0" w:space="0" w:color="auto"/>
                    <w:left w:val="none" w:sz="0" w:space="0" w:color="auto"/>
                    <w:bottom w:val="none" w:sz="0" w:space="0" w:color="auto"/>
                    <w:right w:val="none" w:sz="0" w:space="0" w:color="auto"/>
                  </w:divBdr>
                  <w:divsChild>
                    <w:div w:id="2080328580">
                      <w:marLeft w:val="0"/>
                      <w:marRight w:val="0"/>
                      <w:marTop w:val="0"/>
                      <w:marBottom w:val="0"/>
                      <w:divBdr>
                        <w:top w:val="none" w:sz="0" w:space="0" w:color="auto"/>
                        <w:left w:val="none" w:sz="0" w:space="0" w:color="auto"/>
                        <w:bottom w:val="none" w:sz="0" w:space="0" w:color="auto"/>
                        <w:right w:val="none" w:sz="0" w:space="0" w:color="auto"/>
                      </w:divBdr>
                    </w:div>
                  </w:divsChild>
                </w:div>
                <w:div w:id="666980256">
                  <w:marLeft w:val="0"/>
                  <w:marRight w:val="0"/>
                  <w:marTop w:val="0"/>
                  <w:marBottom w:val="0"/>
                  <w:divBdr>
                    <w:top w:val="none" w:sz="0" w:space="0" w:color="auto"/>
                    <w:left w:val="none" w:sz="0" w:space="0" w:color="auto"/>
                    <w:bottom w:val="none" w:sz="0" w:space="0" w:color="auto"/>
                    <w:right w:val="none" w:sz="0" w:space="0" w:color="auto"/>
                  </w:divBdr>
                  <w:divsChild>
                    <w:div w:id="2027243106">
                      <w:marLeft w:val="0"/>
                      <w:marRight w:val="0"/>
                      <w:marTop w:val="0"/>
                      <w:marBottom w:val="0"/>
                      <w:divBdr>
                        <w:top w:val="none" w:sz="0" w:space="0" w:color="auto"/>
                        <w:left w:val="none" w:sz="0" w:space="0" w:color="auto"/>
                        <w:bottom w:val="none" w:sz="0" w:space="0" w:color="auto"/>
                        <w:right w:val="none" w:sz="0" w:space="0" w:color="auto"/>
                      </w:divBdr>
                    </w:div>
                  </w:divsChild>
                </w:div>
                <w:div w:id="674920032">
                  <w:marLeft w:val="0"/>
                  <w:marRight w:val="0"/>
                  <w:marTop w:val="0"/>
                  <w:marBottom w:val="0"/>
                  <w:divBdr>
                    <w:top w:val="none" w:sz="0" w:space="0" w:color="auto"/>
                    <w:left w:val="none" w:sz="0" w:space="0" w:color="auto"/>
                    <w:bottom w:val="none" w:sz="0" w:space="0" w:color="auto"/>
                    <w:right w:val="none" w:sz="0" w:space="0" w:color="auto"/>
                  </w:divBdr>
                  <w:divsChild>
                    <w:div w:id="1437481452">
                      <w:marLeft w:val="0"/>
                      <w:marRight w:val="0"/>
                      <w:marTop w:val="0"/>
                      <w:marBottom w:val="0"/>
                      <w:divBdr>
                        <w:top w:val="none" w:sz="0" w:space="0" w:color="auto"/>
                        <w:left w:val="none" w:sz="0" w:space="0" w:color="auto"/>
                        <w:bottom w:val="none" w:sz="0" w:space="0" w:color="auto"/>
                        <w:right w:val="none" w:sz="0" w:space="0" w:color="auto"/>
                      </w:divBdr>
                    </w:div>
                  </w:divsChild>
                </w:div>
                <w:div w:id="678167099">
                  <w:marLeft w:val="0"/>
                  <w:marRight w:val="0"/>
                  <w:marTop w:val="0"/>
                  <w:marBottom w:val="0"/>
                  <w:divBdr>
                    <w:top w:val="none" w:sz="0" w:space="0" w:color="auto"/>
                    <w:left w:val="none" w:sz="0" w:space="0" w:color="auto"/>
                    <w:bottom w:val="none" w:sz="0" w:space="0" w:color="auto"/>
                    <w:right w:val="none" w:sz="0" w:space="0" w:color="auto"/>
                  </w:divBdr>
                  <w:divsChild>
                    <w:div w:id="1339848663">
                      <w:marLeft w:val="0"/>
                      <w:marRight w:val="0"/>
                      <w:marTop w:val="0"/>
                      <w:marBottom w:val="0"/>
                      <w:divBdr>
                        <w:top w:val="none" w:sz="0" w:space="0" w:color="auto"/>
                        <w:left w:val="none" w:sz="0" w:space="0" w:color="auto"/>
                        <w:bottom w:val="none" w:sz="0" w:space="0" w:color="auto"/>
                        <w:right w:val="none" w:sz="0" w:space="0" w:color="auto"/>
                      </w:divBdr>
                    </w:div>
                  </w:divsChild>
                </w:div>
                <w:div w:id="690256753">
                  <w:marLeft w:val="0"/>
                  <w:marRight w:val="0"/>
                  <w:marTop w:val="0"/>
                  <w:marBottom w:val="0"/>
                  <w:divBdr>
                    <w:top w:val="none" w:sz="0" w:space="0" w:color="auto"/>
                    <w:left w:val="none" w:sz="0" w:space="0" w:color="auto"/>
                    <w:bottom w:val="none" w:sz="0" w:space="0" w:color="auto"/>
                    <w:right w:val="none" w:sz="0" w:space="0" w:color="auto"/>
                  </w:divBdr>
                  <w:divsChild>
                    <w:div w:id="1522744348">
                      <w:marLeft w:val="0"/>
                      <w:marRight w:val="0"/>
                      <w:marTop w:val="0"/>
                      <w:marBottom w:val="0"/>
                      <w:divBdr>
                        <w:top w:val="none" w:sz="0" w:space="0" w:color="auto"/>
                        <w:left w:val="none" w:sz="0" w:space="0" w:color="auto"/>
                        <w:bottom w:val="none" w:sz="0" w:space="0" w:color="auto"/>
                        <w:right w:val="none" w:sz="0" w:space="0" w:color="auto"/>
                      </w:divBdr>
                    </w:div>
                  </w:divsChild>
                </w:div>
                <w:div w:id="710034370">
                  <w:marLeft w:val="0"/>
                  <w:marRight w:val="0"/>
                  <w:marTop w:val="0"/>
                  <w:marBottom w:val="0"/>
                  <w:divBdr>
                    <w:top w:val="none" w:sz="0" w:space="0" w:color="auto"/>
                    <w:left w:val="none" w:sz="0" w:space="0" w:color="auto"/>
                    <w:bottom w:val="none" w:sz="0" w:space="0" w:color="auto"/>
                    <w:right w:val="none" w:sz="0" w:space="0" w:color="auto"/>
                  </w:divBdr>
                  <w:divsChild>
                    <w:div w:id="1217818679">
                      <w:marLeft w:val="0"/>
                      <w:marRight w:val="0"/>
                      <w:marTop w:val="0"/>
                      <w:marBottom w:val="0"/>
                      <w:divBdr>
                        <w:top w:val="none" w:sz="0" w:space="0" w:color="auto"/>
                        <w:left w:val="none" w:sz="0" w:space="0" w:color="auto"/>
                        <w:bottom w:val="none" w:sz="0" w:space="0" w:color="auto"/>
                        <w:right w:val="none" w:sz="0" w:space="0" w:color="auto"/>
                      </w:divBdr>
                    </w:div>
                  </w:divsChild>
                </w:div>
                <w:div w:id="713391108">
                  <w:marLeft w:val="0"/>
                  <w:marRight w:val="0"/>
                  <w:marTop w:val="0"/>
                  <w:marBottom w:val="0"/>
                  <w:divBdr>
                    <w:top w:val="none" w:sz="0" w:space="0" w:color="auto"/>
                    <w:left w:val="none" w:sz="0" w:space="0" w:color="auto"/>
                    <w:bottom w:val="none" w:sz="0" w:space="0" w:color="auto"/>
                    <w:right w:val="none" w:sz="0" w:space="0" w:color="auto"/>
                  </w:divBdr>
                  <w:divsChild>
                    <w:div w:id="477304367">
                      <w:marLeft w:val="0"/>
                      <w:marRight w:val="0"/>
                      <w:marTop w:val="0"/>
                      <w:marBottom w:val="0"/>
                      <w:divBdr>
                        <w:top w:val="none" w:sz="0" w:space="0" w:color="auto"/>
                        <w:left w:val="none" w:sz="0" w:space="0" w:color="auto"/>
                        <w:bottom w:val="none" w:sz="0" w:space="0" w:color="auto"/>
                        <w:right w:val="none" w:sz="0" w:space="0" w:color="auto"/>
                      </w:divBdr>
                    </w:div>
                  </w:divsChild>
                </w:div>
                <w:div w:id="717825586">
                  <w:marLeft w:val="0"/>
                  <w:marRight w:val="0"/>
                  <w:marTop w:val="0"/>
                  <w:marBottom w:val="0"/>
                  <w:divBdr>
                    <w:top w:val="none" w:sz="0" w:space="0" w:color="auto"/>
                    <w:left w:val="none" w:sz="0" w:space="0" w:color="auto"/>
                    <w:bottom w:val="none" w:sz="0" w:space="0" w:color="auto"/>
                    <w:right w:val="none" w:sz="0" w:space="0" w:color="auto"/>
                  </w:divBdr>
                  <w:divsChild>
                    <w:div w:id="251478175">
                      <w:marLeft w:val="0"/>
                      <w:marRight w:val="0"/>
                      <w:marTop w:val="0"/>
                      <w:marBottom w:val="0"/>
                      <w:divBdr>
                        <w:top w:val="none" w:sz="0" w:space="0" w:color="auto"/>
                        <w:left w:val="none" w:sz="0" w:space="0" w:color="auto"/>
                        <w:bottom w:val="none" w:sz="0" w:space="0" w:color="auto"/>
                        <w:right w:val="none" w:sz="0" w:space="0" w:color="auto"/>
                      </w:divBdr>
                    </w:div>
                  </w:divsChild>
                </w:div>
                <w:div w:id="753550462">
                  <w:marLeft w:val="0"/>
                  <w:marRight w:val="0"/>
                  <w:marTop w:val="0"/>
                  <w:marBottom w:val="0"/>
                  <w:divBdr>
                    <w:top w:val="none" w:sz="0" w:space="0" w:color="auto"/>
                    <w:left w:val="none" w:sz="0" w:space="0" w:color="auto"/>
                    <w:bottom w:val="none" w:sz="0" w:space="0" w:color="auto"/>
                    <w:right w:val="none" w:sz="0" w:space="0" w:color="auto"/>
                  </w:divBdr>
                  <w:divsChild>
                    <w:div w:id="790905912">
                      <w:marLeft w:val="0"/>
                      <w:marRight w:val="0"/>
                      <w:marTop w:val="0"/>
                      <w:marBottom w:val="0"/>
                      <w:divBdr>
                        <w:top w:val="none" w:sz="0" w:space="0" w:color="auto"/>
                        <w:left w:val="none" w:sz="0" w:space="0" w:color="auto"/>
                        <w:bottom w:val="none" w:sz="0" w:space="0" w:color="auto"/>
                        <w:right w:val="none" w:sz="0" w:space="0" w:color="auto"/>
                      </w:divBdr>
                    </w:div>
                  </w:divsChild>
                </w:div>
                <w:div w:id="781999591">
                  <w:marLeft w:val="0"/>
                  <w:marRight w:val="0"/>
                  <w:marTop w:val="0"/>
                  <w:marBottom w:val="0"/>
                  <w:divBdr>
                    <w:top w:val="none" w:sz="0" w:space="0" w:color="auto"/>
                    <w:left w:val="none" w:sz="0" w:space="0" w:color="auto"/>
                    <w:bottom w:val="none" w:sz="0" w:space="0" w:color="auto"/>
                    <w:right w:val="none" w:sz="0" w:space="0" w:color="auto"/>
                  </w:divBdr>
                  <w:divsChild>
                    <w:div w:id="1995835797">
                      <w:marLeft w:val="0"/>
                      <w:marRight w:val="0"/>
                      <w:marTop w:val="0"/>
                      <w:marBottom w:val="0"/>
                      <w:divBdr>
                        <w:top w:val="none" w:sz="0" w:space="0" w:color="auto"/>
                        <w:left w:val="none" w:sz="0" w:space="0" w:color="auto"/>
                        <w:bottom w:val="none" w:sz="0" w:space="0" w:color="auto"/>
                        <w:right w:val="none" w:sz="0" w:space="0" w:color="auto"/>
                      </w:divBdr>
                    </w:div>
                  </w:divsChild>
                </w:div>
                <w:div w:id="798302072">
                  <w:marLeft w:val="0"/>
                  <w:marRight w:val="0"/>
                  <w:marTop w:val="0"/>
                  <w:marBottom w:val="0"/>
                  <w:divBdr>
                    <w:top w:val="none" w:sz="0" w:space="0" w:color="auto"/>
                    <w:left w:val="none" w:sz="0" w:space="0" w:color="auto"/>
                    <w:bottom w:val="none" w:sz="0" w:space="0" w:color="auto"/>
                    <w:right w:val="none" w:sz="0" w:space="0" w:color="auto"/>
                  </w:divBdr>
                  <w:divsChild>
                    <w:div w:id="645166626">
                      <w:marLeft w:val="0"/>
                      <w:marRight w:val="0"/>
                      <w:marTop w:val="0"/>
                      <w:marBottom w:val="0"/>
                      <w:divBdr>
                        <w:top w:val="none" w:sz="0" w:space="0" w:color="auto"/>
                        <w:left w:val="none" w:sz="0" w:space="0" w:color="auto"/>
                        <w:bottom w:val="none" w:sz="0" w:space="0" w:color="auto"/>
                        <w:right w:val="none" w:sz="0" w:space="0" w:color="auto"/>
                      </w:divBdr>
                    </w:div>
                  </w:divsChild>
                </w:div>
                <w:div w:id="801462460">
                  <w:marLeft w:val="0"/>
                  <w:marRight w:val="0"/>
                  <w:marTop w:val="0"/>
                  <w:marBottom w:val="0"/>
                  <w:divBdr>
                    <w:top w:val="none" w:sz="0" w:space="0" w:color="auto"/>
                    <w:left w:val="none" w:sz="0" w:space="0" w:color="auto"/>
                    <w:bottom w:val="none" w:sz="0" w:space="0" w:color="auto"/>
                    <w:right w:val="none" w:sz="0" w:space="0" w:color="auto"/>
                  </w:divBdr>
                  <w:divsChild>
                    <w:div w:id="1263488257">
                      <w:marLeft w:val="0"/>
                      <w:marRight w:val="0"/>
                      <w:marTop w:val="0"/>
                      <w:marBottom w:val="0"/>
                      <w:divBdr>
                        <w:top w:val="none" w:sz="0" w:space="0" w:color="auto"/>
                        <w:left w:val="none" w:sz="0" w:space="0" w:color="auto"/>
                        <w:bottom w:val="none" w:sz="0" w:space="0" w:color="auto"/>
                        <w:right w:val="none" w:sz="0" w:space="0" w:color="auto"/>
                      </w:divBdr>
                    </w:div>
                  </w:divsChild>
                </w:div>
                <w:div w:id="825046541">
                  <w:marLeft w:val="0"/>
                  <w:marRight w:val="0"/>
                  <w:marTop w:val="0"/>
                  <w:marBottom w:val="0"/>
                  <w:divBdr>
                    <w:top w:val="none" w:sz="0" w:space="0" w:color="auto"/>
                    <w:left w:val="none" w:sz="0" w:space="0" w:color="auto"/>
                    <w:bottom w:val="none" w:sz="0" w:space="0" w:color="auto"/>
                    <w:right w:val="none" w:sz="0" w:space="0" w:color="auto"/>
                  </w:divBdr>
                  <w:divsChild>
                    <w:div w:id="452482979">
                      <w:marLeft w:val="0"/>
                      <w:marRight w:val="0"/>
                      <w:marTop w:val="0"/>
                      <w:marBottom w:val="0"/>
                      <w:divBdr>
                        <w:top w:val="none" w:sz="0" w:space="0" w:color="auto"/>
                        <w:left w:val="none" w:sz="0" w:space="0" w:color="auto"/>
                        <w:bottom w:val="none" w:sz="0" w:space="0" w:color="auto"/>
                        <w:right w:val="none" w:sz="0" w:space="0" w:color="auto"/>
                      </w:divBdr>
                    </w:div>
                  </w:divsChild>
                </w:div>
                <w:div w:id="876507373">
                  <w:marLeft w:val="0"/>
                  <w:marRight w:val="0"/>
                  <w:marTop w:val="0"/>
                  <w:marBottom w:val="0"/>
                  <w:divBdr>
                    <w:top w:val="none" w:sz="0" w:space="0" w:color="auto"/>
                    <w:left w:val="none" w:sz="0" w:space="0" w:color="auto"/>
                    <w:bottom w:val="none" w:sz="0" w:space="0" w:color="auto"/>
                    <w:right w:val="none" w:sz="0" w:space="0" w:color="auto"/>
                  </w:divBdr>
                  <w:divsChild>
                    <w:div w:id="1105996721">
                      <w:marLeft w:val="0"/>
                      <w:marRight w:val="0"/>
                      <w:marTop w:val="0"/>
                      <w:marBottom w:val="0"/>
                      <w:divBdr>
                        <w:top w:val="none" w:sz="0" w:space="0" w:color="auto"/>
                        <w:left w:val="none" w:sz="0" w:space="0" w:color="auto"/>
                        <w:bottom w:val="none" w:sz="0" w:space="0" w:color="auto"/>
                        <w:right w:val="none" w:sz="0" w:space="0" w:color="auto"/>
                      </w:divBdr>
                    </w:div>
                  </w:divsChild>
                </w:div>
                <w:div w:id="985203159">
                  <w:marLeft w:val="0"/>
                  <w:marRight w:val="0"/>
                  <w:marTop w:val="0"/>
                  <w:marBottom w:val="0"/>
                  <w:divBdr>
                    <w:top w:val="none" w:sz="0" w:space="0" w:color="auto"/>
                    <w:left w:val="none" w:sz="0" w:space="0" w:color="auto"/>
                    <w:bottom w:val="none" w:sz="0" w:space="0" w:color="auto"/>
                    <w:right w:val="none" w:sz="0" w:space="0" w:color="auto"/>
                  </w:divBdr>
                  <w:divsChild>
                    <w:div w:id="390883357">
                      <w:marLeft w:val="0"/>
                      <w:marRight w:val="0"/>
                      <w:marTop w:val="0"/>
                      <w:marBottom w:val="0"/>
                      <w:divBdr>
                        <w:top w:val="none" w:sz="0" w:space="0" w:color="auto"/>
                        <w:left w:val="none" w:sz="0" w:space="0" w:color="auto"/>
                        <w:bottom w:val="none" w:sz="0" w:space="0" w:color="auto"/>
                        <w:right w:val="none" w:sz="0" w:space="0" w:color="auto"/>
                      </w:divBdr>
                    </w:div>
                  </w:divsChild>
                </w:div>
                <w:div w:id="1012686857">
                  <w:marLeft w:val="0"/>
                  <w:marRight w:val="0"/>
                  <w:marTop w:val="0"/>
                  <w:marBottom w:val="0"/>
                  <w:divBdr>
                    <w:top w:val="none" w:sz="0" w:space="0" w:color="auto"/>
                    <w:left w:val="none" w:sz="0" w:space="0" w:color="auto"/>
                    <w:bottom w:val="none" w:sz="0" w:space="0" w:color="auto"/>
                    <w:right w:val="none" w:sz="0" w:space="0" w:color="auto"/>
                  </w:divBdr>
                  <w:divsChild>
                    <w:div w:id="905068256">
                      <w:marLeft w:val="0"/>
                      <w:marRight w:val="0"/>
                      <w:marTop w:val="0"/>
                      <w:marBottom w:val="0"/>
                      <w:divBdr>
                        <w:top w:val="none" w:sz="0" w:space="0" w:color="auto"/>
                        <w:left w:val="none" w:sz="0" w:space="0" w:color="auto"/>
                        <w:bottom w:val="none" w:sz="0" w:space="0" w:color="auto"/>
                        <w:right w:val="none" w:sz="0" w:space="0" w:color="auto"/>
                      </w:divBdr>
                    </w:div>
                  </w:divsChild>
                </w:div>
                <w:div w:id="1018115031">
                  <w:marLeft w:val="0"/>
                  <w:marRight w:val="0"/>
                  <w:marTop w:val="0"/>
                  <w:marBottom w:val="0"/>
                  <w:divBdr>
                    <w:top w:val="none" w:sz="0" w:space="0" w:color="auto"/>
                    <w:left w:val="none" w:sz="0" w:space="0" w:color="auto"/>
                    <w:bottom w:val="none" w:sz="0" w:space="0" w:color="auto"/>
                    <w:right w:val="none" w:sz="0" w:space="0" w:color="auto"/>
                  </w:divBdr>
                  <w:divsChild>
                    <w:div w:id="1321815470">
                      <w:marLeft w:val="0"/>
                      <w:marRight w:val="0"/>
                      <w:marTop w:val="0"/>
                      <w:marBottom w:val="0"/>
                      <w:divBdr>
                        <w:top w:val="none" w:sz="0" w:space="0" w:color="auto"/>
                        <w:left w:val="none" w:sz="0" w:space="0" w:color="auto"/>
                        <w:bottom w:val="none" w:sz="0" w:space="0" w:color="auto"/>
                        <w:right w:val="none" w:sz="0" w:space="0" w:color="auto"/>
                      </w:divBdr>
                    </w:div>
                  </w:divsChild>
                </w:div>
                <w:div w:id="1050377462">
                  <w:marLeft w:val="0"/>
                  <w:marRight w:val="0"/>
                  <w:marTop w:val="0"/>
                  <w:marBottom w:val="0"/>
                  <w:divBdr>
                    <w:top w:val="none" w:sz="0" w:space="0" w:color="auto"/>
                    <w:left w:val="none" w:sz="0" w:space="0" w:color="auto"/>
                    <w:bottom w:val="none" w:sz="0" w:space="0" w:color="auto"/>
                    <w:right w:val="none" w:sz="0" w:space="0" w:color="auto"/>
                  </w:divBdr>
                  <w:divsChild>
                    <w:div w:id="2077512157">
                      <w:marLeft w:val="0"/>
                      <w:marRight w:val="0"/>
                      <w:marTop w:val="0"/>
                      <w:marBottom w:val="0"/>
                      <w:divBdr>
                        <w:top w:val="none" w:sz="0" w:space="0" w:color="auto"/>
                        <w:left w:val="none" w:sz="0" w:space="0" w:color="auto"/>
                        <w:bottom w:val="none" w:sz="0" w:space="0" w:color="auto"/>
                        <w:right w:val="none" w:sz="0" w:space="0" w:color="auto"/>
                      </w:divBdr>
                    </w:div>
                  </w:divsChild>
                </w:div>
                <w:div w:id="1060787281">
                  <w:marLeft w:val="0"/>
                  <w:marRight w:val="0"/>
                  <w:marTop w:val="0"/>
                  <w:marBottom w:val="0"/>
                  <w:divBdr>
                    <w:top w:val="none" w:sz="0" w:space="0" w:color="auto"/>
                    <w:left w:val="none" w:sz="0" w:space="0" w:color="auto"/>
                    <w:bottom w:val="none" w:sz="0" w:space="0" w:color="auto"/>
                    <w:right w:val="none" w:sz="0" w:space="0" w:color="auto"/>
                  </w:divBdr>
                  <w:divsChild>
                    <w:div w:id="1001739452">
                      <w:marLeft w:val="0"/>
                      <w:marRight w:val="0"/>
                      <w:marTop w:val="0"/>
                      <w:marBottom w:val="0"/>
                      <w:divBdr>
                        <w:top w:val="none" w:sz="0" w:space="0" w:color="auto"/>
                        <w:left w:val="none" w:sz="0" w:space="0" w:color="auto"/>
                        <w:bottom w:val="none" w:sz="0" w:space="0" w:color="auto"/>
                        <w:right w:val="none" w:sz="0" w:space="0" w:color="auto"/>
                      </w:divBdr>
                    </w:div>
                  </w:divsChild>
                </w:div>
                <w:div w:id="1074160660">
                  <w:marLeft w:val="0"/>
                  <w:marRight w:val="0"/>
                  <w:marTop w:val="0"/>
                  <w:marBottom w:val="0"/>
                  <w:divBdr>
                    <w:top w:val="none" w:sz="0" w:space="0" w:color="auto"/>
                    <w:left w:val="none" w:sz="0" w:space="0" w:color="auto"/>
                    <w:bottom w:val="none" w:sz="0" w:space="0" w:color="auto"/>
                    <w:right w:val="none" w:sz="0" w:space="0" w:color="auto"/>
                  </w:divBdr>
                  <w:divsChild>
                    <w:div w:id="2129809775">
                      <w:marLeft w:val="0"/>
                      <w:marRight w:val="0"/>
                      <w:marTop w:val="0"/>
                      <w:marBottom w:val="0"/>
                      <w:divBdr>
                        <w:top w:val="none" w:sz="0" w:space="0" w:color="auto"/>
                        <w:left w:val="none" w:sz="0" w:space="0" w:color="auto"/>
                        <w:bottom w:val="none" w:sz="0" w:space="0" w:color="auto"/>
                        <w:right w:val="none" w:sz="0" w:space="0" w:color="auto"/>
                      </w:divBdr>
                    </w:div>
                  </w:divsChild>
                </w:div>
                <w:div w:id="1098210334">
                  <w:marLeft w:val="0"/>
                  <w:marRight w:val="0"/>
                  <w:marTop w:val="0"/>
                  <w:marBottom w:val="0"/>
                  <w:divBdr>
                    <w:top w:val="none" w:sz="0" w:space="0" w:color="auto"/>
                    <w:left w:val="none" w:sz="0" w:space="0" w:color="auto"/>
                    <w:bottom w:val="none" w:sz="0" w:space="0" w:color="auto"/>
                    <w:right w:val="none" w:sz="0" w:space="0" w:color="auto"/>
                  </w:divBdr>
                  <w:divsChild>
                    <w:div w:id="408969938">
                      <w:marLeft w:val="0"/>
                      <w:marRight w:val="0"/>
                      <w:marTop w:val="0"/>
                      <w:marBottom w:val="0"/>
                      <w:divBdr>
                        <w:top w:val="none" w:sz="0" w:space="0" w:color="auto"/>
                        <w:left w:val="none" w:sz="0" w:space="0" w:color="auto"/>
                        <w:bottom w:val="none" w:sz="0" w:space="0" w:color="auto"/>
                        <w:right w:val="none" w:sz="0" w:space="0" w:color="auto"/>
                      </w:divBdr>
                    </w:div>
                  </w:divsChild>
                </w:div>
                <w:div w:id="1145127266">
                  <w:marLeft w:val="0"/>
                  <w:marRight w:val="0"/>
                  <w:marTop w:val="0"/>
                  <w:marBottom w:val="0"/>
                  <w:divBdr>
                    <w:top w:val="none" w:sz="0" w:space="0" w:color="auto"/>
                    <w:left w:val="none" w:sz="0" w:space="0" w:color="auto"/>
                    <w:bottom w:val="none" w:sz="0" w:space="0" w:color="auto"/>
                    <w:right w:val="none" w:sz="0" w:space="0" w:color="auto"/>
                  </w:divBdr>
                  <w:divsChild>
                    <w:div w:id="719019593">
                      <w:marLeft w:val="0"/>
                      <w:marRight w:val="0"/>
                      <w:marTop w:val="0"/>
                      <w:marBottom w:val="0"/>
                      <w:divBdr>
                        <w:top w:val="none" w:sz="0" w:space="0" w:color="auto"/>
                        <w:left w:val="none" w:sz="0" w:space="0" w:color="auto"/>
                        <w:bottom w:val="none" w:sz="0" w:space="0" w:color="auto"/>
                        <w:right w:val="none" w:sz="0" w:space="0" w:color="auto"/>
                      </w:divBdr>
                    </w:div>
                  </w:divsChild>
                </w:div>
                <w:div w:id="1172338257">
                  <w:marLeft w:val="0"/>
                  <w:marRight w:val="0"/>
                  <w:marTop w:val="0"/>
                  <w:marBottom w:val="0"/>
                  <w:divBdr>
                    <w:top w:val="none" w:sz="0" w:space="0" w:color="auto"/>
                    <w:left w:val="none" w:sz="0" w:space="0" w:color="auto"/>
                    <w:bottom w:val="none" w:sz="0" w:space="0" w:color="auto"/>
                    <w:right w:val="none" w:sz="0" w:space="0" w:color="auto"/>
                  </w:divBdr>
                  <w:divsChild>
                    <w:div w:id="471020503">
                      <w:marLeft w:val="0"/>
                      <w:marRight w:val="0"/>
                      <w:marTop w:val="0"/>
                      <w:marBottom w:val="0"/>
                      <w:divBdr>
                        <w:top w:val="none" w:sz="0" w:space="0" w:color="auto"/>
                        <w:left w:val="none" w:sz="0" w:space="0" w:color="auto"/>
                        <w:bottom w:val="none" w:sz="0" w:space="0" w:color="auto"/>
                        <w:right w:val="none" w:sz="0" w:space="0" w:color="auto"/>
                      </w:divBdr>
                    </w:div>
                  </w:divsChild>
                </w:div>
                <w:div w:id="1176459077">
                  <w:marLeft w:val="0"/>
                  <w:marRight w:val="0"/>
                  <w:marTop w:val="0"/>
                  <w:marBottom w:val="0"/>
                  <w:divBdr>
                    <w:top w:val="none" w:sz="0" w:space="0" w:color="auto"/>
                    <w:left w:val="none" w:sz="0" w:space="0" w:color="auto"/>
                    <w:bottom w:val="none" w:sz="0" w:space="0" w:color="auto"/>
                    <w:right w:val="none" w:sz="0" w:space="0" w:color="auto"/>
                  </w:divBdr>
                  <w:divsChild>
                    <w:div w:id="323053130">
                      <w:marLeft w:val="0"/>
                      <w:marRight w:val="0"/>
                      <w:marTop w:val="0"/>
                      <w:marBottom w:val="0"/>
                      <w:divBdr>
                        <w:top w:val="none" w:sz="0" w:space="0" w:color="auto"/>
                        <w:left w:val="none" w:sz="0" w:space="0" w:color="auto"/>
                        <w:bottom w:val="none" w:sz="0" w:space="0" w:color="auto"/>
                        <w:right w:val="none" w:sz="0" w:space="0" w:color="auto"/>
                      </w:divBdr>
                    </w:div>
                  </w:divsChild>
                </w:div>
                <w:div w:id="1181814585">
                  <w:marLeft w:val="0"/>
                  <w:marRight w:val="0"/>
                  <w:marTop w:val="0"/>
                  <w:marBottom w:val="0"/>
                  <w:divBdr>
                    <w:top w:val="none" w:sz="0" w:space="0" w:color="auto"/>
                    <w:left w:val="none" w:sz="0" w:space="0" w:color="auto"/>
                    <w:bottom w:val="none" w:sz="0" w:space="0" w:color="auto"/>
                    <w:right w:val="none" w:sz="0" w:space="0" w:color="auto"/>
                  </w:divBdr>
                  <w:divsChild>
                    <w:div w:id="239873236">
                      <w:marLeft w:val="0"/>
                      <w:marRight w:val="0"/>
                      <w:marTop w:val="0"/>
                      <w:marBottom w:val="0"/>
                      <w:divBdr>
                        <w:top w:val="none" w:sz="0" w:space="0" w:color="auto"/>
                        <w:left w:val="none" w:sz="0" w:space="0" w:color="auto"/>
                        <w:bottom w:val="none" w:sz="0" w:space="0" w:color="auto"/>
                        <w:right w:val="none" w:sz="0" w:space="0" w:color="auto"/>
                      </w:divBdr>
                    </w:div>
                  </w:divsChild>
                </w:div>
                <w:div w:id="1249846923">
                  <w:marLeft w:val="0"/>
                  <w:marRight w:val="0"/>
                  <w:marTop w:val="0"/>
                  <w:marBottom w:val="0"/>
                  <w:divBdr>
                    <w:top w:val="none" w:sz="0" w:space="0" w:color="auto"/>
                    <w:left w:val="none" w:sz="0" w:space="0" w:color="auto"/>
                    <w:bottom w:val="none" w:sz="0" w:space="0" w:color="auto"/>
                    <w:right w:val="none" w:sz="0" w:space="0" w:color="auto"/>
                  </w:divBdr>
                  <w:divsChild>
                    <w:div w:id="1566062704">
                      <w:marLeft w:val="0"/>
                      <w:marRight w:val="0"/>
                      <w:marTop w:val="0"/>
                      <w:marBottom w:val="0"/>
                      <w:divBdr>
                        <w:top w:val="none" w:sz="0" w:space="0" w:color="auto"/>
                        <w:left w:val="none" w:sz="0" w:space="0" w:color="auto"/>
                        <w:bottom w:val="none" w:sz="0" w:space="0" w:color="auto"/>
                        <w:right w:val="none" w:sz="0" w:space="0" w:color="auto"/>
                      </w:divBdr>
                    </w:div>
                  </w:divsChild>
                </w:div>
                <w:div w:id="1267083566">
                  <w:marLeft w:val="0"/>
                  <w:marRight w:val="0"/>
                  <w:marTop w:val="0"/>
                  <w:marBottom w:val="0"/>
                  <w:divBdr>
                    <w:top w:val="none" w:sz="0" w:space="0" w:color="auto"/>
                    <w:left w:val="none" w:sz="0" w:space="0" w:color="auto"/>
                    <w:bottom w:val="none" w:sz="0" w:space="0" w:color="auto"/>
                    <w:right w:val="none" w:sz="0" w:space="0" w:color="auto"/>
                  </w:divBdr>
                  <w:divsChild>
                    <w:div w:id="167184159">
                      <w:marLeft w:val="0"/>
                      <w:marRight w:val="0"/>
                      <w:marTop w:val="0"/>
                      <w:marBottom w:val="0"/>
                      <w:divBdr>
                        <w:top w:val="none" w:sz="0" w:space="0" w:color="auto"/>
                        <w:left w:val="none" w:sz="0" w:space="0" w:color="auto"/>
                        <w:bottom w:val="none" w:sz="0" w:space="0" w:color="auto"/>
                        <w:right w:val="none" w:sz="0" w:space="0" w:color="auto"/>
                      </w:divBdr>
                    </w:div>
                  </w:divsChild>
                </w:div>
                <w:div w:id="1285772497">
                  <w:marLeft w:val="0"/>
                  <w:marRight w:val="0"/>
                  <w:marTop w:val="0"/>
                  <w:marBottom w:val="0"/>
                  <w:divBdr>
                    <w:top w:val="none" w:sz="0" w:space="0" w:color="auto"/>
                    <w:left w:val="none" w:sz="0" w:space="0" w:color="auto"/>
                    <w:bottom w:val="none" w:sz="0" w:space="0" w:color="auto"/>
                    <w:right w:val="none" w:sz="0" w:space="0" w:color="auto"/>
                  </w:divBdr>
                  <w:divsChild>
                    <w:div w:id="207574681">
                      <w:marLeft w:val="0"/>
                      <w:marRight w:val="0"/>
                      <w:marTop w:val="0"/>
                      <w:marBottom w:val="0"/>
                      <w:divBdr>
                        <w:top w:val="none" w:sz="0" w:space="0" w:color="auto"/>
                        <w:left w:val="none" w:sz="0" w:space="0" w:color="auto"/>
                        <w:bottom w:val="none" w:sz="0" w:space="0" w:color="auto"/>
                        <w:right w:val="none" w:sz="0" w:space="0" w:color="auto"/>
                      </w:divBdr>
                    </w:div>
                  </w:divsChild>
                </w:div>
                <w:div w:id="1325666105">
                  <w:marLeft w:val="0"/>
                  <w:marRight w:val="0"/>
                  <w:marTop w:val="0"/>
                  <w:marBottom w:val="0"/>
                  <w:divBdr>
                    <w:top w:val="none" w:sz="0" w:space="0" w:color="auto"/>
                    <w:left w:val="none" w:sz="0" w:space="0" w:color="auto"/>
                    <w:bottom w:val="none" w:sz="0" w:space="0" w:color="auto"/>
                    <w:right w:val="none" w:sz="0" w:space="0" w:color="auto"/>
                  </w:divBdr>
                  <w:divsChild>
                    <w:div w:id="215238419">
                      <w:marLeft w:val="0"/>
                      <w:marRight w:val="0"/>
                      <w:marTop w:val="0"/>
                      <w:marBottom w:val="0"/>
                      <w:divBdr>
                        <w:top w:val="none" w:sz="0" w:space="0" w:color="auto"/>
                        <w:left w:val="none" w:sz="0" w:space="0" w:color="auto"/>
                        <w:bottom w:val="none" w:sz="0" w:space="0" w:color="auto"/>
                        <w:right w:val="none" w:sz="0" w:space="0" w:color="auto"/>
                      </w:divBdr>
                    </w:div>
                  </w:divsChild>
                </w:div>
                <w:div w:id="1370452515">
                  <w:marLeft w:val="0"/>
                  <w:marRight w:val="0"/>
                  <w:marTop w:val="0"/>
                  <w:marBottom w:val="0"/>
                  <w:divBdr>
                    <w:top w:val="none" w:sz="0" w:space="0" w:color="auto"/>
                    <w:left w:val="none" w:sz="0" w:space="0" w:color="auto"/>
                    <w:bottom w:val="none" w:sz="0" w:space="0" w:color="auto"/>
                    <w:right w:val="none" w:sz="0" w:space="0" w:color="auto"/>
                  </w:divBdr>
                  <w:divsChild>
                    <w:div w:id="17582364">
                      <w:marLeft w:val="0"/>
                      <w:marRight w:val="0"/>
                      <w:marTop w:val="0"/>
                      <w:marBottom w:val="0"/>
                      <w:divBdr>
                        <w:top w:val="none" w:sz="0" w:space="0" w:color="auto"/>
                        <w:left w:val="none" w:sz="0" w:space="0" w:color="auto"/>
                        <w:bottom w:val="none" w:sz="0" w:space="0" w:color="auto"/>
                        <w:right w:val="none" w:sz="0" w:space="0" w:color="auto"/>
                      </w:divBdr>
                    </w:div>
                  </w:divsChild>
                </w:div>
                <w:div w:id="1397707849">
                  <w:marLeft w:val="0"/>
                  <w:marRight w:val="0"/>
                  <w:marTop w:val="0"/>
                  <w:marBottom w:val="0"/>
                  <w:divBdr>
                    <w:top w:val="none" w:sz="0" w:space="0" w:color="auto"/>
                    <w:left w:val="none" w:sz="0" w:space="0" w:color="auto"/>
                    <w:bottom w:val="none" w:sz="0" w:space="0" w:color="auto"/>
                    <w:right w:val="none" w:sz="0" w:space="0" w:color="auto"/>
                  </w:divBdr>
                  <w:divsChild>
                    <w:div w:id="612129043">
                      <w:marLeft w:val="0"/>
                      <w:marRight w:val="0"/>
                      <w:marTop w:val="0"/>
                      <w:marBottom w:val="0"/>
                      <w:divBdr>
                        <w:top w:val="none" w:sz="0" w:space="0" w:color="auto"/>
                        <w:left w:val="none" w:sz="0" w:space="0" w:color="auto"/>
                        <w:bottom w:val="none" w:sz="0" w:space="0" w:color="auto"/>
                        <w:right w:val="none" w:sz="0" w:space="0" w:color="auto"/>
                      </w:divBdr>
                    </w:div>
                  </w:divsChild>
                </w:div>
                <w:div w:id="1405373593">
                  <w:marLeft w:val="0"/>
                  <w:marRight w:val="0"/>
                  <w:marTop w:val="0"/>
                  <w:marBottom w:val="0"/>
                  <w:divBdr>
                    <w:top w:val="none" w:sz="0" w:space="0" w:color="auto"/>
                    <w:left w:val="none" w:sz="0" w:space="0" w:color="auto"/>
                    <w:bottom w:val="none" w:sz="0" w:space="0" w:color="auto"/>
                    <w:right w:val="none" w:sz="0" w:space="0" w:color="auto"/>
                  </w:divBdr>
                  <w:divsChild>
                    <w:div w:id="1374427290">
                      <w:marLeft w:val="0"/>
                      <w:marRight w:val="0"/>
                      <w:marTop w:val="0"/>
                      <w:marBottom w:val="0"/>
                      <w:divBdr>
                        <w:top w:val="none" w:sz="0" w:space="0" w:color="auto"/>
                        <w:left w:val="none" w:sz="0" w:space="0" w:color="auto"/>
                        <w:bottom w:val="none" w:sz="0" w:space="0" w:color="auto"/>
                        <w:right w:val="none" w:sz="0" w:space="0" w:color="auto"/>
                      </w:divBdr>
                    </w:div>
                  </w:divsChild>
                </w:div>
                <w:div w:id="1420296483">
                  <w:marLeft w:val="0"/>
                  <w:marRight w:val="0"/>
                  <w:marTop w:val="0"/>
                  <w:marBottom w:val="0"/>
                  <w:divBdr>
                    <w:top w:val="none" w:sz="0" w:space="0" w:color="auto"/>
                    <w:left w:val="none" w:sz="0" w:space="0" w:color="auto"/>
                    <w:bottom w:val="none" w:sz="0" w:space="0" w:color="auto"/>
                    <w:right w:val="none" w:sz="0" w:space="0" w:color="auto"/>
                  </w:divBdr>
                  <w:divsChild>
                    <w:div w:id="275914419">
                      <w:marLeft w:val="0"/>
                      <w:marRight w:val="0"/>
                      <w:marTop w:val="0"/>
                      <w:marBottom w:val="0"/>
                      <w:divBdr>
                        <w:top w:val="none" w:sz="0" w:space="0" w:color="auto"/>
                        <w:left w:val="none" w:sz="0" w:space="0" w:color="auto"/>
                        <w:bottom w:val="none" w:sz="0" w:space="0" w:color="auto"/>
                        <w:right w:val="none" w:sz="0" w:space="0" w:color="auto"/>
                      </w:divBdr>
                    </w:div>
                  </w:divsChild>
                </w:div>
                <w:div w:id="1441755353">
                  <w:marLeft w:val="0"/>
                  <w:marRight w:val="0"/>
                  <w:marTop w:val="0"/>
                  <w:marBottom w:val="0"/>
                  <w:divBdr>
                    <w:top w:val="none" w:sz="0" w:space="0" w:color="auto"/>
                    <w:left w:val="none" w:sz="0" w:space="0" w:color="auto"/>
                    <w:bottom w:val="none" w:sz="0" w:space="0" w:color="auto"/>
                    <w:right w:val="none" w:sz="0" w:space="0" w:color="auto"/>
                  </w:divBdr>
                  <w:divsChild>
                    <w:div w:id="1935507207">
                      <w:marLeft w:val="0"/>
                      <w:marRight w:val="0"/>
                      <w:marTop w:val="0"/>
                      <w:marBottom w:val="0"/>
                      <w:divBdr>
                        <w:top w:val="none" w:sz="0" w:space="0" w:color="auto"/>
                        <w:left w:val="none" w:sz="0" w:space="0" w:color="auto"/>
                        <w:bottom w:val="none" w:sz="0" w:space="0" w:color="auto"/>
                        <w:right w:val="none" w:sz="0" w:space="0" w:color="auto"/>
                      </w:divBdr>
                    </w:div>
                  </w:divsChild>
                </w:div>
                <w:div w:id="1452700340">
                  <w:marLeft w:val="0"/>
                  <w:marRight w:val="0"/>
                  <w:marTop w:val="0"/>
                  <w:marBottom w:val="0"/>
                  <w:divBdr>
                    <w:top w:val="none" w:sz="0" w:space="0" w:color="auto"/>
                    <w:left w:val="none" w:sz="0" w:space="0" w:color="auto"/>
                    <w:bottom w:val="none" w:sz="0" w:space="0" w:color="auto"/>
                    <w:right w:val="none" w:sz="0" w:space="0" w:color="auto"/>
                  </w:divBdr>
                  <w:divsChild>
                    <w:div w:id="541940801">
                      <w:marLeft w:val="0"/>
                      <w:marRight w:val="0"/>
                      <w:marTop w:val="0"/>
                      <w:marBottom w:val="0"/>
                      <w:divBdr>
                        <w:top w:val="none" w:sz="0" w:space="0" w:color="auto"/>
                        <w:left w:val="none" w:sz="0" w:space="0" w:color="auto"/>
                        <w:bottom w:val="none" w:sz="0" w:space="0" w:color="auto"/>
                        <w:right w:val="none" w:sz="0" w:space="0" w:color="auto"/>
                      </w:divBdr>
                    </w:div>
                  </w:divsChild>
                </w:div>
                <w:div w:id="1464040619">
                  <w:marLeft w:val="0"/>
                  <w:marRight w:val="0"/>
                  <w:marTop w:val="0"/>
                  <w:marBottom w:val="0"/>
                  <w:divBdr>
                    <w:top w:val="none" w:sz="0" w:space="0" w:color="auto"/>
                    <w:left w:val="none" w:sz="0" w:space="0" w:color="auto"/>
                    <w:bottom w:val="none" w:sz="0" w:space="0" w:color="auto"/>
                    <w:right w:val="none" w:sz="0" w:space="0" w:color="auto"/>
                  </w:divBdr>
                  <w:divsChild>
                    <w:div w:id="710765678">
                      <w:marLeft w:val="0"/>
                      <w:marRight w:val="0"/>
                      <w:marTop w:val="0"/>
                      <w:marBottom w:val="0"/>
                      <w:divBdr>
                        <w:top w:val="none" w:sz="0" w:space="0" w:color="auto"/>
                        <w:left w:val="none" w:sz="0" w:space="0" w:color="auto"/>
                        <w:bottom w:val="none" w:sz="0" w:space="0" w:color="auto"/>
                        <w:right w:val="none" w:sz="0" w:space="0" w:color="auto"/>
                      </w:divBdr>
                    </w:div>
                  </w:divsChild>
                </w:div>
                <w:div w:id="1508903190">
                  <w:marLeft w:val="0"/>
                  <w:marRight w:val="0"/>
                  <w:marTop w:val="0"/>
                  <w:marBottom w:val="0"/>
                  <w:divBdr>
                    <w:top w:val="none" w:sz="0" w:space="0" w:color="auto"/>
                    <w:left w:val="none" w:sz="0" w:space="0" w:color="auto"/>
                    <w:bottom w:val="none" w:sz="0" w:space="0" w:color="auto"/>
                    <w:right w:val="none" w:sz="0" w:space="0" w:color="auto"/>
                  </w:divBdr>
                  <w:divsChild>
                    <w:div w:id="613442035">
                      <w:marLeft w:val="0"/>
                      <w:marRight w:val="0"/>
                      <w:marTop w:val="0"/>
                      <w:marBottom w:val="0"/>
                      <w:divBdr>
                        <w:top w:val="none" w:sz="0" w:space="0" w:color="auto"/>
                        <w:left w:val="none" w:sz="0" w:space="0" w:color="auto"/>
                        <w:bottom w:val="none" w:sz="0" w:space="0" w:color="auto"/>
                        <w:right w:val="none" w:sz="0" w:space="0" w:color="auto"/>
                      </w:divBdr>
                    </w:div>
                  </w:divsChild>
                </w:div>
                <w:div w:id="1606186450">
                  <w:marLeft w:val="0"/>
                  <w:marRight w:val="0"/>
                  <w:marTop w:val="0"/>
                  <w:marBottom w:val="0"/>
                  <w:divBdr>
                    <w:top w:val="none" w:sz="0" w:space="0" w:color="auto"/>
                    <w:left w:val="none" w:sz="0" w:space="0" w:color="auto"/>
                    <w:bottom w:val="none" w:sz="0" w:space="0" w:color="auto"/>
                    <w:right w:val="none" w:sz="0" w:space="0" w:color="auto"/>
                  </w:divBdr>
                  <w:divsChild>
                    <w:div w:id="1004479576">
                      <w:marLeft w:val="0"/>
                      <w:marRight w:val="0"/>
                      <w:marTop w:val="0"/>
                      <w:marBottom w:val="0"/>
                      <w:divBdr>
                        <w:top w:val="none" w:sz="0" w:space="0" w:color="auto"/>
                        <w:left w:val="none" w:sz="0" w:space="0" w:color="auto"/>
                        <w:bottom w:val="none" w:sz="0" w:space="0" w:color="auto"/>
                        <w:right w:val="none" w:sz="0" w:space="0" w:color="auto"/>
                      </w:divBdr>
                    </w:div>
                  </w:divsChild>
                </w:div>
                <w:div w:id="1611401149">
                  <w:marLeft w:val="0"/>
                  <w:marRight w:val="0"/>
                  <w:marTop w:val="0"/>
                  <w:marBottom w:val="0"/>
                  <w:divBdr>
                    <w:top w:val="none" w:sz="0" w:space="0" w:color="auto"/>
                    <w:left w:val="none" w:sz="0" w:space="0" w:color="auto"/>
                    <w:bottom w:val="none" w:sz="0" w:space="0" w:color="auto"/>
                    <w:right w:val="none" w:sz="0" w:space="0" w:color="auto"/>
                  </w:divBdr>
                  <w:divsChild>
                    <w:div w:id="156768263">
                      <w:marLeft w:val="0"/>
                      <w:marRight w:val="0"/>
                      <w:marTop w:val="0"/>
                      <w:marBottom w:val="0"/>
                      <w:divBdr>
                        <w:top w:val="none" w:sz="0" w:space="0" w:color="auto"/>
                        <w:left w:val="none" w:sz="0" w:space="0" w:color="auto"/>
                        <w:bottom w:val="none" w:sz="0" w:space="0" w:color="auto"/>
                        <w:right w:val="none" w:sz="0" w:space="0" w:color="auto"/>
                      </w:divBdr>
                    </w:div>
                  </w:divsChild>
                </w:div>
                <w:div w:id="1620801543">
                  <w:marLeft w:val="0"/>
                  <w:marRight w:val="0"/>
                  <w:marTop w:val="0"/>
                  <w:marBottom w:val="0"/>
                  <w:divBdr>
                    <w:top w:val="none" w:sz="0" w:space="0" w:color="auto"/>
                    <w:left w:val="none" w:sz="0" w:space="0" w:color="auto"/>
                    <w:bottom w:val="none" w:sz="0" w:space="0" w:color="auto"/>
                    <w:right w:val="none" w:sz="0" w:space="0" w:color="auto"/>
                  </w:divBdr>
                  <w:divsChild>
                    <w:div w:id="2021010080">
                      <w:marLeft w:val="0"/>
                      <w:marRight w:val="0"/>
                      <w:marTop w:val="0"/>
                      <w:marBottom w:val="0"/>
                      <w:divBdr>
                        <w:top w:val="none" w:sz="0" w:space="0" w:color="auto"/>
                        <w:left w:val="none" w:sz="0" w:space="0" w:color="auto"/>
                        <w:bottom w:val="none" w:sz="0" w:space="0" w:color="auto"/>
                        <w:right w:val="none" w:sz="0" w:space="0" w:color="auto"/>
                      </w:divBdr>
                    </w:div>
                  </w:divsChild>
                </w:div>
                <w:div w:id="1682396816">
                  <w:marLeft w:val="0"/>
                  <w:marRight w:val="0"/>
                  <w:marTop w:val="0"/>
                  <w:marBottom w:val="0"/>
                  <w:divBdr>
                    <w:top w:val="none" w:sz="0" w:space="0" w:color="auto"/>
                    <w:left w:val="none" w:sz="0" w:space="0" w:color="auto"/>
                    <w:bottom w:val="none" w:sz="0" w:space="0" w:color="auto"/>
                    <w:right w:val="none" w:sz="0" w:space="0" w:color="auto"/>
                  </w:divBdr>
                  <w:divsChild>
                    <w:div w:id="614604117">
                      <w:marLeft w:val="0"/>
                      <w:marRight w:val="0"/>
                      <w:marTop w:val="0"/>
                      <w:marBottom w:val="0"/>
                      <w:divBdr>
                        <w:top w:val="none" w:sz="0" w:space="0" w:color="auto"/>
                        <w:left w:val="none" w:sz="0" w:space="0" w:color="auto"/>
                        <w:bottom w:val="none" w:sz="0" w:space="0" w:color="auto"/>
                        <w:right w:val="none" w:sz="0" w:space="0" w:color="auto"/>
                      </w:divBdr>
                    </w:div>
                  </w:divsChild>
                </w:div>
                <w:div w:id="1801074759">
                  <w:marLeft w:val="0"/>
                  <w:marRight w:val="0"/>
                  <w:marTop w:val="0"/>
                  <w:marBottom w:val="0"/>
                  <w:divBdr>
                    <w:top w:val="none" w:sz="0" w:space="0" w:color="auto"/>
                    <w:left w:val="none" w:sz="0" w:space="0" w:color="auto"/>
                    <w:bottom w:val="none" w:sz="0" w:space="0" w:color="auto"/>
                    <w:right w:val="none" w:sz="0" w:space="0" w:color="auto"/>
                  </w:divBdr>
                  <w:divsChild>
                    <w:div w:id="534971892">
                      <w:marLeft w:val="0"/>
                      <w:marRight w:val="0"/>
                      <w:marTop w:val="0"/>
                      <w:marBottom w:val="0"/>
                      <w:divBdr>
                        <w:top w:val="none" w:sz="0" w:space="0" w:color="auto"/>
                        <w:left w:val="none" w:sz="0" w:space="0" w:color="auto"/>
                        <w:bottom w:val="none" w:sz="0" w:space="0" w:color="auto"/>
                        <w:right w:val="none" w:sz="0" w:space="0" w:color="auto"/>
                      </w:divBdr>
                    </w:div>
                  </w:divsChild>
                </w:div>
                <w:div w:id="1822379515">
                  <w:marLeft w:val="0"/>
                  <w:marRight w:val="0"/>
                  <w:marTop w:val="0"/>
                  <w:marBottom w:val="0"/>
                  <w:divBdr>
                    <w:top w:val="none" w:sz="0" w:space="0" w:color="auto"/>
                    <w:left w:val="none" w:sz="0" w:space="0" w:color="auto"/>
                    <w:bottom w:val="none" w:sz="0" w:space="0" w:color="auto"/>
                    <w:right w:val="none" w:sz="0" w:space="0" w:color="auto"/>
                  </w:divBdr>
                  <w:divsChild>
                    <w:div w:id="648247594">
                      <w:marLeft w:val="0"/>
                      <w:marRight w:val="0"/>
                      <w:marTop w:val="0"/>
                      <w:marBottom w:val="0"/>
                      <w:divBdr>
                        <w:top w:val="none" w:sz="0" w:space="0" w:color="auto"/>
                        <w:left w:val="none" w:sz="0" w:space="0" w:color="auto"/>
                        <w:bottom w:val="none" w:sz="0" w:space="0" w:color="auto"/>
                        <w:right w:val="none" w:sz="0" w:space="0" w:color="auto"/>
                      </w:divBdr>
                    </w:div>
                  </w:divsChild>
                </w:div>
                <w:div w:id="1869102875">
                  <w:marLeft w:val="0"/>
                  <w:marRight w:val="0"/>
                  <w:marTop w:val="0"/>
                  <w:marBottom w:val="0"/>
                  <w:divBdr>
                    <w:top w:val="none" w:sz="0" w:space="0" w:color="auto"/>
                    <w:left w:val="none" w:sz="0" w:space="0" w:color="auto"/>
                    <w:bottom w:val="none" w:sz="0" w:space="0" w:color="auto"/>
                    <w:right w:val="none" w:sz="0" w:space="0" w:color="auto"/>
                  </w:divBdr>
                  <w:divsChild>
                    <w:div w:id="1608195183">
                      <w:marLeft w:val="0"/>
                      <w:marRight w:val="0"/>
                      <w:marTop w:val="0"/>
                      <w:marBottom w:val="0"/>
                      <w:divBdr>
                        <w:top w:val="none" w:sz="0" w:space="0" w:color="auto"/>
                        <w:left w:val="none" w:sz="0" w:space="0" w:color="auto"/>
                        <w:bottom w:val="none" w:sz="0" w:space="0" w:color="auto"/>
                        <w:right w:val="none" w:sz="0" w:space="0" w:color="auto"/>
                      </w:divBdr>
                    </w:div>
                  </w:divsChild>
                </w:div>
                <w:div w:id="1879079201">
                  <w:marLeft w:val="0"/>
                  <w:marRight w:val="0"/>
                  <w:marTop w:val="0"/>
                  <w:marBottom w:val="0"/>
                  <w:divBdr>
                    <w:top w:val="none" w:sz="0" w:space="0" w:color="auto"/>
                    <w:left w:val="none" w:sz="0" w:space="0" w:color="auto"/>
                    <w:bottom w:val="none" w:sz="0" w:space="0" w:color="auto"/>
                    <w:right w:val="none" w:sz="0" w:space="0" w:color="auto"/>
                  </w:divBdr>
                  <w:divsChild>
                    <w:div w:id="1728449710">
                      <w:marLeft w:val="0"/>
                      <w:marRight w:val="0"/>
                      <w:marTop w:val="0"/>
                      <w:marBottom w:val="0"/>
                      <w:divBdr>
                        <w:top w:val="none" w:sz="0" w:space="0" w:color="auto"/>
                        <w:left w:val="none" w:sz="0" w:space="0" w:color="auto"/>
                        <w:bottom w:val="none" w:sz="0" w:space="0" w:color="auto"/>
                        <w:right w:val="none" w:sz="0" w:space="0" w:color="auto"/>
                      </w:divBdr>
                    </w:div>
                  </w:divsChild>
                </w:div>
                <w:div w:id="1887372999">
                  <w:marLeft w:val="0"/>
                  <w:marRight w:val="0"/>
                  <w:marTop w:val="0"/>
                  <w:marBottom w:val="0"/>
                  <w:divBdr>
                    <w:top w:val="none" w:sz="0" w:space="0" w:color="auto"/>
                    <w:left w:val="none" w:sz="0" w:space="0" w:color="auto"/>
                    <w:bottom w:val="none" w:sz="0" w:space="0" w:color="auto"/>
                    <w:right w:val="none" w:sz="0" w:space="0" w:color="auto"/>
                  </w:divBdr>
                  <w:divsChild>
                    <w:div w:id="1307203533">
                      <w:marLeft w:val="0"/>
                      <w:marRight w:val="0"/>
                      <w:marTop w:val="0"/>
                      <w:marBottom w:val="0"/>
                      <w:divBdr>
                        <w:top w:val="none" w:sz="0" w:space="0" w:color="auto"/>
                        <w:left w:val="none" w:sz="0" w:space="0" w:color="auto"/>
                        <w:bottom w:val="none" w:sz="0" w:space="0" w:color="auto"/>
                        <w:right w:val="none" w:sz="0" w:space="0" w:color="auto"/>
                      </w:divBdr>
                    </w:div>
                  </w:divsChild>
                </w:div>
                <w:div w:id="1907375871">
                  <w:marLeft w:val="0"/>
                  <w:marRight w:val="0"/>
                  <w:marTop w:val="0"/>
                  <w:marBottom w:val="0"/>
                  <w:divBdr>
                    <w:top w:val="none" w:sz="0" w:space="0" w:color="auto"/>
                    <w:left w:val="none" w:sz="0" w:space="0" w:color="auto"/>
                    <w:bottom w:val="none" w:sz="0" w:space="0" w:color="auto"/>
                    <w:right w:val="none" w:sz="0" w:space="0" w:color="auto"/>
                  </w:divBdr>
                  <w:divsChild>
                    <w:div w:id="1664553001">
                      <w:marLeft w:val="0"/>
                      <w:marRight w:val="0"/>
                      <w:marTop w:val="0"/>
                      <w:marBottom w:val="0"/>
                      <w:divBdr>
                        <w:top w:val="none" w:sz="0" w:space="0" w:color="auto"/>
                        <w:left w:val="none" w:sz="0" w:space="0" w:color="auto"/>
                        <w:bottom w:val="none" w:sz="0" w:space="0" w:color="auto"/>
                        <w:right w:val="none" w:sz="0" w:space="0" w:color="auto"/>
                      </w:divBdr>
                    </w:div>
                  </w:divsChild>
                </w:div>
                <w:div w:id="1924758758">
                  <w:marLeft w:val="0"/>
                  <w:marRight w:val="0"/>
                  <w:marTop w:val="0"/>
                  <w:marBottom w:val="0"/>
                  <w:divBdr>
                    <w:top w:val="none" w:sz="0" w:space="0" w:color="auto"/>
                    <w:left w:val="none" w:sz="0" w:space="0" w:color="auto"/>
                    <w:bottom w:val="none" w:sz="0" w:space="0" w:color="auto"/>
                    <w:right w:val="none" w:sz="0" w:space="0" w:color="auto"/>
                  </w:divBdr>
                  <w:divsChild>
                    <w:div w:id="544023074">
                      <w:marLeft w:val="0"/>
                      <w:marRight w:val="0"/>
                      <w:marTop w:val="0"/>
                      <w:marBottom w:val="0"/>
                      <w:divBdr>
                        <w:top w:val="none" w:sz="0" w:space="0" w:color="auto"/>
                        <w:left w:val="none" w:sz="0" w:space="0" w:color="auto"/>
                        <w:bottom w:val="none" w:sz="0" w:space="0" w:color="auto"/>
                        <w:right w:val="none" w:sz="0" w:space="0" w:color="auto"/>
                      </w:divBdr>
                    </w:div>
                  </w:divsChild>
                </w:div>
                <w:div w:id="1947619849">
                  <w:marLeft w:val="0"/>
                  <w:marRight w:val="0"/>
                  <w:marTop w:val="0"/>
                  <w:marBottom w:val="0"/>
                  <w:divBdr>
                    <w:top w:val="none" w:sz="0" w:space="0" w:color="auto"/>
                    <w:left w:val="none" w:sz="0" w:space="0" w:color="auto"/>
                    <w:bottom w:val="none" w:sz="0" w:space="0" w:color="auto"/>
                    <w:right w:val="none" w:sz="0" w:space="0" w:color="auto"/>
                  </w:divBdr>
                  <w:divsChild>
                    <w:div w:id="1174298126">
                      <w:marLeft w:val="0"/>
                      <w:marRight w:val="0"/>
                      <w:marTop w:val="0"/>
                      <w:marBottom w:val="0"/>
                      <w:divBdr>
                        <w:top w:val="none" w:sz="0" w:space="0" w:color="auto"/>
                        <w:left w:val="none" w:sz="0" w:space="0" w:color="auto"/>
                        <w:bottom w:val="none" w:sz="0" w:space="0" w:color="auto"/>
                        <w:right w:val="none" w:sz="0" w:space="0" w:color="auto"/>
                      </w:divBdr>
                    </w:div>
                  </w:divsChild>
                </w:div>
                <w:div w:id="1984499488">
                  <w:marLeft w:val="0"/>
                  <w:marRight w:val="0"/>
                  <w:marTop w:val="0"/>
                  <w:marBottom w:val="0"/>
                  <w:divBdr>
                    <w:top w:val="none" w:sz="0" w:space="0" w:color="auto"/>
                    <w:left w:val="none" w:sz="0" w:space="0" w:color="auto"/>
                    <w:bottom w:val="none" w:sz="0" w:space="0" w:color="auto"/>
                    <w:right w:val="none" w:sz="0" w:space="0" w:color="auto"/>
                  </w:divBdr>
                  <w:divsChild>
                    <w:div w:id="1586377021">
                      <w:marLeft w:val="0"/>
                      <w:marRight w:val="0"/>
                      <w:marTop w:val="0"/>
                      <w:marBottom w:val="0"/>
                      <w:divBdr>
                        <w:top w:val="none" w:sz="0" w:space="0" w:color="auto"/>
                        <w:left w:val="none" w:sz="0" w:space="0" w:color="auto"/>
                        <w:bottom w:val="none" w:sz="0" w:space="0" w:color="auto"/>
                        <w:right w:val="none" w:sz="0" w:space="0" w:color="auto"/>
                      </w:divBdr>
                    </w:div>
                  </w:divsChild>
                </w:div>
                <w:div w:id="2012951420">
                  <w:marLeft w:val="0"/>
                  <w:marRight w:val="0"/>
                  <w:marTop w:val="0"/>
                  <w:marBottom w:val="0"/>
                  <w:divBdr>
                    <w:top w:val="none" w:sz="0" w:space="0" w:color="auto"/>
                    <w:left w:val="none" w:sz="0" w:space="0" w:color="auto"/>
                    <w:bottom w:val="none" w:sz="0" w:space="0" w:color="auto"/>
                    <w:right w:val="none" w:sz="0" w:space="0" w:color="auto"/>
                  </w:divBdr>
                  <w:divsChild>
                    <w:div w:id="1140880692">
                      <w:marLeft w:val="0"/>
                      <w:marRight w:val="0"/>
                      <w:marTop w:val="0"/>
                      <w:marBottom w:val="0"/>
                      <w:divBdr>
                        <w:top w:val="none" w:sz="0" w:space="0" w:color="auto"/>
                        <w:left w:val="none" w:sz="0" w:space="0" w:color="auto"/>
                        <w:bottom w:val="none" w:sz="0" w:space="0" w:color="auto"/>
                        <w:right w:val="none" w:sz="0" w:space="0" w:color="auto"/>
                      </w:divBdr>
                    </w:div>
                  </w:divsChild>
                </w:div>
                <w:div w:id="2062515607">
                  <w:marLeft w:val="0"/>
                  <w:marRight w:val="0"/>
                  <w:marTop w:val="0"/>
                  <w:marBottom w:val="0"/>
                  <w:divBdr>
                    <w:top w:val="none" w:sz="0" w:space="0" w:color="auto"/>
                    <w:left w:val="none" w:sz="0" w:space="0" w:color="auto"/>
                    <w:bottom w:val="none" w:sz="0" w:space="0" w:color="auto"/>
                    <w:right w:val="none" w:sz="0" w:space="0" w:color="auto"/>
                  </w:divBdr>
                  <w:divsChild>
                    <w:div w:id="1625773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7344939">
          <w:marLeft w:val="0"/>
          <w:marRight w:val="0"/>
          <w:marTop w:val="0"/>
          <w:marBottom w:val="0"/>
          <w:divBdr>
            <w:top w:val="none" w:sz="0" w:space="0" w:color="auto"/>
            <w:left w:val="none" w:sz="0" w:space="0" w:color="auto"/>
            <w:bottom w:val="none" w:sz="0" w:space="0" w:color="auto"/>
            <w:right w:val="none" w:sz="0" w:space="0" w:color="auto"/>
          </w:divBdr>
        </w:div>
        <w:div w:id="2056151344">
          <w:marLeft w:val="0"/>
          <w:marRight w:val="0"/>
          <w:marTop w:val="0"/>
          <w:marBottom w:val="0"/>
          <w:divBdr>
            <w:top w:val="none" w:sz="0" w:space="0" w:color="auto"/>
            <w:left w:val="none" w:sz="0" w:space="0" w:color="auto"/>
            <w:bottom w:val="none" w:sz="0" w:space="0" w:color="auto"/>
            <w:right w:val="none" w:sz="0" w:space="0" w:color="auto"/>
          </w:divBdr>
        </w:div>
      </w:divsChild>
    </w:div>
    <w:div w:id="1299338910">
      <w:bodyDiv w:val="1"/>
      <w:marLeft w:val="0"/>
      <w:marRight w:val="0"/>
      <w:marTop w:val="0"/>
      <w:marBottom w:val="0"/>
      <w:divBdr>
        <w:top w:val="none" w:sz="0" w:space="0" w:color="auto"/>
        <w:left w:val="none" w:sz="0" w:space="0" w:color="auto"/>
        <w:bottom w:val="none" w:sz="0" w:space="0" w:color="auto"/>
        <w:right w:val="none" w:sz="0" w:space="0" w:color="auto"/>
      </w:divBdr>
    </w:div>
    <w:div w:id="1319652491">
      <w:bodyDiv w:val="1"/>
      <w:marLeft w:val="0"/>
      <w:marRight w:val="0"/>
      <w:marTop w:val="0"/>
      <w:marBottom w:val="0"/>
      <w:divBdr>
        <w:top w:val="none" w:sz="0" w:space="0" w:color="auto"/>
        <w:left w:val="none" w:sz="0" w:space="0" w:color="auto"/>
        <w:bottom w:val="none" w:sz="0" w:space="0" w:color="auto"/>
        <w:right w:val="none" w:sz="0" w:space="0" w:color="auto"/>
      </w:divBdr>
    </w:div>
    <w:div w:id="1329164702">
      <w:bodyDiv w:val="1"/>
      <w:marLeft w:val="0"/>
      <w:marRight w:val="0"/>
      <w:marTop w:val="0"/>
      <w:marBottom w:val="0"/>
      <w:divBdr>
        <w:top w:val="none" w:sz="0" w:space="0" w:color="auto"/>
        <w:left w:val="none" w:sz="0" w:space="0" w:color="auto"/>
        <w:bottom w:val="none" w:sz="0" w:space="0" w:color="auto"/>
        <w:right w:val="none" w:sz="0" w:space="0" w:color="auto"/>
      </w:divBdr>
    </w:div>
    <w:div w:id="1329400539">
      <w:bodyDiv w:val="1"/>
      <w:marLeft w:val="0"/>
      <w:marRight w:val="0"/>
      <w:marTop w:val="0"/>
      <w:marBottom w:val="0"/>
      <w:divBdr>
        <w:top w:val="none" w:sz="0" w:space="0" w:color="auto"/>
        <w:left w:val="none" w:sz="0" w:space="0" w:color="auto"/>
        <w:bottom w:val="none" w:sz="0" w:space="0" w:color="auto"/>
        <w:right w:val="none" w:sz="0" w:space="0" w:color="auto"/>
      </w:divBdr>
    </w:div>
    <w:div w:id="1444378211">
      <w:bodyDiv w:val="1"/>
      <w:marLeft w:val="0"/>
      <w:marRight w:val="0"/>
      <w:marTop w:val="0"/>
      <w:marBottom w:val="0"/>
      <w:divBdr>
        <w:top w:val="none" w:sz="0" w:space="0" w:color="auto"/>
        <w:left w:val="none" w:sz="0" w:space="0" w:color="auto"/>
        <w:bottom w:val="none" w:sz="0" w:space="0" w:color="auto"/>
        <w:right w:val="none" w:sz="0" w:space="0" w:color="auto"/>
      </w:divBdr>
      <w:divsChild>
        <w:div w:id="305622671">
          <w:marLeft w:val="0"/>
          <w:marRight w:val="0"/>
          <w:marTop w:val="0"/>
          <w:marBottom w:val="0"/>
          <w:divBdr>
            <w:top w:val="none" w:sz="0" w:space="0" w:color="auto"/>
            <w:left w:val="none" w:sz="0" w:space="0" w:color="auto"/>
            <w:bottom w:val="none" w:sz="0" w:space="0" w:color="auto"/>
            <w:right w:val="none" w:sz="0" w:space="0" w:color="auto"/>
          </w:divBdr>
        </w:div>
        <w:div w:id="343240853">
          <w:marLeft w:val="0"/>
          <w:marRight w:val="0"/>
          <w:marTop w:val="0"/>
          <w:marBottom w:val="0"/>
          <w:divBdr>
            <w:top w:val="none" w:sz="0" w:space="0" w:color="auto"/>
            <w:left w:val="none" w:sz="0" w:space="0" w:color="auto"/>
            <w:bottom w:val="none" w:sz="0" w:space="0" w:color="auto"/>
            <w:right w:val="none" w:sz="0" w:space="0" w:color="auto"/>
          </w:divBdr>
        </w:div>
        <w:div w:id="515314281">
          <w:marLeft w:val="0"/>
          <w:marRight w:val="0"/>
          <w:marTop w:val="0"/>
          <w:marBottom w:val="0"/>
          <w:divBdr>
            <w:top w:val="none" w:sz="0" w:space="0" w:color="auto"/>
            <w:left w:val="none" w:sz="0" w:space="0" w:color="auto"/>
            <w:bottom w:val="none" w:sz="0" w:space="0" w:color="auto"/>
            <w:right w:val="none" w:sz="0" w:space="0" w:color="auto"/>
          </w:divBdr>
        </w:div>
        <w:div w:id="580021596">
          <w:marLeft w:val="0"/>
          <w:marRight w:val="0"/>
          <w:marTop w:val="0"/>
          <w:marBottom w:val="0"/>
          <w:divBdr>
            <w:top w:val="none" w:sz="0" w:space="0" w:color="auto"/>
            <w:left w:val="none" w:sz="0" w:space="0" w:color="auto"/>
            <w:bottom w:val="none" w:sz="0" w:space="0" w:color="auto"/>
            <w:right w:val="none" w:sz="0" w:space="0" w:color="auto"/>
          </w:divBdr>
        </w:div>
        <w:div w:id="652179996">
          <w:marLeft w:val="0"/>
          <w:marRight w:val="0"/>
          <w:marTop w:val="0"/>
          <w:marBottom w:val="0"/>
          <w:divBdr>
            <w:top w:val="none" w:sz="0" w:space="0" w:color="auto"/>
            <w:left w:val="none" w:sz="0" w:space="0" w:color="auto"/>
            <w:bottom w:val="none" w:sz="0" w:space="0" w:color="auto"/>
            <w:right w:val="none" w:sz="0" w:space="0" w:color="auto"/>
          </w:divBdr>
        </w:div>
        <w:div w:id="728773236">
          <w:marLeft w:val="0"/>
          <w:marRight w:val="0"/>
          <w:marTop w:val="0"/>
          <w:marBottom w:val="0"/>
          <w:divBdr>
            <w:top w:val="none" w:sz="0" w:space="0" w:color="auto"/>
            <w:left w:val="none" w:sz="0" w:space="0" w:color="auto"/>
            <w:bottom w:val="none" w:sz="0" w:space="0" w:color="auto"/>
            <w:right w:val="none" w:sz="0" w:space="0" w:color="auto"/>
          </w:divBdr>
        </w:div>
        <w:div w:id="866455517">
          <w:marLeft w:val="0"/>
          <w:marRight w:val="0"/>
          <w:marTop w:val="0"/>
          <w:marBottom w:val="0"/>
          <w:divBdr>
            <w:top w:val="none" w:sz="0" w:space="0" w:color="auto"/>
            <w:left w:val="none" w:sz="0" w:space="0" w:color="auto"/>
            <w:bottom w:val="none" w:sz="0" w:space="0" w:color="auto"/>
            <w:right w:val="none" w:sz="0" w:space="0" w:color="auto"/>
          </w:divBdr>
          <w:divsChild>
            <w:div w:id="331226242">
              <w:marLeft w:val="-75"/>
              <w:marRight w:val="0"/>
              <w:marTop w:val="30"/>
              <w:marBottom w:val="30"/>
              <w:divBdr>
                <w:top w:val="none" w:sz="0" w:space="0" w:color="auto"/>
                <w:left w:val="none" w:sz="0" w:space="0" w:color="auto"/>
                <w:bottom w:val="none" w:sz="0" w:space="0" w:color="auto"/>
                <w:right w:val="none" w:sz="0" w:space="0" w:color="auto"/>
              </w:divBdr>
              <w:divsChild>
                <w:div w:id="42146674">
                  <w:marLeft w:val="0"/>
                  <w:marRight w:val="0"/>
                  <w:marTop w:val="0"/>
                  <w:marBottom w:val="0"/>
                  <w:divBdr>
                    <w:top w:val="none" w:sz="0" w:space="0" w:color="auto"/>
                    <w:left w:val="none" w:sz="0" w:space="0" w:color="auto"/>
                    <w:bottom w:val="none" w:sz="0" w:space="0" w:color="auto"/>
                    <w:right w:val="none" w:sz="0" w:space="0" w:color="auto"/>
                  </w:divBdr>
                  <w:divsChild>
                    <w:div w:id="637494316">
                      <w:marLeft w:val="0"/>
                      <w:marRight w:val="0"/>
                      <w:marTop w:val="0"/>
                      <w:marBottom w:val="0"/>
                      <w:divBdr>
                        <w:top w:val="none" w:sz="0" w:space="0" w:color="auto"/>
                        <w:left w:val="none" w:sz="0" w:space="0" w:color="auto"/>
                        <w:bottom w:val="none" w:sz="0" w:space="0" w:color="auto"/>
                        <w:right w:val="none" w:sz="0" w:space="0" w:color="auto"/>
                      </w:divBdr>
                    </w:div>
                  </w:divsChild>
                </w:div>
                <w:div w:id="54204625">
                  <w:marLeft w:val="0"/>
                  <w:marRight w:val="0"/>
                  <w:marTop w:val="0"/>
                  <w:marBottom w:val="0"/>
                  <w:divBdr>
                    <w:top w:val="none" w:sz="0" w:space="0" w:color="auto"/>
                    <w:left w:val="none" w:sz="0" w:space="0" w:color="auto"/>
                    <w:bottom w:val="none" w:sz="0" w:space="0" w:color="auto"/>
                    <w:right w:val="none" w:sz="0" w:space="0" w:color="auto"/>
                  </w:divBdr>
                  <w:divsChild>
                    <w:div w:id="79252305">
                      <w:marLeft w:val="0"/>
                      <w:marRight w:val="0"/>
                      <w:marTop w:val="0"/>
                      <w:marBottom w:val="0"/>
                      <w:divBdr>
                        <w:top w:val="none" w:sz="0" w:space="0" w:color="auto"/>
                        <w:left w:val="none" w:sz="0" w:space="0" w:color="auto"/>
                        <w:bottom w:val="none" w:sz="0" w:space="0" w:color="auto"/>
                        <w:right w:val="none" w:sz="0" w:space="0" w:color="auto"/>
                      </w:divBdr>
                    </w:div>
                  </w:divsChild>
                </w:div>
                <w:div w:id="63651029">
                  <w:marLeft w:val="0"/>
                  <w:marRight w:val="0"/>
                  <w:marTop w:val="0"/>
                  <w:marBottom w:val="0"/>
                  <w:divBdr>
                    <w:top w:val="none" w:sz="0" w:space="0" w:color="auto"/>
                    <w:left w:val="none" w:sz="0" w:space="0" w:color="auto"/>
                    <w:bottom w:val="none" w:sz="0" w:space="0" w:color="auto"/>
                    <w:right w:val="none" w:sz="0" w:space="0" w:color="auto"/>
                  </w:divBdr>
                  <w:divsChild>
                    <w:div w:id="255748664">
                      <w:marLeft w:val="0"/>
                      <w:marRight w:val="0"/>
                      <w:marTop w:val="0"/>
                      <w:marBottom w:val="0"/>
                      <w:divBdr>
                        <w:top w:val="none" w:sz="0" w:space="0" w:color="auto"/>
                        <w:left w:val="none" w:sz="0" w:space="0" w:color="auto"/>
                        <w:bottom w:val="none" w:sz="0" w:space="0" w:color="auto"/>
                        <w:right w:val="none" w:sz="0" w:space="0" w:color="auto"/>
                      </w:divBdr>
                    </w:div>
                  </w:divsChild>
                </w:div>
                <w:div w:id="82185393">
                  <w:marLeft w:val="0"/>
                  <w:marRight w:val="0"/>
                  <w:marTop w:val="0"/>
                  <w:marBottom w:val="0"/>
                  <w:divBdr>
                    <w:top w:val="none" w:sz="0" w:space="0" w:color="auto"/>
                    <w:left w:val="none" w:sz="0" w:space="0" w:color="auto"/>
                    <w:bottom w:val="none" w:sz="0" w:space="0" w:color="auto"/>
                    <w:right w:val="none" w:sz="0" w:space="0" w:color="auto"/>
                  </w:divBdr>
                  <w:divsChild>
                    <w:div w:id="958146119">
                      <w:marLeft w:val="0"/>
                      <w:marRight w:val="0"/>
                      <w:marTop w:val="0"/>
                      <w:marBottom w:val="0"/>
                      <w:divBdr>
                        <w:top w:val="none" w:sz="0" w:space="0" w:color="auto"/>
                        <w:left w:val="none" w:sz="0" w:space="0" w:color="auto"/>
                        <w:bottom w:val="none" w:sz="0" w:space="0" w:color="auto"/>
                        <w:right w:val="none" w:sz="0" w:space="0" w:color="auto"/>
                      </w:divBdr>
                    </w:div>
                  </w:divsChild>
                </w:div>
                <w:div w:id="91636097">
                  <w:marLeft w:val="0"/>
                  <w:marRight w:val="0"/>
                  <w:marTop w:val="0"/>
                  <w:marBottom w:val="0"/>
                  <w:divBdr>
                    <w:top w:val="none" w:sz="0" w:space="0" w:color="auto"/>
                    <w:left w:val="none" w:sz="0" w:space="0" w:color="auto"/>
                    <w:bottom w:val="none" w:sz="0" w:space="0" w:color="auto"/>
                    <w:right w:val="none" w:sz="0" w:space="0" w:color="auto"/>
                  </w:divBdr>
                  <w:divsChild>
                    <w:div w:id="492454129">
                      <w:marLeft w:val="0"/>
                      <w:marRight w:val="0"/>
                      <w:marTop w:val="0"/>
                      <w:marBottom w:val="0"/>
                      <w:divBdr>
                        <w:top w:val="none" w:sz="0" w:space="0" w:color="auto"/>
                        <w:left w:val="none" w:sz="0" w:space="0" w:color="auto"/>
                        <w:bottom w:val="none" w:sz="0" w:space="0" w:color="auto"/>
                        <w:right w:val="none" w:sz="0" w:space="0" w:color="auto"/>
                      </w:divBdr>
                    </w:div>
                  </w:divsChild>
                </w:div>
                <w:div w:id="181286062">
                  <w:marLeft w:val="0"/>
                  <w:marRight w:val="0"/>
                  <w:marTop w:val="0"/>
                  <w:marBottom w:val="0"/>
                  <w:divBdr>
                    <w:top w:val="none" w:sz="0" w:space="0" w:color="auto"/>
                    <w:left w:val="none" w:sz="0" w:space="0" w:color="auto"/>
                    <w:bottom w:val="none" w:sz="0" w:space="0" w:color="auto"/>
                    <w:right w:val="none" w:sz="0" w:space="0" w:color="auto"/>
                  </w:divBdr>
                  <w:divsChild>
                    <w:div w:id="1507591222">
                      <w:marLeft w:val="0"/>
                      <w:marRight w:val="0"/>
                      <w:marTop w:val="0"/>
                      <w:marBottom w:val="0"/>
                      <w:divBdr>
                        <w:top w:val="none" w:sz="0" w:space="0" w:color="auto"/>
                        <w:left w:val="none" w:sz="0" w:space="0" w:color="auto"/>
                        <w:bottom w:val="none" w:sz="0" w:space="0" w:color="auto"/>
                        <w:right w:val="none" w:sz="0" w:space="0" w:color="auto"/>
                      </w:divBdr>
                    </w:div>
                  </w:divsChild>
                </w:div>
                <w:div w:id="192692031">
                  <w:marLeft w:val="0"/>
                  <w:marRight w:val="0"/>
                  <w:marTop w:val="0"/>
                  <w:marBottom w:val="0"/>
                  <w:divBdr>
                    <w:top w:val="none" w:sz="0" w:space="0" w:color="auto"/>
                    <w:left w:val="none" w:sz="0" w:space="0" w:color="auto"/>
                    <w:bottom w:val="none" w:sz="0" w:space="0" w:color="auto"/>
                    <w:right w:val="none" w:sz="0" w:space="0" w:color="auto"/>
                  </w:divBdr>
                  <w:divsChild>
                    <w:div w:id="1701542797">
                      <w:marLeft w:val="0"/>
                      <w:marRight w:val="0"/>
                      <w:marTop w:val="0"/>
                      <w:marBottom w:val="0"/>
                      <w:divBdr>
                        <w:top w:val="none" w:sz="0" w:space="0" w:color="auto"/>
                        <w:left w:val="none" w:sz="0" w:space="0" w:color="auto"/>
                        <w:bottom w:val="none" w:sz="0" w:space="0" w:color="auto"/>
                        <w:right w:val="none" w:sz="0" w:space="0" w:color="auto"/>
                      </w:divBdr>
                    </w:div>
                  </w:divsChild>
                </w:div>
                <w:div w:id="221446360">
                  <w:marLeft w:val="0"/>
                  <w:marRight w:val="0"/>
                  <w:marTop w:val="0"/>
                  <w:marBottom w:val="0"/>
                  <w:divBdr>
                    <w:top w:val="none" w:sz="0" w:space="0" w:color="auto"/>
                    <w:left w:val="none" w:sz="0" w:space="0" w:color="auto"/>
                    <w:bottom w:val="none" w:sz="0" w:space="0" w:color="auto"/>
                    <w:right w:val="none" w:sz="0" w:space="0" w:color="auto"/>
                  </w:divBdr>
                  <w:divsChild>
                    <w:div w:id="1084496541">
                      <w:marLeft w:val="0"/>
                      <w:marRight w:val="0"/>
                      <w:marTop w:val="0"/>
                      <w:marBottom w:val="0"/>
                      <w:divBdr>
                        <w:top w:val="none" w:sz="0" w:space="0" w:color="auto"/>
                        <w:left w:val="none" w:sz="0" w:space="0" w:color="auto"/>
                        <w:bottom w:val="none" w:sz="0" w:space="0" w:color="auto"/>
                        <w:right w:val="none" w:sz="0" w:space="0" w:color="auto"/>
                      </w:divBdr>
                    </w:div>
                  </w:divsChild>
                </w:div>
                <w:div w:id="224028924">
                  <w:marLeft w:val="0"/>
                  <w:marRight w:val="0"/>
                  <w:marTop w:val="0"/>
                  <w:marBottom w:val="0"/>
                  <w:divBdr>
                    <w:top w:val="none" w:sz="0" w:space="0" w:color="auto"/>
                    <w:left w:val="none" w:sz="0" w:space="0" w:color="auto"/>
                    <w:bottom w:val="none" w:sz="0" w:space="0" w:color="auto"/>
                    <w:right w:val="none" w:sz="0" w:space="0" w:color="auto"/>
                  </w:divBdr>
                  <w:divsChild>
                    <w:div w:id="1912156307">
                      <w:marLeft w:val="0"/>
                      <w:marRight w:val="0"/>
                      <w:marTop w:val="0"/>
                      <w:marBottom w:val="0"/>
                      <w:divBdr>
                        <w:top w:val="none" w:sz="0" w:space="0" w:color="auto"/>
                        <w:left w:val="none" w:sz="0" w:space="0" w:color="auto"/>
                        <w:bottom w:val="none" w:sz="0" w:space="0" w:color="auto"/>
                        <w:right w:val="none" w:sz="0" w:space="0" w:color="auto"/>
                      </w:divBdr>
                    </w:div>
                  </w:divsChild>
                </w:div>
                <w:div w:id="228032445">
                  <w:marLeft w:val="0"/>
                  <w:marRight w:val="0"/>
                  <w:marTop w:val="0"/>
                  <w:marBottom w:val="0"/>
                  <w:divBdr>
                    <w:top w:val="none" w:sz="0" w:space="0" w:color="auto"/>
                    <w:left w:val="none" w:sz="0" w:space="0" w:color="auto"/>
                    <w:bottom w:val="none" w:sz="0" w:space="0" w:color="auto"/>
                    <w:right w:val="none" w:sz="0" w:space="0" w:color="auto"/>
                  </w:divBdr>
                  <w:divsChild>
                    <w:div w:id="352153078">
                      <w:marLeft w:val="0"/>
                      <w:marRight w:val="0"/>
                      <w:marTop w:val="0"/>
                      <w:marBottom w:val="0"/>
                      <w:divBdr>
                        <w:top w:val="none" w:sz="0" w:space="0" w:color="auto"/>
                        <w:left w:val="none" w:sz="0" w:space="0" w:color="auto"/>
                        <w:bottom w:val="none" w:sz="0" w:space="0" w:color="auto"/>
                        <w:right w:val="none" w:sz="0" w:space="0" w:color="auto"/>
                      </w:divBdr>
                    </w:div>
                  </w:divsChild>
                </w:div>
                <w:div w:id="253051701">
                  <w:marLeft w:val="0"/>
                  <w:marRight w:val="0"/>
                  <w:marTop w:val="0"/>
                  <w:marBottom w:val="0"/>
                  <w:divBdr>
                    <w:top w:val="none" w:sz="0" w:space="0" w:color="auto"/>
                    <w:left w:val="none" w:sz="0" w:space="0" w:color="auto"/>
                    <w:bottom w:val="none" w:sz="0" w:space="0" w:color="auto"/>
                    <w:right w:val="none" w:sz="0" w:space="0" w:color="auto"/>
                  </w:divBdr>
                  <w:divsChild>
                    <w:div w:id="1387534561">
                      <w:marLeft w:val="0"/>
                      <w:marRight w:val="0"/>
                      <w:marTop w:val="0"/>
                      <w:marBottom w:val="0"/>
                      <w:divBdr>
                        <w:top w:val="none" w:sz="0" w:space="0" w:color="auto"/>
                        <w:left w:val="none" w:sz="0" w:space="0" w:color="auto"/>
                        <w:bottom w:val="none" w:sz="0" w:space="0" w:color="auto"/>
                        <w:right w:val="none" w:sz="0" w:space="0" w:color="auto"/>
                      </w:divBdr>
                    </w:div>
                  </w:divsChild>
                </w:div>
                <w:div w:id="275720103">
                  <w:marLeft w:val="0"/>
                  <w:marRight w:val="0"/>
                  <w:marTop w:val="0"/>
                  <w:marBottom w:val="0"/>
                  <w:divBdr>
                    <w:top w:val="none" w:sz="0" w:space="0" w:color="auto"/>
                    <w:left w:val="none" w:sz="0" w:space="0" w:color="auto"/>
                    <w:bottom w:val="none" w:sz="0" w:space="0" w:color="auto"/>
                    <w:right w:val="none" w:sz="0" w:space="0" w:color="auto"/>
                  </w:divBdr>
                  <w:divsChild>
                    <w:div w:id="1511916661">
                      <w:marLeft w:val="0"/>
                      <w:marRight w:val="0"/>
                      <w:marTop w:val="0"/>
                      <w:marBottom w:val="0"/>
                      <w:divBdr>
                        <w:top w:val="none" w:sz="0" w:space="0" w:color="auto"/>
                        <w:left w:val="none" w:sz="0" w:space="0" w:color="auto"/>
                        <w:bottom w:val="none" w:sz="0" w:space="0" w:color="auto"/>
                        <w:right w:val="none" w:sz="0" w:space="0" w:color="auto"/>
                      </w:divBdr>
                    </w:div>
                  </w:divsChild>
                </w:div>
                <w:div w:id="300237823">
                  <w:marLeft w:val="0"/>
                  <w:marRight w:val="0"/>
                  <w:marTop w:val="0"/>
                  <w:marBottom w:val="0"/>
                  <w:divBdr>
                    <w:top w:val="none" w:sz="0" w:space="0" w:color="auto"/>
                    <w:left w:val="none" w:sz="0" w:space="0" w:color="auto"/>
                    <w:bottom w:val="none" w:sz="0" w:space="0" w:color="auto"/>
                    <w:right w:val="none" w:sz="0" w:space="0" w:color="auto"/>
                  </w:divBdr>
                  <w:divsChild>
                    <w:div w:id="50814129">
                      <w:marLeft w:val="0"/>
                      <w:marRight w:val="0"/>
                      <w:marTop w:val="0"/>
                      <w:marBottom w:val="0"/>
                      <w:divBdr>
                        <w:top w:val="none" w:sz="0" w:space="0" w:color="auto"/>
                        <w:left w:val="none" w:sz="0" w:space="0" w:color="auto"/>
                        <w:bottom w:val="none" w:sz="0" w:space="0" w:color="auto"/>
                        <w:right w:val="none" w:sz="0" w:space="0" w:color="auto"/>
                      </w:divBdr>
                    </w:div>
                  </w:divsChild>
                </w:div>
                <w:div w:id="306130108">
                  <w:marLeft w:val="0"/>
                  <w:marRight w:val="0"/>
                  <w:marTop w:val="0"/>
                  <w:marBottom w:val="0"/>
                  <w:divBdr>
                    <w:top w:val="none" w:sz="0" w:space="0" w:color="auto"/>
                    <w:left w:val="none" w:sz="0" w:space="0" w:color="auto"/>
                    <w:bottom w:val="none" w:sz="0" w:space="0" w:color="auto"/>
                    <w:right w:val="none" w:sz="0" w:space="0" w:color="auto"/>
                  </w:divBdr>
                  <w:divsChild>
                    <w:div w:id="2011829350">
                      <w:marLeft w:val="0"/>
                      <w:marRight w:val="0"/>
                      <w:marTop w:val="0"/>
                      <w:marBottom w:val="0"/>
                      <w:divBdr>
                        <w:top w:val="none" w:sz="0" w:space="0" w:color="auto"/>
                        <w:left w:val="none" w:sz="0" w:space="0" w:color="auto"/>
                        <w:bottom w:val="none" w:sz="0" w:space="0" w:color="auto"/>
                        <w:right w:val="none" w:sz="0" w:space="0" w:color="auto"/>
                      </w:divBdr>
                    </w:div>
                  </w:divsChild>
                </w:div>
                <w:div w:id="339554003">
                  <w:marLeft w:val="0"/>
                  <w:marRight w:val="0"/>
                  <w:marTop w:val="0"/>
                  <w:marBottom w:val="0"/>
                  <w:divBdr>
                    <w:top w:val="none" w:sz="0" w:space="0" w:color="auto"/>
                    <w:left w:val="none" w:sz="0" w:space="0" w:color="auto"/>
                    <w:bottom w:val="none" w:sz="0" w:space="0" w:color="auto"/>
                    <w:right w:val="none" w:sz="0" w:space="0" w:color="auto"/>
                  </w:divBdr>
                  <w:divsChild>
                    <w:div w:id="1652516101">
                      <w:marLeft w:val="0"/>
                      <w:marRight w:val="0"/>
                      <w:marTop w:val="0"/>
                      <w:marBottom w:val="0"/>
                      <w:divBdr>
                        <w:top w:val="none" w:sz="0" w:space="0" w:color="auto"/>
                        <w:left w:val="none" w:sz="0" w:space="0" w:color="auto"/>
                        <w:bottom w:val="none" w:sz="0" w:space="0" w:color="auto"/>
                        <w:right w:val="none" w:sz="0" w:space="0" w:color="auto"/>
                      </w:divBdr>
                    </w:div>
                  </w:divsChild>
                </w:div>
                <w:div w:id="393702623">
                  <w:marLeft w:val="0"/>
                  <w:marRight w:val="0"/>
                  <w:marTop w:val="0"/>
                  <w:marBottom w:val="0"/>
                  <w:divBdr>
                    <w:top w:val="none" w:sz="0" w:space="0" w:color="auto"/>
                    <w:left w:val="none" w:sz="0" w:space="0" w:color="auto"/>
                    <w:bottom w:val="none" w:sz="0" w:space="0" w:color="auto"/>
                    <w:right w:val="none" w:sz="0" w:space="0" w:color="auto"/>
                  </w:divBdr>
                  <w:divsChild>
                    <w:div w:id="399600485">
                      <w:marLeft w:val="0"/>
                      <w:marRight w:val="0"/>
                      <w:marTop w:val="0"/>
                      <w:marBottom w:val="0"/>
                      <w:divBdr>
                        <w:top w:val="none" w:sz="0" w:space="0" w:color="auto"/>
                        <w:left w:val="none" w:sz="0" w:space="0" w:color="auto"/>
                        <w:bottom w:val="none" w:sz="0" w:space="0" w:color="auto"/>
                        <w:right w:val="none" w:sz="0" w:space="0" w:color="auto"/>
                      </w:divBdr>
                    </w:div>
                  </w:divsChild>
                </w:div>
                <w:div w:id="395861125">
                  <w:marLeft w:val="0"/>
                  <w:marRight w:val="0"/>
                  <w:marTop w:val="0"/>
                  <w:marBottom w:val="0"/>
                  <w:divBdr>
                    <w:top w:val="none" w:sz="0" w:space="0" w:color="auto"/>
                    <w:left w:val="none" w:sz="0" w:space="0" w:color="auto"/>
                    <w:bottom w:val="none" w:sz="0" w:space="0" w:color="auto"/>
                    <w:right w:val="none" w:sz="0" w:space="0" w:color="auto"/>
                  </w:divBdr>
                  <w:divsChild>
                    <w:div w:id="543565831">
                      <w:marLeft w:val="0"/>
                      <w:marRight w:val="0"/>
                      <w:marTop w:val="0"/>
                      <w:marBottom w:val="0"/>
                      <w:divBdr>
                        <w:top w:val="none" w:sz="0" w:space="0" w:color="auto"/>
                        <w:left w:val="none" w:sz="0" w:space="0" w:color="auto"/>
                        <w:bottom w:val="none" w:sz="0" w:space="0" w:color="auto"/>
                        <w:right w:val="none" w:sz="0" w:space="0" w:color="auto"/>
                      </w:divBdr>
                    </w:div>
                  </w:divsChild>
                </w:div>
                <w:div w:id="413281752">
                  <w:marLeft w:val="0"/>
                  <w:marRight w:val="0"/>
                  <w:marTop w:val="0"/>
                  <w:marBottom w:val="0"/>
                  <w:divBdr>
                    <w:top w:val="none" w:sz="0" w:space="0" w:color="auto"/>
                    <w:left w:val="none" w:sz="0" w:space="0" w:color="auto"/>
                    <w:bottom w:val="none" w:sz="0" w:space="0" w:color="auto"/>
                    <w:right w:val="none" w:sz="0" w:space="0" w:color="auto"/>
                  </w:divBdr>
                  <w:divsChild>
                    <w:div w:id="1841776959">
                      <w:marLeft w:val="0"/>
                      <w:marRight w:val="0"/>
                      <w:marTop w:val="0"/>
                      <w:marBottom w:val="0"/>
                      <w:divBdr>
                        <w:top w:val="none" w:sz="0" w:space="0" w:color="auto"/>
                        <w:left w:val="none" w:sz="0" w:space="0" w:color="auto"/>
                        <w:bottom w:val="none" w:sz="0" w:space="0" w:color="auto"/>
                        <w:right w:val="none" w:sz="0" w:space="0" w:color="auto"/>
                      </w:divBdr>
                    </w:div>
                  </w:divsChild>
                </w:div>
                <w:div w:id="473327780">
                  <w:marLeft w:val="0"/>
                  <w:marRight w:val="0"/>
                  <w:marTop w:val="0"/>
                  <w:marBottom w:val="0"/>
                  <w:divBdr>
                    <w:top w:val="none" w:sz="0" w:space="0" w:color="auto"/>
                    <w:left w:val="none" w:sz="0" w:space="0" w:color="auto"/>
                    <w:bottom w:val="none" w:sz="0" w:space="0" w:color="auto"/>
                    <w:right w:val="none" w:sz="0" w:space="0" w:color="auto"/>
                  </w:divBdr>
                  <w:divsChild>
                    <w:div w:id="38013033">
                      <w:marLeft w:val="0"/>
                      <w:marRight w:val="0"/>
                      <w:marTop w:val="0"/>
                      <w:marBottom w:val="0"/>
                      <w:divBdr>
                        <w:top w:val="none" w:sz="0" w:space="0" w:color="auto"/>
                        <w:left w:val="none" w:sz="0" w:space="0" w:color="auto"/>
                        <w:bottom w:val="none" w:sz="0" w:space="0" w:color="auto"/>
                        <w:right w:val="none" w:sz="0" w:space="0" w:color="auto"/>
                      </w:divBdr>
                    </w:div>
                  </w:divsChild>
                </w:div>
                <w:div w:id="488064104">
                  <w:marLeft w:val="0"/>
                  <w:marRight w:val="0"/>
                  <w:marTop w:val="0"/>
                  <w:marBottom w:val="0"/>
                  <w:divBdr>
                    <w:top w:val="none" w:sz="0" w:space="0" w:color="auto"/>
                    <w:left w:val="none" w:sz="0" w:space="0" w:color="auto"/>
                    <w:bottom w:val="none" w:sz="0" w:space="0" w:color="auto"/>
                    <w:right w:val="none" w:sz="0" w:space="0" w:color="auto"/>
                  </w:divBdr>
                  <w:divsChild>
                    <w:div w:id="93744053">
                      <w:marLeft w:val="0"/>
                      <w:marRight w:val="0"/>
                      <w:marTop w:val="0"/>
                      <w:marBottom w:val="0"/>
                      <w:divBdr>
                        <w:top w:val="none" w:sz="0" w:space="0" w:color="auto"/>
                        <w:left w:val="none" w:sz="0" w:space="0" w:color="auto"/>
                        <w:bottom w:val="none" w:sz="0" w:space="0" w:color="auto"/>
                        <w:right w:val="none" w:sz="0" w:space="0" w:color="auto"/>
                      </w:divBdr>
                    </w:div>
                  </w:divsChild>
                </w:div>
                <w:div w:id="502479582">
                  <w:marLeft w:val="0"/>
                  <w:marRight w:val="0"/>
                  <w:marTop w:val="0"/>
                  <w:marBottom w:val="0"/>
                  <w:divBdr>
                    <w:top w:val="none" w:sz="0" w:space="0" w:color="auto"/>
                    <w:left w:val="none" w:sz="0" w:space="0" w:color="auto"/>
                    <w:bottom w:val="none" w:sz="0" w:space="0" w:color="auto"/>
                    <w:right w:val="none" w:sz="0" w:space="0" w:color="auto"/>
                  </w:divBdr>
                  <w:divsChild>
                    <w:div w:id="435105015">
                      <w:marLeft w:val="0"/>
                      <w:marRight w:val="0"/>
                      <w:marTop w:val="0"/>
                      <w:marBottom w:val="0"/>
                      <w:divBdr>
                        <w:top w:val="none" w:sz="0" w:space="0" w:color="auto"/>
                        <w:left w:val="none" w:sz="0" w:space="0" w:color="auto"/>
                        <w:bottom w:val="none" w:sz="0" w:space="0" w:color="auto"/>
                        <w:right w:val="none" w:sz="0" w:space="0" w:color="auto"/>
                      </w:divBdr>
                    </w:div>
                  </w:divsChild>
                </w:div>
                <w:div w:id="528640745">
                  <w:marLeft w:val="0"/>
                  <w:marRight w:val="0"/>
                  <w:marTop w:val="0"/>
                  <w:marBottom w:val="0"/>
                  <w:divBdr>
                    <w:top w:val="none" w:sz="0" w:space="0" w:color="auto"/>
                    <w:left w:val="none" w:sz="0" w:space="0" w:color="auto"/>
                    <w:bottom w:val="none" w:sz="0" w:space="0" w:color="auto"/>
                    <w:right w:val="none" w:sz="0" w:space="0" w:color="auto"/>
                  </w:divBdr>
                  <w:divsChild>
                    <w:div w:id="229465976">
                      <w:marLeft w:val="0"/>
                      <w:marRight w:val="0"/>
                      <w:marTop w:val="0"/>
                      <w:marBottom w:val="0"/>
                      <w:divBdr>
                        <w:top w:val="none" w:sz="0" w:space="0" w:color="auto"/>
                        <w:left w:val="none" w:sz="0" w:space="0" w:color="auto"/>
                        <w:bottom w:val="none" w:sz="0" w:space="0" w:color="auto"/>
                        <w:right w:val="none" w:sz="0" w:space="0" w:color="auto"/>
                      </w:divBdr>
                    </w:div>
                  </w:divsChild>
                </w:div>
                <w:div w:id="567611983">
                  <w:marLeft w:val="0"/>
                  <w:marRight w:val="0"/>
                  <w:marTop w:val="0"/>
                  <w:marBottom w:val="0"/>
                  <w:divBdr>
                    <w:top w:val="none" w:sz="0" w:space="0" w:color="auto"/>
                    <w:left w:val="none" w:sz="0" w:space="0" w:color="auto"/>
                    <w:bottom w:val="none" w:sz="0" w:space="0" w:color="auto"/>
                    <w:right w:val="none" w:sz="0" w:space="0" w:color="auto"/>
                  </w:divBdr>
                  <w:divsChild>
                    <w:div w:id="256600599">
                      <w:marLeft w:val="0"/>
                      <w:marRight w:val="0"/>
                      <w:marTop w:val="0"/>
                      <w:marBottom w:val="0"/>
                      <w:divBdr>
                        <w:top w:val="none" w:sz="0" w:space="0" w:color="auto"/>
                        <w:left w:val="none" w:sz="0" w:space="0" w:color="auto"/>
                        <w:bottom w:val="none" w:sz="0" w:space="0" w:color="auto"/>
                        <w:right w:val="none" w:sz="0" w:space="0" w:color="auto"/>
                      </w:divBdr>
                    </w:div>
                  </w:divsChild>
                </w:div>
                <w:div w:id="575480401">
                  <w:marLeft w:val="0"/>
                  <w:marRight w:val="0"/>
                  <w:marTop w:val="0"/>
                  <w:marBottom w:val="0"/>
                  <w:divBdr>
                    <w:top w:val="none" w:sz="0" w:space="0" w:color="auto"/>
                    <w:left w:val="none" w:sz="0" w:space="0" w:color="auto"/>
                    <w:bottom w:val="none" w:sz="0" w:space="0" w:color="auto"/>
                    <w:right w:val="none" w:sz="0" w:space="0" w:color="auto"/>
                  </w:divBdr>
                  <w:divsChild>
                    <w:div w:id="986857547">
                      <w:marLeft w:val="0"/>
                      <w:marRight w:val="0"/>
                      <w:marTop w:val="0"/>
                      <w:marBottom w:val="0"/>
                      <w:divBdr>
                        <w:top w:val="none" w:sz="0" w:space="0" w:color="auto"/>
                        <w:left w:val="none" w:sz="0" w:space="0" w:color="auto"/>
                        <w:bottom w:val="none" w:sz="0" w:space="0" w:color="auto"/>
                        <w:right w:val="none" w:sz="0" w:space="0" w:color="auto"/>
                      </w:divBdr>
                    </w:div>
                  </w:divsChild>
                </w:div>
                <w:div w:id="579560049">
                  <w:marLeft w:val="0"/>
                  <w:marRight w:val="0"/>
                  <w:marTop w:val="0"/>
                  <w:marBottom w:val="0"/>
                  <w:divBdr>
                    <w:top w:val="none" w:sz="0" w:space="0" w:color="auto"/>
                    <w:left w:val="none" w:sz="0" w:space="0" w:color="auto"/>
                    <w:bottom w:val="none" w:sz="0" w:space="0" w:color="auto"/>
                    <w:right w:val="none" w:sz="0" w:space="0" w:color="auto"/>
                  </w:divBdr>
                  <w:divsChild>
                    <w:div w:id="1540506553">
                      <w:marLeft w:val="0"/>
                      <w:marRight w:val="0"/>
                      <w:marTop w:val="0"/>
                      <w:marBottom w:val="0"/>
                      <w:divBdr>
                        <w:top w:val="none" w:sz="0" w:space="0" w:color="auto"/>
                        <w:left w:val="none" w:sz="0" w:space="0" w:color="auto"/>
                        <w:bottom w:val="none" w:sz="0" w:space="0" w:color="auto"/>
                        <w:right w:val="none" w:sz="0" w:space="0" w:color="auto"/>
                      </w:divBdr>
                    </w:div>
                  </w:divsChild>
                </w:div>
                <w:div w:id="589431909">
                  <w:marLeft w:val="0"/>
                  <w:marRight w:val="0"/>
                  <w:marTop w:val="0"/>
                  <w:marBottom w:val="0"/>
                  <w:divBdr>
                    <w:top w:val="none" w:sz="0" w:space="0" w:color="auto"/>
                    <w:left w:val="none" w:sz="0" w:space="0" w:color="auto"/>
                    <w:bottom w:val="none" w:sz="0" w:space="0" w:color="auto"/>
                    <w:right w:val="none" w:sz="0" w:space="0" w:color="auto"/>
                  </w:divBdr>
                  <w:divsChild>
                    <w:div w:id="61025147">
                      <w:marLeft w:val="0"/>
                      <w:marRight w:val="0"/>
                      <w:marTop w:val="0"/>
                      <w:marBottom w:val="0"/>
                      <w:divBdr>
                        <w:top w:val="none" w:sz="0" w:space="0" w:color="auto"/>
                        <w:left w:val="none" w:sz="0" w:space="0" w:color="auto"/>
                        <w:bottom w:val="none" w:sz="0" w:space="0" w:color="auto"/>
                        <w:right w:val="none" w:sz="0" w:space="0" w:color="auto"/>
                      </w:divBdr>
                    </w:div>
                  </w:divsChild>
                </w:div>
                <w:div w:id="597448221">
                  <w:marLeft w:val="0"/>
                  <w:marRight w:val="0"/>
                  <w:marTop w:val="0"/>
                  <w:marBottom w:val="0"/>
                  <w:divBdr>
                    <w:top w:val="none" w:sz="0" w:space="0" w:color="auto"/>
                    <w:left w:val="none" w:sz="0" w:space="0" w:color="auto"/>
                    <w:bottom w:val="none" w:sz="0" w:space="0" w:color="auto"/>
                    <w:right w:val="none" w:sz="0" w:space="0" w:color="auto"/>
                  </w:divBdr>
                  <w:divsChild>
                    <w:div w:id="1444955282">
                      <w:marLeft w:val="0"/>
                      <w:marRight w:val="0"/>
                      <w:marTop w:val="0"/>
                      <w:marBottom w:val="0"/>
                      <w:divBdr>
                        <w:top w:val="none" w:sz="0" w:space="0" w:color="auto"/>
                        <w:left w:val="none" w:sz="0" w:space="0" w:color="auto"/>
                        <w:bottom w:val="none" w:sz="0" w:space="0" w:color="auto"/>
                        <w:right w:val="none" w:sz="0" w:space="0" w:color="auto"/>
                      </w:divBdr>
                    </w:div>
                  </w:divsChild>
                </w:div>
                <w:div w:id="607932488">
                  <w:marLeft w:val="0"/>
                  <w:marRight w:val="0"/>
                  <w:marTop w:val="0"/>
                  <w:marBottom w:val="0"/>
                  <w:divBdr>
                    <w:top w:val="none" w:sz="0" w:space="0" w:color="auto"/>
                    <w:left w:val="none" w:sz="0" w:space="0" w:color="auto"/>
                    <w:bottom w:val="none" w:sz="0" w:space="0" w:color="auto"/>
                    <w:right w:val="none" w:sz="0" w:space="0" w:color="auto"/>
                  </w:divBdr>
                  <w:divsChild>
                    <w:div w:id="1772780997">
                      <w:marLeft w:val="0"/>
                      <w:marRight w:val="0"/>
                      <w:marTop w:val="0"/>
                      <w:marBottom w:val="0"/>
                      <w:divBdr>
                        <w:top w:val="none" w:sz="0" w:space="0" w:color="auto"/>
                        <w:left w:val="none" w:sz="0" w:space="0" w:color="auto"/>
                        <w:bottom w:val="none" w:sz="0" w:space="0" w:color="auto"/>
                        <w:right w:val="none" w:sz="0" w:space="0" w:color="auto"/>
                      </w:divBdr>
                    </w:div>
                  </w:divsChild>
                </w:div>
                <w:div w:id="639118569">
                  <w:marLeft w:val="0"/>
                  <w:marRight w:val="0"/>
                  <w:marTop w:val="0"/>
                  <w:marBottom w:val="0"/>
                  <w:divBdr>
                    <w:top w:val="none" w:sz="0" w:space="0" w:color="auto"/>
                    <w:left w:val="none" w:sz="0" w:space="0" w:color="auto"/>
                    <w:bottom w:val="none" w:sz="0" w:space="0" w:color="auto"/>
                    <w:right w:val="none" w:sz="0" w:space="0" w:color="auto"/>
                  </w:divBdr>
                  <w:divsChild>
                    <w:div w:id="124540858">
                      <w:marLeft w:val="0"/>
                      <w:marRight w:val="0"/>
                      <w:marTop w:val="0"/>
                      <w:marBottom w:val="0"/>
                      <w:divBdr>
                        <w:top w:val="none" w:sz="0" w:space="0" w:color="auto"/>
                        <w:left w:val="none" w:sz="0" w:space="0" w:color="auto"/>
                        <w:bottom w:val="none" w:sz="0" w:space="0" w:color="auto"/>
                        <w:right w:val="none" w:sz="0" w:space="0" w:color="auto"/>
                      </w:divBdr>
                    </w:div>
                  </w:divsChild>
                </w:div>
                <w:div w:id="681125911">
                  <w:marLeft w:val="0"/>
                  <w:marRight w:val="0"/>
                  <w:marTop w:val="0"/>
                  <w:marBottom w:val="0"/>
                  <w:divBdr>
                    <w:top w:val="none" w:sz="0" w:space="0" w:color="auto"/>
                    <w:left w:val="none" w:sz="0" w:space="0" w:color="auto"/>
                    <w:bottom w:val="none" w:sz="0" w:space="0" w:color="auto"/>
                    <w:right w:val="none" w:sz="0" w:space="0" w:color="auto"/>
                  </w:divBdr>
                  <w:divsChild>
                    <w:div w:id="758404987">
                      <w:marLeft w:val="0"/>
                      <w:marRight w:val="0"/>
                      <w:marTop w:val="0"/>
                      <w:marBottom w:val="0"/>
                      <w:divBdr>
                        <w:top w:val="none" w:sz="0" w:space="0" w:color="auto"/>
                        <w:left w:val="none" w:sz="0" w:space="0" w:color="auto"/>
                        <w:bottom w:val="none" w:sz="0" w:space="0" w:color="auto"/>
                        <w:right w:val="none" w:sz="0" w:space="0" w:color="auto"/>
                      </w:divBdr>
                    </w:div>
                  </w:divsChild>
                </w:div>
                <w:div w:id="705105265">
                  <w:marLeft w:val="0"/>
                  <w:marRight w:val="0"/>
                  <w:marTop w:val="0"/>
                  <w:marBottom w:val="0"/>
                  <w:divBdr>
                    <w:top w:val="none" w:sz="0" w:space="0" w:color="auto"/>
                    <w:left w:val="none" w:sz="0" w:space="0" w:color="auto"/>
                    <w:bottom w:val="none" w:sz="0" w:space="0" w:color="auto"/>
                    <w:right w:val="none" w:sz="0" w:space="0" w:color="auto"/>
                  </w:divBdr>
                  <w:divsChild>
                    <w:div w:id="93986292">
                      <w:marLeft w:val="0"/>
                      <w:marRight w:val="0"/>
                      <w:marTop w:val="0"/>
                      <w:marBottom w:val="0"/>
                      <w:divBdr>
                        <w:top w:val="none" w:sz="0" w:space="0" w:color="auto"/>
                        <w:left w:val="none" w:sz="0" w:space="0" w:color="auto"/>
                        <w:bottom w:val="none" w:sz="0" w:space="0" w:color="auto"/>
                        <w:right w:val="none" w:sz="0" w:space="0" w:color="auto"/>
                      </w:divBdr>
                    </w:div>
                  </w:divsChild>
                </w:div>
                <w:div w:id="712081175">
                  <w:marLeft w:val="0"/>
                  <w:marRight w:val="0"/>
                  <w:marTop w:val="0"/>
                  <w:marBottom w:val="0"/>
                  <w:divBdr>
                    <w:top w:val="none" w:sz="0" w:space="0" w:color="auto"/>
                    <w:left w:val="none" w:sz="0" w:space="0" w:color="auto"/>
                    <w:bottom w:val="none" w:sz="0" w:space="0" w:color="auto"/>
                    <w:right w:val="none" w:sz="0" w:space="0" w:color="auto"/>
                  </w:divBdr>
                  <w:divsChild>
                    <w:div w:id="1028915391">
                      <w:marLeft w:val="0"/>
                      <w:marRight w:val="0"/>
                      <w:marTop w:val="0"/>
                      <w:marBottom w:val="0"/>
                      <w:divBdr>
                        <w:top w:val="none" w:sz="0" w:space="0" w:color="auto"/>
                        <w:left w:val="none" w:sz="0" w:space="0" w:color="auto"/>
                        <w:bottom w:val="none" w:sz="0" w:space="0" w:color="auto"/>
                        <w:right w:val="none" w:sz="0" w:space="0" w:color="auto"/>
                      </w:divBdr>
                    </w:div>
                  </w:divsChild>
                </w:div>
                <w:div w:id="776413747">
                  <w:marLeft w:val="0"/>
                  <w:marRight w:val="0"/>
                  <w:marTop w:val="0"/>
                  <w:marBottom w:val="0"/>
                  <w:divBdr>
                    <w:top w:val="none" w:sz="0" w:space="0" w:color="auto"/>
                    <w:left w:val="none" w:sz="0" w:space="0" w:color="auto"/>
                    <w:bottom w:val="none" w:sz="0" w:space="0" w:color="auto"/>
                    <w:right w:val="none" w:sz="0" w:space="0" w:color="auto"/>
                  </w:divBdr>
                  <w:divsChild>
                    <w:div w:id="1190335544">
                      <w:marLeft w:val="0"/>
                      <w:marRight w:val="0"/>
                      <w:marTop w:val="0"/>
                      <w:marBottom w:val="0"/>
                      <w:divBdr>
                        <w:top w:val="none" w:sz="0" w:space="0" w:color="auto"/>
                        <w:left w:val="none" w:sz="0" w:space="0" w:color="auto"/>
                        <w:bottom w:val="none" w:sz="0" w:space="0" w:color="auto"/>
                        <w:right w:val="none" w:sz="0" w:space="0" w:color="auto"/>
                      </w:divBdr>
                    </w:div>
                  </w:divsChild>
                </w:div>
                <w:div w:id="808205001">
                  <w:marLeft w:val="0"/>
                  <w:marRight w:val="0"/>
                  <w:marTop w:val="0"/>
                  <w:marBottom w:val="0"/>
                  <w:divBdr>
                    <w:top w:val="none" w:sz="0" w:space="0" w:color="auto"/>
                    <w:left w:val="none" w:sz="0" w:space="0" w:color="auto"/>
                    <w:bottom w:val="none" w:sz="0" w:space="0" w:color="auto"/>
                    <w:right w:val="none" w:sz="0" w:space="0" w:color="auto"/>
                  </w:divBdr>
                  <w:divsChild>
                    <w:div w:id="114100940">
                      <w:marLeft w:val="0"/>
                      <w:marRight w:val="0"/>
                      <w:marTop w:val="0"/>
                      <w:marBottom w:val="0"/>
                      <w:divBdr>
                        <w:top w:val="none" w:sz="0" w:space="0" w:color="auto"/>
                        <w:left w:val="none" w:sz="0" w:space="0" w:color="auto"/>
                        <w:bottom w:val="none" w:sz="0" w:space="0" w:color="auto"/>
                        <w:right w:val="none" w:sz="0" w:space="0" w:color="auto"/>
                      </w:divBdr>
                    </w:div>
                  </w:divsChild>
                </w:div>
                <w:div w:id="831526805">
                  <w:marLeft w:val="0"/>
                  <w:marRight w:val="0"/>
                  <w:marTop w:val="0"/>
                  <w:marBottom w:val="0"/>
                  <w:divBdr>
                    <w:top w:val="none" w:sz="0" w:space="0" w:color="auto"/>
                    <w:left w:val="none" w:sz="0" w:space="0" w:color="auto"/>
                    <w:bottom w:val="none" w:sz="0" w:space="0" w:color="auto"/>
                    <w:right w:val="none" w:sz="0" w:space="0" w:color="auto"/>
                  </w:divBdr>
                  <w:divsChild>
                    <w:div w:id="485558214">
                      <w:marLeft w:val="0"/>
                      <w:marRight w:val="0"/>
                      <w:marTop w:val="0"/>
                      <w:marBottom w:val="0"/>
                      <w:divBdr>
                        <w:top w:val="none" w:sz="0" w:space="0" w:color="auto"/>
                        <w:left w:val="none" w:sz="0" w:space="0" w:color="auto"/>
                        <w:bottom w:val="none" w:sz="0" w:space="0" w:color="auto"/>
                        <w:right w:val="none" w:sz="0" w:space="0" w:color="auto"/>
                      </w:divBdr>
                    </w:div>
                  </w:divsChild>
                </w:div>
                <w:div w:id="832644797">
                  <w:marLeft w:val="0"/>
                  <w:marRight w:val="0"/>
                  <w:marTop w:val="0"/>
                  <w:marBottom w:val="0"/>
                  <w:divBdr>
                    <w:top w:val="none" w:sz="0" w:space="0" w:color="auto"/>
                    <w:left w:val="none" w:sz="0" w:space="0" w:color="auto"/>
                    <w:bottom w:val="none" w:sz="0" w:space="0" w:color="auto"/>
                    <w:right w:val="none" w:sz="0" w:space="0" w:color="auto"/>
                  </w:divBdr>
                  <w:divsChild>
                    <w:div w:id="805127698">
                      <w:marLeft w:val="0"/>
                      <w:marRight w:val="0"/>
                      <w:marTop w:val="0"/>
                      <w:marBottom w:val="0"/>
                      <w:divBdr>
                        <w:top w:val="none" w:sz="0" w:space="0" w:color="auto"/>
                        <w:left w:val="none" w:sz="0" w:space="0" w:color="auto"/>
                        <w:bottom w:val="none" w:sz="0" w:space="0" w:color="auto"/>
                        <w:right w:val="none" w:sz="0" w:space="0" w:color="auto"/>
                      </w:divBdr>
                    </w:div>
                  </w:divsChild>
                </w:div>
                <w:div w:id="871962429">
                  <w:marLeft w:val="0"/>
                  <w:marRight w:val="0"/>
                  <w:marTop w:val="0"/>
                  <w:marBottom w:val="0"/>
                  <w:divBdr>
                    <w:top w:val="none" w:sz="0" w:space="0" w:color="auto"/>
                    <w:left w:val="none" w:sz="0" w:space="0" w:color="auto"/>
                    <w:bottom w:val="none" w:sz="0" w:space="0" w:color="auto"/>
                    <w:right w:val="none" w:sz="0" w:space="0" w:color="auto"/>
                  </w:divBdr>
                  <w:divsChild>
                    <w:div w:id="1806386853">
                      <w:marLeft w:val="0"/>
                      <w:marRight w:val="0"/>
                      <w:marTop w:val="0"/>
                      <w:marBottom w:val="0"/>
                      <w:divBdr>
                        <w:top w:val="none" w:sz="0" w:space="0" w:color="auto"/>
                        <w:left w:val="none" w:sz="0" w:space="0" w:color="auto"/>
                        <w:bottom w:val="none" w:sz="0" w:space="0" w:color="auto"/>
                        <w:right w:val="none" w:sz="0" w:space="0" w:color="auto"/>
                      </w:divBdr>
                    </w:div>
                  </w:divsChild>
                </w:div>
                <w:div w:id="895317276">
                  <w:marLeft w:val="0"/>
                  <w:marRight w:val="0"/>
                  <w:marTop w:val="0"/>
                  <w:marBottom w:val="0"/>
                  <w:divBdr>
                    <w:top w:val="none" w:sz="0" w:space="0" w:color="auto"/>
                    <w:left w:val="none" w:sz="0" w:space="0" w:color="auto"/>
                    <w:bottom w:val="none" w:sz="0" w:space="0" w:color="auto"/>
                    <w:right w:val="none" w:sz="0" w:space="0" w:color="auto"/>
                  </w:divBdr>
                  <w:divsChild>
                    <w:div w:id="985596459">
                      <w:marLeft w:val="0"/>
                      <w:marRight w:val="0"/>
                      <w:marTop w:val="0"/>
                      <w:marBottom w:val="0"/>
                      <w:divBdr>
                        <w:top w:val="none" w:sz="0" w:space="0" w:color="auto"/>
                        <w:left w:val="none" w:sz="0" w:space="0" w:color="auto"/>
                        <w:bottom w:val="none" w:sz="0" w:space="0" w:color="auto"/>
                        <w:right w:val="none" w:sz="0" w:space="0" w:color="auto"/>
                      </w:divBdr>
                    </w:div>
                  </w:divsChild>
                </w:div>
                <w:div w:id="899245843">
                  <w:marLeft w:val="0"/>
                  <w:marRight w:val="0"/>
                  <w:marTop w:val="0"/>
                  <w:marBottom w:val="0"/>
                  <w:divBdr>
                    <w:top w:val="none" w:sz="0" w:space="0" w:color="auto"/>
                    <w:left w:val="none" w:sz="0" w:space="0" w:color="auto"/>
                    <w:bottom w:val="none" w:sz="0" w:space="0" w:color="auto"/>
                    <w:right w:val="none" w:sz="0" w:space="0" w:color="auto"/>
                  </w:divBdr>
                  <w:divsChild>
                    <w:div w:id="2111969166">
                      <w:marLeft w:val="0"/>
                      <w:marRight w:val="0"/>
                      <w:marTop w:val="0"/>
                      <w:marBottom w:val="0"/>
                      <w:divBdr>
                        <w:top w:val="none" w:sz="0" w:space="0" w:color="auto"/>
                        <w:left w:val="none" w:sz="0" w:space="0" w:color="auto"/>
                        <w:bottom w:val="none" w:sz="0" w:space="0" w:color="auto"/>
                        <w:right w:val="none" w:sz="0" w:space="0" w:color="auto"/>
                      </w:divBdr>
                    </w:div>
                  </w:divsChild>
                </w:div>
                <w:div w:id="902526563">
                  <w:marLeft w:val="0"/>
                  <w:marRight w:val="0"/>
                  <w:marTop w:val="0"/>
                  <w:marBottom w:val="0"/>
                  <w:divBdr>
                    <w:top w:val="none" w:sz="0" w:space="0" w:color="auto"/>
                    <w:left w:val="none" w:sz="0" w:space="0" w:color="auto"/>
                    <w:bottom w:val="none" w:sz="0" w:space="0" w:color="auto"/>
                    <w:right w:val="none" w:sz="0" w:space="0" w:color="auto"/>
                  </w:divBdr>
                  <w:divsChild>
                    <w:div w:id="406994693">
                      <w:marLeft w:val="0"/>
                      <w:marRight w:val="0"/>
                      <w:marTop w:val="0"/>
                      <w:marBottom w:val="0"/>
                      <w:divBdr>
                        <w:top w:val="none" w:sz="0" w:space="0" w:color="auto"/>
                        <w:left w:val="none" w:sz="0" w:space="0" w:color="auto"/>
                        <w:bottom w:val="none" w:sz="0" w:space="0" w:color="auto"/>
                        <w:right w:val="none" w:sz="0" w:space="0" w:color="auto"/>
                      </w:divBdr>
                    </w:div>
                  </w:divsChild>
                </w:div>
                <w:div w:id="941380332">
                  <w:marLeft w:val="0"/>
                  <w:marRight w:val="0"/>
                  <w:marTop w:val="0"/>
                  <w:marBottom w:val="0"/>
                  <w:divBdr>
                    <w:top w:val="none" w:sz="0" w:space="0" w:color="auto"/>
                    <w:left w:val="none" w:sz="0" w:space="0" w:color="auto"/>
                    <w:bottom w:val="none" w:sz="0" w:space="0" w:color="auto"/>
                    <w:right w:val="none" w:sz="0" w:space="0" w:color="auto"/>
                  </w:divBdr>
                  <w:divsChild>
                    <w:div w:id="603809217">
                      <w:marLeft w:val="0"/>
                      <w:marRight w:val="0"/>
                      <w:marTop w:val="0"/>
                      <w:marBottom w:val="0"/>
                      <w:divBdr>
                        <w:top w:val="none" w:sz="0" w:space="0" w:color="auto"/>
                        <w:left w:val="none" w:sz="0" w:space="0" w:color="auto"/>
                        <w:bottom w:val="none" w:sz="0" w:space="0" w:color="auto"/>
                        <w:right w:val="none" w:sz="0" w:space="0" w:color="auto"/>
                      </w:divBdr>
                    </w:div>
                  </w:divsChild>
                </w:div>
                <w:div w:id="977295728">
                  <w:marLeft w:val="0"/>
                  <w:marRight w:val="0"/>
                  <w:marTop w:val="0"/>
                  <w:marBottom w:val="0"/>
                  <w:divBdr>
                    <w:top w:val="none" w:sz="0" w:space="0" w:color="auto"/>
                    <w:left w:val="none" w:sz="0" w:space="0" w:color="auto"/>
                    <w:bottom w:val="none" w:sz="0" w:space="0" w:color="auto"/>
                    <w:right w:val="none" w:sz="0" w:space="0" w:color="auto"/>
                  </w:divBdr>
                  <w:divsChild>
                    <w:div w:id="1342899385">
                      <w:marLeft w:val="0"/>
                      <w:marRight w:val="0"/>
                      <w:marTop w:val="0"/>
                      <w:marBottom w:val="0"/>
                      <w:divBdr>
                        <w:top w:val="none" w:sz="0" w:space="0" w:color="auto"/>
                        <w:left w:val="none" w:sz="0" w:space="0" w:color="auto"/>
                        <w:bottom w:val="none" w:sz="0" w:space="0" w:color="auto"/>
                        <w:right w:val="none" w:sz="0" w:space="0" w:color="auto"/>
                      </w:divBdr>
                    </w:div>
                  </w:divsChild>
                </w:div>
                <w:div w:id="1075395049">
                  <w:marLeft w:val="0"/>
                  <w:marRight w:val="0"/>
                  <w:marTop w:val="0"/>
                  <w:marBottom w:val="0"/>
                  <w:divBdr>
                    <w:top w:val="none" w:sz="0" w:space="0" w:color="auto"/>
                    <w:left w:val="none" w:sz="0" w:space="0" w:color="auto"/>
                    <w:bottom w:val="none" w:sz="0" w:space="0" w:color="auto"/>
                    <w:right w:val="none" w:sz="0" w:space="0" w:color="auto"/>
                  </w:divBdr>
                  <w:divsChild>
                    <w:div w:id="284779605">
                      <w:marLeft w:val="0"/>
                      <w:marRight w:val="0"/>
                      <w:marTop w:val="0"/>
                      <w:marBottom w:val="0"/>
                      <w:divBdr>
                        <w:top w:val="none" w:sz="0" w:space="0" w:color="auto"/>
                        <w:left w:val="none" w:sz="0" w:space="0" w:color="auto"/>
                        <w:bottom w:val="none" w:sz="0" w:space="0" w:color="auto"/>
                        <w:right w:val="none" w:sz="0" w:space="0" w:color="auto"/>
                      </w:divBdr>
                    </w:div>
                  </w:divsChild>
                </w:div>
                <w:div w:id="1084062125">
                  <w:marLeft w:val="0"/>
                  <w:marRight w:val="0"/>
                  <w:marTop w:val="0"/>
                  <w:marBottom w:val="0"/>
                  <w:divBdr>
                    <w:top w:val="none" w:sz="0" w:space="0" w:color="auto"/>
                    <w:left w:val="none" w:sz="0" w:space="0" w:color="auto"/>
                    <w:bottom w:val="none" w:sz="0" w:space="0" w:color="auto"/>
                    <w:right w:val="none" w:sz="0" w:space="0" w:color="auto"/>
                  </w:divBdr>
                  <w:divsChild>
                    <w:div w:id="145169268">
                      <w:marLeft w:val="0"/>
                      <w:marRight w:val="0"/>
                      <w:marTop w:val="0"/>
                      <w:marBottom w:val="0"/>
                      <w:divBdr>
                        <w:top w:val="none" w:sz="0" w:space="0" w:color="auto"/>
                        <w:left w:val="none" w:sz="0" w:space="0" w:color="auto"/>
                        <w:bottom w:val="none" w:sz="0" w:space="0" w:color="auto"/>
                        <w:right w:val="none" w:sz="0" w:space="0" w:color="auto"/>
                      </w:divBdr>
                    </w:div>
                  </w:divsChild>
                </w:div>
                <w:div w:id="1088035582">
                  <w:marLeft w:val="0"/>
                  <w:marRight w:val="0"/>
                  <w:marTop w:val="0"/>
                  <w:marBottom w:val="0"/>
                  <w:divBdr>
                    <w:top w:val="none" w:sz="0" w:space="0" w:color="auto"/>
                    <w:left w:val="none" w:sz="0" w:space="0" w:color="auto"/>
                    <w:bottom w:val="none" w:sz="0" w:space="0" w:color="auto"/>
                    <w:right w:val="none" w:sz="0" w:space="0" w:color="auto"/>
                  </w:divBdr>
                  <w:divsChild>
                    <w:div w:id="61566391">
                      <w:marLeft w:val="0"/>
                      <w:marRight w:val="0"/>
                      <w:marTop w:val="0"/>
                      <w:marBottom w:val="0"/>
                      <w:divBdr>
                        <w:top w:val="none" w:sz="0" w:space="0" w:color="auto"/>
                        <w:left w:val="none" w:sz="0" w:space="0" w:color="auto"/>
                        <w:bottom w:val="none" w:sz="0" w:space="0" w:color="auto"/>
                        <w:right w:val="none" w:sz="0" w:space="0" w:color="auto"/>
                      </w:divBdr>
                    </w:div>
                  </w:divsChild>
                </w:div>
                <w:div w:id="1123843408">
                  <w:marLeft w:val="0"/>
                  <w:marRight w:val="0"/>
                  <w:marTop w:val="0"/>
                  <w:marBottom w:val="0"/>
                  <w:divBdr>
                    <w:top w:val="none" w:sz="0" w:space="0" w:color="auto"/>
                    <w:left w:val="none" w:sz="0" w:space="0" w:color="auto"/>
                    <w:bottom w:val="none" w:sz="0" w:space="0" w:color="auto"/>
                    <w:right w:val="none" w:sz="0" w:space="0" w:color="auto"/>
                  </w:divBdr>
                  <w:divsChild>
                    <w:div w:id="994340760">
                      <w:marLeft w:val="0"/>
                      <w:marRight w:val="0"/>
                      <w:marTop w:val="0"/>
                      <w:marBottom w:val="0"/>
                      <w:divBdr>
                        <w:top w:val="none" w:sz="0" w:space="0" w:color="auto"/>
                        <w:left w:val="none" w:sz="0" w:space="0" w:color="auto"/>
                        <w:bottom w:val="none" w:sz="0" w:space="0" w:color="auto"/>
                        <w:right w:val="none" w:sz="0" w:space="0" w:color="auto"/>
                      </w:divBdr>
                    </w:div>
                  </w:divsChild>
                </w:div>
                <w:div w:id="1141733201">
                  <w:marLeft w:val="0"/>
                  <w:marRight w:val="0"/>
                  <w:marTop w:val="0"/>
                  <w:marBottom w:val="0"/>
                  <w:divBdr>
                    <w:top w:val="none" w:sz="0" w:space="0" w:color="auto"/>
                    <w:left w:val="none" w:sz="0" w:space="0" w:color="auto"/>
                    <w:bottom w:val="none" w:sz="0" w:space="0" w:color="auto"/>
                    <w:right w:val="none" w:sz="0" w:space="0" w:color="auto"/>
                  </w:divBdr>
                  <w:divsChild>
                    <w:div w:id="953902949">
                      <w:marLeft w:val="0"/>
                      <w:marRight w:val="0"/>
                      <w:marTop w:val="0"/>
                      <w:marBottom w:val="0"/>
                      <w:divBdr>
                        <w:top w:val="none" w:sz="0" w:space="0" w:color="auto"/>
                        <w:left w:val="none" w:sz="0" w:space="0" w:color="auto"/>
                        <w:bottom w:val="none" w:sz="0" w:space="0" w:color="auto"/>
                        <w:right w:val="none" w:sz="0" w:space="0" w:color="auto"/>
                      </w:divBdr>
                    </w:div>
                  </w:divsChild>
                </w:div>
                <w:div w:id="1220871077">
                  <w:marLeft w:val="0"/>
                  <w:marRight w:val="0"/>
                  <w:marTop w:val="0"/>
                  <w:marBottom w:val="0"/>
                  <w:divBdr>
                    <w:top w:val="none" w:sz="0" w:space="0" w:color="auto"/>
                    <w:left w:val="none" w:sz="0" w:space="0" w:color="auto"/>
                    <w:bottom w:val="none" w:sz="0" w:space="0" w:color="auto"/>
                    <w:right w:val="none" w:sz="0" w:space="0" w:color="auto"/>
                  </w:divBdr>
                  <w:divsChild>
                    <w:div w:id="286859461">
                      <w:marLeft w:val="0"/>
                      <w:marRight w:val="0"/>
                      <w:marTop w:val="0"/>
                      <w:marBottom w:val="0"/>
                      <w:divBdr>
                        <w:top w:val="none" w:sz="0" w:space="0" w:color="auto"/>
                        <w:left w:val="none" w:sz="0" w:space="0" w:color="auto"/>
                        <w:bottom w:val="none" w:sz="0" w:space="0" w:color="auto"/>
                        <w:right w:val="none" w:sz="0" w:space="0" w:color="auto"/>
                      </w:divBdr>
                    </w:div>
                  </w:divsChild>
                </w:div>
                <w:div w:id="1296568788">
                  <w:marLeft w:val="0"/>
                  <w:marRight w:val="0"/>
                  <w:marTop w:val="0"/>
                  <w:marBottom w:val="0"/>
                  <w:divBdr>
                    <w:top w:val="none" w:sz="0" w:space="0" w:color="auto"/>
                    <w:left w:val="none" w:sz="0" w:space="0" w:color="auto"/>
                    <w:bottom w:val="none" w:sz="0" w:space="0" w:color="auto"/>
                    <w:right w:val="none" w:sz="0" w:space="0" w:color="auto"/>
                  </w:divBdr>
                  <w:divsChild>
                    <w:div w:id="1629050558">
                      <w:marLeft w:val="0"/>
                      <w:marRight w:val="0"/>
                      <w:marTop w:val="0"/>
                      <w:marBottom w:val="0"/>
                      <w:divBdr>
                        <w:top w:val="none" w:sz="0" w:space="0" w:color="auto"/>
                        <w:left w:val="none" w:sz="0" w:space="0" w:color="auto"/>
                        <w:bottom w:val="none" w:sz="0" w:space="0" w:color="auto"/>
                        <w:right w:val="none" w:sz="0" w:space="0" w:color="auto"/>
                      </w:divBdr>
                    </w:div>
                  </w:divsChild>
                </w:div>
                <w:div w:id="1313294724">
                  <w:marLeft w:val="0"/>
                  <w:marRight w:val="0"/>
                  <w:marTop w:val="0"/>
                  <w:marBottom w:val="0"/>
                  <w:divBdr>
                    <w:top w:val="none" w:sz="0" w:space="0" w:color="auto"/>
                    <w:left w:val="none" w:sz="0" w:space="0" w:color="auto"/>
                    <w:bottom w:val="none" w:sz="0" w:space="0" w:color="auto"/>
                    <w:right w:val="none" w:sz="0" w:space="0" w:color="auto"/>
                  </w:divBdr>
                  <w:divsChild>
                    <w:div w:id="1544322439">
                      <w:marLeft w:val="0"/>
                      <w:marRight w:val="0"/>
                      <w:marTop w:val="0"/>
                      <w:marBottom w:val="0"/>
                      <w:divBdr>
                        <w:top w:val="none" w:sz="0" w:space="0" w:color="auto"/>
                        <w:left w:val="none" w:sz="0" w:space="0" w:color="auto"/>
                        <w:bottom w:val="none" w:sz="0" w:space="0" w:color="auto"/>
                        <w:right w:val="none" w:sz="0" w:space="0" w:color="auto"/>
                      </w:divBdr>
                    </w:div>
                  </w:divsChild>
                </w:div>
                <w:div w:id="1326938064">
                  <w:marLeft w:val="0"/>
                  <w:marRight w:val="0"/>
                  <w:marTop w:val="0"/>
                  <w:marBottom w:val="0"/>
                  <w:divBdr>
                    <w:top w:val="none" w:sz="0" w:space="0" w:color="auto"/>
                    <w:left w:val="none" w:sz="0" w:space="0" w:color="auto"/>
                    <w:bottom w:val="none" w:sz="0" w:space="0" w:color="auto"/>
                    <w:right w:val="none" w:sz="0" w:space="0" w:color="auto"/>
                  </w:divBdr>
                  <w:divsChild>
                    <w:div w:id="929316176">
                      <w:marLeft w:val="0"/>
                      <w:marRight w:val="0"/>
                      <w:marTop w:val="0"/>
                      <w:marBottom w:val="0"/>
                      <w:divBdr>
                        <w:top w:val="none" w:sz="0" w:space="0" w:color="auto"/>
                        <w:left w:val="none" w:sz="0" w:space="0" w:color="auto"/>
                        <w:bottom w:val="none" w:sz="0" w:space="0" w:color="auto"/>
                        <w:right w:val="none" w:sz="0" w:space="0" w:color="auto"/>
                      </w:divBdr>
                    </w:div>
                  </w:divsChild>
                </w:div>
                <w:div w:id="1344555284">
                  <w:marLeft w:val="0"/>
                  <w:marRight w:val="0"/>
                  <w:marTop w:val="0"/>
                  <w:marBottom w:val="0"/>
                  <w:divBdr>
                    <w:top w:val="none" w:sz="0" w:space="0" w:color="auto"/>
                    <w:left w:val="none" w:sz="0" w:space="0" w:color="auto"/>
                    <w:bottom w:val="none" w:sz="0" w:space="0" w:color="auto"/>
                    <w:right w:val="none" w:sz="0" w:space="0" w:color="auto"/>
                  </w:divBdr>
                  <w:divsChild>
                    <w:div w:id="2030838718">
                      <w:marLeft w:val="0"/>
                      <w:marRight w:val="0"/>
                      <w:marTop w:val="0"/>
                      <w:marBottom w:val="0"/>
                      <w:divBdr>
                        <w:top w:val="none" w:sz="0" w:space="0" w:color="auto"/>
                        <w:left w:val="none" w:sz="0" w:space="0" w:color="auto"/>
                        <w:bottom w:val="none" w:sz="0" w:space="0" w:color="auto"/>
                        <w:right w:val="none" w:sz="0" w:space="0" w:color="auto"/>
                      </w:divBdr>
                    </w:div>
                  </w:divsChild>
                </w:div>
                <w:div w:id="1375545935">
                  <w:marLeft w:val="0"/>
                  <w:marRight w:val="0"/>
                  <w:marTop w:val="0"/>
                  <w:marBottom w:val="0"/>
                  <w:divBdr>
                    <w:top w:val="none" w:sz="0" w:space="0" w:color="auto"/>
                    <w:left w:val="none" w:sz="0" w:space="0" w:color="auto"/>
                    <w:bottom w:val="none" w:sz="0" w:space="0" w:color="auto"/>
                    <w:right w:val="none" w:sz="0" w:space="0" w:color="auto"/>
                  </w:divBdr>
                  <w:divsChild>
                    <w:div w:id="1781681049">
                      <w:marLeft w:val="0"/>
                      <w:marRight w:val="0"/>
                      <w:marTop w:val="0"/>
                      <w:marBottom w:val="0"/>
                      <w:divBdr>
                        <w:top w:val="none" w:sz="0" w:space="0" w:color="auto"/>
                        <w:left w:val="none" w:sz="0" w:space="0" w:color="auto"/>
                        <w:bottom w:val="none" w:sz="0" w:space="0" w:color="auto"/>
                        <w:right w:val="none" w:sz="0" w:space="0" w:color="auto"/>
                      </w:divBdr>
                    </w:div>
                  </w:divsChild>
                </w:div>
                <w:div w:id="1382746011">
                  <w:marLeft w:val="0"/>
                  <w:marRight w:val="0"/>
                  <w:marTop w:val="0"/>
                  <w:marBottom w:val="0"/>
                  <w:divBdr>
                    <w:top w:val="none" w:sz="0" w:space="0" w:color="auto"/>
                    <w:left w:val="none" w:sz="0" w:space="0" w:color="auto"/>
                    <w:bottom w:val="none" w:sz="0" w:space="0" w:color="auto"/>
                    <w:right w:val="none" w:sz="0" w:space="0" w:color="auto"/>
                  </w:divBdr>
                  <w:divsChild>
                    <w:div w:id="1907258665">
                      <w:marLeft w:val="0"/>
                      <w:marRight w:val="0"/>
                      <w:marTop w:val="0"/>
                      <w:marBottom w:val="0"/>
                      <w:divBdr>
                        <w:top w:val="none" w:sz="0" w:space="0" w:color="auto"/>
                        <w:left w:val="none" w:sz="0" w:space="0" w:color="auto"/>
                        <w:bottom w:val="none" w:sz="0" w:space="0" w:color="auto"/>
                        <w:right w:val="none" w:sz="0" w:space="0" w:color="auto"/>
                      </w:divBdr>
                    </w:div>
                  </w:divsChild>
                </w:div>
                <w:div w:id="1395198465">
                  <w:marLeft w:val="0"/>
                  <w:marRight w:val="0"/>
                  <w:marTop w:val="0"/>
                  <w:marBottom w:val="0"/>
                  <w:divBdr>
                    <w:top w:val="none" w:sz="0" w:space="0" w:color="auto"/>
                    <w:left w:val="none" w:sz="0" w:space="0" w:color="auto"/>
                    <w:bottom w:val="none" w:sz="0" w:space="0" w:color="auto"/>
                    <w:right w:val="none" w:sz="0" w:space="0" w:color="auto"/>
                  </w:divBdr>
                  <w:divsChild>
                    <w:div w:id="828132523">
                      <w:marLeft w:val="0"/>
                      <w:marRight w:val="0"/>
                      <w:marTop w:val="0"/>
                      <w:marBottom w:val="0"/>
                      <w:divBdr>
                        <w:top w:val="none" w:sz="0" w:space="0" w:color="auto"/>
                        <w:left w:val="none" w:sz="0" w:space="0" w:color="auto"/>
                        <w:bottom w:val="none" w:sz="0" w:space="0" w:color="auto"/>
                        <w:right w:val="none" w:sz="0" w:space="0" w:color="auto"/>
                      </w:divBdr>
                    </w:div>
                  </w:divsChild>
                </w:div>
                <w:div w:id="1458716761">
                  <w:marLeft w:val="0"/>
                  <w:marRight w:val="0"/>
                  <w:marTop w:val="0"/>
                  <w:marBottom w:val="0"/>
                  <w:divBdr>
                    <w:top w:val="none" w:sz="0" w:space="0" w:color="auto"/>
                    <w:left w:val="none" w:sz="0" w:space="0" w:color="auto"/>
                    <w:bottom w:val="none" w:sz="0" w:space="0" w:color="auto"/>
                    <w:right w:val="none" w:sz="0" w:space="0" w:color="auto"/>
                  </w:divBdr>
                  <w:divsChild>
                    <w:div w:id="973488929">
                      <w:marLeft w:val="0"/>
                      <w:marRight w:val="0"/>
                      <w:marTop w:val="0"/>
                      <w:marBottom w:val="0"/>
                      <w:divBdr>
                        <w:top w:val="none" w:sz="0" w:space="0" w:color="auto"/>
                        <w:left w:val="none" w:sz="0" w:space="0" w:color="auto"/>
                        <w:bottom w:val="none" w:sz="0" w:space="0" w:color="auto"/>
                        <w:right w:val="none" w:sz="0" w:space="0" w:color="auto"/>
                      </w:divBdr>
                    </w:div>
                  </w:divsChild>
                </w:div>
                <w:div w:id="1558122871">
                  <w:marLeft w:val="0"/>
                  <w:marRight w:val="0"/>
                  <w:marTop w:val="0"/>
                  <w:marBottom w:val="0"/>
                  <w:divBdr>
                    <w:top w:val="none" w:sz="0" w:space="0" w:color="auto"/>
                    <w:left w:val="none" w:sz="0" w:space="0" w:color="auto"/>
                    <w:bottom w:val="none" w:sz="0" w:space="0" w:color="auto"/>
                    <w:right w:val="none" w:sz="0" w:space="0" w:color="auto"/>
                  </w:divBdr>
                  <w:divsChild>
                    <w:div w:id="472523664">
                      <w:marLeft w:val="0"/>
                      <w:marRight w:val="0"/>
                      <w:marTop w:val="0"/>
                      <w:marBottom w:val="0"/>
                      <w:divBdr>
                        <w:top w:val="none" w:sz="0" w:space="0" w:color="auto"/>
                        <w:left w:val="none" w:sz="0" w:space="0" w:color="auto"/>
                        <w:bottom w:val="none" w:sz="0" w:space="0" w:color="auto"/>
                        <w:right w:val="none" w:sz="0" w:space="0" w:color="auto"/>
                      </w:divBdr>
                    </w:div>
                  </w:divsChild>
                </w:div>
                <w:div w:id="1587156034">
                  <w:marLeft w:val="0"/>
                  <w:marRight w:val="0"/>
                  <w:marTop w:val="0"/>
                  <w:marBottom w:val="0"/>
                  <w:divBdr>
                    <w:top w:val="none" w:sz="0" w:space="0" w:color="auto"/>
                    <w:left w:val="none" w:sz="0" w:space="0" w:color="auto"/>
                    <w:bottom w:val="none" w:sz="0" w:space="0" w:color="auto"/>
                    <w:right w:val="none" w:sz="0" w:space="0" w:color="auto"/>
                  </w:divBdr>
                  <w:divsChild>
                    <w:div w:id="411246476">
                      <w:marLeft w:val="0"/>
                      <w:marRight w:val="0"/>
                      <w:marTop w:val="0"/>
                      <w:marBottom w:val="0"/>
                      <w:divBdr>
                        <w:top w:val="none" w:sz="0" w:space="0" w:color="auto"/>
                        <w:left w:val="none" w:sz="0" w:space="0" w:color="auto"/>
                        <w:bottom w:val="none" w:sz="0" w:space="0" w:color="auto"/>
                        <w:right w:val="none" w:sz="0" w:space="0" w:color="auto"/>
                      </w:divBdr>
                    </w:div>
                  </w:divsChild>
                </w:div>
                <w:div w:id="1607538903">
                  <w:marLeft w:val="0"/>
                  <w:marRight w:val="0"/>
                  <w:marTop w:val="0"/>
                  <w:marBottom w:val="0"/>
                  <w:divBdr>
                    <w:top w:val="none" w:sz="0" w:space="0" w:color="auto"/>
                    <w:left w:val="none" w:sz="0" w:space="0" w:color="auto"/>
                    <w:bottom w:val="none" w:sz="0" w:space="0" w:color="auto"/>
                    <w:right w:val="none" w:sz="0" w:space="0" w:color="auto"/>
                  </w:divBdr>
                  <w:divsChild>
                    <w:div w:id="699400401">
                      <w:marLeft w:val="0"/>
                      <w:marRight w:val="0"/>
                      <w:marTop w:val="0"/>
                      <w:marBottom w:val="0"/>
                      <w:divBdr>
                        <w:top w:val="none" w:sz="0" w:space="0" w:color="auto"/>
                        <w:left w:val="none" w:sz="0" w:space="0" w:color="auto"/>
                        <w:bottom w:val="none" w:sz="0" w:space="0" w:color="auto"/>
                        <w:right w:val="none" w:sz="0" w:space="0" w:color="auto"/>
                      </w:divBdr>
                    </w:div>
                  </w:divsChild>
                </w:div>
                <w:div w:id="1625040876">
                  <w:marLeft w:val="0"/>
                  <w:marRight w:val="0"/>
                  <w:marTop w:val="0"/>
                  <w:marBottom w:val="0"/>
                  <w:divBdr>
                    <w:top w:val="none" w:sz="0" w:space="0" w:color="auto"/>
                    <w:left w:val="none" w:sz="0" w:space="0" w:color="auto"/>
                    <w:bottom w:val="none" w:sz="0" w:space="0" w:color="auto"/>
                    <w:right w:val="none" w:sz="0" w:space="0" w:color="auto"/>
                  </w:divBdr>
                  <w:divsChild>
                    <w:div w:id="277949475">
                      <w:marLeft w:val="0"/>
                      <w:marRight w:val="0"/>
                      <w:marTop w:val="0"/>
                      <w:marBottom w:val="0"/>
                      <w:divBdr>
                        <w:top w:val="none" w:sz="0" w:space="0" w:color="auto"/>
                        <w:left w:val="none" w:sz="0" w:space="0" w:color="auto"/>
                        <w:bottom w:val="none" w:sz="0" w:space="0" w:color="auto"/>
                        <w:right w:val="none" w:sz="0" w:space="0" w:color="auto"/>
                      </w:divBdr>
                    </w:div>
                  </w:divsChild>
                </w:div>
                <w:div w:id="1707749666">
                  <w:marLeft w:val="0"/>
                  <w:marRight w:val="0"/>
                  <w:marTop w:val="0"/>
                  <w:marBottom w:val="0"/>
                  <w:divBdr>
                    <w:top w:val="none" w:sz="0" w:space="0" w:color="auto"/>
                    <w:left w:val="none" w:sz="0" w:space="0" w:color="auto"/>
                    <w:bottom w:val="none" w:sz="0" w:space="0" w:color="auto"/>
                    <w:right w:val="none" w:sz="0" w:space="0" w:color="auto"/>
                  </w:divBdr>
                  <w:divsChild>
                    <w:div w:id="1695229183">
                      <w:marLeft w:val="0"/>
                      <w:marRight w:val="0"/>
                      <w:marTop w:val="0"/>
                      <w:marBottom w:val="0"/>
                      <w:divBdr>
                        <w:top w:val="none" w:sz="0" w:space="0" w:color="auto"/>
                        <w:left w:val="none" w:sz="0" w:space="0" w:color="auto"/>
                        <w:bottom w:val="none" w:sz="0" w:space="0" w:color="auto"/>
                        <w:right w:val="none" w:sz="0" w:space="0" w:color="auto"/>
                      </w:divBdr>
                    </w:div>
                  </w:divsChild>
                </w:div>
                <w:div w:id="1733691492">
                  <w:marLeft w:val="0"/>
                  <w:marRight w:val="0"/>
                  <w:marTop w:val="0"/>
                  <w:marBottom w:val="0"/>
                  <w:divBdr>
                    <w:top w:val="none" w:sz="0" w:space="0" w:color="auto"/>
                    <w:left w:val="none" w:sz="0" w:space="0" w:color="auto"/>
                    <w:bottom w:val="none" w:sz="0" w:space="0" w:color="auto"/>
                    <w:right w:val="none" w:sz="0" w:space="0" w:color="auto"/>
                  </w:divBdr>
                  <w:divsChild>
                    <w:div w:id="372967304">
                      <w:marLeft w:val="0"/>
                      <w:marRight w:val="0"/>
                      <w:marTop w:val="0"/>
                      <w:marBottom w:val="0"/>
                      <w:divBdr>
                        <w:top w:val="none" w:sz="0" w:space="0" w:color="auto"/>
                        <w:left w:val="none" w:sz="0" w:space="0" w:color="auto"/>
                        <w:bottom w:val="none" w:sz="0" w:space="0" w:color="auto"/>
                        <w:right w:val="none" w:sz="0" w:space="0" w:color="auto"/>
                      </w:divBdr>
                    </w:div>
                  </w:divsChild>
                </w:div>
                <w:div w:id="1747875573">
                  <w:marLeft w:val="0"/>
                  <w:marRight w:val="0"/>
                  <w:marTop w:val="0"/>
                  <w:marBottom w:val="0"/>
                  <w:divBdr>
                    <w:top w:val="none" w:sz="0" w:space="0" w:color="auto"/>
                    <w:left w:val="none" w:sz="0" w:space="0" w:color="auto"/>
                    <w:bottom w:val="none" w:sz="0" w:space="0" w:color="auto"/>
                    <w:right w:val="none" w:sz="0" w:space="0" w:color="auto"/>
                  </w:divBdr>
                  <w:divsChild>
                    <w:div w:id="1185097220">
                      <w:marLeft w:val="0"/>
                      <w:marRight w:val="0"/>
                      <w:marTop w:val="0"/>
                      <w:marBottom w:val="0"/>
                      <w:divBdr>
                        <w:top w:val="none" w:sz="0" w:space="0" w:color="auto"/>
                        <w:left w:val="none" w:sz="0" w:space="0" w:color="auto"/>
                        <w:bottom w:val="none" w:sz="0" w:space="0" w:color="auto"/>
                        <w:right w:val="none" w:sz="0" w:space="0" w:color="auto"/>
                      </w:divBdr>
                    </w:div>
                  </w:divsChild>
                </w:div>
                <w:div w:id="1754933074">
                  <w:marLeft w:val="0"/>
                  <w:marRight w:val="0"/>
                  <w:marTop w:val="0"/>
                  <w:marBottom w:val="0"/>
                  <w:divBdr>
                    <w:top w:val="none" w:sz="0" w:space="0" w:color="auto"/>
                    <w:left w:val="none" w:sz="0" w:space="0" w:color="auto"/>
                    <w:bottom w:val="none" w:sz="0" w:space="0" w:color="auto"/>
                    <w:right w:val="none" w:sz="0" w:space="0" w:color="auto"/>
                  </w:divBdr>
                  <w:divsChild>
                    <w:div w:id="1515076298">
                      <w:marLeft w:val="0"/>
                      <w:marRight w:val="0"/>
                      <w:marTop w:val="0"/>
                      <w:marBottom w:val="0"/>
                      <w:divBdr>
                        <w:top w:val="none" w:sz="0" w:space="0" w:color="auto"/>
                        <w:left w:val="none" w:sz="0" w:space="0" w:color="auto"/>
                        <w:bottom w:val="none" w:sz="0" w:space="0" w:color="auto"/>
                        <w:right w:val="none" w:sz="0" w:space="0" w:color="auto"/>
                      </w:divBdr>
                    </w:div>
                  </w:divsChild>
                </w:div>
                <w:div w:id="1766269127">
                  <w:marLeft w:val="0"/>
                  <w:marRight w:val="0"/>
                  <w:marTop w:val="0"/>
                  <w:marBottom w:val="0"/>
                  <w:divBdr>
                    <w:top w:val="none" w:sz="0" w:space="0" w:color="auto"/>
                    <w:left w:val="none" w:sz="0" w:space="0" w:color="auto"/>
                    <w:bottom w:val="none" w:sz="0" w:space="0" w:color="auto"/>
                    <w:right w:val="none" w:sz="0" w:space="0" w:color="auto"/>
                  </w:divBdr>
                  <w:divsChild>
                    <w:div w:id="1322736472">
                      <w:marLeft w:val="0"/>
                      <w:marRight w:val="0"/>
                      <w:marTop w:val="0"/>
                      <w:marBottom w:val="0"/>
                      <w:divBdr>
                        <w:top w:val="none" w:sz="0" w:space="0" w:color="auto"/>
                        <w:left w:val="none" w:sz="0" w:space="0" w:color="auto"/>
                        <w:bottom w:val="none" w:sz="0" w:space="0" w:color="auto"/>
                        <w:right w:val="none" w:sz="0" w:space="0" w:color="auto"/>
                      </w:divBdr>
                    </w:div>
                  </w:divsChild>
                </w:div>
                <w:div w:id="1778867655">
                  <w:marLeft w:val="0"/>
                  <w:marRight w:val="0"/>
                  <w:marTop w:val="0"/>
                  <w:marBottom w:val="0"/>
                  <w:divBdr>
                    <w:top w:val="none" w:sz="0" w:space="0" w:color="auto"/>
                    <w:left w:val="none" w:sz="0" w:space="0" w:color="auto"/>
                    <w:bottom w:val="none" w:sz="0" w:space="0" w:color="auto"/>
                    <w:right w:val="none" w:sz="0" w:space="0" w:color="auto"/>
                  </w:divBdr>
                  <w:divsChild>
                    <w:div w:id="1904175451">
                      <w:marLeft w:val="0"/>
                      <w:marRight w:val="0"/>
                      <w:marTop w:val="0"/>
                      <w:marBottom w:val="0"/>
                      <w:divBdr>
                        <w:top w:val="none" w:sz="0" w:space="0" w:color="auto"/>
                        <w:left w:val="none" w:sz="0" w:space="0" w:color="auto"/>
                        <w:bottom w:val="none" w:sz="0" w:space="0" w:color="auto"/>
                        <w:right w:val="none" w:sz="0" w:space="0" w:color="auto"/>
                      </w:divBdr>
                    </w:div>
                  </w:divsChild>
                </w:div>
                <w:div w:id="1784763157">
                  <w:marLeft w:val="0"/>
                  <w:marRight w:val="0"/>
                  <w:marTop w:val="0"/>
                  <w:marBottom w:val="0"/>
                  <w:divBdr>
                    <w:top w:val="none" w:sz="0" w:space="0" w:color="auto"/>
                    <w:left w:val="none" w:sz="0" w:space="0" w:color="auto"/>
                    <w:bottom w:val="none" w:sz="0" w:space="0" w:color="auto"/>
                    <w:right w:val="none" w:sz="0" w:space="0" w:color="auto"/>
                  </w:divBdr>
                  <w:divsChild>
                    <w:div w:id="981080045">
                      <w:marLeft w:val="0"/>
                      <w:marRight w:val="0"/>
                      <w:marTop w:val="0"/>
                      <w:marBottom w:val="0"/>
                      <w:divBdr>
                        <w:top w:val="none" w:sz="0" w:space="0" w:color="auto"/>
                        <w:left w:val="none" w:sz="0" w:space="0" w:color="auto"/>
                        <w:bottom w:val="none" w:sz="0" w:space="0" w:color="auto"/>
                        <w:right w:val="none" w:sz="0" w:space="0" w:color="auto"/>
                      </w:divBdr>
                    </w:div>
                  </w:divsChild>
                </w:div>
                <w:div w:id="1790664658">
                  <w:marLeft w:val="0"/>
                  <w:marRight w:val="0"/>
                  <w:marTop w:val="0"/>
                  <w:marBottom w:val="0"/>
                  <w:divBdr>
                    <w:top w:val="none" w:sz="0" w:space="0" w:color="auto"/>
                    <w:left w:val="none" w:sz="0" w:space="0" w:color="auto"/>
                    <w:bottom w:val="none" w:sz="0" w:space="0" w:color="auto"/>
                    <w:right w:val="none" w:sz="0" w:space="0" w:color="auto"/>
                  </w:divBdr>
                  <w:divsChild>
                    <w:div w:id="484511671">
                      <w:marLeft w:val="0"/>
                      <w:marRight w:val="0"/>
                      <w:marTop w:val="0"/>
                      <w:marBottom w:val="0"/>
                      <w:divBdr>
                        <w:top w:val="none" w:sz="0" w:space="0" w:color="auto"/>
                        <w:left w:val="none" w:sz="0" w:space="0" w:color="auto"/>
                        <w:bottom w:val="none" w:sz="0" w:space="0" w:color="auto"/>
                        <w:right w:val="none" w:sz="0" w:space="0" w:color="auto"/>
                      </w:divBdr>
                    </w:div>
                  </w:divsChild>
                </w:div>
                <w:div w:id="1817987288">
                  <w:marLeft w:val="0"/>
                  <w:marRight w:val="0"/>
                  <w:marTop w:val="0"/>
                  <w:marBottom w:val="0"/>
                  <w:divBdr>
                    <w:top w:val="none" w:sz="0" w:space="0" w:color="auto"/>
                    <w:left w:val="none" w:sz="0" w:space="0" w:color="auto"/>
                    <w:bottom w:val="none" w:sz="0" w:space="0" w:color="auto"/>
                    <w:right w:val="none" w:sz="0" w:space="0" w:color="auto"/>
                  </w:divBdr>
                  <w:divsChild>
                    <w:div w:id="639266703">
                      <w:marLeft w:val="0"/>
                      <w:marRight w:val="0"/>
                      <w:marTop w:val="0"/>
                      <w:marBottom w:val="0"/>
                      <w:divBdr>
                        <w:top w:val="none" w:sz="0" w:space="0" w:color="auto"/>
                        <w:left w:val="none" w:sz="0" w:space="0" w:color="auto"/>
                        <w:bottom w:val="none" w:sz="0" w:space="0" w:color="auto"/>
                        <w:right w:val="none" w:sz="0" w:space="0" w:color="auto"/>
                      </w:divBdr>
                    </w:div>
                  </w:divsChild>
                </w:div>
                <w:div w:id="1839808996">
                  <w:marLeft w:val="0"/>
                  <w:marRight w:val="0"/>
                  <w:marTop w:val="0"/>
                  <w:marBottom w:val="0"/>
                  <w:divBdr>
                    <w:top w:val="none" w:sz="0" w:space="0" w:color="auto"/>
                    <w:left w:val="none" w:sz="0" w:space="0" w:color="auto"/>
                    <w:bottom w:val="none" w:sz="0" w:space="0" w:color="auto"/>
                    <w:right w:val="none" w:sz="0" w:space="0" w:color="auto"/>
                  </w:divBdr>
                  <w:divsChild>
                    <w:div w:id="165439905">
                      <w:marLeft w:val="0"/>
                      <w:marRight w:val="0"/>
                      <w:marTop w:val="0"/>
                      <w:marBottom w:val="0"/>
                      <w:divBdr>
                        <w:top w:val="none" w:sz="0" w:space="0" w:color="auto"/>
                        <w:left w:val="none" w:sz="0" w:space="0" w:color="auto"/>
                        <w:bottom w:val="none" w:sz="0" w:space="0" w:color="auto"/>
                        <w:right w:val="none" w:sz="0" w:space="0" w:color="auto"/>
                      </w:divBdr>
                    </w:div>
                  </w:divsChild>
                </w:div>
                <w:div w:id="1848055149">
                  <w:marLeft w:val="0"/>
                  <w:marRight w:val="0"/>
                  <w:marTop w:val="0"/>
                  <w:marBottom w:val="0"/>
                  <w:divBdr>
                    <w:top w:val="none" w:sz="0" w:space="0" w:color="auto"/>
                    <w:left w:val="none" w:sz="0" w:space="0" w:color="auto"/>
                    <w:bottom w:val="none" w:sz="0" w:space="0" w:color="auto"/>
                    <w:right w:val="none" w:sz="0" w:space="0" w:color="auto"/>
                  </w:divBdr>
                  <w:divsChild>
                    <w:div w:id="1760367013">
                      <w:marLeft w:val="0"/>
                      <w:marRight w:val="0"/>
                      <w:marTop w:val="0"/>
                      <w:marBottom w:val="0"/>
                      <w:divBdr>
                        <w:top w:val="none" w:sz="0" w:space="0" w:color="auto"/>
                        <w:left w:val="none" w:sz="0" w:space="0" w:color="auto"/>
                        <w:bottom w:val="none" w:sz="0" w:space="0" w:color="auto"/>
                        <w:right w:val="none" w:sz="0" w:space="0" w:color="auto"/>
                      </w:divBdr>
                    </w:div>
                  </w:divsChild>
                </w:div>
                <w:div w:id="1872566613">
                  <w:marLeft w:val="0"/>
                  <w:marRight w:val="0"/>
                  <w:marTop w:val="0"/>
                  <w:marBottom w:val="0"/>
                  <w:divBdr>
                    <w:top w:val="none" w:sz="0" w:space="0" w:color="auto"/>
                    <w:left w:val="none" w:sz="0" w:space="0" w:color="auto"/>
                    <w:bottom w:val="none" w:sz="0" w:space="0" w:color="auto"/>
                    <w:right w:val="none" w:sz="0" w:space="0" w:color="auto"/>
                  </w:divBdr>
                  <w:divsChild>
                    <w:div w:id="68384742">
                      <w:marLeft w:val="0"/>
                      <w:marRight w:val="0"/>
                      <w:marTop w:val="0"/>
                      <w:marBottom w:val="0"/>
                      <w:divBdr>
                        <w:top w:val="none" w:sz="0" w:space="0" w:color="auto"/>
                        <w:left w:val="none" w:sz="0" w:space="0" w:color="auto"/>
                        <w:bottom w:val="none" w:sz="0" w:space="0" w:color="auto"/>
                        <w:right w:val="none" w:sz="0" w:space="0" w:color="auto"/>
                      </w:divBdr>
                    </w:div>
                  </w:divsChild>
                </w:div>
                <w:div w:id="1949386915">
                  <w:marLeft w:val="0"/>
                  <w:marRight w:val="0"/>
                  <w:marTop w:val="0"/>
                  <w:marBottom w:val="0"/>
                  <w:divBdr>
                    <w:top w:val="none" w:sz="0" w:space="0" w:color="auto"/>
                    <w:left w:val="none" w:sz="0" w:space="0" w:color="auto"/>
                    <w:bottom w:val="none" w:sz="0" w:space="0" w:color="auto"/>
                    <w:right w:val="none" w:sz="0" w:space="0" w:color="auto"/>
                  </w:divBdr>
                  <w:divsChild>
                    <w:div w:id="198710126">
                      <w:marLeft w:val="0"/>
                      <w:marRight w:val="0"/>
                      <w:marTop w:val="0"/>
                      <w:marBottom w:val="0"/>
                      <w:divBdr>
                        <w:top w:val="none" w:sz="0" w:space="0" w:color="auto"/>
                        <w:left w:val="none" w:sz="0" w:space="0" w:color="auto"/>
                        <w:bottom w:val="none" w:sz="0" w:space="0" w:color="auto"/>
                        <w:right w:val="none" w:sz="0" w:space="0" w:color="auto"/>
                      </w:divBdr>
                    </w:div>
                  </w:divsChild>
                </w:div>
                <w:div w:id="2036226208">
                  <w:marLeft w:val="0"/>
                  <w:marRight w:val="0"/>
                  <w:marTop w:val="0"/>
                  <w:marBottom w:val="0"/>
                  <w:divBdr>
                    <w:top w:val="none" w:sz="0" w:space="0" w:color="auto"/>
                    <w:left w:val="none" w:sz="0" w:space="0" w:color="auto"/>
                    <w:bottom w:val="none" w:sz="0" w:space="0" w:color="auto"/>
                    <w:right w:val="none" w:sz="0" w:space="0" w:color="auto"/>
                  </w:divBdr>
                  <w:divsChild>
                    <w:div w:id="1350332307">
                      <w:marLeft w:val="0"/>
                      <w:marRight w:val="0"/>
                      <w:marTop w:val="0"/>
                      <w:marBottom w:val="0"/>
                      <w:divBdr>
                        <w:top w:val="none" w:sz="0" w:space="0" w:color="auto"/>
                        <w:left w:val="none" w:sz="0" w:space="0" w:color="auto"/>
                        <w:bottom w:val="none" w:sz="0" w:space="0" w:color="auto"/>
                        <w:right w:val="none" w:sz="0" w:space="0" w:color="auto"/>
                      </w:divBdr>
                    </w:div>
                  </w:divsChild>
                </w:div>
                <w:div w:id="2058432332">
                  <w:marLeft w:val="0"/>
                  <w:marRight w:val="0"/>
                  <w:marTop w:val="0"/>
                  <w:marBottom w:val="0"/>
                  <w:divBdr>
                    <w:top w:val="none" w:sz="0" w:space="0" w:color="auto"/>
                    <w:left w:val="none" w:sz="0" w:space="0" w:color="auto"/>
                    <w:bottom w:val="none" w:sz="0" w:space="0" w:color="auto"/>
                    <w:right w:val="none" w:sz="0" w:space="0" w:color="auto"/>
                  </w:divBdr>
                  <w:divsChild>
                    <w:div w:id="2098549665">
                      <w:marLeft w:val="0"/>
                      <w:marRight w:val="0"/>
                      <w:marTop w:val="0"/>
                      <w:marBottom w:val="0"/>
                      <w:divBdr>
                        <w:top w:val="none" w:sz="0" w:space="0" w:color="auto"/>
                        <w:left w:val="none" w:sz="0" w:space="0" w:color="auto"/>
                        <w:bottom w:val="none" w:sz="0" w:space="0" w:color="auto"/>
                        <w:right w:val="none" w:sz="0" w:space="0" w:color="auto"/>
                      </w:divBdr>
                    </w:div>
                  </w:divsChild>
                </w:div>
                <w:div w:id="2060009477">
                  <w:marLeft w:val="0"/>
                  <w:marRight w:val="0"/>
                  <w:marTop w:val="0"/>
                  <w:marBottom w:val="0"/>
                  <w:divBdr>
                    <w:top w:val="none" w:sz="0" w:space="0" w:color="auto"/>
                    <w:left w:val="none" w:sz="0" w:space="0" w:color="auto"/>
                    <w:bottom w:val="none" w:sz="0" w:space="0" w:color="auto"/>
                    <w:right w:val="none" w:sz="0" w:space="0" w:color="auto"/>
                  </w:divBdr>
                  <w:divsChild>
                    <w:div w:id="532577956">
                      <w:marLeft w:val="0"/>
                      <w:marRight w:val="0"/>
                      <w:marTop w:val="0"/>
                      <w:marBottom w:val="0"/>
                      <w:divBdr>
                        <w:top w:val="none" w:sz="0" w:space="0" w:color="auto"/>
                        <w:left w:val="none" w:sz="0" w:space="0" w:color="auto"/>
                        <w:bottom w:val="none" w:sz="0" w:space="0" w:color="auto"/>
                        <w:right w:val="none" w:sz="0" w:space="0" w:color="auto"/>
                      </w:divBdr>
                    </w:div>
                  </w:divsChild>
                </w:div>
                <w:div w:id="2088646530">
                  <w:marLeft w:val="0"/>
                  <w:marRight w:val="0"/>
                  <w:marTop w:val="0"/>
                  <w:marBottom w:val="0"/>
                  <w:divBdr>
                    <w:top w:val="none" w:sz="0" w:space="0" w:color="auto"/>
                    <w:left w:val="none" w:sz="0" w:space="0" w:color="auto"/>
                    <w:bottom w:val="none" w:sz="0" w:space="0" w:color="auto"/>
                    <w:right w:val="none" w:sz="0" w:space="0" w:color="auto"/>
                  </w:divBdr>
                  <w:divsChild>
                    <w:div w:id="358900349">
                      <w:marLeft w:val="0"/>
                      <w:marRight w:val="0"/>
                      <w:marTop w:val="0"/>
                      <w:marBottom w:val="0"/>
                      <w:divBdr>
                        <w:top w:val="none" w:sz="0" w:space="0" w:color="auto"/>
                        <w:left w:val="none" w:sz="0" w:space="0" w:color="auto"/>
                        <w:bottom w:val="none" w:sz="0" w:space="0" w:color="auto"/>
                        <w:right w:val="none" w:sz="0" w:space="0" w:color="auto"/>
                      </w:divBdr>
                    </w:div>
                  </w:divsChild>
                </w:div>
                <w:div w:id="2101951476">
                  <w:marLeft w:val="0"/>
                  <w:marRight w:val="0"/>
                  <w:marTop w:val="0"/>
                  <w:marBottom w:val="0"/>
                  <w:divBdr>
                    <w:top w:val="none" w:sz="0" w:space="0" w:color="auto"/>
                    <w:left w:val="none" w:sz="0" w:space="0" w:color="auto"/>
                    <w:bottom w:val="none" w:sz="0" w:space="0" w:color="auto"/>
                    <w:right w:val="none" w:sz="0" w:space="0" w:color="auto"/>
                  </w:divBdr>
                  <w:divsChild>
                    <w:div w:id="2032415484">
                      <w:marLeft w:val="0"/>
                      <w:marRight w:val="0"/>
                      <w:marTop w:val="0"/>
                      <w:marBottom w:val="0"/>
                      <w:divBdr>
                        <w:top w:val="none" w:sz="0" w:space="0" w:color="auto"/>
                        <w:left w:val="none" w:sz="0" w:space="0" w:color="auto"/>
                        <w:bottom w:val="none" w:sz="0" w:space="0" w:color="auto"/>
                        <w:right w:val="none" w:sz="0" w:space="0" w:color="auto"/>
                      </w:divBdr>
                    </w:div>
                  </w:divsChild>
                </w:div>
                <w:div w:id="2126926764">
                  <w:marLeft w:val="0"/>
                  <w:marRight w:val="0"/>
                  <w:marTop w:val="0"/>
                  <w:marBottom w:val="0"/>
                  <w:divBdr>
                    <w:top w:val="none" w:sz="0" w:space="0" w:color="auto"/>
                    <w:left w:val="none" w:sz="0" w:space="0" w:color="auto"/>
                    <w:bottom w:val="none" w:sz="0" w:space="0" w:color="auto"/>
                    <w:right w:val="none" w:sz="0" w:space="0" w:color="auto"/>
                  </w:divBdr>
                  <w:divsChild>
                    <w:div w:id="196620441">
                      <w:marLeft w:val="0"/>
                      <w:marRight w:val="0"/>
                      <w:marTop w:val="0"/>
                      <w:marBottom w:val="0"/>
                      <w:divBdr>
                        <w:top w:val="none" w:sz="0" w:space="0" w:color="auto"/>
                        <w:left w:val="none" w:sz="0" w:space="0" w:color="auto"/>
                        <w:bottom w:val="none" w:sz="0" w:space="0" w:color="auto"/>
                        <w:right w:val="none" w:sz="0" w:space="0" w:color="auto"/>
                      </w:divBdr>
                    </w:div>
                  </w:divsChild>
                </w:div>
                <w:div w:id="2136094437">
                  <w:marLeft w:val="0"/>
                  <w:marRight w:val="0"/>
                  <w:marTop w:val="0"/>
                  <w:marBottom w:val="0"/>
                  <w:divBdr>
                    <w:top w:val="none" w:sz="0" w:space="0" w:color="auto"/>
                    <w:left w:val="none" w:sz="0" w:space="0" w:color="auto"/>
                    <w:bottom w:val="none" w:sz="0" w:space="0" w:color="auto"/>
                    <w:right w:val="none" w:sz="0" w:space="0" w:color="auto"/>
                  </w:divBdr>
                  <w:divsChild>
                    <w:div w:id="2139059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3224620">
          <w:marLeft w:val="0"/>
          <w:marRight w:val="0"/>
          <w:marTop w:val="0"/>
          <w:marBottom w:val="0"/>
          <w:divBdr>
            <w:top w:val="none" w:sz="0" w:space="0" w:color="auto"/>
            <w:left w:val="none" w:sz="0" w:space="0" w:color="auto"/>
            <w:bottom w:val="none" w:sz="0" w:space="0" w:color="auto"/>
            <w:right w:val="none" w:sz="0" w:space="0" w:color="auto"/>
          </w:divBdr>
        </w:div>
        <w:div w:id="1821533512">
          <w:marLeft w:val="0"/>
          <w:marRight w:val="0"/>
          <w:marTop w:val="0"/>
          <w:marBottom w:val="0"/>
          <w:divBdr>
            <w:top w:val="none" w:sz="0" w:space="0" w:color="auto"/>
            <w:left w:val="none" w:sz="0" w:space="0" w:color="auto"/>
            <w:bottom w:val="none" w:sz="0" w:space="0" w:color="auto"/>
            <w:right w:val="none" w:sz="0" w:space="0" w:color="auto"/>
          </w:divBdr>
        </w:div>
      </w:divsChild>
    </w:div>
    <w:div w:id="1544906862">
      <w:bodyDiv w:val="1"/>
      <w:marLeft w:val="0"/>
      <w:marRight w:val="0"/>
      <w:marTop w:val="0"/>
      <w:marBottom w:val="0"/>
      <w:divBdr>
        <w:top w:val="none" w:sz="0" w:space="0" w:color="auto"/>
        <w:left w:val="none" w:sz="0" w:space="0" w:color="auto"/>
        <w:bottom w:val="none" w:sz="0" w:space="0" w:color="auto"/>
        <w:right w:val="none" w:sz="0" w:space="0" w:color="auto"/>
      </w:divBdr>
    </w:div>
    <w:div w:id="1557278875">
      <w:bodyDiv w:val="1"/>
      <w:marLeft w:val="0"/>
      <w:marRight w:val="0"/>
      <w:marTop w:val="0"/>
      <w:marBottom w:val="0"/>
      <w:divBdr>
        <w:top w:val="none" w:sz="0" w:space="0" w:color="auto"/>
        <w:left w:val="none" w:sz="0" w:space="0" w:color="auto"/>
        <w:bottom w:val="none" w:sz="0" w:space="0" w:color="auto"/>
        <w:right w:val="none" w:sz="0" w:space="0" w:color="auto"/>
      </w:divBdr>
    </w:div>
    <w:div w:id="1582253935">
      <w:bodyDiv w:val="1"/>
      <w:marLeft w:val="0"/>
      <w:marRight w:val="0"/>
      <w:marTop w:val="0"/>
      <w:marBottom w:val="0"/>
      <w:divBdr>
        <w:top w:val="none" w:sz="0" w:space="0" w:color="auto"/>
        <w:left w:val="none" w:sz="0" w:space="0" w:color="auto"/>
        <w:bottom w:val="none" w:sz="0" w:space="0" w:color="auto"/>
        <w:right w:val="none" w:sz="0" w:space="0" w:color="auto"/>
      </w:divBdr>
    </w:div>
    <w:div w:id="1602227970">
      <w:bodyDiv w:val="1"/>
      <w:marLeft w:val="0"/>
      <w:marRight w:val="0"/>
      <w:marTop w:val="0"/>
      <w:marBottom w:val="0"/>
      <w:divBdr>
        <w:top w:val="none" w:sz="0" w:space="0" w:color="auto"/>
        <w:left w:val="none" w:sz="0" w:space="0" w:color="auto"/>
        <w:bottom w:val="none" w:sz="0" w:space="0" w:color="auto"/>
        <w:right w:val="none" w:sz="0" w:space="0" w:color="auto"/>
      </w:divBdr>
    </w:div>
    <w:div w:id="1659768004">
      <w:bodyDiv w:val="1"/>
      <w:marLeft w:val="0"/>
      <w:marRight w:val="0"/>
      <w:marTop w:val="0"/>
      <w:marBottom w:val="0"/>
      <w:divBdr>
        <w:top w:val="none" w:sz="0" w:space="0" w:color="auto"/>
        <w:left w:val="none" w:sz="0" w:space="0" w:color="auto"/>
        <w:bottom w:val="none" w:sz="0" w:space="0" w:color="auto"/>
        <w:right w:val="none" w:sz="0" w:space="0" w:color="auto"/>
      </w:divBdr>
    </w:div>
    <w:div w:id="1664091595">
      <w:bodyDiv w:val="1"/>
      <w:marLeft w:val="0"/>
      <w:marRight w:val="0"/>
      <w:marTop w:val="0"/>
      <w:marBottom w:val="0"/>
      <w:divBdr>
        <w:top w:val="none" w:sz="0" w:space="0" w:color="auto"/>
        <w:left w:val="none" w:sz="0" w:space="0" w:color="auto"/>
        <w:bottom w:val="none" w:sz="0" w:space="0" w:color="auto"/>
        <w:right w:val="none" w:sz="0" w:space="0" w:color="auto"/>
      </w:divBdr>
    </w:div>
    <w:div w:id="1686513775">
      <w:bodyDiv w:val="1"/>
      <w:marLeft w:val="0"/>
      <w:marRight w:val="0"/>
      <w:marTop w:val="0"/>
      <w:marBottom w:val="0"/>
      <w:divBdr>
        <w:top w:val="none" w:sz="0" w:space="0" w:color="auto"/>
        <w:left w:val="none" w:sz="0" w:space="0" w:color="auto"/>
        <w:bottom w:val="none" w:sz="0" w:space="0" w:color="auto"/>
        <w:right w:val="none" w:sz="0" w:space="0" w:color="auto"/>
      </w:divBdr>
    </w:div>
    <w:div w:id="1725912947">
      <w:bodyDiv w:val="1"/>
      <w:marLeft w:val="0"/>
      <w:marRight w:val="0"/>
      <w:marTop w:val="0"/>
      <w:marBottom w:val="0"/>
      <w:divBdr>
        <w:top w:val="none" w:sz="0" w:space="0" w:color="auto"/>
        <w:left w:val="none" w:sz="0" w:space="0" w:color="auto"/>
        <w:bottom w:val="none" w:sz="0" w:space="0" w:color="auto"/>
        <w:right w:val="none" w:sz="0" w:space="0" w:color="auto"/>
      </w:divBdr>
    </w:div>
    <w:div w:id="1739553085">
      <w:bodyDiv w:val="1"/>
      <w:marLeft w:val="0"/>
      <w:marRight w:val="0"/>
      <w:marTop w:val="0"/>
      <w:marBottom w:val="0"/>
      <w:divBdr>
        <w:top w:val="none" w:sz="0" w:space="0" w:color="auto"/>
        <w:left w:val="none" w:sz="0" w:space="0" w:color="auto"/>
        <w:bottom w:val="none" w:sz="0" w:space="0" w:color="auto"/>
        <w:right w:val="none" w:sz="0" w:space="0" w:color="auto"/>
      </w:divBdr>
    </w:div>
    <w:div w:id="1812014669">
      <w:bodyDiv w:val="1"/>
      <w:marLeft w:val="0"/>
      <w:marRight w:val="0"/>
      <w:marTop w:val="0"/>
      <w:marBottom w:val="0"/>
      <w:divBdr>
        <w:top w:val="none" w:sz="0" w:space="0" w:color="auto"/>
        <w:left w:val="none" w:sz="0" w:space="0" w:color="auto"/>
        <w:bottom w:val="none" w:sz="0" w:space="0" w:color="auto"/>
        <w:right w:val="none" w:sz="0" w:space="0" w:color="auto"/>
      </w:divBdr>
    </w:div>
    <w:div w:id="1842160962">
      <w:bodyDiv w:val="1"/>
      <w:marLeft w:val="0"/>
      <w:marRight w:val="0"/>
      <w:marTop w:val="0"/>
      <w:marBottom w:val="0"/>
      <w:divBdr>
        <w:top w:val="none" w:sz="0" w:space="0" w:color="auto"/>
        <w:left w:val="none" w:sz="0" w:space="0" w:color="auto"/>
        <w:bottom w:val="none" w:sz="0" w:space="0" w:color="auto"/>
        <w:right w:val="none" w:sz="0" w:space="0" w:color="auto"/>
      </w:divBdr>
    </w:div>
    <w:div w:id="1900360879">
      <w:bodyDiv w:val="1"/>
      <w:marLeft w:val="0"/>
      <w:marRight w:val="0"/>
      <w:marTop w:val="0"/>
      <w:marBottom w:val="0"/>
      <w:divBdr>
        <w:top w:val="none" w:sz="0" w:space="0" w:color="auto"/>
        <w:left w:val="none" w:sz="0" w:space="0" w:color="auto"/>
        <w:bottom w:val="none" w:sz="0" w:space="0" w:color="auto"/>
        <w:right w:val="none" w:sz="0" w:space="0" w:color="auto"/>
      </w:divBdr>
    </w:div>
    <w:div w:id="1989938663">
      <w:bodyDiv w:val="1"/>
      <w:marLeft w:val="0"/>
      <w:marRight w:val="0"/>
      <w:marTop w:val="0"/>
      <w:marBottom w:val="0"/>
      <w:divBdr>
        <w:top w:val="none" w:sz="0" w:space="0" w:color="auto"/>
        <w:left w:val="none" w:sz="0" w:space="0" w:color="auto"/>
        <w:bottom w:val="none" w:sz="0" w:space="0" w:color="auto"/>
        <w:right w:val="none" w:sz="0" w:space="0" w:color="auto"/>
      </w:divBdr>
    </w:div>
    <w:div w:id="1998731135">
      <w:bodyDiv w:val="1"/>
      <w:marLeft w:val="0"/>
      <w:marRight w:val="0"/>
      <w:marTop w:val="0"/>
      <w:marBottom w:val="0"/>
      <w:divBdr>
        <w:top w:val="none" w:sz="0" w:space="0" w:color="auto"/>
        <w:left w:val="none" w:sz="0" w:space="0" w:color="auto"/>
        <w:bottom w:val="none" w:sz="0" w:space="0" w:color="auto"/>
        <w:right w:val="none" w:sz="0" w:space="0" w:color="auto"/>
      </w:divBdr>
    </w:div>
    <w:div w:id="2077581735">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39" Type="http://schemas.openxmlformats.org/officeDocument/2006/relationships/hyperlink" Target="https://www.eia.gov/outlooks/aeo/nems/documentation" TargetMode="External"/><Relationship Id="rId34" Type="http://schemas.openxmlformats.org/officeDocument/2006/relationships/image" Target="media/image10.png"/><Relationship Id="rId42" Type="http://schemas.openxmlformats.org/officeDocument/2006/relationships/image" Target="media/image16.png"/><Relationship Id="rId47" Type="http://schemas.openxmlformats.org/officeDocument/2006/relationships/footer" Target="footer3.xml"/><Relationship Id="rId50" Type="http://schemas.openxmlformats.org/officeDocument/2006/relationships/chart" Target="charts/chart4.xml"/><Relationship Id="rId55" Type="http://schemas.openxmlformats.org/officeDocument/2006/relationships/hyperlink" Target="http://www.georgiapower.com/commercialsavings" TargetMode="External"/><Relationship Id="rId7" Type="http://schemas.openxmlformats.org/officeDocument/2006/relationships/endnotes" Target="endnotes.xml"/><Relationship Id="rId2" Type="http://schemas.openxmlformats.org/officeDocument/2006/relationships/numbering" Target="numbering.xm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32" Type="http://schemas.openxmlformats.org/officeDocument/2006/relationships/image" Target="media/image8.png"/><Relationship Id="rId37" Type="http://schemas.openxmlformats.org/officeDocument/2006/relationships/image" Target="media/image13.png"/><Relationship Id="rId40" Type="http://schemas.openxmlformats.org/officeDocument/2006/relationships/image" Target="media/image14.png"/><Relationship Id="rId45" Type="http://schemas.openxmlformats.org/officeDocument/2006/relationships/chart" Target="charts/chart1.xml"/><Relationship Id="rId53" Type="http://schemas.openxmlformats.org/officeDocument/2006/relationships/image" Target="media/image21.png"/><Relationship Id="rId58" Type="http://schemas.openxmlformats.org/officeDocument/2006/relationships/header" Target="header2.xml"/><Relationship Id="rId5" Type="http://schemas.openxmlformats.org/officeDocument/2006/relationships/webSettings" Target="webSettings.xml"/><Relationship Id="rId28" Type="http://schemas.openxmlformats.org/officeDocument/2006/relationships/image" Target="media/image6.png"/><Relationship Id="rId36" Type="http://schemas.openxmlformats.org/officeDocument/2006/relationships/image" Target="media/image12.png"/><Relationship Id="rId49" Type="http://schemas.openxmlformats.org/officeDocument/2006/relationships/chart" Target="charts/chart3.xml"/><Relationship Id="rId57" Type="http://schemas.openxmlformats.org/officeDocument/2006/relationships/image" Target="media/image23.png"/><Relationship Id="rId10" Type="http://schemas.openxmlformats.org/officeDocument/2006/relationships/hyperlink" Target="mailto:cljohnso@southernco.com" TargetMode="External"/><Relationship Id="rId31" Type="http://schemas.openxmlformats.org/officeDocument/2006/relationships/image" Target="media/image5.png"/><Relationship Id="rId44" Type="http://schemas.openxmlformats.org/officeDocument/2006/relationships/image" Target="media/image18.png"/><Relationship Id="rId52" Type="http://schemas.openxmlformats.org/officeDocument/2006/relationships/image" Target="media/image20.emf"/><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g"/><Relationship Id="rId30" Type="http://schemas.openxmlformats.org/officeDocument/2006/relationships/image" Target="media/image4.png"/><Relationship Id="rId35" Type="http://schemas.openxmlformats.org/officeDocument/2006/relationships/image" Target="media/image11.png"/><Relationship Id="rId43" Type="http://schemas.openxmlformats.org/officeDocument/2006/relationships/image" Target="media/image17.png"/><Relationship Id="rId48" Type="http://schemas.openxmlformats.org/officeDocument/2006/relationships/chart" Target="charts/chart2.xml"/><Relationship Id="rId56" Type="http://schemas.openxmlformats.org/officeDocument/2006/relationships/image" Target="media/image22.png"/><Relationship Id="rId8" Type="http://schemas.openxmlformats.org/officeDocument/2006/relationships/footer" Target="footer1.xml"/><Relationship Id="rId51" Type="http://schemas.openxmlformats.org/officeDocument/2006/relationships/image" Target="media/image19.png"/><Relationship Id="rId3" Type="http://schemas.openxmlformats.org/officeDocument/2006/relationships/styles" Target="styles.xml"/><Relationship Id="rId12" Type="http://schemas.openxmlformats.org/officeDocument/2006/relationships/image" Target="media/image2.png"/><Relationship Id="rId33" Type="http://schemas.openxmlformats.org/officeDocument/2006/relationships/image" Target="media/image9.png"/><Relationship Id="rId38" Type="http://schemas.openxmlformats.org/officeDocument/2006/relationships/hyperlink" Target="https://www.eia.gov/" TargetMode="External"/><Relationship Id="rId46" Type="http://schemas.openxmlformats.org/officeDocument/2006/relationships/header" Target="header1.xml"/><Relationship Id="rId59" Type="http://schemas.openxmlformats.org/officeDocument/2006/relationships/fontTable" Target="fontTable.xml"/><Relationship Id="rId41" Type="http://schemas.openxmlformats.org/officeDocument/2006/relationships/image" Target="media/image15.png"/><Relationship Id="rId54" Type="http://schemas.openxmlformats.org/officeDocument/2006/relationships/hyperlink" Target="http://www.georgiapower.com/energyefficiency"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archive.siteselection.com/issues/2024/sep/2024-top-utilities-in-economic-development-bonus-content.cfm?utm_source=Sidebar&amp;utm_medium=Web&amp;utm_campaign=Optimize&amp;utm_content=RA" TargetMode="External"/><Relationship Id="rId13" Type="http://schemas.openxmlformats.org/officeDocument/2006/relationships/hyperlink" Target="https://www.wri.org/sustainability-wri/dashboard/methodology" TargetMode="External"/><Relationship Id="rId3" Type="http://schemas.openxmlformats.org/officeDocument/2006/relationships/hyperlink" Target="https://georgia.org/press-release/gov-kemp-celebrates-top-state-business-ranking-workforce-summit" TargetMode="External"/><Relationship Id="rId7" Type="http://schemas.openxmlformats.org/officeDocument/2006/relationships/hyperlink" Target="https://businessfacilities.com/2024-top-utilities-for-economic-development/" TargetMode="External"/><Relationship Id="rId12" Type="http://schemas.openxmlformats.org/officeDocument/2006/relationships/hyperlink" Target="https://www.southerncompany.com/content/dam/southern-company/pdf/public/Net-zero-report.pdf" TargetMode="External"/><Relationship Id="rId2" Type="http://schemas.openxmlformats.org/officeDocument/2006/relationships/hyperlink" Target="https://georgia.org/press-release/state-georgia-breaks-export-records-third-straight-year" TargetMode="External"/><Relationship Id="rId1" Type="http://schemas.openxmlformats.org/officeDocument/2006/relationships/hyperlink" Target="https://georgia.org/press-release/gov-kemp-georgia-job-creation-remains-strong" TargetMode="External"/><Relationship Id="rId6" Type="http://schemas.openxmlformats.org/officeDocument/2006/relationships/hyperlink" Target="https://www.cnbc.com/2024/07/11/top-states-for-business-2024-georgia.html" TargetMode="External"/><Relationship Id="rId11" Type="http://schemas.openxmlformats.org/officeDocument/2006/relationships/hyperlink" Target="https://www.southerncompany.com/content/dam/southern-company/pdf/corpresponsibility/Planning-for-a-low-carbon-future.pdf" TargetMode="External"/><Relationship Id="rId5" Type="http://schemas.openxmlformats.org/officeDocument/2006/relationships/hyperlink" Target="https://businessfacilities.com/20th-annual-rankings-report-2024-state-rankings/" TargetMode="External"/><Relationship Id="rId10" Type="http://schemas.openxmlformats.org/officeDocument/2006/relationships/hyperlink" Target="https://archive.siteselection.com/issues/2024/may/top-deals-2024.cfm" TargetMode="External"/><Relationship Id="rId4" Type="http://schemas.openxmlformats.org/officeDocument/2006/relationships/hyperlink" Target="https://siteselection.com/site-selectors-survey-why-site-selectors-love-the-south/?utm_source=InvestorWatch&amp;utm_medium=email&amp;utm_campaign=Editorialllll" TargetMode="External"/><Relationship Id="rId9" Type="http://schemas.openxmlformats.org/officeDocument/2006/relationships/hyperlink" Target="https://archive.siteselection.com/issues/2023/may/top-deals-2023.cfm"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Capital Investment</c:v>
                </c:pt>
              </c:strCache>
            </c:strRef>
          </c:tx>
          <c:spPr>
            <a:solidFill>
              <a:schemeClr val="accent1"/>
            </a:solidFill>
            <a:ln>
              <a:noFill/>
            </a:ln>
            <a:effectLst/>
          </c:spPr>
          <c:invertIfNegative val="0"/>
          <c:dLbls>
            <c:numFmt formatCode="&quot;$&quot;#,##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2018</c:v>
                </c:pt>
                <c:pt idx="1">
                  <c:v>2019</c:v>
                </c:pt>
                <c:pt idx="2">
                  <c:v>2020</c:v>
                </c:pt>
                <c:pt idx="3">
                  <c:v>2021</c:v>
                </c:pt>
                <c:pt idx="4">
                  <c:v>2022</c:v>
                </c:pt>
                <c:pt idx="5">
                  <c:v>2023</c:v>
                </c:pt>
                <c:pt idx="6">
                  <c:v>2024</c:v>
                </c:pt>
              </c:numCache>
            </c:numRef>
          </c:cat>
          <c:val>
            <c:numRef>
              <c:f>Sheet1!$B$2:$B$8</c:f>
              <c:numCache>
                <c:formatCode>General</c:formatCode>
                <c:ptCount val="7"/>
                <c:pt idx="0">
                  <c:v>5.6</c:v>
                </c:pt>
                <c:pt idx="1">
                  <c:v>7.5</c:v>
                </c:pt>
                <c:pt idx="2">
                  <c:v>7.7</c:v>
                </c:pt>
                <c:pt idx="3">
                  <c:v>11</c:v>
                </c:pt>
                <c:pt idx="4">
                  <c:v>21.3</c:v>
                </c:pt>
                <c:pt idx="5">
                  <c:v>24.2</c:v>
                </c:pt>
                <c:pt idx="6">
                  <c:v>20.399999999999999</c:v>
                </c:pt>
              </c:numCache>
            </c:numRef>
          </c:val>
          <c:extLst>
            <c:ext xmlns:c16="http://schemas.microsoft.com/office/drawing/2014/chart" uri="{C3380CC4-5D6E-409C-BE32-E72D297353CC}">
              <c16:uniqueId val="{00000000-71BB-4BF7-8483-8955CB433E5D}"/>
            </c:ext>
          </c:extLst>
        </c:ser>
        <c:dLbls>
          <c:showLegendKey val="0"/>
          <c:showVal val="0"/>
          <c:showCatName val="0"/>
          <c:showSerName val="0"/>
          <c:showPercent val="0"/>
          <c:showBubbleSize val="0"/>
        </c:dLbls>
        <c:gapWidth val="219"/>
        <c:axId val="584095935"/>
        <c:axId val="584096415"/>
      </c:barChart>
      <c:lineChart>
        <c:grouping val="standard"/>
        <c:varyColors val="0"/>
        <c:ser>
          <c:idx val="1"/>
          <c:order val="1"/>
          <c:tx>
            <c:strRef>
              <c:f>Sheet1!$C$1</c:f>
              <c:strCache>
                <c:ptCount val="1"/>
                <c:pt idx="0">
                  <c:v>Jobs</c:v>
                </c:pt>
              </c:strCache>
            </c:strRef>
          </c:tx>
          <c:spPr>
            <a:ln w="28575" cap="rnd">
              <a:solidFill>
                <a:schemeClr val="accent4"/>
              </a:solidFill>
              <a:round/>
            </a:ln>
            <a:effectLst/>
          </c:spPr>
          <c:marker>
            <c:symbol val="none"/>
          </c:marker>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2018</c:v>
                </c:pt>
                <c:pt idx="1">
                  <c:v>2019</c:v>
                </c:pt>
                <c:pt idx="2">
                  <c:v>2020</c:v>
                </c:pt>
                <c:pt idx="3">
                  <c:v>2021</c:v>
                </c:pt>
                <c:pt idx="4">
                  <c:v>2022</c:v>
                </c:pt>
                <c:pt idx="5">
                  <c:v>2023</c:v>
                </c:pt>
                <c:pt idx="6">
                  <c:v>2024</c:v>
                </c:pt>
              </c:numCache>
            </c:numRef>
          </c:cat>
          <c:val>
            <c:numRef>
              <c:f>Sheet1!$C$2:$C$8</c:f>
              <c:numCache>
                <c:formatCode>General</c:formatCode>
                <c:ptCount val="7"/>
                <c:pt idx="0">
                  <c:v>27.3</c:v>
                </c:pt>
                <c:pt idx="1">
                  <c:v>29.7</c:v>
                </c:pt>
                <c:pt idx="2">
                  <c:v>24.2</c:v>
                </c:pt>
                <c:pt idx="3">
                  <c:v>32.4</c:v>
                </c:pt>
                <c:pt idx="4">
                  <c:v>51.1</c:v>
                </c:pt>
                <c:pt idx="5">
                  <c:v>38.4</c:v>
                </c:pt>
                <c:pt idx="6">
                  <c:v>26.9</c:v>
                </c:pt>
              </c:numCache>
            </c:numRef>
          </c:val>
          <c:smooth val="0"/>
          <c:extLst>
            <c:ext xmlns:c16="http://schemas.microsoft.com/office/drawing/2014/chart" uri="{C3380CC4-5D6E-409C-BE32-E72D297353CC}">
              <c16:uniqueId val="{00000001-71BB-4BF7-8483-8955CB433E5D}"/>
            </c:ext>
          </c:extLst>
        </c:ser>
        <c:dLbls>
          <c:showLegendKey val="0"/>
          <c:showVal val="0"/>
          <c:showCatName val="0"/>
          <c:showSerName val="0"/>
          <c:showPercent val="0"/>
          <c:showBubbleSize val="0"/>
        </c:dLbls>
        <c:marker val="1"/>
        <c:smooth val="0"/>
        <c:axId val="541867359"/>
        <c:axId val="541866879"/>
      </c:lineChart>
      <c:catAx>
        <c:axId val="58409593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State</a:t>
                </a:r>
                <a:r>
                  <a:rPr lang="en-US" baseline="0"/>
                  <a:t> Fiscal Year</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4096415"/>
        <c:crosses val="autoZero"/>
        <c:auto val="1"/>
        <c:lblAlgn val="ctr"/>
        <c:lblOffset val="100"/>
        <c:noMultiLvlLbl val="0"/>
      </c:catAx>
      <c:valAx>
        <c:axId val="584096415"/>
        <c:scaling>
          <c:orientation val="minMax"/>
          <c:max val="5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Capital Investment (billions)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quot;$&quot;#,##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4095935"/>
        <c:crosses val="autoZero"/>
        <c:crossBetween val="between"/>
      </c:valAx>
      <c:valAx>
        <c:axId val="541866879"/>
        <c:scaling>
          <c:orientation val="minMax"/>
          <c:max val="55"/>
          <c:min val="0"/>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Jobs (thousands)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1867359"/>
        <c:crosses val="max"/>
        <c:crossBetween val="between"/>
      </c:valAx>
      <c:catAx>
        <c:axId val="541867359"/>
        <c:scaling>
          <c:orientation val="minMax"/>
        </c:scaling>
        <c:delete val="1"/>
        <c:axPos val="b"/>
        <c:numFmt formatCode="General" sourceLinked="1"/>
        <c:majorTickMark val="out"/>
        <c:minorTickMark val="none"/>
        <c:tickLblPos val="nextTo"/>
        <c:crossAx val="541866879"/>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2022 IRP</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Lbl>
              <c:idx val="1"/>
              <c:delete val="1"/>
              <c:extLst>
                <c:ext xmlns:c15="http://schemas.microsoft.com/office/drawing/2012/chart" uri="{CE6537A1-D6FC-4f65-9D91-7224C49458BB}"/>
                <c:ext xmlns:c16="http://schemas.microsoft.com/office/drawing/2014/chart" uri="{C3380CC4-5D6E-409C-BE32-E72D297353CC}">
                  <c16:uniqueId val="{00000000-B060-406F-BD5C-32DDC8B76C79}"/>
                </c:ext>
              </c:extLst>
            </c:dLbl>
            <c:dLbl>
              <c:idx val="3"/>
              <c:delete val="1"/>
              <c:extLst>
                <c:ext xmlns:c15="http://schemas.microsoft.com/office/drawing/2012/chart" uri="{CE6537A1-D6FC-4f65-9D91-7224C49458BB}"/>
                <c:ext xmlns:c16="http://schemas.microsoft.com/office/drawing/2014/chart" uri="{C3380CC4-5D6E-409C-BE32-E72D297353CC}">
                  <c16:uniqueId val="{00000001-B060-406F-BD5C-32DDC8B76C79}"/>
                </c:ext>
              </c:extLst>
            </c:dLbl>
            <c:dLbl>
              <c:idx val="5"/>
              <c:delete val="1"/>
              <c:extLst>
                <c:ext xmlns:c15="http://schemas.microsoft.com/office/drawing/2012/chart" uri="{CE6537A1-D6FC-4f65-9D91-7224C49458BB}"/>
                <c:ext xmlns:c16="http://schemas.microsoft.com/office/drawing/2014/chart" uri="{C3380CC4-5D6E-409C-BE32-E72D297353CC}">
                  <c16:uniqueId val="{00000002-B060-406F-BD5C-32DDC8B76C79}"/>
                </c:ext>
              </c:extLst>
            </c:dLbl>
            <c:dLbl>
              <c:idx val="7"/>
              <c:delete val="1"/>
              <c:extLst>
                <c:ext xmlns:c15="http://schemas.microsoft.com/office/drawing/2012/chart" uri="{CE6537A1-D6FC-4f65-9D91-7224C49458BB}"/>
                <c:ext xmlns:c16="http://schemas.microsoft.com/office/drawing/2014/chart" uri="{C3380CC4-5D6E-409C-BE32-E72D297353CC}">
                  <c16:uniqueId val="{00000003-B060-406F-BD5C-32DDC8B76C79}"/>
                </c:ext>
              </c:extLst>
            </c:dLbl>
            <c:dLbl>
              <c:idx val="9"/>
              <c:delete val="1"/>
              <c:extLst>
                <c:ext xmlns:c15="http://schemas.microsoft.com/office/drawing/2012/chart" uri="{CE6537A1-D6FC-4f65-9D91-7224C49458BB}"/>
                <c:ext xmlns:c16="http://schemas.microsoft.com/office/drawing/2014/chart" uri="{C3380CC4-5D6E-409C-BE32-E72D297353CC}">
                  <c16:uniqueId val="{00000004-B060-406F-BD5C-32DDC8B76C79}"/>
                </c:ext>
              </c:extLst>
            </c:dLbl>
            <c:dLbl>
              <c:idx val="11"/>
              <c:delete val="1"/>
              <c:extLst>
                <c:ext xmlns:c15="http://schemas.microsoft.com/office/drawing/2012/chart" uri="{CE6537A1-D6FC-4f65-9D91-7224C49458BB}"/>
                <c:ext xmlns:c16="http://schemas.microsoft.com/office/drawing/2014/chart" uri="{C3380CC4-5D6E-409C-BE32-E72D297353CC}">
                  <c16:uniqueId val="{00000005-B060-406F-BD5C-32DDC8B76C79}"/>
                </c:ext>
              </c:extLst>
            </c:dLbl>
            <c:dLbl>
              <c:idx val="13"/>
              <c:delete val="1"/>
              <c:extLst>
                <c:ext xmlns:c15="http://schemas.microsoft.com/office/drawing/2012/chart" uri="{CE6537A1-D6FC-4f65-9D91-7224C49458BB}"/>
                <c:ext xmlns:c16="http://schemas.microsoft.com/office/drawing/2014/chart" uri="{C3380CC4-5D6E-409C-BE32-E72D297353CC}">
                  <c16:uniqueId val="{00000006-B060-406F-BD5C-32DDC8B76C79}"/>
                </c:ext>
              </c:extLst>
            </c:dLbl>
            <c:dLbl>
              <c:idx val="15"/>
              <c:delete val="1"/>
              <c:extLst>
                <c:ext xmlns:c15="http://schemas.microsoft.com/office/drawing/2012/chart" uri="{CE6537A1-D6FC-4f65-9D91-7224C49458BB}"/>
                <c:ext xmlns:c16="http://schemas.microsoft.com/office/drawing/2014/chart" uri="{C3380CC4-5D6E-409C-BE32-E72D297353CC}">
                  <c16:uniqueId val="{00000007-B060-406F-BD5C-32DDC8B76C79}"/>
                </c:ext>
              </c:extLst>
            </c:dLbl>
            <c:dLbl>
              <c:idx val="17"/>
              <c:delete val="1"/>
              <c:extLst>
                <c:ext xmlns:c15="http://schemas.microsoft.com/office/drawing/2012/chart" uri="{CE6537A1-D6FC-4f65-9D91-7224C49458BB}"/>
                <c:ext xmlns:c16="http://schemas.microsoft.com/office/drawing/2014/chart" uri="{C3380CC4-5D6E-409C-BE32-E72D297353CC}">
                  <c16:uniqueId val="{00000008-B060-406F-BD5C-32DDC8B76C79}"/>
                </c:ext>
              </c:extLst>
            </c:dLbl>
            <c:dLbl>
              <c:idx val="19"/>
              <c:delete val="1"/>
              <c:extLst>
                <c:ext xmlns:c15="http://schemas.microsoft.com/office/drawing/2012/chart" uri="{CE6537A1-D6FC-4f65-9D91-7224C49458BB}"/>
                <c:ext xmlns:c16="http://schemas.microsoft.com/office/drawing/2014/chart" uri="{C3380CC4-5D6E-409C-BE32-E72D297353CC}">
                  <c16:uniqueId val="{00000009-B060-406F-BD5C-32DDC8B76C79}"/>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4"/>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Sheet1!$A$2:$A$21</c:f>
              <c:numCache>
                <c:formatCode>General</c:formatCode>
                <c:ptCount val="20"/>
                <c:pt idx="0">
                  <c:v>2025</c:v>
                </c:pt>
                <c:pt idx="1">
                  <c:v>2026</c:v>
                </c:pt>
                <c:pt idx="2">
                  <c:v>2027</c:v>
                </c:pt>
                <c:pt idx="3">
                  <c:v>2028</c:v>
                </c:pt>
                <c:pt idx="4">
                  <c:v>2029</c:v>
                </c:pt>
                <c:pt idx="5">
                  <c:v>2030</c:v>
                </c:pt>
                <c:pt idx="6">
                  <c:v>2031</c:v>
                </c:pt>
                <c:pt idx="7">
                  <c:v>2032</c:v>
                </c:pt>
                <c:pt idx="8">
                  <c:v>2033</c:v>
                </c:pt>
                <c:pt idx="9">
                  <c:v>2034</c:v>
                </c:pt>
                <c:pt idx="10">
                  <c:v>2035</c:v>
                </c:pt>
                <c:pt idx="11">
                  <c:v>2036</c:v>
                </c:pt>
                <c:pt idx="12">
                  <c:v>2037</c:v>
                </c:pt>
                <c:pt idx="13">
                  <c:v>2038</c:v>
                </c:pt>
                <c:pt idx="14">
                  <c:v>2039</c:v>
                </c:pt>
                <c:pt idx="15">
                  <c:v>2040</c:v>
                </c:pt>
                <c:pt idx="16">
                  <c:v>2041</c:v>
                </c:pt>
                <c:pt idx="17">
                  <c:v>2042</c:v>
                </c:pt>
                <c:pt idx="18">
                  <c:v>2043</c:v>
                </c:pt>
                <c:pt idx="19">
                  <c:v>2044</c:v>
                </c:pt>
              </c:numCache>
            </c:numRef>
          </c:cat>
          <c:val>
            <c:numRef>
              <c:f>Sheet1!$B$2:$B$21</c:f>
              <c:numCache>
                <c:formatCode>_(* #,##0.0_);_(* \(#,##0.0\);_(* "-"??_);_(@_)</c:formatCode>
                <c:ptCount val="20"/>
                <c:pt idx="0">
                  <c:v>15.63580642983195</c:v>
                </c:pt>
                <c:pt idx="1">
                  <c:v>15.656638651876133</c:v>
                </c:pt>
                <c:pt idx="2">
                  <c:v>15.67265714293738</c:v>
                </c:pt>
                <c:pt idx="3">
                  <c:v>15.657047140236378</c:v>
                </c:pt>
                <c:pt idx="4">
                  <c:v>15.757349011804196</c:v>
                </c:pt>
                <c:pt idx="5">
                  <c:v>15.796278360497862</c:v>
                </c:pt>
                <c:pt idx="6">
                  <c:v>15.957054776566038</c:v>
                </c:pt>
                <c:pt idx="7">
                  <c:v>16.056452930691943</c:v>
                </c:pt>
                <c:pt idx="8">
                  <c:v>16.246422202326944</c:v>
                </c:pt>
                <c:pt idx="9">
                  <c:v>16.397283297176635</c:v>
                </c:pt>
                <c:pt idx="10">
                  <c:v>16.561599174654621</c:v>
                </c:pt>
                <c:pt idx="11">
                  <c:v>16.716195786447166</c:v>
                </c:pt>
                <c:pt idx="12">
                  <c:v>16.962177856626315</c:v>
                </c:pt>
                <c:pt idx="13">
                  <c:v>17.155257677951958</c:v>
                </c:pt>
                <c:pt idx="14">
                  <c:v>17.351759323380467</c:v>
                </c:pt>
                <c:pt idx="15">
                  <c:v>17.512654509658191</c:v>
                </c:pt>
                <c:pt idx="16">
                  <c:v>17.735154401326984</c:v>
                </c:pt>
                <c:pt idx="17">
                  <c:v>17.93863364565259</c:v>
                </c:pt>
                <c:pt idx="18">
                  <c:v>18.166337136298228</c:v>
                </c:pt>
                <c:pt idx="19">
                  <c:v>18.330074597320515</c:v>
                </c:pt>
              </c:numCache>
            </c:numRef>
          </c:val>
          <c:smooth val="0"/>
          <c:extLst>
            <c:ext xmlns:c16="http://schemas.microsoft.com/office/drawing/2014/chart" uri="{C3380CC4-5D6E-409C-BE32-E72D297353CC}">
              <c16:uniqueId val="{0000000A-B060-406F-BD5C-32DDC8B76C79}"/>
            </c:ext>
          </c:extLst>
        </c:ser>
        <c:ser>
          <c:idx val="1"/>
          <c:order val="1"/>
          <c:tx>
            <c:strRef>
              <c:f>Sheet1!$C$1</c:f>
              <c:strCache>
                <c:ptCount val="1"/>
                <c:pt idx="0">
                  <c:v>2023 IRP Update</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B-B060-406F-BD5C-32DDC8B76C79}"/>
                </c:ext>
              </c:extLst>
            </c:dLbl>
            <c:dLbl>
              <c:idx val="1"/>
              <c:delete val="1"/>
              <c:extLst>
                <c:ext xmlns:c15="http://schemas.microsoft.com/office/drawing/2012/chart" uri="{CE6537A1-D6FC-4f65-9D91-7224C49458BB}"/>
                <c:ext xmlns:c16="http://schemas.microsoft.com/office/drawing/2014/chart" uri="{C3380CC4-5D6E-409C-BE32-E72D297353CC}">
                  <c16:uniqueId val="{0000000C-B060-406F-BD5C-32DDC8B76C79}"/>
                </c:ext>
              </c:extLst>
            </c:dLbl>
            <c:dLbl>
              <c:idx val="2"/>
              <c:layout>
                <c:manualLayout>
                  <c:x val="-6.4375000000000002E-2"/>
                  <c:y val="-3.37598425196850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060-406F-BD5C-32DDC8B76C79}"/>
                </c:ext>
              </c:extLst>
            </c:dLbl>
            <c:dLbl>
              <c:idx val="3"/>
              <c:delete val="1"/>
              <c:extLst>
                <c:ext xmlns:c15="http://schemas.microsoft.com/office/drawing/2012/chart" uri="{CE6537A1-D6FC-4f65-9D91-7224C49458BB}"/>
                <c:ext xmlns:c16="http://schemas.microsoft.com/office/drawing/2014/chart" uri="{C3380CC4-5D6E-409C-BE32-E72D297353CC}">
                  <c16:uniqueId val="{0000000E-B060-406F-BD5C-32DDC8B76C79}"/>
                </c:ext>
              </c:extLst>
            </c:dLbl>
            <c:dLbl>
              <c:idx val="5"/>
              <c:delete val="1"/>
              <c:extLst>
                <c:ext xmlns:c15="http://schemas.microsoft.com/office/drawing/2012/chart" uri="{CE6537A1-D6FC-4f65-9D91-7224C49458BB}"/>
                <c:ext xmlns:c16="http://schemas.microsoft.com/office/drawing/2014/chart" uri="{C3380CC4-5D6E-409C-BE32-E72D297353CC}">
                  <c16:uniqueId val="{0000000F-B060-406F-BD5C-32DDC8B76C79}"/>
                </c:ext>
              </c:extLst>
            </c:dLbl>
            <c:dLbl>
              <c:idx val="7"/>
              <c:delete val="1"/>
              <c:extLst>
                <c:ext xmlns:c15="http://schemas.microsoft.com/office/drawing/2012/chart" uri="{CE6537A1-D6FC-4f65-9D91-7224C49458BB}"/>
                <c:ext xmlns:c16="http://schemas.microsoft.com/office/drawing/2014/chart" uri="{C3380CC4-5D6E-409C-BE32-E72D297353CC}">
                  <c16:uniqueId val="{00000010-B060-406F-BD5C-32DDC8B76C79}"/>
                </c:ext>
              </c:extLst>
            </c:dLbl>
            <c:dLbl>
              <c:idx val="9"/>
              <c:delete val="1"/>
              <c:extLst>
                <c:ext xmlns:c15="http://schemas.microsoft.com/office/drawing/2012/chart" uri="{CE6537A1-D6FC-4f65-9D91-7224C49458BB}"/>
                <c:ext xmlns:c16="http://schemas.microsoft.com/office/drawing/2014/chart" uri="{C3380CC4-5D6E-409C-BE32-E72D297353CC}">
                  <c16:uniqueId val="{00000011-B060-406F-BD5C-32DDC8B76C79}"/>
                </c:ext>
              </c:extLst>
            </c:dLbl>
            <c:dLbl>
              <c:idx val="11"/>
              <c:delete val="1"/>
              <c:extLst>
                <c:ext xmlns:c15="http://schemas.microsoft.com/office/drawing/2012/chart" uri="{CE6537A1-D6FC-4f65-9D91-7224C49458BB}"/>
                <c:ext xmlns:c16="http://schemas.microsoft.com/office/drawing/2014/chart" uri="{C3380CC4-5D6E-409C-BE32-E72D297353CC}">
                  <c16:uniqueId val="{00000012-B060-406F-BD5C-32DDC8B76C79}"/>
                </c:ext>
              </c:extLst>
            </c:dLbl>
            <c:dLbl>
              <c:idx val="13"/>
              <c:delete val="1"/>
              <c:extLst>
                <c:ext xmlns:c15="http://schemas.microsoft.com/office/drawing/2012/chart" uri="{CE6537A1-D6FC-4f65-9D91-7224C49458BB}"/>
                <c:ext xmlns:c16="http://schemas.microsoft.com/office/drawing/2014/chart" uri="{C3380CC4-5D6E-409C-BE32-E72D297353CC}">
                  <c16:uniqueId val="{00000013-B060-406F-BD5C-32DDC8B76C79}"/>
                </c:ext>
              </c:extLst>
            </c:dLbl>
            <c:dLbl>
              <c:idx val="15"/>
              <c:delete val="1"/>
              <c:extLst>
                <c:ext xmlns:c15="http://schemas.microsoft.com/office/drawing/2012/chart" uri="{CE6537A1-D6FC-4f65-9D91-7224C49458BB}"/>
                <c:ext xmlns:c16="http://schemas.microsoft.com/office/drawing/2014/chart" uri="{C3380CC4-5D6E-409C-BE32-E72D297353CC}">
                  <c16:uniqueId val="{00000014-B060-406F-BD5C-32DDC8B76C79}"/>
                </c:ext>
              </c:extLst>
            </c:dLbl>
            <c:dLbl>
              <c:idx val="17"/>
              <c:delete val="1"/>
              <c:extLst>
                <c:ext xmlns:c15="http://schemas.microsoft.com/office/drawing/2012/chart" uri="{CE6537A1-D6FC-4f65-9D91-7224C49458BB}"/>
                <c:ext xmlns:c16="http://schemas.microsoft.com/office/drawing/2014/chart" uri="{C3380CC4-5D6E-409C-BE32-E72D297353CC}">
                  <c16:uniqueId val="{00000015-B060-406F-BD5C-32DDC8B76C79}"/>
                </c:ext>
              </c:extLst>
            </c:dLbl>
            <c:dLbl>
              <c:idx val="19"/>
              <c:delete val="1"/>
              <c:extLst>
                <c:ext xmlns:c15="http://schemas.microsoft.com/office/drawing/2012/chart" uri="{CE6537A1-D6FC-4f65-9D91-7224C49458BB}"/>
                <c:ext xmlns:c16="http://schemas.microsoft.com/office/drawing/2014/chart" uri="{C3380CC4-5D6E-409C-BE32-E72D297353CC}">
                  <c16:uniqueId val="{00000016-B060-406F-BD5C-32DDC8B76C79}"/>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1"/>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Sheet1!$A$2:$A$21</c:f>
              <c:numCache>
                <c:formatCode>General</c:formatCode>
                <c:ptCount val="20"/>
                <c:pt idx="0">
                  <c:v>2025</c:v>
                </c:pt>
                <c:pt idx="1">
                  <c:v>2026</c:v>
                </c:pt>
                <c:pt idx="2">
                  <c:v>2027</c:v>
                </c:pt>
                <c:pt idx="3">
                  <c:v>2028</c:v>
                </c:pt>
                <c:pt idx="4">
                  <c:v>2029</c:v>
                </c:pt>
                <c:pt idx="5">
                  <c:v>2030</c:v>
                </c:pt>
                <c:pt idx="6">
                  <c:v>2031</c:v>
                </c:pt>
                <c:pt idx="7">
                  <c:v>2032</c:v>
                </c:pt>
                <c:pt idx="8">
                  <c:v>2033</c:v>
                </c:pt>
                <c:pt idx="9">
                  <c:v>2034</c:v>
                </c:pt>
                <c:pt idx="10">
                  <c:v>2035</c:v>
                </c:pt>
                <c:pt idx="11">
                  <c:v>2036</c:v>
                </c:pt>
                <c:pt idx="12">
                  <c:v>2037</c:v>
                </c:pt>
                <c:pt idx="13">
                  <c:v>2038</c:v>
                </c:pt>
                <c:pt idx="14">
                  <c:v>2039</c:v>
                </c:pt>
                <c:pt idx="15">
                  <c:v>2040</c:v>
                </c:pt>
                <c:pt idx="16">
                  <c:v>2041</c:v>
                </c:pt>
                <c:pt idx="17">
                  <c:v>2042</c:v>
                </c:pt>
                <c:pt idx="18">
                  <c:v>2043</c:v>
                </c:pt>
                <c:pt idx="19">
                  <c:v>2044</c:v>
                </c:pt>
              </c:numCache>
            </c:numRef>
          </c:cat>
          <c:val>
            <c:numRef>
              <c:f>Sheet1!$C$2:$C$21</c:f>
              <c:numCache>
                <c:formatCode>_(* #,##0.0_);_(* \(#,##0.0\);_(* "-"??_);_(@_)</c:formatCode>
                <c:ptCount val="20"/>
                <c:pt idx="0">
                  <c:v>15.947429495881737</c:v>
                </c:pt>
                <c:pt idx="1">
                  <c:v>17.255657349547015</c:v>
                </c:pt>
                <c:pt idx="2">
                  <c:v>18.92800330601882</c:v>
                </c:pt>
                <c:pt idx="3">
                  <c:v>19.750557191064523</c:v>
                </c:pt>
                <c:pt idx="4">
                  <c:v>20.550764503209589</c:v>
                </c:pt>
                <c:pt idx="5">
                  <c:v>21.326189397361876</c:v>
                </c:pt>
                <c:pt idx="6">
                  <c:v>21.880424854556857</c:v>
                </c:pt>
                <c:pt idx="7">
                  <c:v>22.140580220792774</c:v>
                </c:pt>
                <c:pt idx="8">
                  <c:v>22.352891070908456</c:v>
                </c:pt>
                <c:pt idx="9">
                  <c:v>22.515387168237538</c:v>
                </c:pt>
                <c:pt idx="10">
                  <c:v>22.630377451562808</c:v>
                </c:pt>
                <c:pt idx="11">
                  <c:v>22.745864378464177</c:v>
                </c:pt>
                <c:pt idx="12">
                  <c:v>22.93838365098928</c:v>
                </c:pt>
                <c:pt idx="13">
                  <c:v>23.257083230269725</c:v>
                </c:pt>
                <c:pt idx="14">
                  <c:v>23.624402159040731</c:v>
                </c:pt>
                <c:pt idx="15">
                  <c:v>23.92591486306203</c:v>
                </c:pt>
                <c:pt idx="16">
                  <c:v>24.282011548136229</c:v>
                </c:pt>
                <c:pt idx="17">
                  <c:v>24.643319051620743</c:v>
                </c:pt>
                <c:pt idx="18">
                  <c:v>25.033367877647457</c:v>
                </c:pt>
                <c:pt idx="19">
                  <c:v>25.402347877647458</c:v>
                </c:pt>
              </c:numCache>
            </c:numRef>
          </c:val>
          <c:smooth val="0"/>
          <c:extLst>
            <c:ext xmlns:c16="http://schemas.microsoft.com/office/drawing/2014/chart" uri="{C3380CC4-5D6E-409C-BE32-E72D297353CC}">
              <c16:uniqueId val="{00000017-B060-406F-BD5C-32DDC8B76C79}"/>
            </c:ext>
          </c:extLst>
        </c:ser>
        <c:ser>
          <c:idx val="2"/>
          <c:order val="2"/>
          <c:tx>
            <c:strRef>
              <c:f>Sheet1!$D$1</c:f>
              <c:strCache>
                <c:ptCount val="1"/>
                <c:pt idx="0">
                  <c:v>2025 IRP</c:v>
                </c:pt>
              </c:strCache>
            </c:strRef>
          </c:tx>
          <c:spPr>
            <a:ln w="28575" cap="rnd">
              <a:solidFill>
                <a:srgbClr val="FF0000"/>
              </a:solidFill>
              <a:round/>
            </a:ln>
            <a:effectLst/>
          </c:spPr>
          <c:marker>
            <c:symbol val="circle"/>
            <c:size val="5"/>
            <c:spPr>
              <a:solidFill>
                <a:srgbClr val="FF0000"/>
              </a:solidFill>
              <a:ln w="9525">
                <a:solidFill>
                  <a:srgbClr val="FF0000"/>
                </a:solidFill>
              </a:ln>
              <a:effectLst/>
            </c:spPr>
          </c:marker>
          <c:dLbls>
            <c:dLbl>
              <c:idx val="1"/>
              <c:delete val="1"/>
              <c:extLst>
                <c:ext xmlns:c15="http://schemas.microsoft.com/office/drawing/2012/chart" uri="{CE6537A1-D6FC-4f65-9D91-7224C49458BB}"/>
                <c:ext xmlns:c16="http://schemas.microsoft.com/office/drawing/2014/chart" uri="{C3380CC4-5D6E-409C-BE32-E72D297353CC}">
                  <c16:uniqueId val="{00000018-B060-406F-BD5C-32DDC8B76C79}"/>
                </c:ext>
              </c:extLst>
            </c:dLbl>
            <c:dLbl>
              <c:idx val="2"/>
              <c:layout>
                <c:manualLayout>
                  <c:x val="-4.3541666666666666E-2"/>
                  <c:y val="3.77280964879390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B060-406F-BD5C-32DDC8B76C79}"/>
                </c:ext>
              </c:extLst>
            </c:dLbl>
            <c:dLbl>
              <c:idx val="3"/>
              <c:delete val="1"/>
              <c:extLst>
                <c:ext xmlns:c15="http://schemas.microsoft.com/office/drawing/2012/chart" uri="{CE6537A1-D6FC-4f65-9D91-7224C49458BB}"/>
                <c:ext xmlns:c16="http://schemas.microsoft.com/office/drawing/2014/chart" uri="{C3380CC4-5D6E-409C-BE32-E72D297353CC}">
                  <c16:uniqueId val="{0000001A-B060-406F-BD5C-32DDC8B76C79}"/>
                </c:ext>
              </c:extLst>
            </c:dLbl>
            <c:dLbl>
              <c:idx val="5"/>
              <c:delete val="1"/>
              <c:extLst>
                <c:ext xmlns:c15="http://schemas.microsoft.com/office/drawing/2012/chart" uri="{CE6537A1-D6FC-4f65-9D91-7224C49458BB}"/>
                <c:ext xmlns:c16="http://schemas.microsoft.com/office/drawing/2014/chart" uri="{C3380CC4-5D6E-409C-BE32-E72D297353CC}">
                  <c16:uniqueId val="{0000001B-B060-406F-BD5C-32DDC8B76C79}"/>
                </c:ext>
              </c:extLst>
            </c:dLbl>
            <c:dLbl>
              <c:idx val="7"/>
              <c:delete val="1"/>
              <c:extLst>
                <c:ext xmlns:c15="http://schemas.microsoft.com/office/drawing/2012/chart" uri="{CE6537A1-D6FC-4f65-9D91-7224C49458BB}"/>
                <c:ext xmlns:c16="http://schemas.microsoft.com/office/drawing/2014/chart" uri="{C3380CC4-5D6E-409C-BE32-E72D297353CC}">
                  <c16:uniqueId val="{0000001C-B060-406F-BD5C-32DDC8B76C79}"/>
                </c:ext>
              </c:extLst>
            </c:dLbl>
            <c:dLbl>
              <c:idx val="9"/>
              <c:delete val="1"/>
              <c:extLst>
                <c:ext xmlns:c15="http://schemas.microsoft.com/office/drawing/2012/chart" uri="{CE6537A1-D6FC-4f65-9D91-7224C49458BB}"/>
                <c:ext xmlns:c16="http://schemas.microsoft.com/office/drawing/2014/chart" uri="{C3380CC4-5D6E-409C-BE32-E72D297353CC}">
                  <c16:uniqueId val="{0000001D-B060-406F-BD5C-32DDC8B76C79}"/>
                </c:ext>
              </c:extLst>
            </c:dLbl>
            <c:dLbl>
              <c:idx val="11"/>
              <c:delete val="1"/>
              <c:extLst>
                <c:ext xmlns:c15="http://schemas.microsoft.com/office/drawing/2012/chart" uri="{CE6537A1-D6FC-4f65-9D91-7224C49458BB}"/>
                <c:ext xmlns:c16="http://schemas.microsoft.com/office/drawing/2014/chart" uri="{C3380CC4-5D6E-409C-BE32-E72D297353CC}">
                  <c16:uniqueId val="{0000001E-B060-406F-BD5C-32DDC8B76C79}"/>
                </c:ext>
              </c:extLst>
            </c:dLbl>
            <c:dLbl>
              <c:idx val="13"/>
              <c:delete val="1"/>
              <c:extLst>
                <c:ext xmlns:c15="http://schemas.microsoft.com/office/drawing/2012/chart" uri="{CE6537A1-D6FC-4f65-9D91-7224C49458BB}"/>
                <c:ext xmlns:c16="http://schemas.microsoft.com/office/drawing/2014/chart" uri="{C3380CC4-5D6E-409C-BE32-E72D297353CC}">
                  <c16:uniqueId val="{0000001F-B060-406F-BD5C-32DDC8B76C79}"/>
                </c:ext>
              </c:extLst>
            </c:dLbl>
            <c:dLbl>
              <c:idx val="15"/>
              <c:delete val="1"/>
              <c:extLst>
                <c:ext xmlns:c15="http://schemas.microsoft.com/office/drawing/2012/chart" uri="{CE6537A1-D6FC-4f65-9D91-7224C49458BB}"/>
                <c:ext xmlns:c16="http://schemas.microsoft.com/office/drawing/2014/chart" uri="{C3380CC4-5D6E-409C-BE32-E72D297353CC}">
                  <c16:uniqueId val="{00000020-B060-406F-BD5C-32DDC8B76C79}"/>
                </c:ext>
              </c:extLst>
            </c:dLbl>
            <c:dLbl>
              <c:idx val="17"/>
              <c:delete val="1"/>
              <c:extLst>
                <c:ext xmlns:c15="http://schemas.microsoft.com/office/drawing/2012/chart" uri="{CE6537A1-D6FC-4f65-9D91-7224C49458BB}"/>
                <c:ext xmlns:c16="http://schemas.microsoft.com/office/drawing/2014/chart" uri="{C3380CC4-5D6E-409C-BE32-E72D297353CC}">
                  <c16:uniqueId val="{00000021-B060-406F-BD5C-32DDC8B76C79}"/>
                </c:ext>
              </c:extLst>
            </c:dLbl>
            <c:dLbl>
              <c:idx val="19"/>
              <c:delete val="1"/>
              <c:extLst>
                <c:ext xmlns:c15="http://schemas.microsoft.com/office/drawing/2012/chart" uri="{CE6537A1-D6FC-4f65-9D91-7224C49458BB}"/>
                <c:ext xmlns:c16="http://schemas.microsoft.com/office/drawing/2014/chart" uri="{C3380CC4-5D6E-409C-BE32-E72D297353CC}">
                  <c16:uniqueId val="{00000022-B060-406F-BD5C-32DDC8B76C79}"/>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Sheet1!$A$2:$A$21</c:f>
              <c:numCache>
                <c:formatCode>General</c:formatCode>
                <c:ptCount val="20"/>
                <c:pt idx="0">
                  <c:v>2025</c:v>
                </c:pt>
                <c:pt idx="1">
                  <c:v>2026</c:v>
                </c:pt>
                <c:pt idx="2">
                  <c:v>2027</c:v>
                </c:pt>
                <c:pt idx="3">
                  <c:v>2028</c:v>
                </c:pt>
                <c:pt idx="4">
                  <c:v>2029</c:v>
                </c:pt>
                <c:pt idx="5">
                  <c:v>2030</c:v>
                </c:pt>
                <c:pt idx="6">
                  <c:v>2031</c:v>
                </c:pt>
                <c:pt idx="7">
                  <c:v>2032</c:v>
                </c:pt>
                <c:pt idx="8">
                  <c:v>2033</c:v>
                </c:pt>
                <c:pt idx="9">
                  <c:v>2034</c:v>
                </c:pt>
                <c:pt idx="10">
                  <c:v>2035</c:v>
                </c:pt>
                <c:pt idx="11">
                  <c:v>2036</c:v>
                </c:pt>
                <c:pt idx="12">
                  <c:v>2037</c:v>
                </c:pt>
                <c:pt idx="13">
                  <c:v>2038</c:v>
                </c:pt>
                <c:pt idx="14">
                  <c:v>2039</c:v>
                </c:pt>
                <c:pt idx="15">
                  <c:v>2040</c:v>
                </c:pt>
                <c:pt idx="16">
                  <c:v>2041</c:v>
                </c:pt>
                <c:pt idx="17">
                  <c:v>2042</c:v>
                </c:pt>
                <c:pt idx="18">
                  <c:v>2043</c:v>
                </c:pt>
                <c:pt idx="19">
                  <c:v>2044</c:v>
                </c:pt>
              </c:numCache>
            </c:numRef>
          </c:cat>
          <c:val>
            <c:numRef>
              <c:f>Sheet1!$D$2:$D$21</c:f>
              <c:numCache>
                <c:formatCode>_(* #,##0.0_);_(* \(#,##0.0\);_(* "-"??_);_(@_)</c:formatCode>
                <c:ptCount val="20"/>
                <c:pt idx="0">
                  <c:v>16.264185602202325</c:v>
                </c:pt>
                <c:pt idx="1">
                  <c:v>16.891555142308803</c:v>
                </c:pt>
                <c:pt idx="2">
                  <c:v>18.333662163683456</c:v>
                </c:pt>
                <c:pt idx="3">
                  <c:v>20.31959738450508</c:v>
                </c:pt>
                <c:pt idx="4">
                  <c:v>22.167912077126658</c:v>
                </c:pt>
                <c:pt idx="5">
                  <c:v>23.612352318253514</c:v>
                </c:pt>
                <c:pt idx="6">
                  <c:v>24.468860785180354</c:v>
                </c:pt>
                <c:pt idx="7">
                  <c:v>24.900324567355558</c:v>
                </c:pt>
                <c:pt idx="8">
                  <c:v>25.212500200341832</c:v>
                </c:pt>
                <c:pt idx="9">
                  <c:v>25.450694772600595</c:v>
                </c:pt>
                <c:pt idx="10">
                  <c:v>25.652556686075336</c:v>
                </c:pt>
                <c:pt idx="11">
                  <c:v>25.768495877750357</c:v>
                </c:pt>
                <c:pt idx="12">
                  <c:v>25.987265150275459</c:v>
                </c:pt>
                <c:pt idx="13">
                  <c:v>26.215694510893655</c:v>
                </c:pt>
                <c:pt idx="14">
                  <c:v>26.604647979668457</c:v>
                </c:pt>
                <c:pt idx="15">
                  <c:v>26.917079625944709</c:v>
                </c:pt>
                <c:pt idx="16">
                  <c:v>27.294607390272017</c:v>
                </c:pt>
                <c:pt idx="17">
                  <c:v>27.687359688844488</c:v>
                </c:pt>
                <c:pt idx="18">
                  <c:v>28.117773163387273</c:v>
                </c:pt>
                <c:pt idx="19">
                  <c:v>28.543693163387271</c:v>
                </c:pt>
              </c:numCache>
            </c:numRef>
          </c:val>
          <c:smooth val="0"/>
          <c:extLst>
            <c:ext xmlns:c16="http://schemas.microsoft.com/office/drawing/2014/chart" uri="{C3380CC4-5D6E-409C-BE32-E72D297353CC}">
              <c16:uniqueId val="{00000023-B060-406F-BD5C-32DDC8B76C79}"/>
            </c:ext>
          </c:extLst>
        </c:ser>
        <c:dLbls>
          <c:showLegendKey val="0"/>
          <c:showVal val="0"/>
          <c:showCatName val="0"/>
          <c:showSerName val="0"/>
          <c:showPercent val="0"/>
          <c:showBubbleSize val="0"/>
        </c:dLbls>
        <c:marker val="1"/>
        <c:smooth val="0"/>
        <c:axId val="1767731072"/>
        <c:axId val="30366608"/>
      </c:lineChart>
      <c:catAx>
        <c:axId val="1767731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0366608"/>
        <c:crosses val="autoZero"/>
        <c:auto val="1"/>
        <c:lblAlgn val="ctr"/>
        <c:lblOffset val="100"/>
        <c:noMultiLvlLbl val="0"/>
      </c:catAx>
      <c:valAx>
        <c:axId val="303666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Peak</a:t>
                </a:r>
                <a:r>
                  <a:rPr lang="en-US" baseline="0"/>
                  <a:t> Demand (GW)</a:t>
                </a:r>
                <a:endParaRPr lang="en-US"/>
              </a:p>
            </c:rich>
          </c:tx>
          <c:layout>
            <c:manualLayout>
              <c:xMode val="edge"/>
              <c:yMode val="edge"/>
              <c:x val="0"/>
              <c:y val="0.22928446444194475"/>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_(* #,##0.0_);_(* \(#,##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7731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2023 IRP Update (October 2023)</c:v>
                </c:pt>
              </c:strCache>
            </c:strRef>
          </c:tx>
          <c:spPr>
            <a:solidFill>
              <a:schemeClr val="accent4"/>
            </a:solidFill>
            <a:ln>
              <a:noFill/>
            </a:ln>
            <a:effectLst/>
          </c:spPr>
          <c:invertIfNegative val="0"/>
          <c:dLbls>
            <c:dLbl>
              <c:idx val="2"/>
              <c:layout>
                <c:manualLayout>
                  <c:x val="0"/>
                  <c:y val="8.753093363329583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B26-4BF9-8B1B-810AD538132A}"/>
                </c:ext>
              </c:extLst>
            </c:dLbl>
            <c:dLbl>
              <c:idx val="3"/>
              <c:layout>
                <c:manualLayout>
                  <c:x val="0"/>
                  <c:y val="7.602268466441694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B26-4BF9-8B1B-810AD538132A}"/>
                </c:ext>
              </c:extLst>
            </c:dLbl>
            <c:numFmt formatCode="#,##0.0" sourceLinked="0"/>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Total Pipeline</c:v>
                </c:pt>
                <c:pt idx="1">
                  <c:v>Large Load Pipeline</c:v>
                </c:pt>
                <c:pt idx="2">
                  <c:v>Commitments</c:v>
                </c:pt>
                <c:pt idx="3">
                  <c:v>Broken Ground</c:v>
                </c:pt>
              </c:strCache>
            </c:strRef>
          </c:cat>
          <c:val>
            <c:numRef>
              <c:f>Sheet1!$B$2:$B$5</c:f>
              <c:numCache>
                <c:formatCode>General</c:formatCode>
                <c:ptCount val="4"/>
                <c:pt idx="0">
                  <c:v>17</c:v>
                </c:pt>
                <c:pt idx="1">
                  <c:v>16</c:v>
                </c:pt>
                <c:pt idx="2">
                  <c:v>3.6</c:v>
                </c:pt>
                <c:pt idx="3">
                  <c:v>2.9</c:v>
                </c:pt>
              </c:numCache>
            </c:numRef>
          </c:val>
          <c:extLst>
            <c:ext xmlns:c16="http://schemas.microsoft.com/office/drawing/2014/chart" uri="{C3380CC4-5D6E-409C-BE32-E72D297353CC}">
              <c16:uniqueId val="{00000002-DB26-4BF9-8B1B-810AD538132A}"/>
            </c:ext>
          </c:extLst>
        </c:ser>
        <c:ser>
          <c:idx val="1"/>
          <c:order val="1"/>
          <c:tx>
            <c:strRef>
              <c:f>Sheet1!$C$1</c:f>
              <c:strCache>
                <c:ptCount val="1"/>
                <c:pt idx="0">
                  <c:v>Q1 2024</c:v>
                </c:pt>
              </c:strCache>
            </c:strRef>
          </c:tx>
          <c:spPr>
            <a:solidFill>
              <a:schemeClr val="accent1"/>
            </a:solidFill>
            <a:ln>
              <a:noFill/>
            </a:ln>
            <a:effectLst/>
          </c:spPr>
          <c:invertIfNegative val="0"/>
          <c:dLbls>
            <c:dLbl>
              <c:idx val="3"/>
              <c:layout>
                <c:manualLayout>
                  <c:x val="0"/>
                  <c:y val="8.531996000499937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B26-4BF9-8B1B-810AD538132A}"/>
                </c:ext>
              </c:extLst>
            </c:dLbl>
            <c:numFmt formatCode="#,##0.0" sourceLinked="0"/>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Total Pipeline</c:v>
                </c:pt>
                <c:pt idx="1">
                  <c:v>Large Load Pipeline</c:v>
                </c:pt>
                <c:pt idx="2">
                  <c:v>Commitments</c:v>
                </c:pt>
                <c:pt idx="3">
                  <c:v>Broken Ground</c:v>
                </c:pt>
              </c:strCache>
            </c:strRef>
          </c:cat>
          <c:val>
            <c:numRef>
              <c:f>Sheet1!$C$2:$C$5</c:f>
              <c:numCache>
                <c:formatCode>General</c:formatCode>
                <c:ptCount val="4"/>
                <c:pt idx="0">
                  <c:v>21</c:v>
                </c:pt>
                <c:pt idx="1">
                  <c:v>19.600000000000001</c:v>
                </c:pt>
                <c:pt idx="2">
                  <c:v>6.2</c:v>
                </c:pt>
                <c:pt idx="3">
                  <c:v>3.5</c:v>
                </c:pt>
              </c:numCache>
            </c:numRef>
          </c:val>
          <c:extLst>
            <c:ext xmlns:c16="http://schemas.microsoft.com/office/drawing/2014/chart" uri="{C3380CC4-5D6E-409C-BE32-E72D297353CC}">
              <c16:uniqueId val="{00000004-DB26-4BF9-8B1B-810AD538132A}"/>
            </c:ext>
          </c:extLst>
        </c:ser>
        <c:ser>
          <c:idx val="2"/>
          <c:order val="2"/>
          <c:tx>
            <c:strRef>
              <c:f>Sheet1!$D$1</c:f>
              <c:strCache>
                <c:ptCount val="1"/>
                <c:pt idx="0">
                  <c:v>Q2 2024</c:v>
                </c:pt>
              </c:strCache>
            </c:strRef>
          </c:tx>
          <c:spPr>
            <a:solidFill>
              <a:srgbClr val="FF0000"/>
            </a:solidFill>
            <a:ln>
              <a:noFill/>
            </a:ln>
            <a:effectLst/>
          </c:spPr>
          <c:invertIfNegative val="0"/>
          <c:dLbls>
            <c:dLbl>
              <c:idx val="3"/>
              <c:layout>
                <c:manualLayout>
                  <c:x val="0"/>
                  <c:y val="8.09518795750202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D88-48E6-A7DD-4A11983B8595}"/>
                </c:ext>
              </c:extLst>
            </c:dLbl>
            <c:numFmt formatCode="#,##0.0" sourceLinked="0"/>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Total Pipeline</c:v>
                </c:pt>
                <c:pt idx="1">
                  <c:v>Large Load Pipeline</c:v>
                </c:pt>
                <c:pt idx="2">
                  <c:v>Commitments</c:v>
                </c:pt>
                <c:pt idx="3">
                  <c:v>Broken Ground</c:v>
                </c:pt>
              </c:strCache>
            </c:strRef>
          </c:cat>
          <c:val>
            <c:numRef>
              <c:f>Sheet1!$D$2:$D$5</c:f>
              <c:numCache>
                <c:formatCode>General</c:formatCode>
                <c:ptCount val="4"/>
                <c:pt idx="0">
                  <c:v>24.3</c:v>
                </c:pt>
                <c:pt idx="1">
                  <c:v>22.8</c:v>
                </c:pt>
                <c:pt idx="2">
                  <c:v>7.3</c:v>
                </c:pt>
                <c:pt idx="3">
                  <c:v>3.8</c:v>
                </c:pt>
              </c:numCache>
            </c:numRef>
          </c:val>
          <c:extLst>
            <c:ext xmlns:c16="http://schemas.microsoft.com/office/drawing/2014/chart" uri="{C3380CC4-5D6E-409C-BE32-E72D297353CC}">
              <c16:uniqueId val="{00000005-DB26-4BF9-8B1B-810AD538132A}"/>
            </c:ext>
          </c:extLst>
        </c:ser>
        <c:ser>
          <c:idx val="3"/>
          <c:order val="3"/>
          <c:tx>
            <c:strRef>
              <c:f>Sheet1!$E$1</c:f>
              <c:strCache>
                <c:ptCount val="1"/>
                <c:pt idx="0">
                  <c:v>Q3 2024</c:v>
                </c:pt>
              </c:strCache>
            </c:strRef>
          </c:tx>
          <c:spPr>
            <a:solidFill>
              <a:schemeClr val="tx1">
                <a:lumMod val="65000"/>
                <a:lumOff val="35000"/>
              </a:schemeClr>
            </a:solidFill>
            <a:ln>
              <a:noFill/>
            </a:ln>
            <a:effectLst/>
          </c:spPr>
          <c:invertIfNegative val="0"/>
          <c:dLbls>
            <c:dLbl>
              <c:idx val="3"/>
              <c:layout>
                <c:manualLayout>
                  <c:x val="0"/>
                  <c:y val="8.315258679478462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D88-48E6-A7DD-4A11983B8595}"/>
                </c:ext>
              </c:extLst>
            </c:dLbl>
            <c:numFmt formatCode="#,##0.0" sourceLinked="0"/>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Total Pipeline</c:v>
                </c:pt>
                <c:pt idx="1">
                  <c:v>Large Load Pipeline</c:v>
                </c:pt>
                <c:pt idx="2">
                  <c:v>Commitments</c:v>
                </c:pt>
                <c:pt idx="3">
                  <c:v>Broken Ground</c:v>
                </c:pt>
              </c:strCache>
            </c:strRef>
          </c:cat>
          <c:val>
            <c:numRef>
              <c:f>Sheet1!$E$2:$E$5</c:f>
              <c:numCache>
                <c:formatCode>General</c:formatCode>
                <c:ptCount val="4"/>
                <c:pt idx="0">
                  <c:v>36.5</c:v>
                </c:pt>
                <c:pt idx="1">
                  <c:v>34.6</c:v>
                </c:pt>
                <c:pt idx="2">
                  <c:v>8</c:v>
                </c:pt>
                <c:pt idx="3">
                  <c:v>3.7</c:v>
                </c:pt>
              </c:numCache>
            </c:numRef>
          </c:val>
          <c:extLst>
            <c:ext xmlns:c16="http://schemas.microsoft.com/office/drawing/2014/chart" uri="{C3380CC4-5D6E-409C-BE32-E72D297353CC}">
              <c16:uniqueId val="{00000006-DB26-4BF9-8B1B-810AD538132A}"/>
            </c:ext>
          </c:extLst>
        </c:ser>
        <c:dLbls>
          <c:showLegendKey val="0"/>
          <c:showVal val="0"/>
          <c:showCatName val="0"/>
          <c:showSerName val="0"/>
          <c:showPercent val="0"/>
          <c:showBubbleSize val="0"/>
        </c:dLbls>
        <c:gapWidth val="219"/>
        <c:overlap val="-27"/>
        <c:axId val="1070737056"/>
        <c:axId val="1070737536"/>
      </c:barChart>
      <c:catAx>
        <c:axId val="1070737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70737536"/>
        <c:crosses val="autoZero"/>
        <c:auto val="1"/>
        <c:lblAlgn val="ctr"/>
        <c:lblOffset val="100"/>
        <c:noMultiLvlLbl val="0"/>
      </c:catAx>
      <c:valAx>
        <c:axId val="107073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Announced Load (GW)</a:t>
                </a:r>
              </a:p>
            </c:rich>
          </c:tx>
          <c:layout>
            <c:manualLayout>
              <c:xMode val="edge"/>
              <c:yMode val="edge"/>
              <c:x val="2.3148148148148147E-3"/>
              <c:y val="0.2537035995500562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707370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2023 IRP Update (October 2023)</c:v>
                </c:pt>
              </c:strCache>
            </c:strRef>
          </c:tx>
          <c:spPr>
            <a:solidFill>
              <a:schemeClr val="accent4"/>
            </a:solidFill>
            <a:ln>
              <a:noFill/>
            </a:ln>
            <a:effectLst/>
          </c:spPr>
          <c:invertIfNegative val="0"/>
          <c:dLbls>
            <c:dLbl>
              <c:idx val="3"/>
              <c:layout>
                <c:manualLayout>
                  <c:x val="0"/>
                  <c:y val="7.381171103612048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8D8-4E17-A3FC-FB6CBDB2E600}"/>
                </c:ext>
              </c:extLst>
            </c:dLbl>
            <c:numFmt formatCode="#,##0.0" sourceLinked="0"/>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Total Pipeline</c:v>
                </c:pt>
                <c:pt idx="1">
                  <c:v>Large Load Pipeline</c:v>
                </c:pt>
                <c:pt idx="2">
                  <c:v>Commitments</c:v>
                </c:pt>
                <c:pt idx="3">
                  <c:v>Broken Ground</c:v>
                </c:pt>
              </c:strCache>
            </c:strRef>
          </c:cat>
          <c:val>
            <c:numRef>
              <c:f>Sheet1!$B$2:$B$5</c:f>
              <c:numCache>
                <c:formatCode>General</c:formatCode>
                <c:ptCount val="4"/>
                <c:pt idx="0">
                  <c:v>11.6</c:v>
                </c:pt>
                <c:pt idx="1">
                  <c:v>10.5</c:v>
                </c:pt>
                <c:pt idx="2">
                  <c:v>2.7</c:v>
                </c:pt>
                <c:pt idx="3">
                  <c:v>2</c:v>
                </c:pt>
              </c:numCache>
            </c:numRef>
          </c:val>
          <c:extLst>
            <c:ext xmlns:c16="http://schemas.microsoft.com/office/drawing/2014/chart" uri="{C3380CC4-5D6E-409C-BE32-E72D297353CC}">
              <c16:uniqueId val="{00000000-D245-4FCA-A9A0-81FDF3DD59ED}"/>
            </c:ext>
          </c:extLst>
        </c:ser>
        <c:ser>
          <c:idx val="1"/>
          <c:order val="1"/>
          <c:tx>
            <c:strRef>
              <c:f>Sheet1!$C$1</c:f>
              <c:strCache>
                <c:ptCount val="1"/>
                <c:pt idx="0">
                  <c:v>Q1 2024</c:v>
                </c:pt>
              </c:strCache>
            </c:strRef>
          </c:tx>
          <c:spPr>
            <a:solidFill>
              <a:schemeClr val="accent1"/>
            </a:solidFill>
            <a:ln>
              <a:noFill/>
            </a:ln>
            <a:effectLst/>
          </c:spPr>
          <c:invertIfNegative val="0"/>
          <c:dLbls>
            <c:dLbl>
              <c:idx val="3"/>
              <c:layout>
                <c:manualLayout>
                  <c:x val="0"/>
                  <c:y val="7.912948381452318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8D8-4E17-A3FC-FB6CBDB2E600}"/>
                </c:ext>
              </c:extLst>
            </c:dLbl>
            <c:numFmt formatCode="#,##0.0" sourceLinked="0"/>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Total Pipeline</c:v>
                </c:pt>
                <c:pt idx="1">
                  <c:v>Large Load Pipeline</c:v>
                </c:pt>
                <c:pt idx="2">
                  <c:v>Commitments</c:v>
                </c:pt>
                <c:pt idx="3">
                  <c:v>Broken Ground</c:v>
                </c:pt>
              </c:strCache>
            </c:strRef>
          </c:cat>
          <c:val>
            <c:numRef>
              <c:f>Sheet1!$C$2:$C$5</c:f>
              <c:numCache>
                <c:formatCode>General</c:formatCode>
                <c:ptCount val="4"/>
                <c:pt idx="0">
                  <c:v>14.2</c:v>
                </c:pt>
                <c:pt idx="1">
                  <c:v>12.5</c:v>
                </c:pt>
                <c:pt idx="2">
                  <c:v>4.0999999999999996</c:v>
                </c:pt>
                <c:pt idx="3">
                  <c:v>2.2999999999999998</c:v>
                </c:pt>
              </c:numCache>
            </c:numRef>
          </c:val>
          <c:extLst>
            <c:ext xmlns:c16="http://schemas.microsoft.com/office/drawing/2014/chart" uri="{C3380CC4-5D6E-409C-BE32-E72D297353CC}">
              <c16:uniqueId val="{00000001-D245-4FCA-A9A0-81FDF3DD59ED}"/>
            </c:ext>
          </c:extLst>
        </c:ser>
        <c:ser>
          <c:idx val="2"/>
          <c:order val="2"/>
          <c:tx>
            <c:strRef>
              <c:f>Sheet1!$D$1</c:f>
              <c:strCache>
                <c:ptCount val="1"/>
                <c:pt idx="0">
                  <c:v>Q2 2024</c:v>
                </c:pt>
              </c:strCache>
            </c:strRef>
          </c:tx>
          <c:spPr>
            <a:solidFill>
              <a:srgbClr val="FF0000"/>
            </a:solidFill>
            <a:ln>
              <a:noFill/>
            </a:ln>
            <a:effectLst/>
          </c:spPr>
          <c:invertIfNegative val="0"/>
          <c:dLbls>
            <c:numFmt formatCode="#,##0.0" sourceLinked="0"/>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Total Pipeline</c:v>
                </c:pt>
                <c:pt idx="1">
                  <c:v>Large Load Pipeline</c:v>
                </c:pt>
                <c:pt idx="2">
                  <c:v>Commitments</c:v>
                </c:pt>
                <c:pt idx="3">
                  <c:v>Broken Ground</c:v>
                </c:pt>
              </c:strCache>
            </c:strRef>
          </c:cat>
          <c:val>
            <c:numRef>
              <c:f>Sheet1!$D$2:$D$5</c:f>
              <c:numCache>
                <c:formatCode>General</c:formatCode>
                <c:ptCount val="4"/>
                <c:pt idx="0">
                  <c:v>15.3</c:v>
                </c:pt>
                <c:pt idx="1">
                  <c:v>13.9</c:v>
                </c:pt>
                <c:pt idx="2">
                  <c:v>4.5999999999999996</c:v>
                </c:pt>
                <c:pt idx="3">
                  <c:v>2.9</c:v>
                </c:pt>
              </c:numCache>
            </c:numRef>
          </c:val>
          <c:extLst>
            <c:ext xmlns:c16="http://schemas.microsoft.com/office/drawing/2014/chart" uri="{C3380CC4-5D6E-409C-BE32-E72D297353CC}">
              <c16:uniqueId val="{00000002-D245-4FCA-A9A0-81FDF3DD59ED}"/>
            </c:ext>
          </c:extLst>
        </c:ser>
        <c:ser>
          <c:idx val="3"/>
          <c:order val="3"/>
          <c:tx>
            <c:strRef>
              <c:f>Sheet1!$E$1</c:f>
              <c:strCache>
                <c:ptCount val="1"/>
                <c:pt idx="0">
                  <c:v>Q3 2024</c:v>
                </c:pt>
              </c:strCache>
            </c:strRef>
          </c:tx>
          <c:spPr>
            <a:solidFill>
              <a:schemeClr val="tx1">
                <a:lumMod val="65000"/>
                <a:lumOff val="35000"/>
              </a:schemeClr>
            </a:solidFill>
            <a:ln>
              <a:noFill/>
            </a:ln>
            <a:effectLst/>
          </c:spPr>
          <c:invertIfNegative val="0"/>
          <c:dLbls>
            <c:numFmt formatCode="#,##0.0" sourceLinked="0"/>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Total Pipeline</c:v>
                </c:pt>
                <c:pt idx="1">
                  <c:v>Large Load Pipeline</c:v>
                </c:pt>
                <c:pt idx="2">
                  <c:v>Commitments</c:v>
                </c:pt>
                <c:pt idx="3">
                  <c:v>Broken Ground</c:v>
                </c:pt>
              </c:strCache>
            </c:strRef>
          </c:cat>
          <c:val>
            <c:numRef>
              <c:f>Sheet1!$E$2:$E$5</c:f>
              <c:numCache>
                <c:formatCode>General</c:formatCode>
                <c:ptCount val="4"/>
                <c:pt idx="0">
                  <c:v>21.6</c:v>
                </c:pt>
                <c:pt idx="1">
                  <c:v>19.899999999999999</c:v>
                </c:pt>
                <c:pt idx="2">
                  <c:v>4.9000000000000004</c:v>
                </c:pt>
                <c:pt idx="3">
                  <c:v>3</c:v>
                </c:pt>
              </c:numCache>
            </c:numRef>
          </c:val>
          <c:extLst>
            <c:ext xmlns:c16="http://schemas.microsoft.com/office/drawing/2014/chart" uri="{C3380CC4-5D6E-409C-BE32-E72D297353CC}">
              <c16:uniqueId val="{00000003-D245-4FCA-A9A0-81FDF3DD59ED}"/>
            </c:ext>
          </c:extLst>
        </c:ser>
        <c:dLbls>
          <c:showLegendKey val="0"/>
          <c:showVal val="0"/>
          <c:showCatName val="0"/>
          <c:showSerName val="0"/>
          <c:showPercent val="0"/>
          <c:showBubbleSize val="0"/>
        </c:dLbls>
        <c:gapWidth val="219"/>
        <c:overlap val="-27"/>
        <c:axId val="766293152"/>
        <c:axId val="766281152"/>
      </c:barChart>
      <c:catAx>
        <c:axId val="766293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6281152"/>
        <c:crosses val="autoZero"/>
        <c:auto val="1"/>
        <c:lblAlgn val="ctr"/>
        <c:lblOffset val="100"/>
        <c:noMultiLvlLbl val="0"/>
      </c:catAx>
      <c:valAx>
        <c:axId val="7662811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Announced Load (GW)</a:t>
                </a:r>
              </a:p>
            </c:rich>
          </c:tx>
          <c:layout>
            <c:manualLayout>
              <c:xMode val="edge"/>
              <c:yMode val="edge"/>
              <c:x val="2.3148148148148147E-3"/>
              <c:y val="0.2043482064741907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62931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2A70C2-1E1C-4291-9E2F-C359BB32F3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167</Pages>
  <Words>56235</Words>
  <Characters>320545</Characters>
  <Application>Microsoft Office Word</Application>
  <DocSecurity>2</DocSecurity>
  <Lines>2671</Lines>
  <Paragraphs>752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376028</CharactersWithSpaces>
  <SharedDoc>false</SharedDoc>
  <HLinks>
    <vt:vector size="678" baseType="variant">
      <vt:variant>
        <vt:i4>5963863</vt:i4>
      </vt:variant>
      <vt:variant>
        <vt:i4>585</vt:i4>
      </vt:variant>
      <vt:variant>
        <vt:i4>0</vt:i4>
      </vt:variant>
      <vt:variant>
        <vt:i4>5</vt:i4>
      </vt:variant>
      <vt:variant>
        <vt:lpwstr>http://www.georgiapower.com/commercialsavings</vt:lpwstr>
      </vt:variant>
      <vt:variant>
        <vt:lpwstr/>
      </vt:variant>
      <vt:variant>
        <vt:i4>5570644</vt:i4>
      </vt:variant>
      <vt:variant>
        <vt:i4>582</vt:i4>
      </vt:variant>
      <vt:variant>
        <vt:i4>0</vt:i4>
      </vt:variant>
      <vt:variant>
        <vt:i4>5</vt:i4>
      </vt:variant>
      <vt:variant>
        <vt:lpwstr>http://www.georgiapower.com/energyefficiency</vt:lpwstr>
      </vt:variant>
      <vt:variant>
        <vt:lpwstr/>
      </vt:variant>
      <vt:variant>
        <vt:i4>7864373</vt:i4>
      </vt:variant>
      <vt:variant>
        <vt:i4>579</vt:i4>
      </vt:variant>
      <vt:variant>
        <vt:i4>0</vt:i4>
      </vt:variant>
      <vt:variant>
        <vt:i4>5</vt:i4>
      </vt:variant>
      <vt:variant>
        <vt:lpwstr>https://www.eia.gov/outlooks/aeo/nems/documentation</vt:lpwstr>
      </vt:variant>
      <vt:variant>
        <vt:lpwstr/>
      </vt:variant>
      <vt:variant>
        <vt:i4>5177429</vt:i4>
      </vt:variant>
      <vt:variant>
        <vt:i4>576</vt:i4>
      </vt:variant>
      <vt:variant>
        <vt:i4>0</vt:i4>
      </vt:variant>
      <vt:variant>
        <vt:i4>5</vt:i4>
      </vt:variant>
      <vt:variant>
        <vt:lpwstr>https://www.eia.gov/</vt:lpwstr>
      </vt:variant>
      <vt:variant>
        <vt:lpwstr/>
      </vt:variant>
      <vt:variant>
        <vt:i4>1441849</vt:i4>
      </vt:variant>
      <vt:variant>
        <vt:i4>569</vt:i4>
      </vt:variant>
      <vt:variant>
        <vt:i4>0</vt:i4>
      </vt:variant>
      <vt:variant>
        <vt:i4>5</vt:i4>
      </vt:variant>
      <vt:variant>
        <vt:lpwstr/>
      </vt:variant>
      <vt:variant>
        <vt:lpwstr>_Toc188993937</vt:lpwstr>
      </vt:variant>
      <vt:variant>
        <vt:i4>1441849</vt:i4>
      </vt:variant>
      <vt:variant>
        <vt:i4>563</vt:i4>
      </vt:variant>
      <vt:variant>
        <vt:i4>0</vt:i4>
      </vt:variant>
      <vt:variant>
        <vt:i4>5</vt:i4>
      </vt:variant>
      <vt:variant>
        <vt:lpwstr/>
      </vt:variant>
      <vt:variant>
        <vt:lpwstr>_Toc188993936</vt:lpwstr>
      </vt:variant>
      <vt:variant>
        <vt:i4>1441849</vt:i4>
      </vt:variant>
      <vt:variant>
        <vt:i4>557</vt:i4>
      </vt:variant>
      <vt:variant>
        <vt:i4>0</vt:i4>
      </vt:variant>
      <vt:variant>
        <vt:i4>5</vt:i4>
      </vt:variant>
      <vt:variant>
        <vt:lpwstr/>
      </vt:variant>
      <vt:variant>
        <vt:lpwstr>_Toc188993935</vt:lpwstr>
      </vt:variant>
      <vt:variant>
        <vt:i4>1441849</vt:i4>
      </vt:variant>
      <vt:variant>
        <vt:i4>551</vt:i4>
      </vt:variant>
      <vt:variant>
        <vt:i4>0</vt:i4>
      </vt:variant>
      <vt:variant>
        <vt:i4>5</vt:i4>
      </vt:variant>
      <vt:variant>
        <vt:lpwstr/>
      </vt:variant>
      <vt:variant>
        <vt:lpwstr>_Toc188993934</vt:lpwstr>
      </vt:variant>
      <vt:variant>
        <vt:i4>1441849</vt:i4>
      </vt:variant>
      <vt:variant>
        <vt:i4>545</vt:i4>
      </vt:variant>
      <vt:variant>
        <vt:i4>0</vt:i4>
      </vt:variant>
      <vt:variant>
        <vt:i4>5</vt:i4>
      </vt:variant>
      <vt:variant>
        <vt:lpwstr/>
      </vt:variant>
      <vt:variant>
        <vt:lpwstr>_Toc188993933</vt:lpwstr>
      </vt:variant>
      <vt:variant>
        <vt:i4>1441849</vt:i4>
      </vt:variant>
      <vt:variant>
        <vt:i4>539</vt:i4>
      </vt:variant>
      <vt:variant>
        <vt:i4>0</vt:i4>
      </vt:variant>
      <vt:variant>
        <vt:i4>5</vt:i4>
      </vt:variant>
      <vt:variant>
        <vt:lpwstr/>
      </vt:variant>
      <vt:variant>
        <vt:lpwstr>_Toc188993932</vt:lpwstr>
      </vt:variant>
      <vt:variant>
        <vt:i4>1441849</vt:i4>
      </vt:variant>
      <vt:variant>
        <vt:i4>533</vt:i4>
      </vt:variant>
      <vt:variant>
        <vt:i4>0</vt:i4>
      </vt:variant>
      <vt:variant>
        <vt:i4>5</vt:i4>
      </vt:variant>
      <vt:variant>
        <vt:lpwstr/>
      </vt:variant>
      <vt:variant>
        <vt:lpwstr>_Toc188993931</vt:lpwstr>
      </vt:variant>
      <vt:variant>
        <vt:i4>1441849</vt:i4>
      </vt:variant>
      <vt:variant>
        <vt:i4>527</vt:i4>
      </vt:variant>
      <vt:variant>
        <vt:i4>0</vt:i4>
      </vt:variant>
      <vt:variant>
        <vt:i4>5</vt:i4>
      </vt:variant>
      <vt:variant>
        <vt:lpwstr/>
      </vt:variant>
      <vt:variant>
        <vt:lpwstr>_Toc188993930</vt:lpwstr>
      </vt:variant>
      <vt:variant>
        <vt:i4>1507385</vt:i4>
      </vt:variant>
      <vt:variant>
        <vt:i4>521</vt:i4>
      </vt:variant>
      <vt:variant>
        <vt:i4>0</vt:i4>
      </vt:variant>
      <vt:variant>
        <vt:i4>5</vt:i4>
      </vt:variant>
      <vt:variant>
        <vt:lpwstr/>
      </vt:variant>
      <vt:variant>
        <vt:lpwstr>_Toc188993929</vt:lpwstr>
      </vt:variant>
      <vt:variant>
        <vt:i4>1507385</vt:i4>
      </vt:variant>
      <vt:variant>
        <vt:i4>515</vt:i4>
      </vt:variant>
      <vt:variant>
        <vt:i4>0</vt:i4>
      </vt:variant>
      <vt:variant>
        <vt:i4>5</vt:i4>
      </vt:variant>
      <vt:variant>
        <vt:lpwstr/>
      </vt:variant>
      <vt:variant>
        <vt:lpwstr>_Toc188993928</vt:lpwstr>
      </vt:variant>
      <vt:variant>
        <vt:i4>1507385</vt:i4>
      </vt:variant>
      <vt:variant>
        <vt:i4>509</vt:i4>
      </vt:variant>
      <vt:variant>
        <vt:i4>0</vt:i4>
      </vt:variant>
      <vt:variant>
        <vt:i4>5</vt:i4>
      </vt:variant>
      <vt:variant>
        <vt:lpwstr/>
      </vt:variant>
      <vt:variant>
        <vt:lpwstr>_Toc188993927</vt:lpwstr>
      </vt:variant>
      <vt:variant>
        <vt:i4>1507385</vt:i4>
      </vt:variant>
      <vt:variant>
        <vt:i4>503</vt:i4>
      </vt:variant>
      <vt:variant>
        <vt:i4>0</vt:i4>
      </vt:variant>
      <vt:variant>
        <vt:i4>5</vt:i4>
      </vt:variant>
      <vt:variant>
        <vt:lpwstr/>
      </vt:variant>
      <vt:variant>
        <vt:lpwstr>_Toc188993926</vt:lpwstr>
      </vt:variant>
      <vt:variant>
        <vt:i4>1507385</vt:i4>
      </vt:variant>
      <vt:variant>
        <vt:i4>497</vt:i4>
      </vt:variant>
      <vt:variant>
        <vt:i4>0</vt:i4>
      </vt:variant>
      <vt:variant>
        <vt:i4>5</vt:i4>
      </vt:variant>
      <vt:variant>
        <vt:lpwstr/>
      </vt:variant>
      <vt:variant>
        <vt:lpwstr>_Toc188993925</vt:lpwstr>
      </vt:variant>
      <vt:variant>
        <vt:i4>1507385</vt:i4>
      </vt:variant>
      <vt:variant>
        <vt:i4>491</vt:i4>
      </vt:variant>
      <vt:variant>
        <vt:i4>0</vt:i4>
      </vt:variant>
      <vt:variant>
        <vt:i4>5</vt:i4>
      </vt:variant>
      <vt:variant>
        <vt:lpwstr/>
      </vt:variant>
      <vt:variant>
        <vt:lpwstr>_Toc188993924</vt:lpwstr>
      </vt:variant>
      <vt:variant>
        <vt:i4>1507385</vt:i4>
      </vt:variant>
      <vt:variant>
        <vt:i4>485</vt:i4>
      </vt:variant>
      <vt:variant>
        <vt:i4>0</vt:i4>
      </vt:variant>
      <vt:variant>
        <vt:i4>5</vt:i4>
      </vt:variant>
      <vt:variant>
        <vt:lpwstr/>
      </vt:variant>
      <vt:variant>
        <vt:lpwstr>_Toc188993923</vt:lpwstr>
      </vt:variant>
      <vt:variant>
        <vt:i4>1507385</vt:i4>
      </vt:variant>
      <vt:variant>
        <vt:i4>479</vt:i4>
      </vt:variant>
      <vt:variant>
        <vt:i4>0</vt:i4>
      </vt:variant>
      <vt:variant>
        <vt:i4>5</vt:i4>
      </vt:variant>
      <vt:variant>
        <vt:lpwstr/>
      </vt:variant>
      <vt:variant>
        <vt:lpwstr>_Toc188993922</vt:lpwstr>
      </vt:variant>
      <vt:variant>
        <vt:i4>1507385</vt:i4>
      </vt:variant>
      <vt:variant>
        <vt:i4>473</vt:i4>
      </vt:variant>
      <vt:variant>
        <vt:i4>0</vt:i4>
      </vt:variant>
      <vt:variant>
        <vt:i4>5</vt:i4>
      </vt:variant>
      <vt:variant>
        <vt:lpwstr/>
      </vt:variant>
      <vt:variant>
        <vt:lpwstr>_Toc188993921</vt:lpwstr>
      </vt:variant>
      <vt:variant>
        <vt:i4>1507385</vt:i4>
      </vt:variant>
      <vt:variant>
        <vt:i4>467</vt:i4>
      </vt:variant>
      <vt:variant>
        <vt:i4>0</vt:i4>
      </vt:variant>
      <vt:variant>
        <vt:i4>5</vt:i4>
      </vt:variant>
      <vt:variant>
        <vt:lpwstr/>
      </vt:variant>
      <vt:variant>
        <vt:lpwstr>_Toc188993920</vt:lpwstr>
      </vt:variant>
      <vt:variant>
        <vt:i4>1310777</vt:i4>
      </vt:variant>
      <vt:variant>
        <vt:i4>461</vt:i4>
      </vt:variant>
      <vt:variant>
        <vt:i4>0</vt:i4>
      </vt:variant>
      <vt:variant>
        <vt:i4>5</vt:i4>
      </vt:variant>
      <vt:variant>
        <vt:lpwstr/>
      </vt:variant>
      <vt:variant>
        <vt:lpwstr>_Toc188993919</vt:lpwstr>
      </vt:variant>
      <vt:variant>
        <vt:i4>1310777</vt:i4>
      </vt:variant>
      <vt:variant>
        <vt:i4>455</vt:i4>
      </vt:variant>
      <vt:variant>
        <vt:i4>0</vt:i4>
      </vt:variant>
      <vt:variant>
        <vt:i4>5</vt:i4>
      </vt:variant>
      <vt:variant>
        <vt:lpwstr/>
      </vt:variant>
      <vt:variant>
        <vt:lpwstr>_Toc188993918</vt:lpwstr>
      </vt:variant>
      <vt:variant>
        <vt:i4>1310777</vt:i4>
      </vt:variant>
      <vt:variant>
        <vt:i4>449</vt:i4>
      </vt:variant>
      <vt:variant>
        <vt:i4>0</vt:i4>
      </vt:variant>
      <vt:variant>
        <vt:i4>5</vt:i4>
      </vt:variant>
      <vt:variant>
        <vt:lpwstr/>
      </vt:variant>
      <vt:variant>
        <vt:lpwstr>_Toc188993917</vt:lpwstr>
      </vt:variant>
      <vt:variant>
        <vt:i4>1310777</vt:i4>
      </vt:variant>
      <vt:variant>
        <vt:i4>443</vt:i4>
      </vt:variant>
      <vt:variant>
        <vt:i4>0</vt:i4>
      </vt:variant>
      <vt:variant>
        <vt:i4>5</vt:i4>
      </vt:variant>
      <vt:variant>
        <vt:lpwstr/>
      </vt:variant>
      <vt:variant>
        <vt:lpwstr>_Toc188993916</vt:lpwstr>
      </vt:variant>
      <vt:variant>
        <vt:i4>1310777</vt:i4>
      </vt:variant>
      <vt:variant>
        <vt:i4>437</vt:i4>
      </vt:variant>
      <vt:variant>
        <vt:i4>0</vt:i4>
      </vt:variant>
      <vt:variant>
        <vt:i4>5</vt:i4>
      </vt:variant>
      <vt:variant>
        <vt:lpwstr/>
      </vt:variant>
      <vt:variant>
        <vt:lpwstr>_Toc188993915</vt:lpwstr>
      </vt:variant>
      <vt:variant>
        <vt:i4>1310777</vt:i4>
      </vt:variant>
      <vt:variant>
        <vt:i4>431</vt:i4>
      </vt:variant>
      <vt:variant>
        <vt:i4>0</vt:i4>
      </vt:variant>
      <vt:variant>
        <vt:i4>5</vt:i4>
      </vt:variant>
      <vt:variant>
        <vt:lpwstr/>
      </vt:variant>
      <vt:variant>
        <vt:lpwstr>_Toc188993914</vt:lpwstr>
      </vt:variant>
      <vt:variant>
        <vt:i4>1310777</vt:i4>
      </vt:variant>
      <vt:variant>
        <vt:i4>425</vt:i4>
      </vt:variant>
      <vt:variant>
        <vt:i4>0</vt:i4>
      </vt:variant>
      <vt:variant>
        <vt:i4>5</vt:i4>
      </vt:variant>
      <vt:variant>
        <vt:lpwstr/>
      </vt:variant>
      <vt:variant>
        <vt:lpwstr>_Toc188993913</vt:lpwstr>
      </vt:variant>
      <vt:variant>
        <vt:i4>1310777</vt:i4>
      </vt:variant>
      <vt:variant>
        <vt:i4>419</vt:i4>
      </vt:variant>
      <vt:variant>
        <vt:i4>0</vt:i4>
      </vt:variant>
      <vt:variant>
        <vt:i4>5</vt:i4>
      </vt:variant>
      <vt:variant>
        <vt:lpwstr/>
      </vt:variant>
      <vt:variant>
        <vt:lpwstr>_Toc188993912</vt:lpwstr>
      </vt:variant>
      <vt:variant>
        <vt:i4>1310777</vt:i4>
      </vt:variant>
      <vt:variant>
        <vt:i4>413</vt:i4>
      </vt:variant>
      <vt:variant>
        <vt:i4>0</vt:i4>
      </vt:variant>
      <vt:variant>
        <vt:i4>5</vt:i4>
      </vt:variant>
      <vt:variant>
        <vt:lpwstr/>
      </vt:variant>
      <vt:variant>
        <vt:lpwstr>_Toc188993911</vt:lpwstr>
      </vt:variant>
      <vt:variant>
        <vt:i4>1310777</vt:i4>
      </vt:variant>
      <vt:variant>
        <vt:i4>407</vt:i4>
      </vt:variant>
      <vt:variant>
        <vt:i4>0</vt:i4>
      </vt:variant>
      <vt:variant>
        <vt:i4>5</vt:i4>
      </vt:variant>
      <vt:variant>
        <vt:lpwstr/>
      </vt:variant>
      <vt:variant>
        <vt:lpwstr>_Toc188993910</vt:lpwstr>
      </vt:variant>
      <vt:variant>
        <vt:i4>1376313</vt:i4>
      </vt:variant>
      <vt:variant>
        <vt:i4>401</vt:i4>
      </vt:variant>
      <vt:variant>
        <vt:i4>0</vt:i4>
      </vt:variant>
      <vt:variant>
        <vt:i4>5</vt:i4>
      </vt:variant>
      <vt:variant>
        <vt:lpwstr/>
      </vt:variant>
      <vt:variant>
        <vt:lpwstr>_Toc188993909</vt:lpwstr>
      </vt:variant>
      <vt:variant>
        <vt:i4>1376313</vt:i4>
      </vt:variant>
      <vt:variant>
        <vt:i4>395</vt:i4>
      </vt:variant>
      <vt:variant>
        <vt:i4>0</vt:i4>
      </vt:variant>
      <vt:variant>
        <vt:i4>5</vt:i4>
      </vt:variant>
      <vt:variant>
        <vt:lpwstr/>
      </vt:variant>
      <vt:variant>
        <vt:lpwstr>_Toc188993908</vt:lpwstr>
      </vt:variant>
      <vt:variant>
        <vt:i4>1376313</vt:i4>
      </vt:variant>
      <vt:variant>
        <vt:i4>389</vt:i4>
      </vt:variant>
      <vt:variant>
        <vt:i4>0</vt:i4>
      </vt:variant>
      <vt:variant>
        <vt:i4>5</vt:i4>
      </vt:variant>
      <vt:variant>
        <vt:lpwstr/>
      </vt:variant>
      <vt:variant>
        <vt:lpwstr>_Toc188993907</vt:lpwstr>
      </vt:variant>
      <vt:variant>
        <vt:i4>1376313</vt:i4>
      </vt:variant>
      <vt:variant>
        <vt:i4>383</vt:i4>
      </vt:variant>
      <vt:variant>
        <vt:i4>0</vt:i4>
      </vt:variant>
      <vt:variant>
        <vt:i4>5</vt:i4>
      </vt:variant>
      <vt:variant>
        <vt:lpwstr/>
      </vt:variant>
      <vt:variant>
        <vt:lpwstr>_Toc188993906</vt:lpwstr>
      </vt:variant>
      <vt:variant>
        <vt:i4>1376313</vt:i4>
      </vt:variant>
      <vt:variant>
        <vt:i4>377</vt:i4>
      </vt:variant>
      <vt:variant>
        <vt:i4>0</vt:i4>
      </vt:variant>
      <vt:variant>
        <vt:i4>5</vt:i4>
      </vt:variant>
      <vt:variant>
        <vt:lpwstr/>
      </vt:variant>
      <vt:variant>
        <vt:lpwstr>_Toc188993905</vt:lpwstr>
      </vt:variant>
      <vt:variant>
        <vt:i4>1376313</vt:i4>
      </vt:variant>
      <vt:variant>
        <vt:i4>371</vt:i4>
      </vt:variant>
      <vt:variant>
        <vt:i4>0</vt:i4>
      </vt:variant>
      <vt:variant>
        <vt:i4>5</vt:i4>
      </vt:variant>
      <vt:variant>
        <vt:lpwstr/>
      </vt:variant>
      <vt:variant>
        <vt:lpwstr>_Toc188993904</vt:lpwstr>
      </vt:variant>
      <vt:variant>
        <vt:i4>1376313</vt:i4>
      </vt:variant>
      <vt:variant>
        <vt:i4>365</vt:i4>
      </vt:variant>
      <vt:variant>
        <vt:i4>0</vt:i4>
      </vt:variant>
      <vt:variant>
        <vt:i4>5</vt:i4>
      </vt:variant>
      <vt:variant>
        <vt:lpwstr/>
      </vt:variant>
      <vt:variant>
        <vt:lpwstr>_Toc188993903</vt:lpwstr>
      </vt:variant>
      <vt:variant>
        <vt:i4>1376313</vt:i4>
      </vt:variant>
      <vt:variant>
        <vt:i4>359</vt:i4>
      </vt:variant>
      <vt:variant>
        <vt:i4>0</vt:i4>
      </vt:variant>
      <vt:variant>
        <vt:i4>5</vt:i4>
      </vt:variant>
      <vt:variant>
        <vt:lpwstr/>
      </vt:variant>
      <vt:variant>
        <vt:lpwstr>_Toc188993902</vt:lpwstr>
      </vt:variant>
      <vt:variant>
        <vt:i4>1376313</vt:i4>
      </vt:variant>
      <vt:variant>
        <vt:i4>353</vt:i4>
      </vt:variant>
      <vt:variant>
        <vt:i4>0</vt:i4>
      </vt:variant>
      <vt:variant>
        <vt:i4>5</vt:i4>
      </vt:variant>
      <vt:variant>
        <vt:lpwstr/>
      </vt:variant>
      <vt:variant>
        <vt:lpwstr>_Toc188993901</vt:lpwstr>
      </vt:variant>
      <vt:variant>
        <vt:i4>1376313</vt:i4>
      </vt:variant>
      <vt:variant>
        <vt:i4>347</vt:i4>
      </vt:variant>
      <vt:variant>
        <vt:i4>0</vt:i4>
      </vt:variant>
      <vt:variant>
        <vt:i4>5</vt:i4>
      </vt:variant>
      <vt:variant>
        <vt:lpwstr/>
      </vt:variant>
      <vt:variant>
        <vt:lpwstr>_Toc188993900</vt:lpwstr>
      </vt:variant>
      <vt:variant>
        <vt:i4>1835064</vt:i4>
      </vt:variant>
      <vt:variant>
        <vt:i4>341</vt:i4>
      </vt:variant>
      <vt:variant>
        <vt:i4>0</vt:i4>
      </vt:variant>
      <vt:variant>
        <vt:i4>5</vt:i4>
      </vt:variant>
      <vt:variant>
        <vt:lpwstr/>
      </vt:variant>
      <vt:variant>
        <vt:lpwstr>_Toc188993899</vt:lpwstr>
      </vt:variant>
      <vt:variant>
        <vt:i4>1835064</vt:i4>
      </vt:variant>
      <vt:variant>
        <vt:i4>335</vt:i4>
      </vt:variant>
      <vt:variant>
        <vt:i4>0</vt:i4>
      </vt:variant>
      <vt:variant>
        <vt:i4>5</vt:i4>
      </vt:variant>
      <vt:variant>
        <vt:lpwstr/>
      </vt:variant>
      <vt:variant>
        <vt:lpwstr>_Toc188993898</vt:lpwstr>
      </vt:variant>
      <vt:variant>
        <vt:i4>1835064</vt:i4>
      </vt:variant>
      <vt:variant>
        <vt:i4>329</vt:i4>
      </vt:variant>
      <vt:variant>
        <vt:i4>0</vt:i4>
      </vt:variant>
      <vt:variant>
        <vt:i4>5</vt:i4>
      </vt:variant>
      <vt:variant>
        <vt:lpwstr/>
      </vt:variant>
      <vt:variant>
        <vt:lpwstr>_Toc188993897</vt:lpwstr>
      </vt:variant>
      <vt:variant>
        <vt:i4>1835064</vt:i4>
      </vt:variant>
      <vt:variant>
        <vt:i4>323</vt:i4>
      </vt:variant>
      <vt:variant>
        <vt:i4>0</vt:i4>
      </vt:variant>
      <vt:variant>
        <vt:i4>5</vt:i4>
      </vt:variant>
      <vt:variant>
        <vt:lpwstr/>
      </vt:variant>
      <vt:variant>
        <vt:lpwstr>_Toc188993896</vt:lpwstr>
      </vt:variant>
      <vt:variant>
        <vt:i4>1835064</vt:i4>
      </vt:variant>
      <vt:variant>
        <vt:i4>317</vt:i4>
      </vt:variant>
      <vt:variant>
        <vt:i4>0</vt:i4>
      </vt:variant>
      <vt:variant>
        <vt:i4>5</vt:i4>
      </vt:variant>
      <vt:variant>
        <vt:lpwstr/>
      </vt:variant>
      <vt:variant>
        <vt:lpwstr>_Toc188993895</vt:lpwstr>
      </vt:variant>
      <vt:variant>
        <vt:i4>1835064</vt:i4>
      </vt:variant>
      <vt:variant>
        <vt:i4>311</vt:i4>
      </vt:variant>
      <vt:variant>
        <vt:i4>0</vt:i4>
      </vt:variant>
      <vt:variant>
        <vt:i4>5</vt:i4>
      </vt:variant>
      <vt:variant>
        <vt:lpwstr/>
      </vt:variant>
      <vt:variant>
        <vt:lpwstr>_Toc188993894</vt:lpwstr>
      </vt:variant>
      <vt:variant>
        <vt:i4>1835064</vt:i4>
      </vt:variant>
      <vt:variant>
        <vt:i4>305</vt:i4>
      </vt:variant>
      <vt:variant>
        <vt:i4>0</vt:i4>
      </vt:variant>
      <vt:variant>
        <vt:i4>5</vt:i4>
      </vt:variant>
      <vt:variant>
        <vt:lpwstr/>
      </vt:variant>
      <vt:variant>
        <vt:lpwstr>_Toc188993893</vt:lpwstr>
      </vt:variant>
      <vt:variant>
        <vt:i4>1835064</vt:i4>
      </vt:variant>
      <vt:variant>
        <vt:i4>299</vt:i4>
      </vt:variant>
      <vt:variant>
        <vt:i4>0</vt:i4>
      </vt:variant>
      <vt:variant>
        <vt:i4>5</vt:i4>
      </vt:variant>
      <vt:variant>
        <vt:lpwstr/>
      </vt:variant>
      <vt:variant>
        <vt:lpwstr>_Toc188993892</vt:lpwstr>
      </vt:variant>
      <vt:variant>
        <vt:i4>1835064</vt:i4>
      </vt:variant>
      <vt:variant>
        <vt:i4>293</vt:i4>
      </vt:variant>
      <vt:variant>
        <vt:i4>0</vt:i4>
      </vt:variant>
      <vt:variant>
        <vt:i4>5</vt:i4>
      </vt:variant>
      <vt:variant>
        <vt:lpwstr/>
      </vt:variant>
      <vt:variant>
        <vt:lpwstr>_Toc188993891</vt:lpwstr>
      </vt:variant>
      <vt:variant>
        <vt:i4>1835064</vt:i4>
      </vt:variant>
      <vt:variant>
        <vt:i4>287</vt:i4>
      </vt:variant>
      <vt:variant>
        <vt:i4>0</vt:i4>
      </vt:variant>
      <vt:variant>
        <vt:i4>5</vt:i4>
      </vt:variant>
      <vt:variant>
        <vt:lpwstr/>
      </vt:variant>
      <vt:variant>
        <vt:lpwstr>_Toc188993890</vt:lpwstr>
      </vt:variant>
      <vt:variant>
        <vt:i4>1900600</vt:i4>
      </vt:variant>
      <vt:variant>
        <vt:i4>281</vt:i4>
      </vt:variant>
      <vt:variant>
        <vt:i4>0</vt:i4>
      </vt:variant>
      <vt:variant>
        <vt:i4>5</vt:i4>
      </vt:variant>
      <vt:variant>
        <vt:lpwstr/>
      </vt:variant>
      <vt:variant>
        <vt:lpwstr>_Toc188993889</vt:lpwstr>
      </vt:variant>
      <vt:variant>
        <vt:i4>1900600</vt:i4>
      </vt:variant>
      <vt:variant>
        <vt:i4>275</vt:i4>
      </vt:variant>
      <vt:variant>
        <vt:i4>0</vt:i4>
      </vt:variant>
      <vt:variant>
        <vt:i4>5</vt:i4>
      </vt:variant>
      <vt:variant>
        <vt:lpwstr/>
      </vt:variant>
      <vt:variant>
        <vt:lpwstr>_Toc188993888</vt:lpwstr>
      </vt:variant>
      <vt:variant>
        <vt:i4>1900600</vt:i4>
      </vt:variant>
      <vt:variant>
        <vt:i4>269</vt:i4>
      </vt:variant>
      <vt:variant>
        <vt:i4>0</vt:i4>
      </vt:variant>
      <vt:variant>
        <vt:i4>5</vt:i4>
      </vt:variant>
      <vt:variant>
        <vt:lpwstr/>
      </vt:variant>
      <vt:variant>
        <vt:lpwstr>_Toc188993887</vt:lpwstr>
      </vt:variant>
      <vt:variant>
        <vt:i4>1900600</vt:i4>
      </vt:variant>
      <vt:variant>
        <vt:i4>263</vt:i4>
      </vt:variant>
      <vt:variant>
        <vt:i4>0</vt:i4>
      </vt:variant>
      <vt:variant>
        <vt:i4>5</vt:i4>
      </vt:variant>
      <vt:variant>
        <vt:lpwstr/>
      </vt:variant>
      <vt:variant>
        <vt:lpwstr>_Toc188993886</vt:lpwstr>
      </vt:variant>
      <vt:variant>
        <vt:i4>1900600</vt:i4>
      </vt:variant>
      <vt:variant>
        <vt:i4>257</vt:i4>
      </vt:variant>
      <vt:variant>
        <vt:i4>0</vt:i4>
      </vt:variant>
      <vt:variant>
        <vt:i4>5</vt:i4>
      </vt:variant>
      <vt:variant>
        <vt:lpwstr/>
      </vt:variant>
      <vt:variant>
        <vt:lpwstr>_Toc188993885</vt:lpwstr>
      </vt:variant>
      <vt:variant>
        <vt:i4>1900600</vt:i4>
      </vt:variant>
      <vt:variant>
        <vt:i4>251</vt:i4>
      </vt:variant>
      <vt:variant>
        <vt:i4>0</vt:i4>
      </vt:variant>
      <vt:variant>
        <vt:i4>5</vt:i4>
      </vt:variant>
      <vt:variant>
        <vt:lpwstr/>
      </vt:variant>
      <vt:variant>
        <vt:lpwstr>_Toc188993884</vt:lpwstr>
      </vt:variant>
      <vt:variant>
        <vt:i4>1900600</vt:i4>
      </vt:variant>
      <vt:variant>
        <vt:i4>245</vt:i4>
      </vt:variant>
      <vt:variant>
        <vt:i4>0</vt:i4>
      </vt:variant>
      <vt:variant>
        <vt:i4>5</vt:i4>
      </vt:variant>
      <vt:variant>
        <vt:lpwstr/>
      </vt:variant>
      <vt:variant>
        <vt:lpwstr>_Toc188993883</vt:lpwstr>
      </vt:variant>
      <vt:variant>
        <vt:i4>1900600</vt:i4>
      </vt:variant>
      <vt:variant>
        <vt:i4>239</vt:i4>
      </vt:variant>
      <vt:variant>
        <vt:i4>0</vt:i4>
      </vt:variant>
      <vt:variant>
        <vt:i4>5</vt:i4>
      </vt:variant>
      <vt:variant>
        <vt:lpwstr/>
      </vt:variant>
      <vt:variant>
        <vt:lpwstr>_Toc188993882</vt:lpwstr>
      </vt:variant>
      <vt:variant>
        <vt:i4>1900600</vt:i4>
      </vt:variant>
      <vt:variant>
        <vt:i4>233</vt:i4>
      </vt:variant>
      <vt:variant>
        <vt:i4>0</vt:i4>
      </vt:variant>
      <vt:variant>
        <vt:i4>5</vt:i4>
      </vt:variant>
      <vt:variant>
        <vt:lpwstr/>
      </vt:variant>
      <vt:variant>
        <vt:lpwstr>_Toc188993881</vt:lpwstr>
      </vt:variant>
      <vt:variant>
        <vt:i4>1900600</vt:i4>
      </vt:variant>
      <vt:variant>
        <vt:i4>227</vt:i4>
      </vt:variant>
      <vt:variant>
        <vt:i4>0</vt:i4>
      </vt:variant>
      <vt:variant>
        <vt:i4>5</vt:i4>
      </vt:variant>
      <vt:variant>
        <vt:lpwstr/>
      </vt:variant>
      <vt:variant>
        <vt:lpwstr>_Toc188993880</vt:lpwstr>
      </vt:variant>
      <vt:variant>
        <vt:i4>1179704</vt:i4>
      </vt:variant>
      <vt:variant>
        <vt:i4>221</vt:i4>
      </vt:variant>
      <vt:variant>
        <vt:i4>0</vt:i4>
      </vt:variant>
      <vt:variant>
        <vt:i4>5</vt:i4>
      </vt:variant>
      <vt:variant>
        <vt:lpwstr/>
      </vt:variant>
      <vt:variant>
        <vt:lpwstr>_Toc188993879</vt:lpwstr>
      </vt:variant>
      <vt:variant>
        <vt:i4>1179704</vt:i4>
      </vt:variant>
      <vt:variant>
        <vt:i4>215</vt:i4>
      </vt:variant>
      <vt:variant>
        <vt:i4>0</vt:i4>
      </vt:variant>
      <vt:variant>
        <vt:i4>5</vt:i4>
      </vt:variant>
      <vt:variant>
        <vt:lpwstr/>
      </vt:variant>
      <vt:variant>
        <vt:lpwstr>_Toc188993878</vt:lpwstr>
      </vt:variant>
      <vt:variant>
        <vt:i4>1179704</vt:i4>
      </vt:variant>
      <vt:variant>
        <vt:i4>209</vt:i4>
      </vt:variant>
      <vt:variant>
        <vt:i4>0</vt:i4>
      </vt:variant>
      <vt:variant>
        <vt:i4>5</vt:i4>
      </vt:variant>
      <vt:variant>
        <vt:lpwstr/>
      </vt:variant>
      <vt:variant>
        <vt:lpwstr>_Toc188993877</vt:lpwstr>
      </vt:variant>
      <vt:variant>
        <vt:i4>1179704</vt:i4>
      </vt:variant>
      <vt:variant>
        <vt:i4>203</vt:i4>
      </vt:variant>
      <vt:variant>
        <vt:i4>0</vt:i4>
      </vt:variant>
      <vt:variant>
        <vt:i4>5</vt:i4>
      </vt:variant>
      <vt:variant>
        <vt:lpwstr/>
      </vt:variant>
      <vt:variant>
        <vt:lpwstr>_Toc188993876</vt:lpwstr>
      </vt:variant>
      <vt:variant>
        <vt:i4>1179704</vt:i4>
      </vt:variant>
      <vt:variant>
        <vt:i4>197</vt:i4>
      </vt:variant>
      <vt:variant>
        <vt:i4>0</vt:i4>
      </vt:variant>
      <vt:variant>
        <vt:i4>5</vt:i4>
      </vt:variant>
      <vt:variant>
        <vt:lpwstr/>
      </vt:variant>
      <vt:variant>
        <vt:lpwstr>_Toc188993875</vt:lpwstr>
      </vt:variant>
      <vt:variant>
        <vt:i4>1179704</vt:i4>
      </vt:variant>
      <vt:variant>
        <vt:i4>191</vt:i4>
      </vt:variant>
      <vt:variant>
        <vt:i4>0</vt:i4>
      </vt:variant>
      <vt:variant>
        <vt:i4>5</vt:i4>
      </vt:variant>
      <vt:variant>
        <vt:lpwstr/>
      </vt:variant>
      <vt:variant>
        <vt:lpwstr>_Toc188993874</vt:lpwstr>
      </vt:variant>
      <vt:variant>
        <vt:i4>1179704</vt:i4>
      </vt:variant>
      <vt:variant>
        <vt:i4>185</vt:i4>
      </vt:variant>
      <vt:variant>
        <vt:i4>0</vt:i4>
      </vt:variant>
      <vt:variant>
        <vt:i4>5</vt:i4>
      </vt:variant>
      <vt:variant>
        <vt:lpwstr/>
      </vt:variant>
      <vt:variant>
        <vt:lpwstr>_Toc188993873</vt:lpwstr>
      </vt:variant>
      <vt:variant>
        <vt:i4>1179704</vt:i4>
      </vt:variant>
      <vt:variant>
        <vt:i4>179</vt:i4>
      </vt:variant>
      <vt:variant>
        <vt:i4>0</vt:i4>
      </vt:variant>
      <vt:variant>
        <vt:i4>5</vt:i4>
      </vt:variant>
      <vt:variant>
        <vt:lpwstr/>
      </vt:variant>
      <vt:variant>
        <vt:lpwstr>_Toc188993872</vt:lpwstr>
      </vt:variant>
      <vt:variant>
        <vt:i4>1179704</vt:i4>
      </vt:variant>
      <vt:variant>
        <vt:i4>173</vt:i4>
      </vt:variant>
      <vt:variant>
        <vt:i4>0</vt:i4>
      </vt:variant>
      <vt:variant>
        <vt:i4>5</vt:i4>
      </vt:variant>
      <vt:variant>
        <vt:lpwstr/>
      </vt:variant>
      <vt:variant>
        <vt:lpwstr>_Toc188993871</vt:lpwstr>
      </vt:variant>
      <vt:variant>
        <vt:i4>1179704</vt:i4>
      </vt:variant>
      <vt:variant>
        <vt:i4>167</vt:i4>
      </vt:variant>
      <vt:variant>
        <vt:i4>0</vt:i4>
      </vt:variant>
      <vt:variant>
        <vt:i4>5</vt:i4>
      </vt:variant>
      <vt:variant>
        <vt:lpwstr/>
      </vt:variant>
      <vt:variant>
        <vt:lpwstr>_Toc188993870</vt:lpwstr>
      </vt:variant>
      <vt:variant>
        <vt:i4>1245240</vt:i4>
      </vt:variant>
      <vt:variant>
        <vt:i4>161</vt:i4>
      </vt:variant>
      <vt:variant>
        <vt:i4>0</vt:i4>
      </vt:variant>
      <vt:variant>
        <vt:i4>5</vt:i4>
      </vt:variant>
      <vt:variant>
        <vt:lpwstr/>
      </vt:variant>
      <vt:variant>
        <vt:lpwstr>_Toc188993869</vt:lpwstr>
      </vt:variant>
      <vt:variant>
        <vt:i4>1245240</vt:i4>
      </vt:variant>
      <vt:variant>
        <vt:i4>155</vt:i4>
      </vt:variant>
      <vt:variant>
        <vt:i4>0</vt:i4>
      </vt:variant>
      <vt:variant>
        <vt:i4>5</vt:i4>
      </vt:variant>
      <vt:variant>
        <vt:lpwstr/>
      </vt:variant>
      <vt:variant>
        <vt:lpwstr>_Toc188993868</vt:lpwstr>
      </vt:variant>
      <vt:variant>
        <vt:i4>1245240</vt:i4>
      </vt:variant>
      <vt:variant>
        <vt:i4>149</vt:i4>
      </vt:variant>
      <vt:variant>
        <vt:i4>0</vt:i4>
      </vt:variant>
      <vt:variant>
        <vt:i4>5</vt:i4>
      </vt:variant>
      <vt:variant>
        <vt:lpwstr/>
      </vt:variant>
      <vt:variant>
        <vt:lpwstr>_Toc188993867</vt:lpwstr>
      </vt:variant>
      <vt:variant>
        <vt:i4>1245240</vt:i4>
      </vt:variant>
      <vt:variant>
        <vt:i4>143</vt:i4>
      </vt:variant>
      <vt:variant>
        <vt:i4>0</vt:i4>
      </vt:variant>
      <vt:variant>
        <vt:i4>5</vt:i4>
      </vt:variant>
      <vt:variant>
        <vt:lpwstr/>
      </vt:variant>
      <vt:variant>
        <vt:lpwstr>_Toc188993866</vt:lpwstr>
      </vt:variant>
      <vt:variant>
        <vt:i4>1245240</vt:i4>
      </vt:variant>
      <vt:variant>
        <vt:i4>137</vt:i4>
      </vt:variant>
      <vt:variant>
        <vt:i4>0</vt:i4>
      </vt:variant>
      <vt:variant>
        <vt:i4>5</vt:i4>
      </vt:variant>
      <vt:variant>
        <vt:lpwstr/>
      </vt:variant>
      <vt:variant>
        <vt:lpwstr>_Toc188993865</vt:lpwstr>
      </vt:variant>
      <vt:variant>
        <vt:i4>1245240</vt:i4>
      </vt:variant>
      <vt:variant>
        <vt:i4>131</vt:i4>
      </vt:variant>
      <vt:variant>
        <vt:i4>0</vt:i4>
      </vt:variant>
      <vt:variant>
        <vt:i4>5</vt:i4>
      </vt:variant>
      <vt:variant>
        <vt:lpwstr/>
      </vt:variant>
      <vt:variant>
        <vt:lpwstr>_Toc188993864</vt:lpwstr>
      </vt:variant>
      <vt:variant>
        <vt:i4>1245240</vt:i4>
      </vt:variant>
      <vt:variant>
        <vt:i4>125</vt:i4>
      </vt:variant>
      <vt:variant>
        <vt:i4>0</vt:i4>
      </vt:variant>
      <vt:variant>
        <vt:i4>5</vt:i4>
      </vt:variant>
      <vt:variant>
        <vt:lpwstr/>
      </vt:variant>
      <vt:variant>
        <vt:lpwstr>_Toc188993863</vt:lpwstr>
      </vt:variant>
      <vt:variant>
        <vt:i4>1245240</vt:i4>
      </vt:variant>
      <vt:variant>
        <vt:i4>119</vt:i4>
      </vt:variant>
      <vt:variant>
        <vt:i4>0</vt:i4>
      </vt:variant>
      <vt:variant>
        <vt:i4>5</vt:i4>
      </vt:variant>
      <vt:variant>
        <vt:lpwstr/>
      </vt:variant>
      <vt:variant>
        <vt:lpwstr>_Toc188993862</vt:lpwstr>
      </vt:variant>
      <vt:variant>
        <vt:i4>1245240</vt:i4>
      </vt:variant>
      <vt:variant>
        <vt:i4>113</vt:i4>
      </vt:variant>
      <vt:variant>
        <vt:i4>0</vt:i4>
      </vt:variant>
      <vt:variant>
        <vt:i4>5</vt:i4>
      </vt:variant>
      <vt:variant>
        <vt:lpwstr/>
      </vt:variant>
      <vt:variant>
        <vt:lpwstr>_Toc188993861</vt:lpwstr>
      </vt:variant>
      <vt:variant>
        <vt:i4>1245240</vt:i4>
      </vt:variant>
      <vt:variant>
        <vt:i4>107</vt:i4>
      </vt:variant>
      <vt:variant>
        <vt:i4>0</vt:i4>
      </vt:variant>
      <vt:variant>
        <vt:i4>5</vt:i4>
      </vt:variant>
      <vt:variant>
        <vt:lpwstr/>
      </vt:variant>
      <vt:variant>
        <vt:lpwstr>_Toc188993860</vt:lpwstr>
      </vt:variant>
      <vt:variant>
        <vt:i4>1048632</vt:i4>
      </vt:variant>
      <vt:variant>
        <vt:i4>101</vt:i4>
      </vt:variant>
      <vt:variant>
        <vt:i4>0</vt:i4>
      </vt:variant>
      <vt:variant>
        <vt:i4>5</vt:i4>
      </vt:variant>
      <vt:variant>
        <vt:lpwstr/>
      </vt:variant>
      <vt:variant>
        <vt:lpwstr>_Toc188993859</vt:lpwstr>
      </vt:variant>
      <vt:variant>
        <vt:i4>1048632</vt:i4>
      </vt:variant>
      <vt:variant>
        <vt:i4>95</vt:i4>
      </vt:variant>
      <vt:variant>
        <vt:i4>0</vt:i4>
      </vt:variant>
      <vt:variant>
        <vt:i4>5</vt:i4>
      </vt:variant>
      <vt:variant>
        <vt:lpwstr/>
      </vt:variant>
      <vt:variant>
        <vt:lpwstr>_Toc188993858</vt:lpwstr>
      </vt:variant>
      <vt:variant>
        <vt:i4>1048632</vt:i4>
      </vt:variant>
      <vt:variant>
        <vt:i4>89</vt:i4>
      </vt:variant>
      <vt:variant>
        <vt:i4>0</vt:i4>
      </vt:variant>
      <vt:variant>
        <vt:i4>5</vt:i4>
      </vt:variant>
      <vt:variant>
        <vt:lpwstr/>
      </vt:variant>
      <vt:variant>
        <vt:lpwstr>_Toc188993857</vt:lpwstr>
      </vt:variant>
      <vt:variant>
        <vt:i4>1048632</vt:i4>
      </vt:variant>
      <vt:variant>
        <vt:i4>83</vt:i4>
      </vt:variant>
      <vt:variant>
        <vt:i4>0</vt:i4>
      </vt:variant>
      <vt:variant>
        <vt:i4>5</vt:i4>
      </vt:variant>
      <vt:variant>
        <vt:lpwstr/>
      </vt:variant>
      <vt:variant>
        <vt:lpwstr>_Toc188993856</vt:lpwstr>
      </vt:variant>
      <vt:variant>
        <vt:i4>1048632</vt:i4>
      </vt:variant>
      <vt:variant>
        <vt:i4>77</vt:i4>
      </vt:variant>
      <vt:variant>
        <vt:i4>0</vt:i4>
      </vt:variant>
      <vt:variant>
        <vt:i4>5</vt:i4>
      </vt:variant>
      <vt:variant>
        <vt:lpwstr/>
      </vt:variant>
      <vt:variant>
        <vt:lpwstr>_Toc188993855</vt:lpwstr>
      </vt:variant>
      <vt:variant>
        <vt:i4>1048632</vt:i4>
      </vt:variant>
      <vt:variant>
        <vt:i4>71</vt:i4>
      </vt:variant>
      <vt:variant>
        <vt:i4>0</vt:i4>
      </vt:variant>
      <vt:variant>
        <vt:i4>5</vt:i4>
      </vt:variant>
      <vt:variant>
        <vt:lpwstr/>
      </vt:variant>
      <vt:variant>
        <vt:lpwstr>_Toc188993854</vt:lpwstr>
      </vt:variant>
      <vt:variant>
        <vt:i4>1048632</vt:i4>
      </vt:variant>
      <vt:variant>
        <vt:i4>65</vt:i4>
      </vt:variant>
      <vt:variant>
        <vt:i4>0</vt:i4>
      </vt:variant>
      <vt:variant>
        <vt:i4>5</vt:i4>
      </vt:variant>
      <vt:variant>
        <vt:lpwstr/>
      </vt:variant>
      <vt:variant>
        <vt:lpwstr>_Toc188993853</vt:lpwstr>
      </vt:variant>
      <vt:variant>
        <vt:i4>1048632</vt:i4>
      </vt:variant>
      <vt:variant>
        <vt:i4>59</vt:i4>
      </vt:variant>
      <vt:variant>
        <vt:i4>0</vt:i4>
      </vt:variant>
      <vt:variant>
        <vt:i4>5</vt:i4>
      </vt:variant>
      <vt:variant>
        <vt:lpwstr/>
      </vt:variant>
      <vt:variant>
        <vt:lpwstr>_Toc188993852</vt:lpwstr>
      </vt:variant>
      <vt:variant>
        <vt:i4>1048632</vt:i4>
      </vt:variant>
      <vt:variant>
        <vt:i4>53</vt:i4>
      </vt:variant>
      <vt:variant>
        <vt:i4>0</vt:i4>
      </vt:variant>
      <vt:variant>
        <vt:i4>5</vt:i4>
      </vt:variant>
      <vt:variant>
        <vt:lpwstr/>
      </vt:variant>
      <vt:variant>
        <vt:lpwstr>_Toc188993851</vt:lpwstr>
      </vt:variant>
      <vt:variant>
        <vt:i4>1048632</vt:i4>
      </vt:variant>
      <vt:variant>
        <vt:i4>47</vt:i4>
      </vt:variant>
      <vt:variant>
        <vt:i4>0</vt:i4>
      </vt:variant>
      <vt:variant>
        <vt:i4>5</vt:i4>
      </vt:variant>
      <vt:variant>
        <vt:lpwstr/>
      </vt:variant>
      <vt:variant>
        <vt:lpwstr>_Toc188993850</vt:lpwstr>
      </vt:variant>
      <vt:variant>
        <vt:i4>1114168</vt:i4>
      </vt:variant>
      <vt:variant>
        <vt:i4>41</vt:i4>
      </vt:variant>
      <vt:variant>
        <vt:i4>0</vt:i4>
      </vt:variant>
      <vt:variant>
        <vt:i4>5</vt:i4>
      </vt:variant>
      <vt:variant>
        <vt:lpwstr/>
      </vt:variant>
      <vt:variant>
        <vt:lpwstr>_Toc188993849</vt:lpwstr>
      </vt:variant>
      <vt:variant>
        <vt:i4>1114168</vt:i4>
      </vt:variant>
      <vt:variant>
        <vt:i4>35</vt:i4>
      </vt:variant>
      <vt:variant>
        <vt:i4>0</vt:i4>
      </vt:variant>
      <vt:variant>
        <vt:i4>5</vt:i4>
      </vt:variant>
      <vt:variant>
        <vt:lpwstr/>
      </vt:variant>
      <vt:variant>
        <vt:lpwstr>_Toc188993848</vt:lpwstr>
      </vt:variant>
      <vt:variant>
        <vt:i4>1114168</vt:i4>
      </vt:variant>
      <vt:variant>
        <vt:i4>29</vt:i4>
      </vt:variant>
      <vt:variant>
        <vt:i4>0</vt:i4>
      </vt:variant>
      <vt:variant>
        <vt:i4>5</vt:i4>
      </vt:variant>
      <vt:variant>
        <vt:lpwstr/>
      </vt:variant>
      <vt:variant>
        <vt:lpwstr>_Toc188993847</vt:lpwstr>
      </vt:variant>
      <vt:variant>
        <vt:i4>1114168</vt:i4>
      </vt:variant>
      <vt:variant>
        <vt:i4>23</vt:i4>
      </vt:variant>
      <vt:variant>
        <vt:i4>0</vt:i4>
      </vt:variant>
      <vt:variant>
        <vt:i4>5</vt:i4>
      </vt:variant>
      <vt:variant>
        <vt:lpwstr/>
      </vt:variant>
      <vt:variant>
        <vt:lpwstr>_Toc188993846</vt:lpwstr>
      </vt:variant>
      <vt:variant>
        <vt:i4>1114168</vt:i4>
      </vt:variant>
      <vt:variant>
        <vt:i4>17</vt:i4>
      </vt:variant>
      <vt:variant>
        <vt:i4>0</vt:i4>
      </vt:variant>
      <vt:variant>
        <vt:i4>5</vt:i4>
      </vt:variant>
      <vt:variant>
        <vt:lpwstr/>
      </vt:variant>
      <vt:variant>
        <vt:lpwstr>_Toc188993845</vt:lpwstr>
      </vt:variant>
      <vt:variant>
        <vt:i4>1114168</vt:i4>
      </vt:variant>
      <vt:variant>
        <vt:i4>11</vt:i4>
      </vt:variant>
      <vt:variant>
        <vt:i4>0</vt:i4>
      </vt:variant>
      <vt:variant>
        <vt:i4>5</vt:i4>
      </vt:variant>
      <vt:variant>
        <vt:lpwstr/>
      </vt:variant>
      <vt:variant>
        <vt:lpwstr>_Toc188993844</vt:lpwstr>
      </vt:variant>
      <vt:variant>
        <vt:i4>1114168</vt:i4>
      </vt:variant>
      <vt:variant>
        <vt:i4>5</vt:i4>
      </vt:variant>
      <vt:variant>
        <vt:i4>0</vt:i4>
      </vt:variant>
      <vt:variant>
        <vt:i4>5</vt:i4>
      </vt:variant>
      <vt:variant>
        <vt:lpwstr/>
      </vt:variant>
      <vt:variant>
        <vt:lpwstr>_Toc188993843</vt:lpwstr>
      </vt:variant>
      <vt:variant>
        <vt:i4>4259958</vt:i4>
      </vt:variant>
      <vt:variant>
        <vt:i4>0</vt:i4>
      </vt:variant>
      <vt:variant>
        <vt:i4>0</vt:i4>
      </vt:variant>
      <vt:variant>
        <vt:i4>5</vt:i4>
      </vt:variant>
      <vt:variant>
        <vt:lpwstr>mailto:cljohnso@southernco.com</vt:lpwstr>
      </vt:variant>
      <vt:variant>
        <vt:lpwstr/>
      </vt:variant>
      <vt:variant>
        <vt:i4>5767178</vt:i4>
      </vt:variant>
      <vt:variant>
        <vt:i4>36</vt:i4>
      </vt:variant>
      <vt:variant>
        <vt:i4>0</vt:i4>
      </vt:variant>
      <vt:variant>
        <vt:i4>5</vt:i4>
      </vt:variant>
      <vt:variant>
        <vt:lpwstr>https://www.wri.org/sustainability-wri/dashboard/methodology</vt:lpwstr>
      </vt:variant>
      <vt:variant>
        <vt:lpwstr/>
      </vt:variant>
      <vt:variant>
        <vt:i4>7274558</vt:i4>
      </vt:variant>
      <vt:variant>
        <vt:i4>33</vt:i4>
      </vt:variant>
      <vt:variant>
        <vt:i4>0</vt:i4>
      </vt:variant>
      <vt:variant>
        <vt:i4>5</vt:i4>
      </vt:variant>
      <vt:variant>
        <vt:lpwstr>https://www.southerncompany.com/content/dam/southern-company/pdf/public/Net-zero-report.pdf</vt:lpwstr>
      </vt:variant>
      <vt:variant>
        <vt:lpwstr/>
      </vt:variant>
      <vt:variant>
        <vt:i4>5767255</vt:i4>
      </vt:variant>
      <vt:variant>
        <vt:i4>30</vt:i4>
      </vt:variant>
      <vt:variant>
        <vt:i4>0</vt:i4>
      </vt:variant>
      <vt:variant>
        <vt:i4>5</vt:i4>
      </vt:variant>
      <vt:variant>
        <vt:lpwstr>https://www.southerncompany.com/content/dam/southern-company/pdf/corpresponsibility/Planning-for-a-low-carbon-future.pdf</vt:lpwstr>
      </vt:variant>
      <vt:variant>
        <vt:lpwstr/>
      </vt:variant>
      <vt:variant>
        <vt:i4>5374022</vt:i4>
      </vt:variant>
      <vt:variant>
        <vt:i4>27</vt:i4>
      </vt:variant>
      <vt:variant>
        <vt:i4>0</vt:i4>
      </vt:variant>
      <vt:variant>
        <vt:i4>5</vt:i4>
      </vt:variant>
      <vt:variant>
        <vt:lpwstr>https://archive.siteselection.com/issues/2024/may/top-deals-2024.cfm</vt:lpwstr>
      </vt:variant>
      <vt:variant>
        <vt:lpwstr/>
      </vt:variant>
      <vt:variant>
        <vt:i4>5570625</vt:i4>
      </vt:variant>
      <vt:variant>
        <vt:i4>24</vt:i4>
      </vt:variant>
      <vt:variant>
        <vt:i4>0</vt:i4>
      </vt:variant>
      <vt:variant>
        <vt:i4>5</vt:i4>
      </vt:variant>
      <vt:variant>
        <vt:lpwstr>https://archive.siteselection.com/issues/2023/may/top-deals-2023.cfm</vt:lpwstr>
      </vt:variant>
      <vt:variant>
        <vt:lpwstr/>
      </vt:variant>
      <vt:variant>
        <vt:i4>7995425</vt:i4>
      </vt:variant>
      <vt:variant>
        <vt:i4>21</vt:i4>
      </vt:variant>
      <vt:variant>
        <vt:i4>0</vt:i4>
      </vt:variant>
      <vt:variant>
        <vt:i4>5</vt:i4>
      </vt:variant>
      <vt:variant>
        <vt:lpwstr>https://archive.siteselection.com/issues/2024/sep/2024-top-utilities-in-economic-development-bonus-content.cfm?utm_source=Sidebar&amp;utm_medium=Web&amp;utm_campaign=Optimize&amp;utm_content=RA</vt:lpwstr>
      </vt:variant>
      <vt:variant>
        <vt:lpwstr/>
      </vt:variant>
      <vt:variant>
        <vt:i4>2031630</vt:i4>
      </vt:variant>
      <vt:variant>
        <vt:i4>18</vt:i4>
      </vt:variant>
      <vt:variant>
        <vt:i4>0</vt:i4>
      </vt:variant>
      <vt:variant>
        <vt:i4>5</vt:i4>
      </vt:variant>
      <vt:variant>
        <vt:lpwstr>https://businessfacilities.com/2024-top-utilities-for-economic-development/</vt:lpwstr>
      </vt:variant>
      <vt:variant>
        <vt:lpwstr>:~:text=These%20top%20utilities%20play%20a%20key%20role%20in%20state%20and</vt:lpwstr>
      </vt:variant>
      <vt:variant>
        <vt:i4>4587546</vt:i4>
      </vt:variant>
      <vt:variant>
        <vt:i4>15</vt:i4>
      </vt:variant>
      <vt:variant>
        <vt:i4>0</vt:i4>
      </vt:variant>
      <vt:variant>
        <vt:i4>5</vt:i4>
      </vt:variant>
      <vt:variant>
        <vt:lpwstr>https://www.cnbc.com/2024/07/11/top-states-for-business-2024-georgia.html</vt:lpwstr>
      </vt:variant>
      <vt:variant>
        <vt:lpwstr/>
      </vt:variant>
      <vt:variant>
        <vt:i4>2359402</vt:i4>
      </vt:variant>
      <vt:variant>
        <vt:i4>12</vt:i4>
      </vt:variant>
      <vt:variant>
        <vt:i4>0</vt:i4>
      </vt:variant>
      <vt:variant>
        <vt:i4>5</vt:i4>
      </vt:variant>
      <vt:variant>
        <vt:lpwstr>https://businessfacilities.com/20th-annual-rankings-report-2024-state-rankings/</vt:lpwstr>
      </vt:variant>
      <vt:variant>
        <vt:lpwstr/>
      </vt:variant>
      <vt:variant>
        <vt:i4>4653179</vt:i4>
      </vt:variant>
      <vt:variant>
        <vt:i4>9</vt:i4>
      </vt:variant>
      <vt:variant>
        <vt:i4>0</vt:i4>
      </vt:variant>
      <vt:variant>
        <vt:i4>5</vt:i4>
      </vt:variant>
      <vt:variant>
        <vt:lpwstr>https://siteselection.com/site-selectors-survey-why-site-selectors-love-the-south/?utm_source=InvestorWatch&amp;utm_medium=email&amp;utm_campaign=Editorialllll</vt:lpwstr>
      </vt:variant>
      <vt:variant>
        <vt:lpwstr/>
      </vt:variant>
      <vt:variant>
        <vt:i4>720979</vt:i4>
      </vt:variant>
      <vt:variant>
        <vt:i4>6</vt:i4>
      </vt:variant>
      <vt:variant>
        <vt:i4>0</vt:i4>
      </vt:variant>
      <vt:variant>
        <vt:i4>5</vt:i4>
      </vt:variant>
      <vt:variant>
        <vt:lpwstr>https://georgia.org/press-release/gov-kemp-celebrates-top-state-business-ranking-workforce-summit</vt:lpwstr>
      </vt:variant>
      <vt:variant>
        <vt:lpwstr/>
      </vt:variant>
      <vt:variant>
        <vt:i4>5374016</vt:i4>
      </vt:variant>
      <vt:variant>
        <vt:i4>3</vt:i4>
      </vt:variant>
      <vt:variant>
        <vt:i4>0</vt:i4>
      </vt:variant>
      <vt:variant>
        <vt:i4>5</vt:i4>
      </vt:variant>
      <vt:variant>
        <vt:lpwstr>https://georgia.org/press-release/state-georgia-breaks-export-records-third-straight-year</vt:lpwstr>
      </vt:variant>
      <vt:variant>
        <vt:lpwstr/>
      </vt:variant>
      <vt:variant>
        <vt:i4>3539055</vt:i4>
      </vt:variant>
      <vt:variant>
        <vt:i4>0</vt:i4>
      </vt:variant>
      <vt:variant>
        <vt:i4>0</vt:i4>
      </vt:variant>
      <vt:variant>
        <vt:i4>5</vt:i4>
      </vt:variant>
      <vt:variant>
        <vt:lpwstr>https://georgia.org/press-release/gov-kemp-georgia-job-creation-remains-strong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2025-01-30T15:50:00Z</dcterms:created>
  <dcterms:modified xsi:type="dcterms:W3CDTF">2025-01-30T15:50:00Z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y fmtid="{D5CDD505-2E9C-101B-9397-08002B2CF9AE}" pid="3" name="MSIP_Label_ed3826ce-7c18-471d-9596-93de5bae332e_Enabled">
    <vt:lpwstr>true</vt:lpwstr>
  </property>
  <property fmtid="{D5CDD505-2E9C-101B-9397-08002B2CF9AE}" pid="4" name="MSIP_Label_ed3826ce-7c18-471d-9596-93de5bae332e_SetDate">
    <vt:lpwstr>2025-01-30T15:50:55Z</vt:lpwstr>
  </property>
  <property fmtid="{D5CDD505-2E9C-101B-9397-08002B2CF9AE}" pid="5" name="MSIP_Label_ed3826ce-7c18-471d-9596-93de5bae332e_Method">
    <vt:lpwstr>Standard</vt:lpwstr>
  </property>
  <property fmtid="{D5CDD505-2E9C-101B-9397-08002B2CF9AE}" pid="6" name="MSIP_Label_ed3826ce-7c18-471d-9596-93de5bae332e_Name">
    <vt:lpwstr>Internal</vt:lpwstr>
  </property>
  <property fmtid="{D5CDD505-2E9C-101B-9397-08002B2CF9AE}" pid="7" name="MSIP_Label_ed3826ce-7c18-471d-9596-93de5bae332e_SiteId">
    <vt:lpwstr>c0a02e2d-1186-410a-8895-0a4a252ebf17</vt:lpwstr>
  </property>
  <property fmtid="{D5CDD505-2E9C-101B-9397-08002B2CF9AE}" pid="8" name="MSIP_Label_ed3826ce-7c18-471d-9596-93de5bae332e_ActionId">
    <vt:lpwstr>2683970c-1b96-4f26-b3b5-81b34f38912e</vt:lpwstr>
  </property>
  <property fmtid="{D5CDD505-2E9C-101B-9397-08002B2CF9AE}" pid="9" name="MSIP_Label_ed3826ce-7c18-471d-9596-93de5bae332e_ContentBits">
    <vt:lpwstr>0</vt:lpwstr>
  </property>
</Properties>
</file>